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1, 2015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EL POLLO LOCO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840" w:type="dxa"/>
        <w:tblCellMar>
          <w:top w:w="0" w:type="dxa"/>
          <w:left w:w="0" w:type="dxa"/>
          <w:bottom w:w="0" w:type="dxa"/>
          <w:right w:w="0" w:type="dxa"/>
        </w:tblCellMar>
      </w:tblPr>
      <w:tr>
        <w:trPr>
          <w:trHeight w:val="214"/>
        </w:trPr>
        <w:tc>
          <w:tcPr>
            <w:tcW w:w="6880" w:type="dxa"/>
            <w:vAlign w:val="bottom"/>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20-3563182</w:t>
            </w:r>
          </w:p>
        </w:tc>
      </w:tr>
      <w:tr>
        <w:trPr>
          <w:trHeight w:val="149"/>
        </w:trPr>
        <w:tc>
          <w:tcPr>
            <w:tcW w:w="6880" w:type="dxa"/>
            <w:vAlign w:val="bottom"/>
          </w:tcPr>
          <w:p>
            <w:pPr>
              <w:jc w:val="center"/>
              <w:ind w:right="26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880" w:type="dxa"/>
            <w:vAlign w:val="bottom"/>
          </w:tcPr>
          <w:p>
            <w:pPr>
              <w:jc w:val="center"/>
              <w:ind w:right="2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6880" w:type="dxa"/>
            <w:vAlign w:val="bottom"/>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3535 Harbor Blvd., Suite 100, Costa Mesa, California</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92626</w:t>
            </w:r>
          </w:p>
        </w:tc>
      </w:tr>
      <w:tr>
        <w:trPr>
          <w:trHeight w:val="190"/>
        </w:trPr>
        <w:tc>
          <w:tcPr>
            <w:tcW w:w="6880" w:type="dxa"/>
            <w:vAlign w:val="bottom"/>
          </w:tcPr>
          <w:p>
            <w:pPr>
              <w:jc w:val="center"/>
              <w:ind w:right="2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880" w:type="dxa"/>
            <w:vAlign w:val="bottom"/>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(714) 599-5000</w:t>
            </w:r>
          </w:p>
        </w:tc>
        <w:tc>
          <w:tcPr>
            <w:tcW w:w="1500" w:type="dxa"/>
            <w:vAlign w:val="bottom"/>
          </w:tcPr>
          <w:p>
            <w:pPr>
              <w:spacing w:after="0"/>
              <w:rPr>
                <w:sz w:val="24"/>
                <w:szCs w:val="24"/>
                <w:color w:val="auto"/>
              </w:rPr>
            </w:pPr>
          </w:p>
        </w:tc>
      </w:tr>
      <w:tr>
        <w:trPr>
          <w:trHeight w:val="190"/>
        </w:trPr>
        <w:tc>
          <w:tcPr>
            <w:tcW w:w="6880" w:type="dxa"/>
            <w:vAlign w:val="bottom"/>
          </w:tcPr>
          <w:p>
            <w:pPr>
              <w:jc w:val="center"/>
              <w:ind w:left="27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6"/>
                <w:szCs w:val="16"/>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0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0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2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104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380" w:type="dxa"/>
            <w:vAlign w:val="bottom"/>
          </w:tcPr>
          <w:p>
            <w:pPr>
              <w:spacing w:after="0"/>
              <w:rPr>
                <w:sz w:val="24"/>
                <w:szCs w:val="24"/>
                <w:color w:val="auto"/>
              </w:rPr>
            </w:pPr>
          </w:p>
        </w:tc>
      </w:tr>
      <w:tr>
        <w:trPr>
          <w:trHeight w:val="412"/>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May 13, 2015, there were 37,438,686 shares of the issuer’s common stock outstanding.</w:t>
            </w:r>
          </w:p>
        </w:tc>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02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6" w:right="239" w:bottom="724"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9920" w:type="dxa"/>
            <w:vAlign w:val="bottom"/>
            <w:gridSpan w:val="18"/>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20" w:type="dxa"/>
            <w:vAlign w:val="bottom"/>
          </w:tcPr>
          <w:p>
            <w:pPr>
              <w:spacing w:after="0"/>
              <w:rPr>
                <w:sz w:val="16"/>
                <w:szCs w:val="16"/>
                <w:color w:val="auto"/>
              </w:rPr>
            </w:pPr>
          </w:p>
        </w:tc>
      </w:tr>
      <w:tr>
        <w:trPr>
          <w:trHeight w:val="156"/>
        </w:trPr>
        <w:tc>
          <w:tcPr>
            <w:tcW w:w="11020" w:type="dxa"/>
            <w:vAlign w:val="bottom"/>
            <w:gridSpan w:val="20"/>
          </w:tcPr>
          <w:p>
            <w:pPr>
              <w:spacing w:after="0" w:line="142" w:lineRule="exact"/>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PART I—FINANCIAL INFORMATION</w:t>
              </w:r>
            </w:hyperlink>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r>
      <w:tr>
        <w:trPr>
          <w:trHeight w:val="210"/>
        </w:trPr>
        <w:tc>
          <w:tcPr>
            <w:tcW w:w="21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Item 1. Financial Statements.</w:t>
              </w:r>
            </w:hyperlink>
          </w:p>
        </w:tc>
        <w:tc>
          <w:tcPr>
            <w:tcW w:w="860" w:type="dxa"/>
            <w:vAlign w:val="bottom"/>
            <w:tcBorders>
              <w:top w:val="single" w:sz="8" w:color="0000EE"/>
            </w:tcBorders>
            <w:gridSpan w:val="5"/>
          </w:tcPr>
          <w:p>
            <w:pPr>
              <w:spacing w:after="0"/>
              <w:rPr>
                <w:sz w:val="18"/>
                <w:szCs w:val="18"/>
                <w:color w:val="auto"/>
              </w:rPr>
            </w:pPr>
          </w:p>
        </w:tc>
        <w:tc>
          <w:tcPr>
            <w:tcW w:w="8040" w:type="dxa"/>
            <w:vAlign w:val="bottom"/>
            <w:gridSpan w:val="8"/>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3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(Unaudited)</w:t>
              </w:r>
            </w:hyperlink>
          </w:p>
        </w:tc>
        <w:tc>
          <w:tcPr>
            <w:tcW w:w="71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(Unaudited)</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96"/>
        </w:trPr>
        <w:tc>
          <w:tcPr>
            <w:tcW w:w="4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(Unaudited)</w:t>
              </w:r>
            </w:hyperlink>
          </w:p>
        </w:tc>
        <w:tc>
          <w:tcPr>
            <w:tcW w:w="63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 (Unaudited)</w:t>
              </w:r>
            </w:hyperlink>
          </w:p>
        </w:tc>
        <w:tc>
          <w:tcPr>
            <w:tcW w:w="61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7"/>
                <w:szCs w:val="17"/>
                <w:color w:val="auto"/>
              </w:rPr>
            </w:pPr>
          </w:p>
        </w:tc>
      </w:tr>
      <w:tr>
        <w:trPr>
          <w:trHeight w:val="196"/>
        </w:trPr>
        <w:tc>
          <w:tcPr>
            <w:tcW w:w="498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9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r>
      <w:tr>
        <w:trPr>
          <w:trHeight w:val="196"/>
        </w:trPr>
        <w:tc>
          <w:tcPr>
            <w:tcW w:w="2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4. Controls and Procedures.</w:t>
              </w:r>
            </w:hyperlink>
          </w:p>
        </w:tc>
        <w:tc>
          <w:tcPr>
            <w:tcW w:w="862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7"/>
                <w:szCs w:val="17"/>
                <w:color w:val="auto"/>
              </w:rPr>
            </w:pPr>
          </w:p>
        </w:tc>
      </w:tr>
      <w:tr>
        <w:trPr>
          <w:trHeight w:val="196"/>
        </w:trPr>
        <w:tc>
          <w:tcPr>
            <w:tcW w:w="26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PART II—OTHER INFORMATION</w:t>
              </w:r>
            </w:hyperlink>
          </w:p>
        </w:tc>
        <w:tc>
          <w:tcPr>
            <w:tcW w:w="834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1. Legal Proceedings.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96"/>
        </w:trPr>
        <w:tc>
          <w:tcPr>
            <w:tcW w:w="19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1A. Risk Factors.</w:t>
              </w:r>
            </w:hyperlink>
          </w:p>
        </w:tc>
        <w:tc>
          <w:tcPr>
            <w:tcW w:w="908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Item 2. Unregistered Sales of Equity Securities and Use of Proceeds.</w:t>
              </w:r>
            </w:hyperlink>
          </w:p>
        </w:tc>
        <w:tc>
          <w:tcPr>
            <w:tcW w:w="60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96"/>
        </w:trPr>
        <w:tc>
          <w:tcPr>
            <w:tcW w:w="29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Item 3. Defaults Upon Senior Securities.</w:t>
              </w:r>
            </w:hyperlink>
          </w:p>
        </w:tc>
        <w:tc>
          <w:tcPr>
            <w:tcW w:w="808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96"/>
        </w:trPr>
        <w:tc>
          <w:tcPr>
            <w:tcW w:w="23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Item 4. Mine Safety Disclosures.</w:t>
              </w:r>
            </w:hyperlink>
          </w:p>
        </w:tc>
        <w:tc>
          <w:tcPr>
            <w:tcW w:w="86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5. Other Information.</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96"/>
        </w:trPr>
        <w:tc>
          <w:tcPr>
            <w:tcW w:w="19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6. Exhibits.</w:t>
              </w:r>
            </w:hyperlink>
          </w:p>
        </w:tc>
        <w:tc>
          <w:tcPr>
            <w:tcW w:w="91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96"/>
        </w:trPr>
        <w:tc>
          <w:tcPr>
            <w:tcW w:w="12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Signatures</w:t>
              </w:r>
            </w:hyperlink>
          </w:p>
        </w:tc>
        <w:tc>
          <w:tcPr>
            <w:tcW w:w="982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7"/>
                <w:szCs w:val="17"/>
                <w:color w:val="auto"/>
              </w:rPr>
            </w:pPr>
          </w:p>
        </w:tc>
      </w:tr>
      <w:tr>
        <w:trPr>
          <w:trHeight w:val="750"/>
        </w:trPr>
        <w:tc>
          <w:tcPr>
            <w:tcW w:w="760" w:type="dxa"/>
            <w:vAlign w:val="bottom"/>
            <w:tcBorders>
              <w:top w:val="single" w:sz="8" w:color="0000EE"/>
            </w:tcBorders>
          </w:tcPr>
          <w:p>
            <w:pPr>
              <w:spacing w:after="0"/>
              <w:rPr>
                <w:sz w:val="24"/>
                <w:szCs w:val="24"/>
                <w:color w:val="auto"/>
              </w:rPr>
            </w:pPr>
          </w:p>
        </w:tc>
        <w:tc>
          <w:tcPr>
            <w:tcW w:w="6300" w:type="dxa"/>
            <w:vAlign w:val="bottom"/>
            <w:gridSpan w:val="18"/>
          </w:tcPr>
          <w:p>
            <w:pPr>
              <w:jc w:val="right"/>
              <w:ind w:right="1300"/>
              <w:spacing w:after="0"/>
              <w:rPr>
                <w:sz w:val="20"/>
                <w:szCs w:val="20"/>
                <w:color w:val="auto"/>
              </w:rPr>
            </w:pPr>
            <w:r>
              <w:rPr>
                <w:rFonts w:ascii="Times New Roman" w:cs="Times New Roman" w:eastAsia="Times New Roman" w:hAnsi="Times New Roman"/>
                <w:sz w:val="18"/>
                <w:szCs w:val="18"/>
                <w:color w:val="auto"/>
              </w:rPr>
              <w:t>2</w:t>
            </w: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28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9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9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9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data)</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460" w:type="dxa"/>
            <w:vAlign w:val="bottom"/>
            <w:shd w:val="clear" w:color="auto" w:fill="CCEEFF"/>
          </w:tcPr>
          <w:p>
            <w:pPr>
              <w:spacing w:after="0"/>
              <w:rPr>
                <w:sz w:val="17"/>
                <w:szCs w:val="17"/>
                <w:color w:val="auto"/>
              </w:rPr>
            </w:pPr>
          </w:p>
        </w:tc>
        <w:tc>
          <w:tcPr>
            <w:tcW w:w="7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8,587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1,708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4,090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19,360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19,490</w:t>
            </w:r>
          </w:p>
        </w:tc>
        <w:tc>
          <w:tcPr>
            <w:tcW w:w="0" w:type="dxa"/>
            <w:vAlign w:val="bottom"/>
          </w:tcPr>
          <w:p>
            <w:pPr>
              <w:spacing w:after="0"/>
              <w:rPr>
                <w:sz w:val="1"/>
                <w:szCs w:val="1"/>
                <w:color w:val="auto"/>
              </w:rPr>
            </w:pPr>
          </w:p>
        </w:tc>
      </w:tr>
      <w:tr>
        <w:trPr>
          <w:trHeight w:val="223"/>
        </w:trPr>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40,003</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owned,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83,015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held under capital leases, net</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receivables, net of current portion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248,674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trademarks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61,888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10,982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w w:val="98"/>
              </w:rPr>
              <w:t>Other assets</w:t>
            </w:r>
          </w:p>
        </w:tc>
        <w:tc>
          <w:tcPr>
            <w:tcW w:w="4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1,803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6"/>
              </w:rPr>
              <w:t>Total assets</w:t>
            </w:r>
          </w:p>
        </w:tc>
        <w:tc>
          <w:tcPr>
            <w:tcW w:w="46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447,463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455,306</w:t>
            </w:r>
          </w:p>
        </w:tc>
        <w:tc>
          <w:tcPr>
            <w:tcW w:w="0" w:type="dxa"/>
            <w:vAlign w:val="bottom"/>
          </w:tcPr>
          <w:p>
            <w:pPr>
              <w:spacing w:after="0"/>
              <w:rPr>
                <w:sz w:val="1"/>
                <w:szCs w:val="1"/>
                <w:color w:val="auto"/>
              </w:rPr>
            </w:pPr>
          </w:p>
        </w:tc>
      </w:tr>
      <w:tr>
        <w:trPr>
          <w:trHeight w:val="20"/>
        </w:trPr>
        <w:tc>
          <w:tcPr>
            <w:tcW w:w="92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obligations under capital leases</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5,038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salaries and vacation</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7,838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3,982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13,054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30,923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Revolver loan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under capital leases, net of current portion</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liabilities,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1,455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46,833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229,803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244,906</w:t>
            </w:r>
          </w:p>
        </w:tc>
        <w:tc>
          <w:tcPr>
            <w:tcW w:w="0" w:type="dxa"/>
            <w:vAlign w:val="bottom"/>
          </w:tcPr>
          <w:p>
            <w:pPr>
              <w:spacing w:after="0"/>
              <w:rPr>
                <w:sz w:val="1"/>
                <w:szCs w:val="1"/>
                <w:color w:val="auto"/>
              </w:rPr>
            </w:pPr>
          </w:p>
        </w:tc>
      </w:tr>
      <w:tr>
        <w:trPr>
          <w:trHeight w:val="223"/>
        </w:trPr>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Commitments, contingencies and subsequent events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none outstanding</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$0.01 par value—200,000,000 shares authorized; 37,438,686 and 37,420,450 shares issued and outstanding</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359,934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(142,648)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(149,439)</w:t>
            </w:r>
          </w:p>
        </w:tc>
        <w:tc>
          <w:tcPr>
            <w:tcW w:w="0" w:type="dxa"/>
            <w:vAlign w:val="bottom"/>
          </w:tcPr>
          <w:p>
            <w:pPr>
              <w:spacing w:after="0"/>
              <w:rPr>
                <w:sz w:val="1"/>
                <w:szCs w:val="1"/>
                <w:color w:val="auto"/>
              </w:rPr>
            </w:pPr>
          </w:p>
        </w:tc>
      </w:tr>
      <w:tr>
        <w:trPr>
          <w:trHeight w:val="230"/>
        </w:trPr>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217,660</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447,463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455,306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April 1,</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4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84,733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9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90,426</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Food and paper cost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27,123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21,582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 restaurant expenses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expenses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and close-store reserves</w:t>
            </w: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77,459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69,917</w:t>
            </w: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11,505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6,791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0.17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income per share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8"/>
              </w:rPr>
              <w:t>37,424,745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28,712,622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8"/>
              </w:rPr>
              <w:t>38,921,884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30,157,316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1, 2015</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26,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34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Interest accretion</w:t>
            </w: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Close-store reserve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favorable and unfavorable leases, net</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(2,260)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salaries and vacation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insurance</w:t>
            </w: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(2,379)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(2,379)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senior secured loan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Payments on revolver</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expenses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Payment of obligations under capital leases</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(14,846)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 and cash equivalents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beginning of period</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17,015</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end of period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1, 2015</w:t>
            </w: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26,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510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income taxes, net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Unpaid purchases of property and equipment</w:t>
            </w: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70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stock option exercise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33" w:lineRule="exact"/>
        <w:rPr>
          <w:sz w:val="20"/>
          <w:szCs w:val="20"/>
          <w:color w:val="auto"/>
        </w:rPr>
      </w:pPr>
    </w:p>
    <w:p>
      <w:pPr>
        <w:ind w:right="3780" w:firstLine="8"/>
        <w:spacing w:after="0" w:line="378"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Overview</w:t>
      </w:r>
    </w:p>
    <w:p>
      <w:pPr>
        <w:ind w:right="140"/>
        <w:spacing w:after="0" w:line="261" w:lineRule="auto"/>
        <w:rPr>
          <w:sz w:val="20"/>
          <w:szCs w:val="20"/>
          <w:color w:val="auto"/>
        </w:rPr>
      </w:pPr>
      <w:r>
        <w:rPr>
          <w:rFonts w:ascii="Times New Roman" w:cs="Times New Roman" w:eastAsia="Times New Roman" w:hAnsi="Times New Roman"/>
          <w:sz w:val="18"/>
          <w:szCs w:val="18"/>
          <w:color w:val="auto"/>
        </w:rPr>
        <w:t>El Pollo Loco Holdings, Inc. (“Holdings”) is a Delaware corporation headquartered in Costa Mesa, California. Holdings and its direct and indirect subsidiaries are collectively known as “we,” “us” or the “Company.” Our activities are conducted principally through our indirect wholly-owned subsidiary, El Pollo Loco, Inc. (“EPL”), which develops, franchises, licenses, and operates quick-service restaurants under the name El Pollo Loco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operates under one operating segment. At April 1, 2015, we operated 173 and franchised 243 El Pollo Loco restaurants.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In the opinion of management, the accompanying unaudited condensed consolidated financial statements reflect all adjustments consisting of normal recurring adjustments necessary for a fair presentation of its financial position and results of operations and cash flows for the periods presented. Interim results of operations are not necessarily indicative of the results that may be achieved for the full year. The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31, 2014.</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2014, which was a 53-week year, ended on December 31, 2014. Fiscal 2015, which is a 52-week year, will end on December 30, 2015. Because fiscal 2014 is a 53-week year, both revenues and expenses, and other financial and operational figures, may be on an elevated scale compared with 52-week periods both before and after.</w:t>
      </w:r>
    </w:p>
    <w:p>
      <w:pPr>
        <w:spacing w:after="0" w:line="1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April 22, 2014, Chicken Acquisition Corp. (“CAC”), which was a predecessor of Holdings, as well as its wholly owned subsidiary, Chicken Subsidiary Corp (“CSC”) and CSC’s wholly owned subsidiary, the former El Pollo Loco Holdings, Inc. (“Old Holdings”) entered into the following reorganization transactions: (i) Old Holdings merged with and into CSC with CSC continuing as the surviving corporation; (ii) CSC merged with and into CAC with CAC continuing as the surviving corporation and (iii) CAC renamed itself El Pollo Loco Holdings, Inc.</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Holdings has no material assets or operations. Holdings and Holdings’ direct subsidiary, EPL Intermediate, Inc. (“Intermediate”), guarantee EPL’s 2014 Revolver (see Note 4)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14, 2014, we amended our certificate of incorporation to increase our authorized share count to 200,000,000 shares of common stock, par value $0.01 per share, and split our stock 8.56381:1. On July 24, 2014, we amended and restated our certificate of incorporation to, among other things, increase our authorized share count to 300,000,000 shares of stock, including 200,000,000 shares of common stock and 100,000,000 shares of preferred stock, each par value $0.01 per share. On July 30, 2014, we completed our initial public offering of 8,214,286 shares of common stock at a price to the public 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$15.00 per share (the “IPO”), including 1,071,429 shares sold to the underwriters pursuant to their option to purchase additional shares. After underwriting discounts, commissions, and fees and expenses of IPO offering and distribution, as set forth in our registration statement for the IPO on Form S-1, we received net IPO proceeds of approximately $112.3 million. We used these proceeds primarily to repay in whole a $100 million second lien term loan (the “Second Lien Term Loan”). All share and per-share data herein have been adjusted to reflect the 8.56381 for 1 common stock split effected on July 14, 2014 as though it had occurred prior to the earliest data presented.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termination liabilities, stock-based compensation, income tax receivable agreement liability, and income tax valuation allowances.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highly-liquid instruments with a maturity of three months or less at the date of purchase to be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restricted cash represents cash collateral to one commercial bank for Company credit cards.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Certain comparative prior year amounts in the condensed consolidated financial statements and accompanying notes have been reclassified to conform to the current year presentation. These reclassifications have no effect on previously-reported working capital, net income, earnings per share, stockholder’s equity,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principal liquidity requirements are to service our debt and to meet capital expenditure needs. At April 1, 2015, the Company’s total debt (including capital lease liabilities) was $150.8 million. The Company’s ability to make payments on its indebtedness and to fund planned capital expenditures depends on available cash and on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$8.6 million at April 1, 2015, and available borrowings under the 2014 Revolver (which availability was approximately $43.0 million at April 1, 2015) will be adequate to meet the Company’s liquidity needs for the next 12 months.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April 2015, the FASB issued ASU No. 2015-03, Simplifying the Presentation of Debt Issuance Costs. To simplify presentation of debt issuance costs, the standard requires that debt issuance costs be presented in the balance sheet as a direct deduction from the carrying amount of debt liability, consistent with debt discounts or premiums. The recognition and measurement guidance for debt issuance costs would not be affected by the amendments in this Update. ASU 2015-03 applies to all entities and is effective for annual reporting periods beginning after December 15, 2015, with early adoption permitted. The standard is to be applied retrospectively. The Company does not expect that the adoption of this standard will have a material effect on its consolidated financial statements.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455" w:right="2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that have occurred after April 1, 2015, and determined that there were no other events or transactions occurring during this reporting period that require recognition or disclosure in the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had two suppliers for which amounts due at April 1, 2015 totaled 7% and 6% of the Company’s accounts payable. As of December 31, 2014, the Company had two different suppliers for which amounts totaled 6% and 5% of the Company’s accounts payable. Purchases from the Company’s two largest suppliers totaled 36% and 4% at April 1, 2015 and 36% and 3% at March 26, 2014 of the Company’s purchases. Company-operated and franchised restaurants in the greater Los Angeles area generated, in the aggregate, approximately 68% and 70% of total revenue for the thirteen weeks ended April 1, 2015, and March 26, 2014, respectively.</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2014. For information regarding concentration of risk, see Item 1A “Risk Factors” in our annual report on Form 10-K for the year ended December 31, 2014</w:t>
      </w:r>
      <w:r>
        <w:rPr>
          <w:rFonts w:ascii="Times New Roman" w:cs="Times New Roman" w:eastAsia="Times New Roman" w:hAnsi="Times New Roman"/>
          <w:sz w:val="18"/>
          <w:szCs w:val="18"/>
          <w:b w:val="1"/>
          <w:bCs w:val="1"/>
          <w:i w:val="1"/>
          <w:iCs w:val="1"/>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 Lived Intangible Assets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indefinite lived intangible assets consist of trademarks. Goodwill represents the excess of cost over fair value of net identified assets acquired in business combinations accounted for under the purchase method. The Company does not amortize its goodwill and indefinite lived intangible assets. Goodwill resulted from the acquisition of certain franchise locations.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Upon the sale of a restaurant, we decrement goodwill. The amount of goodwill included in the cost basis of the asset sold is determined based on the relative fair value of the portion of the reporting unit disposed compared to the fair value of the reporting unit retained.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performs annual impairment tests for goodwill during the fourth fiscal quarter of each year, or more frequently if impairment indicators arise.</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reviews goodwill for impairment utilizing either a qualitative assessment or a two-step process. If the Company decides that it is appropriate to perform a qualitative assessment and conclude that the fair value of a reporting unit more likely than not exceeds its carrying value, no further evaluation is necessary. If the Company performs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performs annual impairment tests for indefinite 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assumptions used in the estimate of fair value are generally consistent with the past performance of the Company’s reporting unit and are also consistent with the projections and assumptions that are used in current operating plans. These assumptions are subject to change as a result of changing economic and competitive conditions.</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did not identify any indicators of potential impairment during the thirteen weeks ended April 1, 2015, and therefore did not perform any impairment review, nor did the Company record any impairment.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our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 to be realized.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matters in income tax expense. The Company had no accrual for interest or penalties at April 1, 2015, or at December 31, 2014, and did not recognize interest or penalties during the thirteen weeks ended April 1, 2015, or March 26, 2014, since there were no material unrecognized tax benefits. Management believes no material changes to the amount of unrecognized tax benefits will occur within the next twelve months.</w:t>
      </w:r>
    </w:p>
    <w:p>
      <w:pPr>
        <w:spacing w:after="0" w:line="180" w:lineRule="exact"/>
        <w:rPr>
          <w:sz w:val="20"/>
          <w:szCs w:val="20"/>
          <w:color w:val="auto"/>
        </w:rPr>
      </w:pPr>
    </w:p>
    <w:p>
      <w:pPr>
        <w:ind w:right="820"/>
        <w:spacing w:after="0" w:line="266" w:lineRule="auto"/>
        <w:rPr>
          <w:sz w:val="20"/>
          <w:szCs w:val="20"/>
          <w:color w:val="auto"/>
        </w:rPr>
      </w:pPr>
      <w:r>
        <w:rPr>
          <w:rFonts w:ascii="Times New Roman" w:cs="Times New Roman" w:eastAsia="Times New Roman" w:hAnsi="Times New Roman"/>
          <w:sz w:val="18"/>
          <w:szCs w:val="18"/>
          <w:color w:val="auto"/>
        </w:rPr>
        <w:t>On July 30, 2014, the Company entered into Income Tax Receivable Agreement (the TRA). The TRA calls for the Company to pay to its pre-IPO stockholders 85% of the savings in cash that the Company realizes in its taxes as a result of utilizing its net operating losses and other tax attributes attributable to preceding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and related accumulated depreciation and amortization of major classes of property are as follows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6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5"/>
                <w:szCs w:val="15"/>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2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92,834</w:t>
            </w:r>
          </w:p>
        </w:tc>
        <w:tc>
          <w:tcPr>
            <w:tcW w:w="1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49,890</w:t>
            </w:r>
          </w:p>
        </w:tc>
        <w:tc>
          <w:tcPr>
            <w:tcW w:w="120" w:type="dxa"/>
            <w:vAlign w:val="bottom"/>
            <w:shd w:val="clear" w:color="auto" w:fill="CCEEFF"/>
          </w:tcPr>
          <w:p>
            <w:pPr>
              <w:spacing w:after="0"/>
              <w:rPr>
                <w:sz w:val="18"/>
                <w:szCs w:val="18"/>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tcPr>
          <w:p>
            <w:pPr>
              <w:spacing w:after="0"/>
              <w:rPr>
                <w:sz w:val="19"/>
                <w:szCs w:val="19"/>
                <w:color w:val="auto"/>
              </w:rPr>
            </w:pPr>
          </w:p>
        </w:tc>
      </w:tr>
      <w:tr>
        <w:trPr>
          <w:trHeight w:val="216"/>
        </w:trPr>
        <w:tc>
          <w:tcPr>
            <w:tcW w:w="49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160,480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157,400</w:t>
            </w:r>
          </w:p>
        </w:tc>
        <w:tc>
          <w:tcPr>
            <w:tcW w:w="12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(77,465)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(75,310)</w:t>
            </w: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83,015</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82,090</w:t>
            </w:r>
          </w:p>
        </w:tc>
        <w:tc>
          <w:tcPr>
            <w:tcW w:w="120" w:type="dxa"/>
            <w:vAlign w:val="bottom"/>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Depreciation expense was $3.1 million and $2.6 million for the thirteen weeks ended April 1, 2015, and March 26, 2014, respectively. The gross value of assets under capital leases for buildings and improvements was $1,596,400 and $1,800,800 at April 1, 2015 and December 31, 2014, respectively. Accumulated depreciation for assets under capital leases was $1,478,000 and $1,673,000 for the periods ended April 1, 2015 and December 31, 2014, respectively. For the thirteen weeks ended April 1, 2015, capital expenditures related primarily to restaurant remodeling and new restaurant expenditures, which totaled $1.2 million and $0.6 million, respectively. For the thirteen weeks ended March 24, 2014, capital expenditures related primarily to restaurant remodeling and new restaurant expenditures, which totaled $2.0 million and $0.8 million, respectively.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STOCK-BASED COMPENSATION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April 1, 2015, options to purchase 3,050,456 shares of common stock were outstanding, including 2,048,007 vested and 1,002,449 unvested. Unvested options vest over time, or upon our achieving annual financial goals. However, upon a change in control, the board may accelerate vesting. At April 1, 2015, 1,924,891 premium options remained outstanding. For the thirteen ended April 1, 2015, there were exercises of stock options for 19,720 shares.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April 1, 2015 there were 6,666 restricted shares outstanding. Restricted shares vest over time.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April 1, 2015, we had total unrecognized compensation expense of $1.4 million, related to unvested stock options and restricted shares, which we expect to recognize over a weighted-average period of 2.5 years.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was $296,600 for the thirteen weeks ended April 1, 2015, and was $168,900 for the thirteen weeks ended March 26,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CREDIT AGREEMENTS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 million five-year senior secured revolving facility (the “2014 Revolver”). The 2014 Revolver includes a sub limit of $15 million for letters of credit and a sub limit of $15 million for swingline loans. At April 1, 2015, $7.0 million of letters of credit were outstanding and $43.0 million was available to borrow under the revolving line of credit. The 2014 Revolver will mature on or about December 11, 2019.</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is initially set at 2.00% for LIBOR loans and at 1.00% for base rate loans until the delivery of financial statements and a compliance certificate for the first quarter of 2015. The interest rate range was 2.17% to 2.62% for the period ended April 1, 2015.</w:t>
      </w:r>
    </w:p>
    <w:p>
      <w:pPr>
        <w:spacing w:after="0" w:line="18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April 1, 2015. See Note 1 for restrictions on the payment of dividends under the 2014 Revolver.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Costs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Transaction costs of $1.5 million were incurred in connection with the December 11, 2014 refinancing and were capitalized and are included in other assets in the accompanying condensed consolidated balance sheets and the related amortization is reflected as a component of interest expense, net, in the accompanying condensed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required principal payments prior to maturity for the 2014 Revolver.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5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property taxes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 agreement payable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 liability</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13,054</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NONCURRENT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5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TRA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37,464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37,213</w:t>
            </w: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46,833</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46,147</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right="776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right="160"/>
        <w:spacing w:after="0" w:line="255" w:lineRule="auto"/>
        <w:rPr>
          <w:sz w:val="20"/>
          <w:szCs w:val="20"/>
          <w:color w:val="auto"/>
        </w:rPr>
      </w:pPr>
      <w:r>
        <w:rPr>
          <w:rFonts w:ascii="Times New Roman" w:cs="Times New Roman" w:eastAsia="Times New Roman" w:hAnsi="Times New Roman"/>
          <w:sz w:val="18"/>
          <w:szCs w:val="18"/>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Company was served with the complaint on March 3, 2014. While the Company intends to vigorously defend against this action, including its class certification, the ultimate outcome of the case is presently not determinable as it is in a preliminary phase. Thus, the Company cannot at this time determine the likelihood of an adverse judgment nor a likely range of damages in the event of an adverse judgment. Any settlement of, or judgment with a negative outcome arising from, this lawsuit could have a material adverse effect.</w:t>
      </w:r>
    </w:p>
    <w:p>
      <w:pPr>
        <w:spacing w:after="0" w:line="1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the Company’s financial position, results of operations, liquidity, or capital resources. A significant increase in the number of claims, or an increase in amounts owing under successful claims, could materially and adversely affect the Company’s business, financial condition, results of operations,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Purchasing Commitments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into 2017 with an estimated Company obligation totaling $17.0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April 1, 2015, the Company’s total estimated commitment to purchase chicken was $30.2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Lease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assigning the Company’s interest in obligations under real estate leases in connection with the sale of Company-operated restaurants to some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franchisees, the Company is contingently liable on four lease agreements. These leases have various terms, the latest of which expires in 2022.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 2015, the potential amount of undiscounted payments the Company could be required to make in the event of non-payment by the primary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lessee was $1,572,000. The present value of these potential payments discounted at the Company’s estimated pre-tax cost of debt at April 1, 2015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$1,446,000. The Company’s franchisees are primarily liable on the leases. The Company has cross-default provisions with these franchisees that would put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 in default of their franchise agreements in the event of non-payment under the leases. The Company believes that these cross-default provisions reduce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 that payments will be required to be made under these leases. Accordingly, no liability has been recorded in the Company’s consolidated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related to these contingent liabilities.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four of the officers of the Company on an at will basis. These agreements provide for minimum salary levels, possible annual adjustments for cost-of-living changes, and incentive bonuses that are payable under certain business conditions.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current directors and executive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executive officers.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INCOME PER SHARE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using the weighted-average number of shares of common stock outstanding during the thirteen weeks ended April 1, 2015, and March 26, 2014. Diluted net income per share is calculated using the weighted-average number of shares of common stock outstanding and potentially dilutive during the period, using the treasury stock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net income per share data for the periods indicated, which are in thousands except for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April 1,</w:t>
            </w:r>
          </w:p>
        </w:tc>
        <w:tc>
          <w:tcPr>
            <w:tcW w:w="3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53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4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37,424,745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28,712,622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38,921,884</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30,157,316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Net income per share—basic</w:t>
            </w:r>
          </w:p>
        </w:tc>
        <w:tc>
          <w:tcPr>
            <w:tcW w:w="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Anti-dilutive securities not considered in diluted EPS calculation</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is a reconciliation of basic and diluted share counts.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April 1,</w:t>
            </w:r>
          </w:p>
        </w:tc>
        <w:tc>
          <w:tcPr>
            <w:tcW w:w="3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37,424,745</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28,712,622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options and restricted shares</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1,497,139</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38,921,884</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30,157,316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2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Trimaran Capital, L.L.C. (“Trimaran”) and Freeman Spogli &amp; Co. (“Freeman Spogli”) indirectly beneficially own shares sufficient for majority control over all matters requiring stockholder votes, including: the election of directors; mergers, consolidations and acquisitions; the sale of all or substantially all of the Company’s assets and other decisions affecting the Company’s capital structure; amendments to the Company’s certificate of incorporation or by-laws; and the Company’s winding up and dissolution. Furthermore, pursuant to the limited liability company operating agreement of Trimaran Pollo Partners, L.L.C.</w:t>
      </w:r>
    </w:p>
    <w:p>
      <w:pPr>
        <w:spacing w:after="0" w:line="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(“LLC”), the majority stockholder, investment funds managed by Trimaran and Freeman Spogli have the right to instruct LLC to appoint certain members of the board of directors of the Company, subject to certain conditions. Specifically, provided LLC owns a majority of the Company’s common stock, Freeman Spogli will be able to appoint one member of the board of directors for so long as it holds 5% of the outstanding membership interests of LLC, and Trimaran will be able to appoint the remaining members of the board of directors.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18, 2005, the Company entered into a Monitoring and Management Services Agreement (the “Agreement”) with Trimaran Fund Management, L.L.C. (“Fund Management”), an affiliate of the majority owner of the Company and of certain directors, which provided for annual fees of $500,000 and reasonable expenses. This Agreement was amended on December 26, 2007 to add an affiliate of Freeman Spogli, Freeman Spogli &amp; Co. V, L.P., as a party sharing in the fees payable under the Agreement. During the thirteen weeks ended March 26, 2014, $158,000 was paid pursuant to this Agreement. This amount was included in general and administrative expenses in the accompanying condensed consolidated statements of operations. The Agreement terminated as of the Company’s initial public offering.</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40"/>
          </w:cols>
          <w:pgMar w:left="240" w:top="455" w:right="3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Item 1 above and with the financial statements contained in our annual report on Form 10-K for the year ended December 31, 2014. This discussion and analysis contains forward-looking statements that involve risks, uncertainties and assumptions. Outcomes may differ materially from our expectations. For more information, we direct you to the sections “Risk Factors” and “Forward-Looking Statements” in our annual report. We make no guarantees regarding outcomes, and assume no obligations to update the forward-looking statements herein, except pursuant to law.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El Pollo Loco is a differentiated and growing restaurant concept that specializes in fire-grilling citrus-marinated chicken in front of our customers, operating in the limited service restaurant (“LSR”) segment. We believe that we offer the quality of food and dining experience typical of fast casual restaurants while providing the speed, convenience, and value typical of traditional quick service restaurants (“QSRs”), a combination that we call “QSR+” and that provides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engaging team members in a colorful, bright, and contemporary restaurant environment. We serve individual and family-sized chicken meals, a variety of Mexican-inspired entrees, sides, and, throughout the year, on a limited-time basis, alternative proteins like shrimp, carnitas, and beef. Our entrees include favorites such as our Poblano Avocado Burrito, Under 500 Calorie Mango Grilled Tostada, Ultimate Pollo Bowl, Baja Shrimp Tacos, and Chicken, Bacon &amp; Guacamole Stuffed Quesadilla. Our freshly-prepared salsas and dressings are prepared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continue to expand our business, drive restaurant sales growth, and enhance our competitive positioning, by executing on the following strategies:</w:t>
      </w:r>
    </w:p>
    <w:p>
      <w:pPr>
        <w:spacing w:after="0" w:line="131" w:lineRule="exact"/>
        <w:rPr>
          <w:sz w:val="20"/>
          <w:szCs w:val="20"/>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restaurant base;</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comparable restaurant sales; and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operations and leverage our infrastructure.</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April 1, 2015, we had 416 locations in five states. In fiscal 2014, we opened eleven new company-operated and five new franchised restaurants across Arizona, California, Nevada, and Texas. For the quarter ended April 1, 2015, we opened one new company-operated restaurant in Texas. For the remainder of 2015, we intend to open sixteen new company-operated and eleven new franchised restaurants in Arizona, California, Nevada, and Texas. Over the long term, we plan to grow the number of El Pollo Loco restaurants by 8% to 10% annually. To increase comparable restaurant sales, we plan to increase customer frequency, attract new customers, and improve per-person spend. We believe that we are well-positioned for future growth, with a developed corporate infrastructure capable of supporting a future restaurant base that is greater than our existing one. Additionally, we believe that we have an opportunity to optimize costs and enhance our profitability as we benefit from economies of scale. These growth rates are not guaranteed.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and Trends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System-wide, for the quarter ended April 1, 2015, comparable restaurant sales increased 5.1%. For company-operated restaurants, comparable restaurant sales increased 3.5%. For franchised restaurants, comparable restaurant sales increased 6.2%. For company-operated restaurants, the quarter’s 3.5% increase was due to a 3.4% increase in average check size, and a 0.1% increase in traffic.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restaurant counts at the end of each of the last three fiscal years and the thirteen weeks ended April 1, 2015, are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Thirteen</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Weeks</w:t>
            </w:r>
          </w:p>
        </w:tc>
        <w:tc>
          <w:tcPr>
            <w:tcW w:w="320" w:type="dxa"/>
            <w:vAlign w:val="bottom"/>
          </w:tcPr>
          <w:p>
            <w:pPr>
              <w:spacing w:after="0"/>
              <w:rPr>
                <w:sz w:val="12"/>
                <w:szCs w:val="12"/>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80" w:type="dxa"/>
            <w:vAlign w:val="bottom"/>
          </w:tcPr>
          <w:p>
            <w:pPr>
              <w:spacing w:after="0"/>
              <w:rPr>
                <w:sz w:val="10"/>
                <w:szCs w:val="10"/>
                <w:color w:val="auto"/>
              </w:rPr>
            </w:pPr>
          </w:p>
        </w:tc>
        <w:tc>
          <w:tcPr>
            <w:tcW w:w="5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April 1,</w:t>
            </w:r>
          </w:p>
        </w:tc>
        <w:tc>
          <w:tcPr>
            <w:tcW w:w="400" w:type="dxa"/>
            <w:vAlign w:val="bottom"/>
          </w:tcPr>
          <w:p>
            <w:pPr>
              <w:spacing w:after="0"/>
              <w:rPr>
                <w:sz w:val="10"/>
                <w:szCs w:val="10"/>
                <w:color w:val="auto"/>
              </w:rPr>
            </w:pP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4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Company-operated restaurant activity:</w:t>
            </w: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172</w:t>
            </w:r>
          </w:p>
        </w:tc>
        <w:tc>
          <w:tcPr>
            <w:tcW w:w="7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168</w:t>
            </w: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Openings</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Closures</w:t>
            </w: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5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6"/>
              </w:rPr>
              <w:t>173</w:t>
            </w:r>
          </w:p>
        </w:tc>
        <w:tc>
          <w:tcPr>
            <w:tcW w:w="4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Franchised restaurant activity:</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243</w:t>
            </w:r>
          </w:p>
        </w:tc>
        <w:tc>
          <w:tcPr>
            <w:tcW w:w="7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233</w:t>
            </w: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Openings</w:t>
            </w: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Closures</w:t>
            </w: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5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6"/>
              </w:rPr>
              <w:t>243</w:t>
            </w:r>
          </w:p>
        </w:tc>
        <w:tc>
          <w:tcPr>
            <w:tcW w:w="4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System-wide restaurant activity:</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415</w:t>
            </w:r>
          </w:p>
        </w:tc>
        <w:tc>
          <w:tcPr>
            <w:tcW w:w="7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401</w:t>
            </w: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Openings</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Closures</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416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Remodeling</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and our franchisees commenced our remodeling program in 2011 and, as of April 1, 2015, together we had remodeled 92 company-operated and 135 franchised restaurants, or 227 system-wide, over 50% of our restaurant system. Remodeling is a use of cash and has implications for our net property and depreciation line items on our condensed consolidated balance sheets and statements of operations, among others. The cost of our restaurant remodels varies depending on the scope of work required, but on average the investment is $270,000 per restaurant. We believe that our remodeling program will result in higher restaurant revenue and a strengthened brand.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Refinancing</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2014, we refinanced a $15 million first lien revolving credit facility (the “2013 Revolver”) and a $190 million first lien term loan facility (the “2013 First Lien Term Loan”) by entering into the 2014 Revolver (the “2014 Refinancing”). The 2014 Revolver carries a longer maturity and a lower interest rate than the indebtedness that it replaced. Following the completion of the 2014 Refinancing, our interest expense declined by approximately $6 million on an annualized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31, 2014 &amp; Note 2, “Summary of Significant Accounting Policies,” to Item 8, “Financial Statements and Supplementary Data,” in our annual report. For a summary of our significant accounting policies and a discussion of our use of estimates, see also Note 1 to Item 1 above.</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455" w:right="2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uses of estimates since our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April 2015, the FASB issued ASU No. 2015-03, Simplifying the Presentation of Debt Issuance Costs. To simplify presentation of debt issuance costs, the standard requires that debt issuance costs be presented in the balance sheet as a direct deduction from the carrying amount of debt liability, consistent with debt discounts or premiums. The recognition and measurement guidance for debt issuance costs would not be affected by the amendments in this Update. ASU 2015-03 applies to all entities and is effective for annual reporting periods beginning after December 15, 2015, with early adoption permitted. The standard is to be applied retrospectively. The Company does not expect that the adoption of this standard will have a material effect on its consolidated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8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will cease to be an EGC following the earliest of (i) five years after our IPO, (ii) $1.0 billion in annual revenue, (iii) $700.0 million in common stock market capitalization held by non-affiliates, or (iv) $1.0 billion in non-convertible debt security issuance on a three-year rolling basis. Please refer to our annual report on form 10-K,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Costs and Other Operating Expenses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Expenses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Franchise expenses are primarily comprised of rent expenses incurred on properties leased by us and then sublet to franchisees, and expenses incurred in support of franchisee information technology systems.</w:t>
      </w:r>
    </w:p>
    <w:p>
      <w:pPr>
        <w:sectPr>
          <w:pgSz w:w="11900" w:h="16838" w:orient="portrait"/>
          <w:cols w:equalWidth="0" w:num="1">
            <w:col w:w="11320"/>
          </w:cols>
          <w:pgMar w:left="240" w:top="455" w:right="339" w:bottom="1440" w:gutter="0" w:footer="0" w:header="0"/>
        </w:sectPr>
      </w:pP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20"/>
          </w:cols>
          <w:pgMar w:left="240" w:top="455" w:right="3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primarily consist of the depreciation of fixed assets, including leasehold improvements and equipment.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and Close-Store Reserves</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review long-lived assets such as property, equipment, and intangibles on a unit-by-unit basis for impairment when events or circumstances indicate a carrying value of the assets that may not be recoverable, and record an impairment charge when appropriate. Closure costs include non-cash restaurant charges such as up-front expensing of unpaid rent remaining on the life of a lease.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consists primarily of interest on our outstanding debt. Debt issuance costs are amortized at cost over the life of the related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consists of federal and state taxes on our income.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that period, the number of open restaurants, and comparable restaurant sales.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 restaurant revenue and comparable restaurant sales may fluctuate.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At April 1, 2015 and March 26, 2014, there were 396 and 392 such restaurants, 159 and 164 company-operated and 237 and 228 franchised, respectively. Comparable restaurant sales indicate the performance of existing restaurants, since new restaurants are excluded.</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Average Unit Volumes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Contribution and Restaurant Contribution Margin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restaurant contribution and restaurant contribution margin to company-operated restaurant revenue is provided below:</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April 1, 2015</w:t>
            </w:r>
          </w:p>
        </w:tc>
        <w:tc>
          <w:tcPr>
            <w:tcW w:w="13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26, 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84,733</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1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65,841</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16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Restaurant contribution margin (%)</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Restaurant Openings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eight to twelve weeks. When we enter new markets, we may be exposed to start-up times and restaurant contribution margins that are longer and lower than reflected in our average historical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reconciliations of EBITDA and Adjusted EBITDA to our net income:</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1, 2015</w:t>
            </w:r>
          </w:p>
        </w:tc>
        <w:tc>
          <w:tcPr>
            <w:tcW w:w="1660" w:type="dxa"/>
            <w:vAlign w:val="bottom"/>
            <w:gridSpan w:val="3"/>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March 26,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1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6,791</w:t>
            </w:r>
          </w:p>
        </w:tc>
        <w:tc>
          <w:tcPr>
            <w:tcW w:w="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7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15,862</w:t>
            </w:r>
          </w:p>
        </w:tc>
        <w:tc>
          <w:tcPr>
            <w:tcW w:w="70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15"/>
                <w:szCs w:val="15"/>
                <w:color w:val="auto"/>
              </w:rPr>
              <w:t>(a)</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fees</w:t>
            </w:r>
            <w:r>
              <w:rPr>
                <w:rFonts w:ascii="Times New Roman" w:cs="Times New Roman" w:eastAsia="Times New Roman" w:hAnsi="Times New Roman"/>
                <w:sz w:val="15"/>
                <w:szCs w:val="15"/>
                <w:color w:val="auto"/>
              </w:rPr>
              <w:t>(b)</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r>
              <w:rPr>
                <w:rFonts w:ascii="Times New Roman" w:cs="Times New Roman" w:eastAsia="Times New Roman" w:hAnsi="Times New Roman"/>
                <w:sz w:val="15"/>
                <w:szCs w:val="15"/>
                <w:color w:val="auto"/>
              </w:rPr>
              <w:t>(c)</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and closures</w:t>
            </w:r>
            <w:r>
              <w:rPr>
                <w:rFonts w:ascii="Times New Roman" w:cs="Times New Roman" w:eastAsia="Times New Roman" w:hAnsi="Times New Roman"/>
                <w:sz w:val="15"/>
                <w:szCs w:val="15"/>
                <w:color w:val="auto"/>
              </w:rPr>
              <w:t>(d)</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 agreement expense</w:t>
            </w:r>
            <w:r>
              <w:rPr>
                <w:rFonts w:ascii="Times New Roman" w:cs="Times New Roman" w:eastAsia="Times New Roman" w:hAnsi="Times New Roman"/>
                <w:sz w:val="15"/>
                <w:szCs w:val="15"/>
                <w:color w:val="auto"/>
              </w:rPr>
              <w:t>(e)</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Pre-opening costs</w:t>
            </w:r>
            <w:r>
              <w:rPr>
                <w:rFonts w:ascii="Times New Roman" w:cs="Times New Roman" w:eastAsia="Times New Roman" w:hAnsi="Times New Roman"/>
                <w:sz w:val="15"/>
                <w:szCs w:val="15"/>
                <w:color w:val="auto"/>
              </w:rPr>
              <w:t>(f)</w:t>
            </w:r>
          </w:p>
        </w:tc>
        <w:tc>
          <w:tcPr>
            <w:tcW w:w="1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7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8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16,597</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stock-based compensation.</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fees and other out-of-pocket costs paid to affiliates of Trimaran and Freeman Spogli up through our IPO.</w:t>
      </w:r>
    </w:p>
    <w:p>
      <w:pPr>
        <w:spacing w:after="0" w:line="9" w:lineRule="exact"/>
        <w:rPr>
          <w:rFonts w:ascii="Times New Roman" w:cs="Times New Roman" w:eastAsia="Times New Roman" w:hAnsi="Times New Roman"/>
          <w:sz w:val="18"/>
          <w:szCs w:val="18"/>
          <w:color w:val="auto"/>
        </w:rPr>
      </w:pPr>
    </w:p>
    <w:p>
      <w:pPr>
        <w:ind w:left="460" w:right="460" w:hanging="452"/>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impairment of long-lived assets and closing restaurants.</w:t>
      </w:r>
    </w:p>
    <w:p>
      <w:pPr>
        <w:spacing w:after="0" w:line="9" w:lineRule="exact"/>
        <w:rPr>
          <w:rFonts w:ascii="Times New Roman" w:cs="Times New Roman" w:eastAsia="Times New Roman" w:hAnsi="Times New Roman"/>
          <w:sz w:val="18"/>
          <w:szCs w:val="18"/>
          <w:color w:val="auto"/>
        </w:rPr>
      </w:pPr>
    </w:p>
    <w:p>
      <w:pPr>
        <w:ind w:left="460" w:hanging="452"/>
        <w:spacing w:after="0" w:line="25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quarter ended April 1, 2015, income tax receivable agreement expense consisted of the amortization of interest expense related to our total expected TRA payments.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Thirteen Weeks Ended April 1, 2015, and March 26, 2014</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operating results for the thirteen weeks ended April 1, 2015, and March 26, 2014, in absolute terms, and expressed as percentages of total revenue, with the exception of cost of operations and company restaurant expenses, which are expressed as a percentage of company-operated restaurant revenue, are compared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3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April 1, 2015</w:t>
            </w:r>
          </w:p>
        </w:tc>
        <w:tc>
          <w:tcPr>
            <w:tcW w:w="120" w:type="dxa"/>
            <w:vAlign w:val="bottom"/>
          </w:tcPr>
          <w:p>
            <w:pPr>
              <w:spacing w:after="0"/>
              <w:rPr>
                <w:sz w:val="10"/>
                <w:szCs w:val="10"/>
                <w:color w:val="auto"/>
              </w:rPr>
            </w:pPr>
          </w:p>
        </w:tc>
        <w:tc>
          <w:tcPr>
            <w:tcW w:w="14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March 26, 2014</w:t>
            </w:r>
          </w:p>
        </w:tc>
        <w:tc>
          <w:tcPr>
            <w:tcW w:w="1380" w:type="dxa"/>
            <w:vAlign w:val="bottom"/>
            <w:gridSpan w:val="3"/>
          </w:tcPr>
          <w:p>
            <w:pPr>
              <w:jc w:val="right"/>
              <w:ind w:right="311"/>
              <w:spacing w:after="0" w:line="118" w:lineRule="exact"/>
              <w:rPr>
                <w:sz w:val="20"/>
                <w:szCs w:val="20"/>
                <w:color w:val="auto"/>
              </w:rPr>
            </w:pPr>
            <w:r>
              <w:rPr>
                <w:rFonts w:ascii="Times New Roman" w:cs="Times New Roman" w:eastAsia="Times New Roman" w:hAnsi="Times New Roman"/>
                <w:sz w:val="13"/>
                <w:szCs w:val="13"/>
                <w:b w:val="1"/>
                <w:bCs w:val="1"/>
                <w:color w:val="auto"/>
              </w:rPr>
              <w:t>Increase /</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3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14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7040" w:type="dxa"/>
            <w:vAlign w:val="bottom"/>
            <w:gridSpan w:val="3"/>
            <w:vMerge w:val="continue"/>
          </w:tcPr>
          <w:p>
            <w:pPr>
              <w:spacing w:after="0"/>
              <w:rPr>
                <w:sz w:val="12"/>
                <w:szCs w:val="12"/>
                <w:color w:val="auto"/>
              </w:rPr>
            </w:pPr>
          </w:p>
        </w:tc>
        <w:tc>
          <w:tcPr>
            <w:tcW w:w="60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 ,000)</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,000)</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,000)</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$84,733</w:t>
            </w:r>
          </w:p>
        </w:tc>
        <w:tc>
          <w:tcPr>
            <w:tcW w:w="1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$76,213</w:t>
            </w:r>
          </w:p>
        </w:tc>
        <w:tc>
          <w:tcPr>
            <w:tcW w:w="2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$ 8,520</w:t>
            </w:r>
          </w:p>
        </w:tc>
        <w:tc>
          <w:tcPr>
            <w:tcW w:w="2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90,426</w:t>
            </w:r>
          </w:p>
        </w:tc>
        <w:tc>
          <w:tcPr>
            <w:tcW w:w="1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81,427</w:t>
            </w: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8,999</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operations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paper costs</w:t>
            </w:r>
            <w:r>
              <w:rPr>
                <w:rFonts w:ascii="Times New Roman" w:cs="Times New Roman" w:eastAsia="Times New Roman" w:hAnsi="Times New Roman"/>
                <w:sz w:val="15"/>
                <w:szCs w:val="15"/>
                <w:color w:val="auto"/>
              </w:rPr>
              <w:t>(1)</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27,123</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24,023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 and related expenses</w:t>
            </w:r>
            <w:r>
              <w:rPr>
                <w:rFonts w:ascii="Times New Roman" w:cs="Times New Roman" w:eastAsia="Times New Roman" w:hAnsi="Times New Roman"/>
                <w:sz w:val="15"/>
                <w:szCs w:val="15"/>
                <w:color w:val="auto"/>
              </w:rPr>
              <w:t>(1)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21,582</w:t>
            </w:r>
          </w:p>
        </w:tc>
        <w:tc>
          <w:tcPr>
            <w:tcW w:w="1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19,313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and other operating expenses</w:t>
            </w:r>
            <w:r>
              <w:rPr>
                <w:rFonts w:ascii="Times New Roman" w:cs="Times New Roman" w:eastAsia="Times New Roman" w:hAnsi="Times New Roman"/>
                <w:sz w:val="15"/>
                <w:szCs w:val="15"/>
                <w:color w:val="auto"/>
              </w:rPr>
              <w:t>(1)</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17,136</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16,044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Company restaurant expenses</w:t>
            </w:r>
            <w:r>
              <w:rPr>
                <w:rFonts w:ascii="Times New Roman" w:cs="Times New Roman" w:eastAsia="Times New Roman" w:hAnsi="Times New Roman"/>
                <w:sz w:val="15"/>
                <w:szCs w:val="15"/>
                <w:b w:val="1"/>
                <w:bCs w:val="1"/>
                <w:color w:val="auto"/>
              </w:rPr>
              <w:t>(1)</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65,841</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59,380</w:t>
            </w:r>
          </w:p>
        </w:tc>
        <w:tc>
          <w:tcPr>
            <w:tcW w:w="2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77.9</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6,461</w:t>
            </w:r>
          </w:p>
        </w:tc>
        <w:tc>
          <w:tcPr>
            <w:tcW w:w="2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expenses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983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276</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and close-store reserves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77,459</w:t>
            </w:r>
          </w:p>
        </w:tc>
        <w:tc>
          <w:tcPr>
            <w:tcW w:w="1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69,917</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85.9</w:t>
            </w: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7,542</w:t>
            </w: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12,967</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14.3</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11,510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5,623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11,505</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5,887</w:t>
            </w:r>
          </w:p>
        </w:tc>
        <w:tc>
          <w:tcPr>
            <w:tcW w:w="2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5,618</w:t>
            </w:r>
          </w:p>
        </w:tc>
        <w:tc>
          <w:tcPr>
            <w:tcW w:w="2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1,030.5</w:t>
            </w: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$ 6,791</w:t>
            </w: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$ 5,470</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$ 1,321</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18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quarter, company-operated restaurant revenue increased $8.5 million, or 11.2%, from the comparable period in the prior year. Company-operated comparable restaurant sales contributed $4.2 million, an increase of 3.5%. The growth in company-operated comparable restaurant sales was due primarily to an increase in average check size of 3.4% and an increase in traffic of 0.1% year-over-year. Company-operated restaurant revenue was also favorably impacted by $5.9 million of additional sales from eleven new restaurants opened in fiscal 2014 and one new restaurant opened in the quarter ended April 1, 2015. These increases were partially offset by $1.9 million of lost sales from six units sold to a franchisee and one closed unit in fiscal 2014.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quarter, franchise revenue increased $0.5 million, or 9.2%, from the comparable period in the prior year. This increase was due to increases in franchised comparable restaurant sales of 6.2%, $0.2 million in higher franchise renewal fees and $0.1 million of additional royalties from five new franchise-operated restaurants opened in fiscal 2014. This increase was partially offset by $0.2 million in lost franchise sublease income as a result of franchisees establishing direct lease agreements with their landlords in fiscal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quarter, food and paper costs increased $3.1 million, or 12.9%, from the comparable period in the prior year, due to a $2.9 million increase in food costs and a $0.2 million increase in paper costs. These increases were due primarily to higher revenue and to higher commodity costs.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quarter, food and paper costs as a percentage of company-operated restaurant revenue were 32.0%, from 31.5% of the comparable period in the prior year. This increase was due primarily to higher commodity costs, but was partially offset by increases in average check size, due primarily to menu price increases in the third and fourth quarters of 2014 and in the first quarter of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Payroll and benefit expenses increased $2.3 million, or 11.7% for the quarter, from the comparable period in the prior year. These increases were due primarily to increased labor costs resulting from higher sales, additional labor needs arising from the opening of eleven new restaurants in fiscal 2014 and one new restaurant in the first quarter of 2015, and higher worker’s compensation and medical insurance due to higher claims activity.</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quarter, payroll and benefit expenses as a percentage of company-operated restaurant revenue were 25.5%, from 25.3% of the comparable period in the prior year. This increase was due primarily to the higher worker’s compensation and medical insurance claims activity, partially offset by increased revenue and the relatively fixed nature of management labor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and Other Operating Expenses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Occupancy and other operating expenses increased $1.1 million, or 6.8%, for the quarter, from the comparable period in the prior year. This increase was due primarily to (i) a $0.6 million increase in advertising costs, due primarily to higher sales and to additional advertising contributions in the Houston market in the first quarter of 2015, (ii) a $0.3 million increase in occupancy costs, due primarily to increased rent, as a result of new restaurants opened in fiscal 2014 and the first quarter of 2015, and (iii) a $0.2 million increase in credit card fees, due primarily to higher credit card receipts.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quarter, occupancy and other operating expenses as a percentage of company-operated restaurant revenue were 20.2%, from 21.1% of the comparable period in the prior year. This decrease was primarily due to higher total revenue and the relatively fixed nature of occupancy costs, partially offset by the higher expenses discussed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$0.9 million, or 12.9%, for the quarter, from the comparable period in the prior year. This increase was due primarily to (i) a $0.7 million increase in payroll expense, due primarily to an increase in corporate employees and to higher medical costs, due primarily to higher medical claims activity, and (ii) a $0.2 million increase in professional fees, due primarily to public company operating costs such as printing, filing, listing fees, increased audit fees, and investor relations.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quarter, general and administrative expenses as a percentage of total revenue were 8.3%, from 8.1% of the comparable period in the prior year. These increases were due primarily to the higher costs noted above, partially offset by increased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Interest expense, net, decreased $4.4 million for the quarter, from the comparable period in the prior year. This decrease was due primarily to (i) the payoff of the Second Lien Term Loan with IPO proceeds in fiscal 2014, (ii) the 2014 Refinancing, which reduced the interest rates on our debt, and (iii) $15.0 million of payments on the 2014 Revolver in the first quarter of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quarter ended April 1, 2015, we recorded income tax receivable agreement expense of $0.3 million for the amortization of interest expense related to our total expected TRA payments.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quarter ended April 1, 2015, we recorded an income tax provision of $4.7 million, reflecting an estimated effective tax rate of 41.0%. For the quarter ended March 26, 2014, the recorded provision for income taxes of $0.4 million related primarily to the effect of changes in our deferred taxes and the related effect of maintaining a full valuation allowance against certain of our deferred tax assets as of March 26, 2014. During the quarter ended September 24, 2014, after evaluating all of the positive and negative evidence, including our continued profitability and the reduction in interest expense resulting from the 2013 Refinancing and from our completed IPO and the resultant payoff of the Second Lien Term Loan, we concluded that it was more likely than not that our net deferred tax assets would be recovered, and we released our valuation allowance.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12 months.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30, 2014, we closed our IPO, the majority of the proceeds of which were used to repay our Second Lien Term Loan.</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December 2014, we refinanced the 2013 Revolver and the 2013 First Lien Term Loan by entering into the 2014 Revolver, which carries a longer maturity and a lower interest rate than the indebtedness that it replaced.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summary cash flow information for the periods indicated.</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gridSpan w:val="3"/>
            <w:vMerge w:val="continue"/>
          </w:tcPr>
          <w:p>
            <w:pPr>
              <w:spacing w:after="0"/>
              <w:rPr>
                <w:sz w:val="12"/>
                <w:szCs w:val="12"/>
                <w:color w:val="auto"/>
              </w:rPr>
            </w:pPr>
          </w:p>
        </w:tc>
        <w:tc>
          <w:tcPr>
            <w:tcW w:w="280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1, 2015</w:t>
            </w:r>
          </w:p>
        </w:tc>
        <w:tc>
          <w:tcPr>
            <w:tcW w:w="1320" w:type="dxa"/>
            <w:vAlign w:val="bottom"/>
            <w:gridSpan w:val="3"/>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March 26, 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w:t>
            </w:r>
          </w:p>
        </w:tc>
        <w:tc>
          <w:tcPr>
            <w:tcW w:w="1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(used) by</w:t>
            </w:r>
          </w:p>
        </w:tc>
        <w:tc>
          <w:tcPr>
            <w:tcW w:w="2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296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4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Investing activities</w:t>
            </w: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(2,379)</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(14,846)</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960" w:type="dxa"/>
            <w:vAlign w:val="bottom"/>
            <w:gridSpan w:val="2"/>
            <w:shd w:val="clear" w:color="auto" w:fill="CCEEFF"/>
          </w:tcPr>
          <w:p>
            <w:pPr>
              <w:ind w:left="2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(2,912)</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0" w:type="dxa"/>
            <w:vAlign w:val="bottom"/>
            <w:vMerge w:val="restart"/>
          </w:tcPr>
          <w:p>
            <w:pPr>
              <w:jc w:val="right"/>
              <w:ind w:right="153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thirteen weeks ended April 1, 2015, net cash provided by operating activities increased by $6.7 million from the comparable period in the prior year. This was due primarily to (i) increased revenue, due primarily to company-operated comparable restaurant sales growth, and (ii) lower interest payments, due to the 2014 Refinancing, which resulted in lower interest rates on our debt, and to our IPO, the majority of the proceeds of which were used to repay the Second Lien Term Loan.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thirteen weeks ended April 1, 2015, net cash used by investing activities decreased by $1.3 million from the comparable period in the prior year. This was due primarily to timing of capital expenditures related to new restaurants and to the remodeling of existing restaurants.</w:t>
      </w:r>
    </w:p>
    <w:p>
      <w:pPr>
        <w:spacing w:after="0" w:line="162" w:lineRule="exact"/>
        <w:rPr>
          <w:sz w:val="20"/>
          <w:szCs w:val="20"/>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For the year ending December 30, 2015, we expect to incur capital expenditures of approximately $36 million, consisting of $23 million related to new restaurants, $6 million related to the remodeling of existing restaurants, and $7 million related to maintenance and other corporate capital expenditures.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thirteen weeks ended April 1, 2015, net cash used by financing activities increased by $14.3 million from the comparable period in the prior year. This was due primarily to the payment of $15.0 million on the 2014 Revolver during the thirteen weeks ended April 1,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Other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Credit Agreement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 million for letters of credit and a sub limit of $15 million for swingline loans. At April 1, 2015, $7.0 million of letters of credit were outstanding and $43.0 million was available to borrow under the revolving line of credit. The 2014 Revolver will mature on or about December 11, 2019.</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is initially set at 2.00% for LIBOR loans and at 1.00% for base rate loans until the delivery of financial statements and a compliance certificate for the first quarter of 2015.</w:t>
      </w:r>
    </w:p>
    <w:p>
      <w:pPr>
        <w:spacing w:after="0" w:line="18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April 1, 2015.</w:t>
      </w:r>
    </w:p>
    <w:p>
      <w:pPr>
        <w:spacing w:after="0" w:line="180"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the TRA, and, (iii) so long as no default or event of default has occurred and is continuing,</w:t>
      </w:r>
    </w:p>
    <w:p>
      <w:pPr>
        <w:spacing w:after="0" w:line="2" w:lineRule="exact"/>
        <w:rPr>
          <w:sz w:val="20"/>
          <w:szCs w:val="20"/>
          <w:color w:val="auto"/>
        </w:rPr>
      </w:pPr>
    </w:p>
    <w:p>
      <w:pPr>
        <w:ind w:firstLine="8"/>
        <w:spacing w:after="0" w:line="250"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consolidated fixed charge coverage ratio to be less than 1.75 times.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Arrangements</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connection with our credit agreements, we entered into two interest rate caps with Wells Fargo Bank, N.A. The first interest rate cap is for a notional amount of $30 million, with a cap rate of 3.00% based on 1 month USD LIBOR, terminating on December 1, 2015. The second interest rate cap is for a notional amount of $120 million, with a cap rate of 3.00% based on 1 month USD LIBOR, terminating on December 1, 2016.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entered into new chicken purchasing contracts in the first quarter of 2015 with twelve-month terms resulting in an estimated commitment to purchase chicken of $28.9 million at April 1, 2015.</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With the exception noted above, our contractual commitments outstanding on April 1, 2015, have not changed materially since our annual report on Form 10-K for the year ended December 31, 2014. These relate to future (i) debt payments, including expected interest expense, calculated based on current interest rates, (ii) restaurant operating lease payments, (iii) income tax receivable agreement payments, and (iv) purchasing commitments for chicken and beverage.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and Other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 2015, we were using $7.0 million of borrowing capacity on the 2014 Revolver for letters of credit in support of our insurance programs.</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the interest rate on our debt, which bears interest at USD LIBOR plus a margin between 1.75% and 2.50%. As of April 1, 2015, we had outstanding borrowings of $150.0 million and another $7.0 million of letters of credit in support of our insurance programs. A 1.00% increase in the effective interest rate applied to these borrowings would result in a pre-tax interest expense increase of $1.6 million on an annualized basis.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manage our interest rate risk through normal operating and financing activities and, when determined appropriate, through the use of derivative financial instruments.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mitigate exposure to fluctuations in interest rates, we entered into two interest rate caps as discussed above under “Management’s Discussion and Analysis of Financial Condition and Results of Operations—Liquidity and Capital Resources—Debt and Other Obligations—Hedging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or state minimum wage, and increases in the minimum wage will increase our labor costs. Since July 1, 2014, the State of California (where most of our restaurants are located) has had a minimum wage of $9.00 per hour. From January 1, 2008, to June 30, 2014, it had been $8.00 per hour. It is scheduled to rise to $10.00 per hour on January 1, 2016. In general, we have been able to substantially offset cost increases resulting from inflation by increasing menu prices, managing menu mix, improving productivity, or making other adjustments. We may or may not be able to offset cost increases in the future.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a rapidly-fluctuating commodities market, it may prove difficult for us to adjust our menu prices in accord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3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management establishes and maintains disclosure controls and procedures (as defined in Exchange Act Rules 13a–15(e) and 15d–15(e)) to ensure that the information we disclose under the Exchange Act is properly and timely reported. We provide this information to our chief executive and chief financial officers as appropriate to allow for timely decisions.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controls and procedures are based on assumptions. Additionally, even effective controls and procedures only provide reasonable assurance of achieving their objectives. Accordingly, we cannot guarantee that our controls and procedures will succeed or be adhered to in all circumstances.</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evaluated our disclosure controls and procedures, with the participation, and under the supervision, of our management, including our chief executive and chief financial officers. Based on this evaluation, our chief executive and chief financial officers have concluded that our disclosure controls and procedures were effective as of the end of the period covered by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Exchange Act Rules 13a–15(f) and 15d–15(f)) occurred during the period covered by this report that has affected or is reasonably likely to affect materially our internal control over financial reporting.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7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We were served with the complaint on March 3, 2014. While we intend to vigorously defend against this action, including its class certification, the ultimate outcome of the case is presently not determinable as it is in a preliminary phase. Thus, we cannot at this time determine the likelihood of an adverse judgment nor a likely range of damages in the event of an adverse judgment. Any settlement of, or judgment with a negative outcome arising from, this lawsuit could have a material adverse effect.</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2014.</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104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r>
      <w:tr>
        <w:trPr>
          <w:trHeight w:val="32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58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4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r>
      <w:tr>
        <w:trPr>
          <w:trHeight w:val="32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58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4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r>
      <w:tr>
        <w:trPr>
          <w:trHeight w:val="32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58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4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32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58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11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84"/>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Number</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c>
          <w:tcPr>
            <w:tcW w:w="9380" w:type="dxa"/>
            <w:vAlign w:val="bottom"/>
          </w:tcPr>
          <w:p>
            <w:pPr>
              <w:spacing w:after="0"/>
              <w:rPr>
                <w:sz w:val="24"/>
                <w:szCs w:val="24"/>
                <w:color w:val="auto"/>
              </w:rPr>
            </w:pPr>
          </w:p>
        </w:tc>
      </w:tr>
      <w:tr>
        <w:trPr>
          <w:trHeight w:val="30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under section 302 of the Sarbanes–Oxley Act of 2002</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under section 302 of the Sarbanes–Oxley Act of 2002</w:t>
            </w: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Certification of Chief Executive Officer and Chief Financial Officer under 18 U.S.C. section 1350, adopted by section 906 of the Sarbanes–</w:t>
            </w:r>
          </w:p>
        </w:tc>
      </w:tr>
      <w:tr>
        <w:trPr>
          <w:trHeight w:val="234"/>
        </w:trPr>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2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65"/>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20" w:type="dxa"/>
            <w:vAlign w:val="bottom"/>
            <w:gridSpan w:val="3"/>
          </w:tcPr>
          <w:p>
            <w:pPr>
              <w:ind w:left="4820"/>
              <w:spacing w:after="0"/>
              <w:rPr>
                <w:sz w:val="20"/>
                <w:szCs w:val="20"/>
                <w:color w:val="auto"/>
              </w:rPr>
            </w:pPr>
            <w:r>
              <w:rPr>
                <w:rFonts w:ascii="Times New Roman" w:cs="Times New Roman" w:eastAsia="Times New Roman" w:hAnsi="Times New Roman"/>
                <w:sz w:val="18"/>
                <w:szCs w:val="18"/>
                <w:color w:val="auto"/>
              </w:rPr>
              <w:t>27</w:t>
            </w:r>
          </w:p>
        </w:tc>
      </w:tr>
    </w:tbl>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Number</w:t>
            </w:r>
          </w:p>
        </w:tc>
        <w:tc>
          <w:tcPr>
            <w:tcW w:w="680" w:type="dxa"/>
            <w:vAlign w:val="bottom"/>
          </w:tcPr>
          <w:p>
            <w:pPr>
              <w:spacing w:after="0"/>
              <w:rPr>
                <w:sz w:val="16"/>
                <w:szCs w:val="16"/>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c>
          <w:tcPr>
            <w:tcW w:w="3800" w:type="dxa"/>
            <w:vAlign w:val="bottom"/>
          </w:tcPr>
          <w:p>
            <w:pPr>
              <w:spacing w:after="0"/>
              <w:rPr>
                <w:sz w:val="16"/>
                <w:szCs w:val="16"/>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XBRL Taxonomy Extension Presentation Linkbase Document</w:t>
            </w:r>
          </w:p>
        </w:tc>
      </w:tr>
    </w:tbl>
    <w:p>
      <w:pPr>
        <w:spacing w:after="0" w:line="225" w:lineRule="exact"/>
        <w:rPr>
          <w:sz w:val="20"/>
          <w:szCs w:val="20"/>
          <w:color w:val="auto"/>
        </w:rPr>
      </w:pPr>
    </w:p>
    <w:p>
      <w:pPr>
        <w:jc w:val="both"/>
        <w:ind w:left="220" w:hanging="212"/>
        <w:spacing w:after="0" w:line="266" w:lineRule="auto"/>
        <w:tabs>
          <w:tab w:leader="none" w:pos="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 Pollo Loco Holdings, Inc.</w:t>
            </w:r>
          </w:p>
        </w:tc>
      </w:tr>
      <w:tr>
        <w:trPr>
          <w:trHeight w:val="228"/>
        </w:trPr>
        <w:tc>
          <w:tcPr>
            <w:tcW w:w="33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27"/>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15, 2015</w:t>
            </w:r>
          </w:p>
        </w:tc>
        <w:tc>
          <w:tcPr>
            <w:tcW w:w="286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J. Sather</w:t>
            </w:r>
          </w:p>
        </w:tc>
      </w:tr>
      <w:tr>
        <w:trPr>
          <w:trHeight w:val="205"/>
        </w:trPr>
        <w:tc>
          <w:tcPr>
            <w:tcW w:w="332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Date</w:t>
            </w:r>
          </w:p>
        </w:tc>
        <w:tc>
          <w:tcPr>
            <w:tcW w:w="2860" w:type="dxa"/>
            <w:vAlign w:val="bottom"/>
          </w:tcPr>
          <w:p>
            <w:pPr>
              <w:spacing w:after="0"/>
              <w:rPr>
                <w:sz w:val="17"/>
                <w:szCs w:val="17"/>
                <w:color w:val="auto"/>
              </w:rPr>
            </w:pPr>
          </w:p>
        </w:tc>
        <w:tc>
          <w:tcPr>
            <w:tcW w:w="5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J. Sather</w:t>
            </w:r>
          </w:p>
        </w:tc>
      </w:tr>
      <w:tr>
        <w:trPr>
          <w:trHeight w:val="234"/>
        </w:trPr>
        <w:tc>
          <w:tcPr>
            <w:tcW w:w="33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15, 2015</w:t>
            </w:r>
          </w:p>
        </w:tc>
        <w:tc>
          <w:tcPr>
            <w:tcW w:w="286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Laurance Roberts</w:t>
            </w:r>
          </w:p>
        </w:tc>
      </w:tr>
      <w:tr>
        <w:trPr>
          <w:trHeight w:val="205"/>
        </w:trPr>
        <w:tc>
          <w:tcPr>
            <w:tcW w:w="332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Date</w:t>
            </w:r>
          </w:p>
        </w:tc>
        <w:tc>
          <w:tcPr>
            <w:tcW w:w="2860" w:type="dxa"/>
            <w:vAlign w:val="bottom"/>
          </w:tcPr>
          <w:p>
            <w:pPr>
              <w:spacing w:after="0"/>
              <w:rPr>
                <w:sz w:val="17"/>
                <w:szCs w:val="17"/>
                <w:color w:val="auto"/>
              </w:rPr>
            </w:pPr>
          </w:p>
        </w:tc>
        <w:tc>
          <w:tcPr>
            <w:tcW w:w="5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Laurance Roberts</w:t>
            </w:r>
          </w:p>
        </w:tc>
      </w:tr>
      <w:tr>
        <w:trPr>
          <w:trHeight w:val="234"/>
        </w:trPr>
        <w:tc>
          <w:tcPr>
            <w:tcW w:w="33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5"/>
        </w:trPr>
        <w:tc>
          <w:tcPr>
            <w:tcW w:w="3320" w:type="dxa"/>
            <w:vAlign w:val="bottom"/>
          </w:tcPr>
          <w:p>
            <w:pPr>
              <w:spacing w:after="0"/>
              <w:rPr>
                <w:sz w:val="24"/>
                <w:szCs w:val="24"/>
                <w:color w:val="auto"/>
              </w:rPr>
            </w:pPr>
          </w:p>
        </w:tc>
        <w:tc>
          <w:tcPr>
            <w:tcW w:w="2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29</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J. Sather,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[reserved] for the registrant and have:</w:t>
      </w:r>
    </w:p>
    <w:p>
      <w:pPr>
        <w:spacing w:after="0" w:line="162" w:lineRule="exact"/>
        <w:rPr>
          <w:sz w:val="20"/>
          <w:szCs w:val="20"/>
          <w:color w:val="auto"/>
        </w:rPr>
      </w:pPr>
    </w:p>
    <w:p>
      <w:pPr>
        <w:jc w:val="both"/>
        <w:ind w:right="120" w:firstLine="8"/>
        <w:spacing w:after="0" w:line="266"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4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20" w:firstLine="8"/>
        <w:spacing w:after="0" w:line="282"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J. Sather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0" w:firstLine="8"/>
        <w:spacing w:after="0" w:line="282"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[reserved] for the registrant and have:</w:t>
      </w:r>
    </w:p>
    <w:p>
      <w:pPr>
        <w:spacing w:after="0" w:line="162" w:lineRule="exact"/>
        <w:rPr>
          <w:sz w:val="20"/>
          <w:szCs w:val="20"/>
          <w:color w:val="auto"/>
        </w:rPr>
      </w:pPr>
    </w:p>
    <w:p>
      <w:pPr>
        <w:jc w:val="both"/>
        <w:ind w:right="120" w:firstLine="8"/>
        <w:spacing w:after="0" w:line="266"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40"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20" w:firstLine="8"/>
        <w:spacing w:after="0" w:line="282"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J. Sather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7"/>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6"/>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25"/>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5"/>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5"/>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2019-12-29T17:33:57Z</dcterms:created>
  <dcterms:modified xsi:type="dcterms:W3CDTF">2019-12-29T17:33:57Z</dcterms:modified>
</cp:coreProperties>
</file>