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331470</wp:posOffset>
            </wp:positionV>
            <wp:extent cx="650367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3670"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393700</wp:posOffset>
            </wp:positionV>
            <wp:extent cx="6503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36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103505</wp:posOffset>
            </wp:positionV>
            <wp:extent cx="162560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5600" cy="1587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78740</wp:posOffset>
            </wp:positionV>
            <wp:extent cx="16256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88" w:lineRule="exact"/>
        <w:rPr>
          <w:sz w:val="24"/>
          <w:szCs w:val="24"/>
          <w:color w:val="auto"/>
        </w:rPr>
      </w:pPr>
    </w:p>
    <w:p>
      <w:pPr>
        <w:ind w:left="700" w:hanging="64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23, 2020</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9" w:lineRule="exact"/>
        <w:rPr>
          <w:sz w:val="24"/>
          <w:szCs w:val="24"/>
          <w:color w:val="auto"/>
        </w:rPr>
      </w:pPr>
    </w:p>
    <w:p>
      <w:pPr>
        <w:ind w:left="700" w:hanging="648"/>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2" w:lineRule="exact"/>
        <w:rPr>
          <w:sz w:val="24"/>
          <w:szCs w:val="24"/>
          <w:color w:val="auto"/>
        </w:rPr>
      </w:pPr>
    </w:p>
    <w:tbl>
      <w:tblPr>
        <w:tblLayout w:type="fixed"/>
        <w:tblInd w:w="3700" w:type="dxa"/>
        <w:tblCellMar>
          <w:top w:w="0" w:type="dxa"/>
          <w:left w:w="0" w:type="dxa"/>
          <w:bottom w:w="0" w:type="dxa"/>
          <w:right w:w="0" w:type="dxa"/>
        </w:tblCellMar>
      </w:tblPr>
      <w:tr>
        <w:trPr>
          <w:trHeight w:val="172"/>
        </w:trPr>
        <w:tc>
          <w:tcPr>
            <w:tcW w:w="1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For the transition period from</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to</w:t>
            </w:r>
          </w:p>
        </w:tc>
      </w:tr>
      <w:tr>
        <w:trPr>
          <w:trHeight w:val="246"/>
        </w:trPr>
        <w:tc>
          <w:tcPr>
            <w:tcW w:w="140" w:type="dxa"/>
            <w:vAlign w:val="bottom"/>
          </w:tcPr>
          <w:p>
            <w:pPr>
              <w:spacing w:after="0"/>
              <w:rPr>
                <w:sz w:val="21"/>
                <w:szCs w:val="21"/>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w w:val="99"/>
              </w:rPr>
              <w:t>Commission File Number: 001-36556</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96"/>
        </w:trPr>
        <w:tc>
          <w:tcPr>
            <w:tcW w:w="14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EL POLLO LOCO HOLDINGS,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106680</wp:posOffset>
            </wp:positionV>
            <wp:extent cx="16256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780" w:type="dxa"/>
        <w:tblCellMar>
          <w:top w:w="0" w:type="dxa"/>
          <w:left w:w="0" w:type="dxa"/>
          <w:bottom w:w="0" w:type="dxa"/>
          <w:right w:w="0" w:type="dxa"/>
        </w:tblCellMar>
      </w:tblPr>
      <w:tr>
        <w:trPr>
          <w:trHeight w:val="181"/>
        </w:trPr>
        <w:tc>
          <w:tcPr>
            <w:tcW w:w="4740" w:type="dxa"/>
            <w:vAlign w:val="bottom"/>
          </w:tcPr>
          <w:p>
            <w:pPr>
              <w:jc w:val="center"/>
              <w:ind w:right="1314"/>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3120" w:type="dxa"/>
            <w:vAlign w:val="bottom"/>
          </w:tcPr>
          <w:p>
            <w:pPr>
              <w:jc w:val="right"/>
              <w:ind w:right="454"/>
              <w:spacing w:after="0"/>
              <w:rPr>
                <w:sz w:val="20"/>
                <w:szCs w:val="20"/>
                <w:color w:val="auto"/>
              </w:rPr>
            </w:pPr>
            <w:r>
              <w:rPr>
                <w:rFonts w:ascii="Times New Roman" w:cs="Times New Roman" w:eastAsia="Times New Roman" w:hAnsi="Times New Roman"/>
                <w:sz w:val="15"/>
                <w:szCs w:val="15"/>
                <w:b w:val="1"/>
                <w:bCs w:val="1"/>
                <w:color w:val="auto"/>
              </w:rPr>
              <w:t>20-3563182</w:t>
            </w:r>
          </w:p>
        </w:tc>
      </w:tr>
      <w:tr>
        <w:trPr>
          <w:trHeight w:val="150"/>
        </w:trPr>
        <w:tc>
          <w:tcPr>
            <w:tcW w:w="4740" w:type="dxa"/>
            <w:vAlign w:val="bottom"/>
          </w:tcPr>
          <w:p>
            <w:pPr>
              <w:jc w:val="center"/>
              <w:ind w:right="1314"/>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120" w:type="dxa"/>
            <w:vAlign w:val="bottom"/>
          </w:tcPr>
          <w:p>
            <w:pPr>
              <w:jc w:val="center"/>
              <w:ind w:left="1314"/>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293"/>
        </w:trPr>
        <w:tc>
          <w:tcPr>
            <w:tcW w:w="4740" w:type="dxa"/>
            <w:vAlign w:val="bottom"/>
          </w:tcPr>
          <w:p>
            <w:pPr>
              <w:jc w:val="center"/>
              <w:ind w:right="1314"/>
              <w:spacing w:after="0"/>
              <w:rPr>
                <w:sz w:val="20"/>
                <w:szCs w:val="20"/>
                <w:color w:val="auto"/>
              </w:rPr>
            </w:pPr>
            <w:r>
              <w:rPr>
                <w:rFonts w:ascii="Times New Roman" w:cs="Times New Roman" w:eastAsia="Times New Roman" w:hAnsi="Times New Roman"/>
                <w:sz w:val="15"/>
                <w:szCs w:val="15"/>
                <w:b w:val="1"/>
                <w:bCs w:val="1"/>
                <w:color w:val="auto"/>
                <w:w w:val="98"/>
              </w:rPr>
              <w:t>3535 Harbor Blvd., Suite 100, Costa Mesa, California</w:t>
            </w:r>
          </w:p>
        </w:tc>
        <w:tc>
          <w:tcPr>
            <w:tcW w:w="3120" w:type="dxa"/>
            <w:vAlign w:val="bottom"/>
          </w:tcPr>
          <w:p>
            <w:pPr>
              <w:jc w:val="right"/>
              <w:ind w:right="614"/>
              <w:spacing w:after="0"/>
              <w:rPr>
                <w:sz w:val="20"/>
                <w:szCs w:val="20"/>
                <w:color w:val="auto"/>
              </w:rPr>
            </w:pPr>
            <w:r>
              <w:rPr>
                <w:rFonts w:ascii="Times New Roman" w:cs="Times New Roman" w:eastAsia="Times New Roman" w:hAnsi="Times New Roman"/>
                <w:sz w:val="15"/>
                <w:szCs w:val="15"/>
                <w:b w:val="1"/>
                <w:bCs w:val="1"/>
                <w:color w:val="auto"/>
              </w:rPr>
              <w:t>92626</w:t>
            </w:r>
          </w:p>
        </w:tc>
      </w:tr>
      <w:tr>
        <w:trPr>
          <w:trHeight w:val="150"/>
        </w:trPr>
        <w:tc>
          <w:tcPr>
            <w:tcW w:w="4740" w:type="dxa"/>
            <w:vAlign w:val="bottom"/>
          </w:tcPr>
          <w:p>
            <w:pPr>
              <w:jc w:val="center"/>
              <w:ind w:right="1294"/>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120" w:type="dxa"/>
            <w:vAlign w:val="bottom"/>
          </w:tcPr>
          <w:p>
            <w:pPr>
              <w:jc w:val="center"/>
              <w:ind w:left="1314"/>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(714) 599-5000</w:t>
      </w:r>
    </w:p>
    <w:p>
      <w:pPr>
        <w:spacing w:after="0" w:line="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4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1"/>
          <w:szCs w:val="11"/>
          <w:b w:val="1"/>
          <w:bCs w:val="1"/>
          <w:color w:val="auto"/>
        </w:rPr>
        <w:t>N/A</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388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w w:val="97"/>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Trading Symbol(s)</w:t>
            </w:r>
          </w:p>
        </w:tc>
        <w:tc>
          <w:tcPr>
            <w:tcW w:w="20" w:type="dxa"/>
            <w:vAlign w:val="bottom"/>
            <w:tcBorders>
              <w:top w:val="single" w:sz="8" w:color="auto"/>
              <w:bottom w:val="single" w:sz="8" w:color="auto"/>
            </w:tcBorders>
          </w:tcPr>
          <w:p>
            <w:pPr>
              <w:spacing w:after="0"/>
              <w:rPr>
                <w:sz w:val="17"/>
                <w:szCs w:val="17"/>
                <w:color w:val="auto"/>
              </w:rPr>
            </w:pP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Name of each exchange on which registered</w:t>
            </w:r>
          </w:p>
        </w:tc>
      </w:tr>
      <w:tr>
        <w:trPr>
          <w:trHeight w:val="177"/>
        </w:trPr>
        <w:tc>
          <w:tcPr>
            <w:tcW w:w="388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w w:val="98"/>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LOCO</w:t>
            </w:r>
          </w:p>
        </w:tc>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The Nasdaq Stock Market LLC</w:t>
            </w:r>
          </w:p>
        </w:tc>
      </w:tr>
      <w:tr>
        <w:trPr>
          <w:trHeight w:val="157"/>
        </w:trPr>
        <w:tc>
          <w:tcPr>
            <w:tcW w:w="38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60" w:type="dxa"/>
            <w:vAlign w:val="bottom"/>
          </w:tcPr>
          <w:p>
            <w:pPr>
              <w:spacing w:after="0"/>
              <w:rPr>
                <w:sz w:val="13"/>
                <w:szCs w:val="13"/>
                <w:color w:val="auto"/>
              </w:rPr>
            </w:pPr>
          </w:p>
        </w:tc>
      </w:tr>
    </w:tbl>
    <w:p>
      <w:pPr>
        <w:spacing w:after="0" w:line="136" w:lineRule="exact"/>
        <w:rPr>
          <w:sz w:val="24"/>
          <w:szCs w:val="24"/>
          <w:color w:val="auto"/>
        </w:rPr>
      </w:pPr>
    </w:p>
    <w:p>
      <w:pPr>
        <w:jc w:val="both"/>
        <w:ind w:firstLine="461"/>
        <w:spacing w:after="0" w:line="280"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80" w:hanging="205"/>
        <w:spacing w:after="0" w:line="173" w:lineRule="exact"/>
        <w:tabs>
          <w:tab w:leader="none" w:pos="2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7" w:lineRule="exact"/>
        <w:rPr>
          <w:sz w:val="24"/>
          <w:szCs w:val="24"/>
          <w:color w:val="auto"/>
        </w:rPr>
      </w:pPr>
    </w:p>
    <w:p>
      <w:pPr>
        <w:ind w:firstLine="461"/>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52" w:lineRule="exact"/>
        <w:rPr>
          <w:sz w:val="24"/>
          <w:szCs w:val="24"/>
          <w:color w:val="auto"/>
        </w:rPr>
      </w:pPr>
    </w:p>
    <w:p>
      <w:pPr>
        <w:jc w:val="both"/>
        <w:ind w:right="280" w:firstLine="461"/>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60" w:type="dxa"/>
        <w:tblCellMar>
          <w:top w:w="0" w:type="dxa"/>
          <w:left w:w="0" w:type="dxa"/>
          <w:bottom w:w="0" w:type="dxa"/>
          <w:right w:w="0" w:type="dxa"/>
        </w:tblCellMar>
      </w:tblPr>
      <w:tr>
        <w:trPr>
          <w:trHeight w:val="231"/>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0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60"/>
              <w:spacing w:after="0"/>
              <w:rPr>
                <w:sz w:val="20"/>
                <w:szCs w:val="20"/>
                <w:color w:val="auto"/>
              </w:rPr>
            </w:pPr>
            <w:r>
              <w:rPr>
                <w:rFonts w:ascii="Times New Roman" w:cs="Times New Roman" w:eastAsia="Times New Roman" w:hAnsi="Times New Roman"/>
                <w:sz w:val="15"/>
                <w:szCs w:val="15"/>
                <w:color w:val="auto"/>
              </w:rPr>
              <w:t>Accelerated Filer</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0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16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660" w:type="dxa"/>
            <w:vAlign w:val="bottom"/>
          </w:tcPr>
          <w:p>
            <w:pPr>
              <w:ind w:left="2660"/>
              <w:spacing w:after="0"/>
              <w:rPr>
                <w:sz w:val="20"/>
                <w:szCs w:val="20"/>
                <w:color w:val="auto"/>
              </w:rPr>
            </w:pPr>
            <w:r>
              <w:rPr>
                <w:rFonts w:ascii="Times New Roman" w:cs="Times New Roman" w:eastAsia="Times New Roman" w:hAnsi="Times New Roman"/>
                <w:sz w:val="15"/>
                <w:szCs w:val="15"/>
                <w:color w:val="auto"/>
              </w:rPr>
              <w:t>Emerging Growth Company</w:t>
            </w:r>
          </w:p>
        </w:tc>
        <w:tc>
          <w:tcPr>
            <w:tcW w:w="440" w:type="dxa"/>
            <w:vAlign w:val="bottom"/>
          </w:tcPr>
          <w:p>
            <w:pPr>
              <w:ind w:left="3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1" w:lineRule="exact"/>
        <w:rPr>
          <w:sz w:val="24"/>
          <w:szCs w:val="24"/>
          <w:color w:val="auto"/>
        </w:rPr>
      </w:pPr>
    </w:p>
    <w:p>
      <w:pPr>
        <w:ind w:right="60" w:firstLine="461"/>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 w:lineRule="exact"/>
        <w:rPr>
          <w:sz w:val="24"/>
          <w:szCs w:val="24"/>
          <w:color w:val="auto"/>
        </w:rPr>
      </w:pPr>
    </w:p>
    <w:p>
      <w:pPr>
        <w:ind w:left="460" w:right="2000"/>
        <w:spacing w:after="0" w:line="23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As of October 23, 2020, there were 36,446,736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605790</wp:posOffset>
            </wp:positionV>
            <wp:extent cx="650367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3670" cy="23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6503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367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97790</wp:posOffset>
            </wp:positionV>
            <wp:extent cx="6503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3670" cy="31115"/>
                    </a:xfrm>
                    <a:prstGeom prst="rect">
                      <a:avLst/>
                    </a:prstGeom>
                    <a:noFill/>
                  </pic:spPr>
                </pic:pic>
              </a:graphicData>
            </a:graphic>
          </wp:anchor>
        </w:drawing>
      </w:r>
    </w:p>
    <w:p>
      <w:pPr>
        <w:sectPr>
          <w:pgSz w:w="11900" w:h="16838" w:orient="portrait"/>
          <w:cols w:equalWidth="0" w:num="1">
            <w:col w:w="10240"/>
          </w:cols>
          <w:pgMar w:left="820" w:top="615" w:right="839" w:bottom="1440" w:gutter="0" w:footer="0" w:header="0"/>
        </w:sectPr>
      </w:pPr>
    </w:p>
    <w:bookmarkStart w:id="1" w:name="page2"/>
    <w:bookmarkEnd w:id="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7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
        </w:trPr>
        <w:tc>
          <w:tcPr>
            <w:tcW w:w="9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PART I—FINANCIAL INFORMATION</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Item 1. Financial Statements.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Condensed Consolidated Balance Sheets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Condensed Consolidated Statements of Income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Condensed Consolidated Statements of Comprehensive Income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6">
              <w:r>
                <w:rPr>
                  <w:rFonts w:ascii="Times New Roman" w:cs="Times New Roman" w:eastAsia="Times New Roman" w:hAnsi="Times New Roman"/>
                  <w:sz w:val="16"/>
                  <w:szCs w:val="16"/>
                  <w:u w:val="single" w:color="auto"/>
                  <w:color w:val="0000EE"/>
                </w:rPr>
                <w:t>Condensed Consolidated Statements of Changes in Stockholders’ Equity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8">
              <w:r>
                <w:rPr>
                  <w:rFonts w:ascii="Times New Roman" w:cs="Times New Roman" w:eastAsia="Times New Roman" w:hAnsi="Times New Roman"/>
                  <w:sz w:val="16"/>
                  <w:szCs w:val="16"/>
                  <w:u w:val="single" w:color="auto"/>
                  <w:color w:val="0000EE"/>
                </w:rPr>
                <w:t>Condensed Consolidated Statements of Cash Flows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9">
              <w:r>
                <w:rPr>
                  <w:rFonts w:ascii="Times New Roman" w:cs="Times New Roman" w:eastAsia="Times New Roman" w:hAnsi="Times New Roman"/>
                  <w:sz w:val="16"/>
                  <w:szCs w:val="16"/>
                  <w:u w:val="single" w:color="auto"/>
                  <w:color w:val="0000EE"/>
                </w:rPr>
                <w:t>Notes to Condensed Consolidated Financial Statements (Unaudited)</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32">
              <w:r>
                <w:rPr>
                  <w:rFonts w:ascii="Times New Roman" w:cs="Times New Roman" w:eastAsia="Times New Roman" w:hAnsi="Times New Roman"/>
                  <w:sz w:val="16"/>
                  <w:szCs w:val="16"/>
                  <w:u w:val="single" w:color="auto"/>
                  <w:color w:val="0000EE"/>
                </w:rPr>
                <w:t>Item 2. Management’s Discussion and Analysis of Financial Condition and Results of Operations.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1">
              <w:r>
                <w:rPr>
                  <w:rFonts w:ascii="Times New Roman" w:cs="Times New Roman" w:eastAsia="Times New Roman" w:hAnsi="Times New Roman"/>
                  <w:sz w:val="16"/>
                  <w:szCs w:val="16"/>
                  <w:u w:val="single" w:color="auto"/>
                  <w:color w:val="0000EE"/>
                </w:rPr>
                <w:t>Item 3. Quantitative and Qualitative Disclosures About Market Risk.</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4"/>
        </w:trPr>
        <w:tc>
          <w:tcPr>
            <w:tcW w:w="7440" w:type="dxa"/>
            <w:vAlign w:val="bottom"/>
            <w:gridSpan w:val="2"/>
          </w:tcPr>
          <w:p>
            <w:pPr>
              <w:spacing w:after="0"/>
              <w:rPr>
                <w:rFonts w:ascii="Times New Roman" w:cs="Times New Roman" w:eastAsia="Times New Roman" w:hAnsi="Times New Roman"/>
                <w:sz w:val="16"/>
                <w:szCs w:val="16"/>
                <w:color w:val="0000EE"/>
              </w:rPr>
            </w:pPr>
            <w:hyperlink w:anchor="page51">
              <w:r>
                <w:rPr>
                  <w:rFonts w:ascii="Times New Roman" w:cs="Times New Roman" w:eastAsia="Times New Roman" w:hAnsi="Times New Roman"/>
                  <w:sz w:val="16"/>
                  <w:szCs w:val="16"/>
                  <w:u w:val="single" w:color="auto"/>
                  <w:color w:val="0000EE"/>
                </w:rPr>
                <w:t>Item 4. Controls and Procedures</w:t>
              </w:r>
              <w:r>
                <w:rPr>
                  <w:rFonts w:ascii="Times New Roman" w:cs="Times New Roman" w:eastAsia="Times New Roman" w:hAnsi="Times New Roman"/>
                  <w:sz w:val="16"/>
                  <w:szCs w:val="16"/>
                  <w:color w:val="0000EE"/>
                </w:rPr>
                <w:t>.</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PART II—OTHER INFORMATION</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Item 1. Legal Proceedings.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Item 1A. Risk Factors.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u w:val="single" w:color="auto"/>
                  <w:color w:val="0000EE"/>
                </w:rPr>
                <w:t>Item 2. Unregistered Sales of Equity Securities and Use of Proceeds</w:t>
              </w:r>
              <w:r>
                <w:rPr>
                  <w:rFonts w:ascii="Times New Roman" w:cs="Times New Roman" w:eastAsia="Times New Roman" w:hAnsi="Times New Roman"/>
                  <w:sz w:val="16"/>
                  <w:szCs w:val="16"/>
                  <w:color w:val="0000EE"/>
                </w:rPr>
                <w:t>.</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Item 3. Defaults of Senior Securities.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color w:val="0000EE"/>
              </w:rPr>
            </w:pPr>
            <w:hyperlink w:anchor="page53">
              <w:r>
                <w:rPr>
                  <w:rFonts w:ascii="Times New Roman" w:cs="Times New Roman" w:eastAsia="Times New Roman" w:hAnsi="Times New Roman"/>
                  <w:sz w:val="16"/>
                  <w:szCs w:val="16"/>
                  <w:u w:val="single" w:color="auto"/>
                  <w:color w:val="0000EE"/>
                </w:rPr>
                <w:t>Item 4. Mine Safety Disclosures</w:t>
              </w:r>
              <w:r>
                <w:rPr>
                  <w:rFonts w:ascii="Times New Roman" w:cs="Times New Roman" w:eastAsia="Times New Roman" w:hAnsi="Times New Roman"/>
                  <w:sz w:val="16"/>
                  <w:szCs w:val="16"/>
                  <w:color w:val="0000EE"/>
                </w:rPr>
                <w:t>.</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Item 5. Other Information.</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4">
              <w:r>
                <w:rPr>
                  <w:rFonts w:ascii="Times New Roman" w:cs="Times New Roman" w:eastAsia="Times New Roman" w:hAnsi="Times New Roman"/>
                  <w:sz w:val="16"/>
                  <w:szCs w:val="16"/>
                  <w:u w:val="single" w:color="auto"/>
                  <w:color w:val="0000EE"/>
                </w:rPr>
                <w:t>Item 6. Exhibits.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1"/>
        </w:trPr>
        <w:tc>
          <w:tcPr>
            <w:tcW w:w="7440" w:type="dxa"/>
            <w:vAlign w:val="bottom"/>
            <w:gridSpan w:val="2"/>
          </w:tcPr>
          <w:p>
            <w:pPr>
              <w:spacing w:after="0"/>
              <w:rPr>
                <w:rFonts w:ascii="Times New Roman" w:cs="Times New Roman" w:eastAsia="Times New Roman" w:hAnsi="Times New Roman"/>
                <w:sz w:val="16"/>
                <w:szCs w:val="16"/>
                <w:u w:val="single" w:color="auto"/>
                <w:color w:val="0000EE"/>
              </w:rPr>
            </w:pPr>
            <w:hyperlink w:anchor="page55">
              <w:r>
                <w:rPr>
                  <w:rFonts w:ascii="Times New Roman" w:cs="Times New Roman" w:eastAsia="Times New Roman" w:hAnsi="Times New Roman"/>
                  <w:sz w:val="16"/>
                  <w:szCs w:val="16"/>
                  <w:u w:val="single" w:color="auto"/>
                  <w:color w:val="0000EE"/>
                </w:rPr>
                <w:t>Signatures</w:t>
              </w:r>
            </w:hyperlink>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 w:name="page3"/>
    <w:bookmarkEnd w:id="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11" w:lineRule="exact"/>
        <w:rPr>
          <w:sz w:val="20"/>
          <w:szCs w:val="20"/>
          <w:color w:val="auto"/>
        </w:rPr>
      </w:pPr>
    </w:p>
    <w:p>
      <w:pPr>
        <w:jc w:val="center"/>
        <w:ind w:left="1560" w:right="1860"/>
        <w:spacing w:after="0" w:line="395" w:lineRule="auto"/>
        <w:rPr>
          <w:sz w:val="20"/>
          <w:szCs w:val="20"/>
          <w:color w:val="auto"/>
        </w:rPr>
      </w:pPr>
      <w:r>
        <w:rPr>
          <w:rFonts w:ascii="Times New Roman" w:cs="Times New Roman" w:eastAsia="Times New Roman" w:hAnsi="Times New Roman"/>
          <w:sz w:val="16"/>
          <w:szCs w:val="16"/>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36"/>
        </w:trPr>
        <w:tc>
          <w:tcPr>
            <w:tcW w:w="6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September 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27"/>
              <w:spacing w:after="0" w:line="136" w:lineRule="exact"/>
              <w:rPr>
                <w:sz w:val="20"/>
                <w:szCs w:val="20"/>
                <w:color w:val="auto"/>
              </w:rPr>
            </w:pPr>
            <w:r>
              <w:rPr>
                <w:rFonts w:ascii="Times New Roman" w:cs="Times New Roman" w:eastAsia="Times New Roman" w:hAnsi="Times New Roman"/>
                <w:sz w:val="13"/>
                <w:szCs w:val="13"/>
                <w:b w:val="1"/>
                <w:bCs w:val="1"/>
                <w:color w:val="auto"/>
              </w:rPr>
              <w:t>December 25,</w:t>
            </w:r>
          </w:p>
        </w:tc>
      </w:tr>
      <w:tr>
        <w:trPr>
          <w:trHeight w:val="158"/>
        </w:trPr>
        <w:tc>
          <w:tcPr>
            <w:tcW w:w="6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7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29,529</w:t>
            </w:r>
          </w:p>
        </w:tc>
        <w:tc>
          <w:tcPr>
            <w:tcW w:w="2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8,070</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Accounts and other receivables, net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8,505</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5,718</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receivable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r>
      <w:tr>
        <w:trPr>
          <w:trHeight w:val="177"/>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44,863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24,678</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owned, net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80,545</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91,778</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held under finance lease, net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held under operating leases, net ("ROU asset")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180,781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192,395</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248,674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248,674</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61,888</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61,888</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3,709</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w:t>
            </w:r>
          </w:p>
        </w:tc>
      </w:tr>
      <w:tr>
        <w:trPr>
          <w:trHeight w:val="177"/>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621,648</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624,752</w:t>
            </w:r>
          </w:p>
        </w:tc>
      </w:tr>
      <w:tr>
        <w:trPr>
          <w:trHeight w:val="17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obligations under finance leases</w:t>
            </w:r>
          </w:p>
        </w:tc>
        <w:tc>
          <w:tcPr>
            <w:tcW w:w="3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obligations under operating leases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19,847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16,406</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6,238</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Accrued salaries and vacation</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8,618</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insurance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9,440</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Accrued income taxes payable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interest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income tax receivable agreement payable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4,935</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accrued expenses and current liabilities</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28,597</w:t>
            </w:r>
          </w:p>
        </w:tc>
      </w:tr>
      <w:tr>
        <w:trPr>
          <w:trHeight w:val="177"/>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69,727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73,959</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Revolver loan</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97,000</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Obligations under finance leases, net of current portion</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Obligations under operating leases, net of current portion</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182,753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197,492</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Deferred taxes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receivable agreement payable, net of current portion</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3,301</w:t>
            </w:r>
          </w:p>
        </w:tc>
      </w:tr>
      <w:tr>
        <w:trPr>
          <w:trHeight w:val="185"/>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9,772</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5,679</w:t>
            </w:r>
          </w:p>
        </w:tc>
      </w:tr>
      <w:tr>
        <w:trPr>
          <w:trHeight w:val="17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350,572</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379,186</w:t>
            </w:r>
          </w:p>
        </w:tc>
      </w:tr>
      <w:tr>
        <w:trPr>
          <w:trHeight w:val="174"/>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Preferred stock, $0.01 par value, 100,000,000 shares authorized; none issued or outstanding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$0.01 par value, 200,000,000 shares authorized; 36,441,369 and 35,126,582 shares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issued and outstanding</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w:t>
            </w:r>
          </w:p>
        </w:tc>
      </w:tr>
      <w:tr>
        <w:trPr>
          <w:trHeight w:val="185"/>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338,622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330,950</w:t>
            </w:r>
          </w:p>
        </w:tc>
      </w:tr>
      <w:tr>
        <w:trPr>
          <w:trHeight w:val="18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(66,969)</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(85,988)</w:t>
            </w:r>
          </w:p>
        </w:tc>
      </w:tr>
      <w:tr>
        <w:trPr>
          <w:trHeight w:val="185"/>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Accumulated other comprehensive (loss) income</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(941)</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w:t>
            </w:r>
          </w:p>
        </w:tc>
      </w:tr>
      <w:tr>
        <w:trPr>
          <w:trHeight w:val="17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271,076</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245,566</w:t>
            </w:r>
          </w:p>
        </w:tc>
      </w:tr>
      <w:tr>
        <w:trPr>
          <w:trHeight w:val="177"/>
        </w:trPr>
        <w:tc>
          <w:tcPr>
            <w:tcW w:w="6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621,648</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624,752</w:t>
            </w: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 w:name="page4"/>
    <w:bookmarkEnd w:id="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 POLLO LOCO HOLDINGS,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(UNAUDITED)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4"/>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0" w:type="dxa"/>
            <w:vAlign w:val="bottom"/>
          </w:tcPr>
          <w:p>
            <w:pPr>
              <w:spacing w:after="0"/>
              <w:rPr>
                <w:sz w:val="1"/>
                <w:szCs w:val="1"/>
                <w:color w:val="auto"/>
              </w:rPr>
            </w:pPr>
          </w:p>
        </w:tc>
      </w:tr>
      <w:tr>
        <w:trPr>
          <w:trHeight w:val="128"/>
        </w:trPr>
        <w:tc>
          <w:tcPr>
            <w:tcW w:w="35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40" w:type="dxa"/>
            <w:vAlign w:val="bottom"/>
            <w:tcBorders>
              <w:top w:val="single" w:sz="8" w:color="auto"/>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Borders>
              <w:top w:val="single" w:sz="8" w:color="auto"/>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Company-operated restaurant revenue</w:t>
            </w: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97,276</w:t>
            </w: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277,617</w:t>
            </w:r>
          </w:p>
        </w:tc>
        <w:tc>
          <w:tcPr>
            <w:tcW w:w="32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revenue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16,567</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110,979</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112,067</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315,746</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334,784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operations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 and paper cost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Labor and related expenses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28,756</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Gain on recovery of insurance proceeds, lost profits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Company restaurant expenses</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75,514</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80,648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222,432</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240,793</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Recovery of securities lawsuits related legal</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expenses and other insurance claims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and closed-store reserves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on disposition of restaurants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98,786</w:t>
            </w:r>
          </w:p>
        </w:tc>
        <w:tc>
          <w:tcPr>
            <w:tcW w:w="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290,418</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receivable agreement (income) expense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19,019</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32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Weighted-average shares used in computing net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per share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35,471,452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35,859,502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34,989,007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37,484,372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36,064,559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36,397,368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35,609,320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38,173,097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 w:name="page5"/>
    <w:bookmarkEnd w:id="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 POLLO LOCO HOLDINGS,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(UNAUDITED)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540" w:type="dxa"/>
            <w:vAlign w:val="bottom"/>
            <w:tcBorders>
              <w:bottom w:val="single" w:sz="8" w:color="auto"/>
            </w:tcBorders>
          </w:tcPr>
          <w:p>
            <w:pPr>
              <w:spacing w:after="0"/>
              <w:rPr>
                <w:sz w:val="13"/>
                <w:szCs w:val="13"/>
                <w:color w:val="auto"/>
              </w:rPr>
            </w:pPr>
          </w:p>
        </w:tc>
      </w:tr>
      <w:tr>
        <w:trPr>
          <w:trHeight w:val="128"/>
        </w:trPr>
        <w:tc>
          <w:tcPr>
            <w:tcW w:w="3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40" w:type="dxa"/>
            <w:vAlign w:val="bottom"/>
          </w:tcPr>
          <w:p>
            <w:pPr>
              <w:spacing w:after="0"/>
              <w:rPr>
                <w:sz w:val="11"/>
                <w:szCs w:val="11"/>
                <w:color w:val="auto"/>
              </w:rPr>
            </w:pPr>
          </w:p>
        </w:tc>
        <w:tc>
          <w:tcPr>
            <w:tcW w:w="12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3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20" w:type="dxa"/>
            <w:vAlign w:val="bottom"/>
          </w:tcPr>
          <w:p>
            <w:pPr>
              <w:spacing w:after="0"/>
              <w:rPr>
                <w:sz w:val="11"/>
                <w:szCs w:val="11"/>
                <w:color w:val="auto"/>
              </w:rPr>
            </w:pPr>
          </w:p>
        </w:tc>
        <w:tc>
          <w:tcPr>
            <w:tcW w:w="12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r>
      <w:tr>
        <w:trPr>
          <w:trHeight w:val="18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19,019</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w:t>
            </w:r>
          </w:p>
        </w:tc>
      </w:tr>
      <w:tr>
        <w:trPr>
          <w:trHeight w:val="197"/>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180"/>
        </w:trPr>
        <w:tc>
          <w:tcPr>
            <w:tcW w:w="34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Unrealized net (losses) gains arising during the</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1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period from interest rate swap</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180"/>
        </w:trPr>
        <w:tc>
          <w:tcPr>
            <w:tcW w:w="344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6"/>
                <w:szCs w:val="16"/>
                <w:color w:val="auto"/>
              </w:rPr>
              <w:t>Reclassifications of losses (gains) into net</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13"/>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7"/>
        </w:trPr>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9,978</w:t>
            </w: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21,506</w:t>
            </w: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 w:name="page6"/>
    <w:bookmarkEnd w:id="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 POLLO LOCO HOLDINGS,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 (UNAUDITED)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10"/>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Thirteen Weeks Ended September 23, 2020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3"/>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760" w:type="dxa"/>
            <w:vAlign w:val="bottom"/>
            <w:gridSpan w:val="4"/>
            <w:vMerge w:val="restart"/>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3"/>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31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01"/>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1"/>
              <w:spacing w:after="0" w:line="12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2"/>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43"/>
              <w:spacing w:after="0" w:line="128" w:lineRule="exact"/>
              <w:rPr>
                <w:sz w:val="20"/>
                <w:szCs w:val="20"/>
                <w:color w:val="auto"/>
              </w:rPr>
            </w:pPr>
            <w:r>
              <w:rPr>
                <w:rFonts w:ascii="Times New Roman" w:cs="Times New Roman" w:eastAsia="Times New Roman" w:hAnsi="Times New Roman"/>
                <w:sz w:val="13"/>
                <w:szCs w:val="13"/>
                <w:b w:val="1"/>
                <w:bCs w:val="1"/>
                <w:color w:val="auto"/>
                <w:w w:val="99"/>
              </w:rPr>
              <w:t>(Loss) Income</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1"/>
              <w:spacing w:after="0" w:line="12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24, 2020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35,854,122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334,088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256,559</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related to</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Shares repurchased for employee tax</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Forfeiture of common stock related to</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97"/>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23,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36,441,369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338,622</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603"/>
              <w:spacing w:after="0"/>
              <w:rPr>
                <w:sz w:val="20"/>
                <w:szCs w:val="20"/>
                <w:color w:val="auto"/>
              </w:rPr>
            </w:pPr>
            <w:r>
              <w:rPr>
                <w:rFonts w:ascii="Times New Roman" w:cs="Times New Roman" w:eastAsia="Times New Roman" w:hAnsi="Times New Roman"/>
                <w:sz w:val="13"/>
                <w:szCs w:val="13"/>
                <w:b w:val="1"/>
                <w:bCs w:val="1"/>
                <w:color w:val="auto"/>
              </w:rPr>
              <w:t>Thirteen Weeks Ended September 25, 2019</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3"/>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760" w:type="dxa"/>
            <w:vAlign w:val="bottom"/>
            <w:gridSpan w:val="4"/>
            <w:vMerge w:val="restart"/>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3"/>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31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01"/>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41"/>
              <w:spacing w:after="0" w:line="12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2"/>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43"/>
              <w:spacing w:after="0" w:line="12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1"/>
              <w:spacing w:after="0" w:line="12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26,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37,732,948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358,335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262,824</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Shares repurchased for employee tax</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Forfeiture of common stock related to</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(2,825,896)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(29,938)</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25, 2019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34,893,716</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329,047</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(89,486)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240,014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3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0" w:right="1440" w:bottom="1440" w:gutter="0" w:footer="0" w:header="0"/>
        </w:sectPr>
      </w:pPr>
    </w:p>
    <w:bookmarkStart w:id="6" w:name="page7"/>
    <w:bookmarkEnd w:id="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10"/>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Thirty-Nine Weeks Ended September 23, 2020</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720" w:type="dxa"/>
            <w:vAlign w:val="bottom"/>
            <w:gridSpan w:val="4"/>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3"/>
                <w:szCs w:val="13"/>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31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21"/>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1"/>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23"/>
              <w:spacing w:after="0" w:line="128"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25,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35,126,582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245,566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related to</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Shares repurchased for employee tax</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Forfeiture of common stock related to</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197"/>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23,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36,441,369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338,622</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271,076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1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Thirty-Nine Weeks Ended September 25, 2019</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720" w:type="dxa"/>
            <w:vAlign w:val="bottom"/>
            <w:gridSpan w:val="4"/>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
              <w:spacing w:after="0" w:line="136"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4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3"/>
                <w:szCs w:val="13"/>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314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21"/>
              <w:spacing w:after="0" w:line="128"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1"/>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3"/>
              <w:spacing w:after="0" w:line="12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26,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39,009,451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265,236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related to</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Shares repurchased for employee tax</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(4,384,732)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(48,264)</w:t>
            </w: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September 25,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34,893,716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329,047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240,014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0" w:right="1440" w:bottom="1440" w:gutter="0" w:footer="0" w:header="0"/>
        </w:sectPr>
      </w:pPr>
    </w:p>
    <w:bookmarkStart w:id="7" w:name="page8"/>
    <w:bookmarkEnd w:id="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 POLLO LOCO HOLDINGS,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19,019</w:t>
            </w:r>
          </w:p>
        </w:tc>
        <w:tc>
          <w:tcPr>
            <w:tcW w:w="20" w:type="dxa"/>
            <w:vAlign w:val="bottom"/>
          </w:tcPr>
          <w:p>
            <w:pPr>
              <w:spacing w:after="0"/>
              <w:rPr>
                <w:sz w:val="16"/>
                <w:szCs w:val="16"/>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flows provided by operating activities: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13,558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Bad debt expense</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receivable agreement expense (income)</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Loss on disposition of restaurants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favorable and unfavorable leases, net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 net</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and other receivables, net</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(2,527)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Inventories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salaries and vacation</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insurance</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taxes payable</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accrued expenses and liabilities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(9,962)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(21,031)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33,519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31,895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disposition of restaurants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(4,349)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(10,848)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(4,349)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(6,078)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Minimum tax withholdings related to net share settlements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Payments on revolver and swingline loan</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(65,700)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(15,000)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Borrowings on revolver and swingline loan</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common stock upon exercise of stock options, net of expenses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Payment of obligations under finance leases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buybacks</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(47,395)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(7,711)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7"/>
              </w:rPr>
              <w:t>(20,717)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Increase in cash and cash equivalents</w:t>
            </w: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 xml:space="preserve">Cash and cash equivalents, </w:t>
            </w:r>
            <w:r>
              <w:rPr>
                <w:rFonts w:ascii="Times New Roman" w:cs="Times New Roman" w:eastAsia="Times New Roman" w:hAnsi="Times New Roman"/>
                <w:sz w:val="15"/>
                <w:szCs w:val="15"/>
                <w:color w:val="auto"/>
              </w:rPr>
              <w:t>beginning of period</w:t>
            </w:r>
          </w:p>
        </w:tc>
        <w:tc>
          <w:tcPr>
            <w:tcW w:w="4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6,969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 xml:space="preserve">Cash and cash equivalents, </w:t>
            </w:r>
            <w:r>
              <w:rPr>
                <w:rFonts w:ascii="Times New Roman" w:cs="Times New Roman" w:eastAsia="Times New Roman" w:hAnsi="Times New Roman"/>
                <w:sz w:val="15"/>
                <w:szCs w:val="15"/>
                <w:color w:val="auto"/>
              </w:rPr>
              <w:t>end of period</w:t>
            </w:r>
          </w:p>
        </w:tc>
        <w:tc>
          <w:tcPr>
            <w:tcW w:w="4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29,529</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12,069</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Cash paid during the period for interest</w:t>
            </w:r>
          </w:p>
        </w:tc>
        <w:tc>
          <w:tcPr>
            <w:tcW w:w="780" w:type="dxa"/>
            <w:vAlign w:val="bottom"/>
            <w:gridSpan w:val="3"/>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w:t>
            </w:r>
          </w:p>
        </w:tc>
        <w:tc>
          <w:tcPr>
            <w:tcW w:w="20" w:type="dxa"/>
            <w:vAlign w:val="bottom"/>
          </w:tcPr>
          <w:p>
            <w:pPr>
              <w:spacing w:after="0"/>
              <w:rPr>
                <w:sz w:val="19"/>
                <w:szCs w:val="19"/>
                <w:color w:val="auto"/>
              </w:rPr>
            </w:pPr>
          </w:p>
        </w:tc>
        <w:tc>
          <w:tcPr>
            <w:tcW w:w="800" w:type="dxa"/>
            <w:vAlign w:val="bottom"/>
            <w:gridSpan w:val="3"/>
          </w:tcPr>
          <w:p>
            <w:pPr>
              <w:jc w:val="right"/>
              <w:ind w:right="572"/>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74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1,632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268</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Unpaid purchases of property and equipment</w:t>
            </w:r>
          </w:p>
        </w:tc>
        <w:tc>
          <w:tcPr>
            <w:tcW w:w="7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74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gridSpan w:val="2"/>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881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gridSpan w:val="2"/>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2,577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Unpaid stock buybacks</w:t>
            </w:r>
          </w:p>
        </w:tc>
        <w:tc>
          <w:tcPr>
            <w:tcW w:w="4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1,004</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 w:name="page9"/>
    <w:bookmarkEnd w:id="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 POLLO LOCO HOLDINGS,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210" w:lineRule="exact"/>
        <w:rPr>
          <w:sz w:val="20"/>
          <w:szCs w:val="20"/>
          <w:color w:val="auto"/>
        </w:rPr>
      </w:pPr>
    </w:p>
    <w:p>
      <w:pPr>
        <w:ind w:left="40" w:right="2039" w:firstLine="3"/>
        <w:spacing w:after="0" w:line="516" w:lineRule="auto"/>
        <w:tabs>
          <w:tab w:leader="none" w:pos="204"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Overview</w:t>
      </w:r>
    </w:p>
    <w:p>
      <w:pPr>
        <w:spacing w:after="0" w:line="1"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23, 2020, the Company operated 196 and franchised 282 El Pollo Loco restaurants.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1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25, 2019.</w:t>
      </w:r>
    </w:p>
    <w:p>
      <w:pPr>
        <w:spacing w:after="0" w:line="169"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2020 is a 53-week year ending on December 30, 2020, and fiscal 2019 was a 52-week year ending on December 25, 2019. Revenues, expenses, and other financial and operational figures may be elevated in a 53-week year.</w:t>
      </w:r>
    </w:p>
    <w:p>
      <w:pPr>
        <w:spacing w:after="0" w:line="162"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6"/>
          <w:szCs w:val="16"/>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accompanying condensed consolidated financial statements include the accounts of Holdings and its wholly owned subsidiaries.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All intercompany balances and transactions have been eliminated in consolidation.</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14"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 w:name="page10"/>
    <w:bookmarkEnd w:id="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COVID-19</w:t>
      </w:r>
    </w:p>
    <w:p>
      <w:pPr>
        <w:spacing w:after="0" w:line="214"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On January 30, 2020, the World Health Organization (“WHO”) announced a global health emergency because of a new strain of coronavirus originating in Wuhan, China ("COVID-19") and the risks to the international community as the virus spreads globally beyond its point of origin. On March 11, 2020, the WHO classified the COVID-19 outbreak as a pandemic, based on the rapid increase in exposure globally.</w:t>
      </w:r>
    </w:p>
    <w:p>
      <w:pPr>
        <w:spacing w:after="0" w:line="15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 xml:space="preserve">The COVID-19 pandemic has significantly disrupted consumer demand, as well as the Company’s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In May 2020, the “stay at home” directive was modified in most areas in which the Company operates, allowing for the opening of lower-risk workplaces, including restaurants, but with restrictions such as limited capacity. However, in July a surge in the COVID-19 pandemic caused many state and local governments to re-implement certain additional restrictions to try and contain the spread of the virus. As of September 23, 2020, the majority of the Company’s restaurants were permitted to be open with limited capacity; however, while most of the Company’s markets outside of California have dining rooms open at a limited capacity, the majority of the Company’s restaurants in California are continuing to operate on a take-away, mobile pick-up and delivery basis, as well as maintaining drive-thru operations where available, </w:t>
      </w:r>
      <w:r>
        <w:rPr>
          <w:rFonts w:ascii="Times New Roman" w:cs="Times New Roman" w:eastAsia="Times New Roman" w:hAnsi="Times New Roman"/>
          <w:sz w:val="16"/>
          <w:szCs w:val="16"/>
          <w:color w:val="212529"/>
        </w:rPr>
        <w:t>in order to protect their employees</w:t>
      </w:r>
      <w:r>
        <w:rPr>
          <w:rFonts w:ascii="Times New Roman" w:cs="Times New Roman" w:eastAsia="Times New Roman" w:hAnsi="Times New Roman"/>
          <w:sz w:val="16"/>
          <w:szCs w:val="16"/>
          <w:color w:val="auto"/>
        </w:rPr>
        <w:t xml:space="preserve"> and customers from the spread of the COVID-19 pandemic and to comply with the government mandates. Due to the impact of the COVID-19 pandemic, during the thirteen and thirty-nine weeks ended September 23, 2020, we temporarily closed 40 restaurants and 65 restaurants, respectively, of which all but three have reopened as of September 23, 2020. Similarly, during the thirteen and thirty-nine weeks ended September 23, 2020, franchisees temporarily closed 15 restaurants and 36 restaurants, respectively, of which all but three have reopened as of September 23, 2020. As of September 23, 2020, the Company had not permanently closed any restaurants due to the COVID-19 pandemic.</w:t>
      </w:r>
    </w:p>
    <w:p>
      <w:pPr>
        <w:spacing w:after="0" w:line="368"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The full impact of the COVID-19 outbreak continues to evolve as of the date of this report. Management has taken precautionary actions, such as initially drawing on its 2018 Revolver, which has since been paid down (see Note 4), temporarily suspending all but essential capital spending and share repurchase activity, reevaluating essential support center general and administrative expenses and fine-tuning its restaurant labor model based on indoor dining room restrictions, limited dining room capacity in restaurants located in geographies where indoor dining is permitted, dining room closures and fluctuating sales volumes. Additionally, management delayed making April, May and June rent payments on the majority of its leased properties and has reached agreements for rent abatement and/or deferment with the Company’s landlords for those properties. See Note 5 “Other Accrued Expenses and Current Liabilities” and Note 6 “Other Noncurrent Liabilities” for details of these balances. For our franchisees, we deferred 50% of their April royalties until July 1, 2020, when such royalties began to be repaid in even monthly installments over the remainder of fiscal 2020. In addition, we deferred 100% of our franchisees’ 2020 remodel and new restaurant build requirements until 2021 Management is continually evaluating the impact of the global crisis on its financial condition, liquidity, operations, suppliers, industry, and workforce and will take additional actions as necessary. The disruption in operations led to the Company considering the impact of the COVID-19 pandemic on its liquidity, debt covenant compliance, and recoverability of long-lived and ROU assets, goodwill and intangible assets, among others. If these disruptions to the Company’s operations from the COVID-19 pandemic continue or worsen, they may have a material negative impact on the Company’s consolidated financial condition, future results of operations and liquidity. The extent of such negative impact will depend, in part, on the longevity and severity of the COVID-19 pandemic.</w:t>
      </w:r>
    </w:p>
    <w:p>
      <w:pPr>
        <w:spacing w:after="0" w:line="171" w:lineRule="exact"/>
        <w:rPr>
          <w:sz w:val="20"/>
          <w:szCs w:val="20"/>
          <w:color w:val="auto"/>
        </w:rPr>
      </w:pPr>
    </w:p>
    <w:p>
      <w:pPr>
        <w:ind w:left="40" w:right="179"/>
        <w:spacing w:after="0" w:line="270" w:lineRule="auto"/>
        <w:rPr>
          <w:sz w:val="20"/>
          <w:szCs w:val="20"/>
          <w:color w:val="auto"/>
        </w:rPr>
      </w:pPr>
      <w:r>
        <w:rPr>
          <w:rFonts w:ascii="Times New Roman" w:cs="Times New Roman" w:eastAsia="Times New Roman" w:hAnsi="Times New Roman"/>
          <w:sz w:val="16"/>
          <w:szCs w:val="16"/>
          <w:color w:val="auto"/>
        </w:rPr>
        <w:t>Due to the rapid development and fluidity of this situation, the Company cannot determine the ultimate impact that the COVID-19 pandemic will have on the Company’s consolidated financial condition, liquidity, and future results of operations, and therefore any prediction as to the ultimate materiality of the adverse impact on the Company’s consolidated financial condition, liquidity, and future results of operations is uncertain.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Subsequent Events</w:t>
      </w:r>
    </w:p>
    <w:p>
      <w:pPr>
        <w:spacing w:after="0" w:line="214" w:lineRule="exact"/>
        <w:rPr>
          <w:sz w:val="20"/>
          <w:szCs w:val="20"/>
          <w:color w:val="auto"/>
        </w:rPr>
      </w:pPr>
    </w:p>
    <w:p>
      <w:pPr>
        <w:ind w:left="40" w:right="199"/>
        <w:spacing w:after="0" w:line="276" w:lineRule="auto"/>
        <w:rPr>
          <w:sz w:val="20"/>
          <w:szCs w:val="20"/>
          <w:color w:val="auto"/>
        </w:rPr>
      </w:pPr>
      <w:r>
        <w:rPr>
          <w:rFonts w:ascii="Times New Roman" w:cs="Times New Roman" w:eastAsia="Times New Roman" w:hAnsi="Times New Roman"/>
          <w:sz w:val="16"/>
          <w:szCs w:val="16"/>
          <w:color w:val="auto"/>
        </w:rPr>
        <w:t>Subsequent to September 23, 2020, the Company has temporarily closed eight restaurants, typically for one to three days, and franchisees have not temporarily closed any restaurants. As of October 29, 2020, two company-operated and three franchise locations remained closed.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 w:name="page11"/>
    <w:bookmarkEnd w:id="1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99"/>
        <w:spacing w:after="0" w:line="296" w:lineRule="auto"/>
        <w:rPr>
          <w:sz w:val="20"/>
          <w:szCs w:val="20"/>
          <w:color w:val="auto"/>
        </w:rPr>
      </w:pPr>
      <w:r>
        <w:rPr>
          <w:rFonts w:ascii="Times New Roman" w:cs="Times New Roman" w:eastAsia="Times New Roman" w:hAnsi="Times New Roman"/>
          <w:sz w:val="16"/>
          <w:szCs w:val="16"/>
          <w:color w:val="auto"/>
        </w:rPr>
        <w:t>Subsequent to September 23, 2020, the Company made a voluntary $28.0 million pre-payment on its 2018 Revolver. As of October 30, 2020, the Company had $55.8 million in outstanding borrowings under the 2018 Revolver and $85.8 million in borrowing availability.</w:t>
      </w:r>
    </w:p>
    <w:p>
      <w:pPr>
        <w:spacing w:after="0" w:line="137" w:lineRule="exact"/>
        <w:rPr>
          <w:sz w:val="20"/>
          <w:szCs w:val="20"/>
          <w:color w:val="auto"/>
        </w:rPr>
      </w:pPr>
    </w:p>
    <w:p>
      <w:pPr>
        <w:ind w:left="40" w:right="239"/>
        <w:spacing w:after="0" w:line="276" w:lineRule="auto"/>
        <w:rPr>
          <w:sz w:val="20"/>
          <w:szCs w:val="20"/>
          <w:color w:val="auto"/>
        </w:rPr>
      </w:pPr>
      <w:r>
        <w:rPr>
          <w:rFonts w:ascii="Times New Roman" w:cs="Times New Roman" w:eastAsia="Times New Roman" w:hAnsi="Times New Roman"/>
          <w:sz w:val="16"/>
          <w:szCs w:val="16"/>
          <w:color w:val="auto"/>
        </w:rPr>
        <w:t>The Company has evaluated subsequent events that have occurred after September 23, 2020, and determined that there were no other events or transactions occurring during this reporting period that require recognition or disclosure in the condensed consolidated financial statements.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214" w:lineRule="exact"/>
        <w:rPr>
          <w:sz w:val="20"/>
          <w:szCs w:val="20"/>
          <w:color w:val="auto"/>
        </w:rPr>
      </w:pPr>
    </w:p>
    <w:p>
      <w:pPr>
        <w:ind w:left="40" w:right="379"/>
        <w:spacing w:after="0" w:line="296" w:lineRule="auto"/>
        <w:rPr>
          <w:sz w:val="20"/>
          <w:szCs w:val="20"/>
          <w:color w:val="auto"/>
        </w:rPr>
      </w:pPr>
      <w:r>
        <w:rPr>
          <w:rFonts w:ascii="Times New Roman" w:cs="Times New Roman" w:eastAsia="Times New Roman" w:hAnsi="Times New Roman"/>
          <w:sz w:val="16"/>
          <w:szCs w:val="16"/>
          <w:color w:val="auto"/>
        </w:rPr>
        <w:t>The Company considers all highly-liquid instruments with an original maturity of three months or less at the date of purchase to be cash equivalents.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214" w:lineRule="exact"/>
        <w:rPr>
          <w:sz w:val="20"/>
          <w:szCs w:val="20"/>
          <w:color w:val="auto"/>
        </w:rPr>
      </w:pPr>
    </w:p>
    <w:p>
      <w:pPr>
        <w:ind w:left="40" w:right="179"/>
        <w:spacing w:after="0" w:line="268" w:lineRule="auto"/>
        <w:rPr>
          <w:sz w:val="20"/>
          <w:szCs w:val="20"/>
          <w:color w:val="auto"/>
        </w:rPr>
      </w:pPr>
      <w:r>
        <w:rPr>
          <w:rFonts w:ascii="Times New Roman" w:cs="Times New Roman" w:eastAsia="Times New Roman" w:hAnsi="Times New Roman"/>
          <w:sz w:val="16"/>
          <w:szCs w:val="16"/>
          <w:color w:val="auto"/>
        </w:rPr>
        <w:t>The Company’s principal liquidity and capital requirements are new restaurants, existing restaurant capital investments (remodels and maintenance), interest payments on our debt, lease obligations and working capital and general corporate needs. At</w:t>
      </w:r>
    </w:p>
    <w:p>
      <w:pPr>
        <w:ind w:left="40" w:right="159"/>
        <w:spacing w:after="0" w:line="259" w:lineRule="auto"/>
        <w:rPr>
          <w:sz w:val="20"/>
          <w:szCs w:val="20"/>
          <w:color w:val="auto"/>
        </w:rPr>
      </w:pPr>
      <w:r>
        <w:rPr>
          <w:rFonts w:ascii="Times New Roman" w:cs="Times New Roman" w:eastAsia="Times New Roman" w:hAnsi="Times New Roman"/>
          <w:sz w:val="16"/>
          <w:szCs w:val="16"/>
          <w:color w:val="auto"/>
        </w:rPr>
        <w:t xml:space="preserve">September 23, 2020, the Company’s total debt was $83.8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$29.5 million at September 23, 2020 will be adequate to meet the Company’s liquidity needs for the next twelve months from the date of filing of these condensed consolidated financial statements. However, </w:t>
      </w:r>
      <w:r>
        <w:rPr>
          <w:rFonts w:ascii="Times New Roman" w:cs="Times New Roman" w:eastAsia="Times New Roman" w:hAnsi="Times New Roman"/>
          <w:sz w:val="16"/>
          <w:szCs w:val="16"/>
          <w:color w:val="212529"/>
        </w:rPr>
        <w:t>depending on the severity and longevity of the COVID-19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pandemic, </w:t>
      </w:r>
      <w:r>
        <w:rPr>
          <w:rFonts w:ascii="Times New Roman" w:cs="Times New Roman" w:eastAsia="Times New Roman" w:hAnsi="Times New Roman"/>
          <w:sz w:val="16"/>
          <w:szCs w:val="16"/>
          <w:color w:val="000000"/>
        </w:rPr>
        <w:t>the Company’s financial performance and liquidity could be further impacted and could impact the Company’s ability to</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meet certain covenants required in its 2018 Credit Agreement (as defined below), specifically the lease-adjusted coverage ratio and fixed-charge coverage ratio.</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Gain on Recovery of Insurance Proceeds, Lost Profits</w:t>
      </w:r>
    </w:p>
    <w:p>
      <w:pPr>
        <w:spacing w:after="0" w:line="214" w:lineRule="exact"/>
        <w:rPr>
          <w:sz w:val="20"/>
          <w:szCs w:val="20"/>
          <w:color w:val="auto"/>
        </w:rPr>
      </w:pPr>
    </w:p>
    <w:p>
      <w:pPr>
        <w:jc w:val="both"/>
        <w:ind w:left="40" w:right="159"/>
        <w:spacing w:after="0" w:line="276" w:lineRule="auto"/>
        <w:rPr>
          <w:sz w:val="20"/>
          <w:szCs w:val="20"/>
          <w:color w:val="auto"/>
        </w:rPr>
      </w:pPr>
      <w:r>
        <w:rPr>
          <w:rFonts w:ascii="Times New Roman" w:cs="Times New Roman" w:eastAsia="Times New Roman" w:hAnsi="Times New Roman"/>
          <w:sz w:val="16"/>
          <w:szCs w:val="16"/>
          <w:color w:val="auto"/>
        </w:rPr>
        <w:t>During the thirteen and thirty-nine weeks ended September 23, 2020, the Company received business interruption insurance proceeds of $2.0 million, primarily related to restaurant sales losses and expenses related to the COVID-19 pandemic and resulting dining room closures.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Recovery of Securities Class Action Legal Expenses and Other Insurance Claims</w:t>
      </w:r>
    </w:p>
    <w:p>
      <w:pPr>
        <w:spacing w:after="0" w:line="214" w:lineRule="exact"/>
        <w:rPr>
          <w:sz w:val="20"/>
          <w:szCs w:val="20"/>
          <w:color w:val="auto"/>
        </w:rPr>
      </w:pPr>
    </w:p>
    <w:p>
      <w:pPr>
        <w:ind w:left="40" w:right="59"/>
        <w:spacing w:after="0" w:line="276" w:lineRule="auto"/>
        <w:rPr>
          <w:sz w:val="20"/>
          <w:szCs w:val="20"/>
          <w:color w:val="auto"/>
        </w:rPr>
      </w:pPr>
      <w:r>
        <w:rPr>
          <w:rFonts w:ascii="Times New Roman" w:cs="Times New Roman" w:eastAsia="Times New Roman" w:hAnsi="Times New Roman"/>
          <w:sz w:val="16"/>
          <w:szCs w:val="16"/>
          <w:color w:val="auto"/>
        </w:rPr>
        <w:t>During the thirty-nine weeks ended September 23, 2020, the Company received insurance proceeds of $0.1 million related to a property claim. During the thirty-nine weeks ended September 25, 2019, the Company received insurance proceeds of $10.0 million related to the settlement of a securities class action lawsuit. See Note 7, “Commitments and Contingencies, Legal Matters.”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Loss on Disposition of Restaurants</w:t>
      </w:r>
    </w:p>
    <w:p>
      <w:pPr>
        <w:spacing w:after="0" w:line="214"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6"/>
          <w:szCs w:val="16"/>
          <w:color w:val="auto"/>
        </w:rPr>
        <w:t>During the thirty-nine weeks ended September 25, 2019, the Company completed the sale of four company-operated restaurants within the San Francisco area to an existing franchisee and seven company-operated restaurants in the Phoenix area to another existing franchisee. The Company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 w:name="page12"/>
    <w:bookmarkEnd w:id="1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419"/>
        <w:spacing w:after="0" w:line="276" w:lineRule="auto"/>
        <w:rPr>
          <w:sz w:val="20"/>
          <w:szCs w:val="20"/>
          <w:color w:val="auto"/>
        </w:rPr>
      </w:pPr>
      <w:r>
        <w:rPr>
          <w:rFonts w:ascii="Times New Roman" w:cs="Times New Roman" w:eastAsia="Times New Roman" w:hAnsi="Times New Roman"/>
          <w:sz w:val="16"/>
          <w:szCs w:val="16"/>
          <w:color w:val="auto"/>
        </w:rPr>
        <w:t>These sales resulted in cash proceeds of $4.8 million and a net loss on sale of restaurants of $5.1 million for the thirty-nine weeks ended September 25, 2019. These restaurants have been included in the total number of franchised El Pollo Loco restaurants since completion of their sales.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14"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color w:val="auto"/>
        </w:rPr>
        <w:t>In March 2020, the Financial Accounting Standards Board ("FASB") issued Accounting Standards Update ("ASU") No. 2020-04, "Reference Rate Reform (Topic 848): Facilitation of the Effects of Reference Rate Reform on Financial Reporting," which provides optional guidance, for a limited time, to ease the potential burden in accounting for or recognizing the effects of reference rate reform on financial reporting. ASU 2020-04 is effective for a limited time, from March 12, 2020, through December 31, 2022. The Company adopted this ASU on March 12, 2020. The adoption of ASU 2020-04 did not have a significant impact on the Company’s consolidated financial position or results of operations.</w:t>
      </w:r>
    </w:p>
    <w:p>
      <w:pPr>
        <w:spacing w:after="0" w:line="164"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color w:val="auto"/>
        </w:rPr>
        <w:t>In February 2018, the FASB issued ASU No. 2018-13, "Fair Value Measurement (Topic 820): Disclosure Framework—Changes to the Disclosure Requirements for Fair Value Measurement," which finalizes proposed ASU No. 2015-350, and of the same name as part of its disclosure framework project, which focuses on improving the effectiveness of disclosures in the notes to financial statements by facilitating clear communication of the information required by U.S. GAAP that is most important to users of each entity’s financial statements. The Company adopted ASU No. 2018-13 during the first quarter of 2020. The adoption of ASU 2018-13 did not have a significant impact on the Company’s consolidated financial position or results of operations.</w:t>
      </w:r>
    </w:p>
    <w:p>
      <w:pPr>
        <w:spacing w:after="0" w:line="164"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Measurement of Credit Losses on Financial Instruments," which finalizes proposed ASU No. 2012-260 "Financial Instruments—Credit Losses (Subtopic 825-15)" and adds Topic 326 "Financial Instruments—Credit Losses",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inform credit loss estimates. The Company adopted ASU No. 2016-13 during the first quarter of 2020. The adoption of ASU 2016-03 did not have a significant impact on the Company’s consolidated financial position or results of operations.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Accounting Pronouncements Not Yet Adopted</w:t>
      </w:r>
    </w:p>
    <w:p>
      <w:pPr>
        <w:spacing w:after="0" w:line="214" w:lineRule="exact"/>
        <w:rPr>
          <w:sz w:val="20"/>
          <w:szCs w:val="20"/>
          <w:color w:val="auto"/>
        </w:rPr>
      </w:pPr>
    </w:p>
    <w:p>
      <w:pPr>
        <w:ind w:left="40" w:right="199"/>
        <w:spacing w:after="0" w:line="270" w:lineRule="auto"/>
        <w:rPr>
          <w:sz w:val="20"/>
          <w:szCs w:val="20"/>
          <w:color w:val="auto"/>
        </w:rPr>
      </w:pPr>
      <w:r>
        <w:rPr>
          <w:rFonts w:ascii="Times New Roman" w:cs="Times New Roman" w:eastAsia="Times New Roman" w:hAnsi="Times New Roman"/>
          <w:sz w:val="16"/>
          <w:szCs w:val="16"/>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adoption of ASU 2019-12 is not expected to have a significant impact on the Company’s consolidated financial position or results of operations.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Concentration of Risk</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Cash and cash equivalents are maintained at financial institutions and, at times, these balances may exceed federally-insured limits. The Company has never experienced any losses related to these balances.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had no supplier to whom amounts due totaled more than 10% of the Company’s accounts payable at</w:t>
      </w:r>
    </w:p>
    <w:p>
      <w:pPr>
        <w:spacing w:after="0" w:line="3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September 23, 2020. At December 25, 2019, the Company had one supplier to whom amounts due totaled 11.7% of the Company’s accounts payable. Purchases from the Company’s largest supplier totaled 26.7% and 26.8% of total expenses for the thirteen and thirty-nine weeks ended September 23, 2020, respectively, and 29.0% and 28.9% of total expenses for the thirteen and thirty-nine weeks ended September 25, 2019.</w:t>
      </w:r>
    </w:p>
    <w:p>
      <w:pPr>
        <w:spacing w:after="0" w:line="164" w:lineRule="exact"/>
        <w:rPr>
          <w:sz w:val="20"/>
          <w:szCs w:val="20"/>
          <w:color w:val="auto"/>
        </w:rPr>
      </w:pPr>
    </w:p>
    <w:p>
      <w:pPr>
        <w:jc w:val="both"/>
        <w:ind w:left="40" w:right="299"/>
        <w:spacing w:after="0" w:line="276" w:lineRule="auto"/>
        <w:rPr>
          <w:sz w:val="20"/>
          <w:szCs w:val="20"/>
          <w:color w:val="auto"/>
        </w:rPr>
      </w:pPr>
      <w:r>
        <w:rPr>
          <w:rFonts w:ascii="Times New Roman" w:cs="Times New Roman" w:eastAsia="Times New Roman" w:hAnsi="Times New Roman"/>
          <w:sz w:val="16"/>
          <w:szCs w:val="16"/>
          <w:color w:val="auto"/>
        </w:rPr>
        <w:t>Company-operated and franchised restaurants in the greater Los Angeles area generated, in the aggregate, approximately 71.2% and 71.5% of total revenue for the thirteen and thirty-nine weeks ended September 23, 2020, respectively, and 71.5% and 70.0% for the thirteen and thirty-nine weeks ended September 25, 2019.</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2" w:name="page13"/>
    <w:bookmarkEnd w:id="1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Goodwill and Indefinite Lived Intangible Assets</w:t>
      </w:r>
    </w:p>
    <w:p>
      <w:pPr>
        <w:spacing w:after="0" w:line="214" w:lineRule="exact"/>
        <w:rPr>
          <w:sz w:val="20"/>
          <w:szCs w:val="20"/>
          <w:color w:val="auto"/>
        </w:rPr>
      </w:pPr>
    </w:p>
    <w:p>
      <w:pPr>
        <w:ind w:left="40" w:right="299"/>
        <w:spacing w:after="0" w:line="276" w:lineRule="auto"/>
        <w:rPr>
          <w:sz w:val="20"/>
          <w:szCs w:val="20"/>
          <w:color w:val="auto"/>
        </w:rPr>
      </w:pPr>
      <w:r>
        <w:rPr>
          <w:rFonts w:ascii="Times New Roman" w:cs="Times New Roman" w:eastAsia="Times New Roman" w:hAnsi="Times New Roman"/>
          <w:sz w:val="16"/>
          <w:szCs w:val="16"/>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53"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6"/>
          <w:szCs w:val="16"/>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during the thirteen and thirty-nine weeks ended September 25, 2019.</w:t>
      </w:r>
    </w:p>
    <w:p>
      <w:pPr>
        <w:spacing w:after="0" w:line="157" w:lineRule="exact"/>
        <w:rPr>
          <w:sz w:val="20"/>
          <w:szCs w:val="20"/>
          <w:color w:val="auto"/>
        </w:rPr>
      </w:pPr>
    </w:p>
    <w:p>
      <w:pPr>
        <w:ind w:left="40" w:right="459"/>
        <w:spacing w:after="0" w:line="296" w:lineRule="auto"/>
        <w:rPr>
          <w:sz w:val="20"/>
          <w:szCs w:val="20"/>
          <w:color w:val="auto"/>
        </w:rPr>
      </w:pPr>
      <w:r>
        <w:rPr>
          <w:rFonts w:ascii="Times New Roman" w:cs="Times New Roman" w:eastAsia="Times New Roman" w:hAnsi="Times New Roman"/>
          <w:sz w:val="16"/>
          <w:szCs w:val="16"/>
          <w:color w:val="auto"/>
        </w:rPr>
        <w:t>The Company performs an annual impairment test for goodwill during the fourth fiscal quarter of each year, or more frequently if impairment indicators arise.</w:t>
      </w:r>
    </w:p>
    <w:p>
      <w:pPr>
        <w:spacing w:after="0" w:line="137"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66"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6"/>
          <w:szCs w:val="16"/>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57" w:lineRule="exact"/>
        <w:rPr>
          <w:sz w:val="20"/>
          <w:szCs w:val="20"/>
          <w:color w:val="auto"/>
        </w:rPr>
      </w:pPr>
    </w:p>
    <w:p>
      <w:pPr>
        <w:ind w:left="40" w:right="279"/>
        <w:spacing w:after="0" w:line="276" w:lineRule="auto"/>
        <w:rPr>
          <w:sz w:val="20"/>
          <w:szCs w:val="20"/>
          <w:color w:val="auto"/>
        </w:rPr>
      </w:pPr>
      <w:r>
        <w:rPr>
          <w:rFonts w:ascii="Times New Roman" w:cs="Times New Roman" w:eastAsia="Times New Roman" w:hAnsi="Times New Roman"/>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53"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Due to the recent impact of the COVID-19 pandemic to the global economy, including but not limited to, the volatility of the Company’s stock price as well as that of its competitors and the challenging environment for the restaurant industry generally, the Company determined that there were indicators of potential impairment of its goodwill and indefinite-lived intangible assets during the thirteen and thirty-nine weeks ended September 23, 2020. As such, the Company performed an impairment assessment for both goodwill and indefinite-lived intangible assets and concluded that the fair value of these assets substantially exceeded their carrying values. Accordingly, the Company did not record any impairment to its goodwill or indefinite-lived intangible assets during the thirteen and thirty-nine weeks ended September 23, 2020. T</w:t>
      </w:r>
      <w:r>
        <w:rPr>
          <w:rFonts w:ascii="Times New Roman" w:cs="Times New Roman" w:eastAsia="Times New Roman" w:hAnsi="Times New Roman"/>
          <w:sz w:val="16"/>
          <w:szCs w:val="16"/>
          <w:color w:val="212529"/>
        </w:rPr>
        <w:t>he ultimate severity and longevity of the COVID-19 pandemic is unknown,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therefore, </w:t>
      </w:r>
      <w:r>
        <w:rPr>
          <w:rFonts w:ascii="Times New Roman" w:cs="Times New Roman" w:eastAsia="Times New Roman" w:hAnsi="Times New Roman"/>
          <w:sz w:val="16"/>
          <w:szCs w:val="16"/>
          <w:color w:val="000000"/>
        </w:rPr>
        <w:t>it is possible that impairments could be identified in future periods, and such amounts could be material.</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214" w:lineRule="exact"/>
        <w:rPr>
          <w:sz w:val="20"/>
          <w:szCs w:val="20"/>
          <w:color w:val="auto"/>
        </w:rPr>
      </w:pPr>
    </w:p>
    <w:p>
      <w:pPr>
        <w:ind w:left="40" w:right="439"/>
        <w:spacing w:after="0" w:line="276"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53" w:lineRule="exact"/>
        <w:rPr>
          <w:sz w:val="20"/>
          <w:szCs w:val="20"/>
          <w:color w:val="auto"/>
        </w:rPr>
      </w:pPr>
    </w:p>
    <w:p>
      <w:pPr>
        <w:ind w:left="660" w:hanging="297"/>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Quoted prices for identical instruments in active markets.</w:t>
      </w:r>
    </w:p>
    <w:p>
      <w:pPr>
        <w:spacing w:after="0" w:line="209" w:lineRule="exact"/>
        <w:rPr>
          <w:rFonts w:ascii="Times New Roman" w:cs="Times New Roman" w:eastAsia="Times New Roman" w:hAnsi="Times New Roman"/>
          <w:sz w:val="16"/>
          <w:szCs w:val="16"/>
          <w:color w:val="auto"/>
        </w:rPr>
      </w:pPr>
    </w:p>
    <w:p>
      <w:pPr>
        <w:ind w:left="660" w:right="439" w:hanging="297"/>
        <w:spacing w:after="0" w:line="296"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3" w:name="page14"/>
    <w:bookmarkEnd w:id="1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hanging="297"/>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Unobservable inputs used when little or no market data is available.</w:t>
      </w:r>
    </w:p>
    <w:p>
      <w:pPr>
        <w:spacing w:after="0" w:line="210" w:lineRule="exact"/>
        <w:rPr>
          <w:sz w:val="20"/>
          <w:szCs w:val="20"/>
          <w:color w:val="auto"/>
        </w:rPr>
      </w:pPr>
    </w:p>
    <w:p>
      <w:pPr>
        <w:ind w:left="40" w:right="140"/>
        <w:spacing w:after="0" w:line="264" w:lineRule="auto"/>
        <w:rPr>
          <w:sz w:val="20"/>
          <w:szCs w:val="20"/>
          <w:color w:val="auto"/>
        </w:rPr>
      </w:pPr>
      <w:r>
        <w:rPr>
          <w:rFonts w:ascii="Times New Roman" w:cs="Times New Roman" w:eastAsia="Times New Roman" w:hAnsi="Times New Roman"/>
          <w:sz w:val="16"/>
          <w:szCs w:val="16"/>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See Note 4. “Long-Term Debt" for further discussion regarding our interest rate swaps. The following table presents fair value for the interest rate swap at September 23, 2020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ind w:left="489"/>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1"/>
                <w:szCs w:val="11"/>
                <w:color w:val="auto"/>
              </w:rPr>
            </w:pPr>
          </w:p>
        </w:tc>
        <w:tc>
          <w:tcPr>
            <w:tcW w:w="102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40" w:type="dxa"/>
            <w:vAlign w:val="bottom"/>
          </w:tcPr>
          <w:p>
            <w:pPr>
              <w:spacing w:after="0"/>
              <w:rPr>
                <w:sz w:val="11"/>
                <w:szCs w:val="11"/>
                <w:color w:val="auto"/>
              </w:rPr>
            </w:pPr>
          </w:p>
        </w:tc>
        <w:tc>
          <w:tcPr>
            <w:tcW w:w="7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8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fair value for the interest rate swap at December 25, 2019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ind w:left="469"/>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3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06"/>
              <w:spacing w:after="0" w:line="128"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 Interest rate swap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right="140"/>
        <w:spacing w:after="0" w:line="276" w:lineRule="auto"/>
        <w:rPr>
          <w:sz w:val="20"/>
          <w:szCs w:val="20"/>
          <w:color w:val="auto"/>
        </w:rPr>
      </w:pPr>
      <w:r>
        <w:rPr>
          <w:rFonts w:ascii="Times New Roman" w:cs="Times New Roman" w:eastAsia="Times New Roman" w:hAnsi="Times New Roman"/>
          <w:sz w:val="16"/>
          <w:szCs w:val="16"/>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53" w:lineRule="exact"/>
        <w:rPr>
          <w:sz w:val="20"/>
          <w:szCs w:val="20"/>
          <w:color w:val="auto"/>
        </w:rPr>
      </w:pPr>
    </w:p>
    <w:p>
      <w:pPr>
        <w:ind w:left="40" w:right="160"/>
        <w:spacing w:after="0" w:line="270" w:lineRule="auto"/>
        <w:rPr>
          <w:sz w:val="20"/>
          <w:szCs w:val="20"/>
          <w:color w:val="auto"/>
        </w:rPr>
      </w:pPr>
      <w:r>
        <w:rPr>
          <w:rFonts w:ascii="Times New Roman" w:cs="Times New Roman" w:eastAsia="Times New Roman" w:hAnsi="Times New Roman"/>
          <w:sz w:val="16"/>
          <w:szCs w:val="16"/>
          <w:color w:val="auto"/>
        </w:rPr>
        <w:t>The following non-financial instruments were measured at fair value, on a nonrecurring basis, as of and for the thirteen and thirty-nine weeks ended September 23, 2020, reflecting certain property and equipment assets and right-of-use (“ROU”) assets, for which an impairment loss was recognized during the corresponding periods, as discussed immediately below under "Impairment of Long-Lived Assets and ROU Assets."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gridSpan w:val="7"/>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 Measurements at September 23, 2020 Using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Thirteen Weeks</w:t>
            </w:r>
          </w:p>
        </w:tc>
        <w:tc>
          <w:tcPr>
            <w:tcW w:w="120" w:type="dxa"/>
            <w:vAlign w:val="bottom"/>
          </w:tcPr>
          <w:p>
            <w:pPr>
              <w:spacing w:after="0"/>
              <w:rPr>
                <w:sz w:val="12"/>
                <w:szCs w:val="12"/>
                <w:color w:val="auto"/>
              </w:rPr>
            </w:pPr>
          </w:p>
        </w:tc>
        <w:tc>
          <w:tcPr>
            <w:tcW w:w="16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9"/>
              </w:rPr>
              <w:t>Thirty-Nine Weeks</w:t>
            </w: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restart"/>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Ended September 23, 2020</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Ended September 23, 2020</w:t>
            </w:r>
          </w:p>
        </w:tc>
        <w:tc>
          <w:tcPr>
            <w:tcW w:w="0" w:type="dxa"/>
            <w:vAlign w:val="bottom"/>
          </w:tcPr>
          <w:p>
            <w:pPr>
              <w:spacing w:after="0"/>
              <w:rPr>
                <w:sz w:val="1"/>
                <w:szCs w:val="1"/>
                <w:color w:val="auto"/>
              </w:rPr>
            </w:pPr>
          </w:p>
        </w:tc>
      </w:tr>
      <w:tr>
        <w:trPr>
          <w:trHeight w:val="128"/>
        </w:trPr>
        <w:tc>
          <w:tcPr>
            <w:tcW w:w="14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63"/>
              <w:spacing w:after="0" w:line="12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center"/>
              <w:ind w:right="8"/>
              <w:spacing w:after="0" w:line="128" w:lineRule="exact"/>
              <w:rPr>
                <w:sz w:val="20"/>
                <w:szCs w:val="20"/>
                <w:color w:val="auto"/>
              </w:rPr>
            </w:pPr>
            <w:r>
              <w:rPr>
                <w:rFonts w:ascii="Times New Roman" w:cs="Times New Roman" w:eastAsia="Times New Roman" w:hAnsi="Times New Roman"/>
                <w:sz w:val="13"/>
                <w:szCs w:val="13"/>
                <w:b w:val="1"/>
                <w:bCs w:val="1"/>
                <w:color w:val="auto"/>
                <w:w w:val="99"/>
              </w:rPr>
              <w:t>Impairment Losses</w:t>
            </w:r>
          </w:p>
        </w:tc>
        <w:tc>
          <w:tcPr>
            <w:tcW w:w="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center"/>
              <w:ind w:right="28"/>
              <w:spacing w:after="0" w:line="128" w:lineRule="exact"/>
              <w:rPr>
                <w:sz w:val="20"/>
                <w:szCs w:val="20"/>
                <w:color w:val="auto"/>
              </w:rPr>
            </w:pPr>
            <w:r>
              <w:rPr>
                <w:rFonts w:ascii="Times New Roman" w:cs="Times New Roman" w:eastAsia="Times New Roman" w:hAnsi="Times New Roman"/>
                <w:sz w:val="13"/>
                <w:szCs w:val="13"/>
                <w:b w:val="1"/>
                <w:bCs w:val="1"/>
                <w:color w:val="auto"/>
              </w:rPr>
              <w:t>Impairment Losses</w:t>
            </w:r>
          </w:p>
        </w:tc>
        <w:tc>
          <w:tcPr>
            <w:tcW w:w="0" w:type="dxa"/>
            <w:vAlign w:val="bottom"/>
          </w:tcPr>
          <w:p>
            <w:pPr>
              <w:spacing w:after="0"/>
              <w:rPr>
                <w:sz w:val="1"/>
                <w:szCs w:val="1"/>
                <w:color w:val="auto"/>
              </w:rPr>
            </w:pPr>
          </w:p>
        </w:tc>
      </w:tr>
      <w:tr>
        <w:trPr>
          <w:trHeight w:val="160"/>
        </w:trPr>
        <w:tc>
          <w:tcPr>
            <w:tcW w:w="14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Certain property and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owned,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Certain ROU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net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0" w:right="80"/>
        <w:spacing w:after="0" w:line="276" w:lineRule="auto"/>
        <w:rPr>
          <w:sz w:val="20"/>
          <w:szCs w:val="20"/>
          <w:color w:val="auto"/>
        </w:rPr>
      </w:pPr>
      <w:r>
        <w:rPr>
          <w:rFonts w:ascii="Times New Roman" w:cs="Times New Roman" w:eastAsia="Times New Roman" w:hAnsi="Times New Roman"/>
          <w:sz w:val="16"/>
          <w:szCs w:val="16"/>
          <w:color w:val="auto"/>
        </w:rPr>
        <w:t>The following non-financial instruments were measured at fair value on a nonrecurring basis as of and for the thirteen and thirty-nine weeks ended September 25, 2019, reflecting certain property and equipment assets for which an impairment loss was recognized during the corresponding periods, as discussed immediately below under "Impairment of Long-Lived Assets and ROU Assets"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9"/>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 Measurements at September 25, 2019 Using</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9"/>
              </w:rPr>
              <w:t>Thirteen Weeks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9"/>
              </w:rPr>
              <w:t>Thirty-Nine Weeks</w:t>
            </w: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3440" w:type="dxa"/>
            <w:vAlign w:val="bottom"/>
            <w:gridSpan w:val="9"/>
            <w:vMerge w:val="continue"/>
          </w:tcPr>
          <w:p>
            <w:pPr>
              <w:spacing w:after="0"/>
              <w:rPr>
                <w:sz w:val="13"/>
                <w:szCs w:val="13"/>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9"/>
              </w:rPr>
              <w:t>Ended September 25, 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Ended September 25, 2019</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10"/>
              <w:spacing w:after="0" w:line="128" w:lineRule="exact"/>
              <w:rPr>
                <w:sz w:val="20"/>
                <w:szCs w:val="20"/>
                <w:color w:val="auto"/>
              </w:rPr>
            </w:pPr>
            <w:r>
              <w:rPr>
                <w:rFonts w:ascii="Times New Roman" w:cs="Times New Roman" w:eastAsia="Times New Roman" w:hAnsi="Times New Roman"/>
                <w:sz w:val="13"/>
                <w:szCs w:val="13"/>
                <w:b w:val="1"/>
                <w:bCs w:val="1"/>
                <w:color w:val="auto"/>
              </w:rPr>
              <w:t>Impairment Losses</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30"/>
              <w:spacing w:after="0" w:line="128" w:lineRule="exact"/>
              <w:rPr>
                <w:sz w:val="20"/>
                <w:szCs w:val="20"/>
                <w:color w:val="auto"/>
              </w:rPr>
            </w:pPr>
            <w:r>
              <w:rPr>
                <w:rFonts w:ascii="Times New Roman" w:cs="Times New Roman" w:eastAsia="Times New Roman" w:hAnsi="Times New Roman"/>
                <w:sz w:val="13"/>
                <w:szCs w:val="13"/>
                <w:b w:val="1"/>
                <w:bCs w:val="1"/>
                <w:color w:val="auto"/>
              </w:rPr>
              <w:t>Impairment Losses</w:t>
            </w:r>
          </w:p>
        </w:tc>
        <w:tc>
          <w:tcPr>
            <w:tcW w:w="0" w:type="dxa"/>
            <w:vAlign w:val="bottom"/>
          </w:tcPr>
          <w:p>
            <w:pPr>
              <w:spacing w:after="0"/>
              <w:rPr>
                <w:sz w:val="1"/>
                <w:szCs w:val="1"/>
                <w:color w:val="auto"/>
              </w:rPr>
            </w:pPr>
          </w:p>
        </w:tc>
      </w:tr>
      <w:tr>
        <w:trPr>
          <w:trHeight w:val="160"/>
        </w:trPr>
        <w:tc>
          <w:tcPr>
            <w:tcW w:w="124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Certain property</w:t>
            </w: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equipment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owned, net</w:t>
            </w:r>
          </w:p>
        </w:tc>
        <w:tc>
          <w:tcPr>
            <w:tcW w:w="8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  $</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Impairment of Long-Lived Assets and ROU Assets</w:t>
      </w:r>
    </w:p>
    <w:p>
      <w:pPr>
        <w:spacing w:after="0" w:line="214" w:lineRule="exact"/>
        <w:rPr>
          <w:sz w:val="20"/>
          <w:szCs w:val="20"/>
          <w:color w:val="auto"/>
        </w:rPr>
      </w:pPr>
    </w:p>
    <w:p>
      <w:pPr>
        <w:jc w:val="both"/>
        <w:ind w:left="40" w:right="140"/>
        <w:spacing w:after="0" w:line="266" w:lineRule="auto"/>
        <w:rPr>
          <w:sz w:val="20"/>
          <w:szCs w:val="20"/>
          <w:color w:val="auto"/>
        </w:rPr>
      </w:pPr>
      <w:r>
        <w:rPr>
          <w:rFonts w:ascii="Times New Roman" w:cs="Times New Roman" w:eastAsia="Times New Roman" w:hAnsi="Times New Roman"/>
          <w:sz w:val="16"/>
          <w:szCs w:val="16"/>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40"/>
          </w:cols>
          <w:pgMar w:left="1440" w:top="480" w:right="1419" w:bottom="1440" w:gutter="0" w:footer="0" w:header="0"/>
        </w:sectPr>
      </w:pPr>
    </w:p>
    <w:bookmarkStart w:id="14" w:name="page15"/>
    <w:bookmarkEnd w:id="1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6"/>
          <w:szCs w:val="16"/>
          <w:color w:val="auto"/>
        </w:rPr>
        <w:t>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during each of the thirteen and thirty-nine weeks ended September 23, 2020 that required an impairment review of the Company’s long-lived and ROU assets. Based on the results of the analysis, the Company recorded non-cash impairment charges of $1.5 million and $3.5 million for the thirteen and thirty-nine weeks ended September 23, 2020, respectively, primarily related to the carrying value of the ROU assets of one restaurant in Texas and the long-lived assets of four restaurants in California.</w:t>
      </w:r>
    </w:p>
    <w:p>
      <w:pPr>
        <w:spacing w:after="0" w:line="16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6"/>
          <w:szCs w:val="16"/>
          <w:color w:val="auto"/>
        </w:rPr>
        <w:t>The Company recorded a non-cash impairment charge of $0.1 million and $0.3 million for the thirteen and thirty-nine weeks ended September 25, 2019, respectively, primarily related to the carrying value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Closed-Store Reserves</w:t>
      </w:r>
    </w:p>
    <w:p>
      <w:pPr>
        <w:spacing w:after="0" w:line="21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and thirty-nine weeks ended September 23, 2020, the Company recognized $0.3 million and $1.1 million of closed-store reserve expense related to the amortization of ROU assets, property taxes and CAM payments for its closed locations. During the thirty-nine weeks ended September 25, 2019, the Company closed one restaurant in California and one restaurant in Texas, and recognized $0.3 million and $1.0 million of closed-store reserve expense for the thirteen and thirty-nine weeks ended September 25, 2019, respectively, primarily related to the amortization of ROU assets, property taxes and CAM payments for its closed locations.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p>
      <w:pPr>
        <w:spacing w:after="0" w:line="214" w:lineRule="exact"/>
        <w:rPr>
          <w:sz w:val="20"/>
          <w:szCs w:val="20"/>
          <w:color w:val="auto"/>
        </w:rPr>
      </w:pPr>
    </w:p>
    <w:p>
      <w:pPr>
        <w:ind w:left="40" w:right="79"/>
        <w:spacing w:after="0" w:line="296" w:lineRule="auto"/>
        <w:rPr>
          <w:sz w:val="20"/>
          <w:szCs w:val="20"/>
          <w:color w:val="auto"/>
        </w:rPr>
      </w:pPr>
      <w:r>
        <w:rPr>
          <w:rFonts w:ascii="Times New Roman" w:cs="Times New Roman" w:eastAsia="Times New Roman" w:hAnsi="Times New Roman"/>
          <w:sz w:val="16"/>
          <w:szCs w:val="16"/>
          <w:color w:val="auto"/>
        </w:rPr>
        <w:t>The Company uses an interest rate swap, a derivative instrument, to hedge interest rate risk and not for trading purposes. The derivative contract is entered into with a financial institution.</w:t>
      </w:r>
    </w:p>
    <w:p>
      <w:pPr>
        <w:spacing w:after="0" w:line="137"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64"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6"/>
          <w:szCs w:val="16"/>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September 23, 2020, the counterparty to the Company’s interest rate swap has performed in accordance with its contractual obligation.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5" w:name="page16"/>
    <w:bookmarkEnd w:id="1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14"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6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The Company reviews its filing positions for all open tax years in all U.S. federal and state jurisdictions where the Company is required to file.</w:t>
      </w:r>
    </w:p>
    <w:p>
      <w:pPr>
        <w:spacing w:after="0" w:line="137"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66"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6"/>
          <w:szCs w:val="16"/>
          <w:color w:val="auto"/>
        </w:rPr>
        <w:t>The Company’s policy is to recognize interest and penalties related to income tax matters in income tax expense. The Company had no accrual for interest or penalties at September 23, 2020 or at December 25, 2019. During the thirteen and thirty-nine weeks ended September 23, 2020 the Company recognized interest of $0.1 million related to the Notice of Proposed Adjustment (“NOPA”), discussed below. The Company did not recognize interest or penalties during the thirteen and thirty-nine weeks ended</w:t>
      </w:r>
    </w:p>
    <w:p>
      <w:pPr>
        <w:spacing w:after="0" w:line="2" w:lineRule="exact"/>
        <w:rPr>
          <w:sz w:val="20"/>
          <w:szCs w:val="20"/>
          <w:color w:val="auto"/>
        </w:rPr>
      </w:pPr>
    </w:p>
    <w:p>
      <w:pPr>
        <w:ind w:left="40" w:right="179"/>
        <w:spacing w:after="0" w:line="273" w:lineRule="auto"/>
        <w:rPr>
          <w:sz w:val="20"/>
          <w:szCs w:val="20"/>
          <w:color w:val="auto"/>
        </w:rPr>
      </w:pPr>
      <w:r>
        <w:rPr>
          <w:rFonts w:ascii="Times New Roman" w:cs="Times New Roman" w:eastAsia="Times New Roman" w:hAnsi="Times New Roman"/>
          <w:sz w:val="16"/>
          <w:szCs w:val="16"/>
          <w:color w:val="auto"/>
        </w:rPr>
        <w:t>September 25, 2019, since there were no material unrecognized tax benefits. Management believes no material changes to the amount of unrecognized tax benefits will occur within the next twelve months.</w:t>
      </w:r>
    </w:p>
    <w:p>
      <w:pPr>
        <w:spacing w:after="0" w:line="155" w:lineRule="exact"/>
        <w:rPr>
          <w:sz w:val="20"/>
          <w:szCs w:val="20"/>
          <w:color w:val="auto"/>
        </w:rPr>
      </w:pPr>
    </w:p>
    <w:p>
      <w:pPr>
        <w:ind w:left="40" w:right="179"/>
        <w:spacing w:after="0" w:line="264" w:lineRule="auto"/>
        <w:rPr>
          <w:sz w:val="20"/>
          <w:szCs w:val="20"/>
          <w:color w:val="auto"/>
        </w:rPr>
      </w:pPr>
      <w:r>
        <w:rPr>
          <w:rFonts w:ascii="Times New Roman" w:cs="Times New Roman" w:eastAsia="Times New Roman" w:hAnsi="Times New Roman"/>
          <w:sz w:val="16"/>
          <w:szCs w:val="16"/>
          <w:color w:val="auto"/>
        </w:rPr>
        <w:t>On July 30, 2014, the Company entered into the income tax receivable agreement (the "TRA"), which calls for the Company to pay to its pre-IPO stockholders 85% of the savings in cash that the Company realizes in its income taxes as a result of utilizing its net operating losses and other tax attributes attributable to preceding periods. For the thirteen and thirty-nine weeks ended</w:t>
      </w:r>
    </w:p>
    <w:p>
      <w:pPr>
        <w:spacing w:after="0" w:line="1"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6"/>
          <w:szCs w:val="16"/>
          <w:color w:val="auto"/>
        </w:rPr>
        <w:t>September 23, 2020, the Company recorded income tax receivable agreement income of $0.1 million and income tax receivable expense of less than $0.1 million, respectively, and for the thirteen and thirty-nine weeks ended September 25, 2019, the Company recorded income tax receivable agreement income of $0.2 million and $0.1 million, respectively, related to the amortization of interest expense related to our total expected TRA payments and changes in estimates for actual tax returns filed and future forecasted taxable income.</w:t>
      </w:r>
    </w:p>
    <w:p>
      <w:pPr>
        <w:spacing w:after="0" w:line="361"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6"/>
          <w:szCs w:val="16"/>
          <w:color w:val="auto"/>
        </w:rPr>
        <w:t>On March 27, 2020, President Trump signed into a law a stimulus package, the Coronavirus Aid, Relief and Economic Security ("CARES") Act, which contains several tax provisions and deferral of employer Social Security taxes that are otherwise owed for wage payments. The tax provisions include a correction of a previous drafting error related to quality improvement property ("QIP") and immediate refundability of all remaining alternative minimum tax ("AMT") credits. The new provisions did not have a material impact on the Company’s condensed consolidated financial statements.</w:t>
      </w:r>
    </w:p>
    <w:p>
      <w:pPr>
        <w:spacing w:after="0" w:line="162"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6"/>
          <w:szCs w:val="16"/>
          <w:color w:val="auto"/>
        </w:rPr>
        <w:t>During the thirty-nine weeks ended September 23, 2020, the Company received a NOPA for the years ended December 27, 2017 and December 28, 2016, related to the Company’s methodology regarding its ordering of utilization of AMT net operating losses ("NOL”). This resulted in payment of $0.4 million, and the audit is closed. As a result of the CARES Act, discussed above, this amount is immediately refundable upon filing of a Form 1139, which the Company filed during the thirty-nine weeks ended September 23, 2020 and recognized a receivable, included in Accounts and other receivables within the condensed consolidated balance sheet as of September 23, 2020.</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6" w:name="page17"/>
    <w:bookmarkEnd w:id="1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 PROPERTY AND EQUIPMENT</w:t>
      </w:r>
    </w:p>
    <w:p>
      <w:pPr>
        <w:spacing w:after="0" w:line="214" w:lineRule="exact"/>
        <w:rPr>
          <w:sz w:val="20"/>
          <w:szCs w:val="20"/>
          <w:color w:val="auto"/>
        </w:rPr>
      </w:pPr>
    </w:p>
    <w:p>
      <w:pPr>
        <w:ind w:left="40" w:right="659"/>
        <w:spacing w:after="0" w:line="296" w:lineRule="auto"/>
        <w:rPr>
          <w:sz w:val="20"/>
          <w:szCs w:val="20"/>
          <w:color w:val="auto"/>
        </w:rPr>
      </w:pPr>
      <w:r>
        <w:rPr>
          <w:rFonts w:ascii="Times New Roman" w:cs="Times New Roman" w:eastAsia="Times New Roman" w:hAnsi="Times New Roman"/>
          <w:sz w:val="16"/>
          <w:szCs w:val="16"/>
          <w:color w:val="auto"/>
        </w:rPr>
        <w:t>The costs and related accumulated depreciation and amortization of major classes of property and equipment are as follows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80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25, 2019</w:t>
            </w:r>
          </w:p>
        </w:tc>
      </w:tr>
      <w:tr>
        <w:trPr>
          <w:trHeight w:val="18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15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r>
      <w:tr>
        <w:trPr>
          <w:trHeight w:val="197"/>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144,794</w:t>
            </w:r>
          </w:p>
        </w:tc>
      </w:tr>
      <w:tr>
        <w:trPr>
          <w:trHeight w:val="19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75,234</w:t>
            </w:r>
          </w:p>
        </w:tc>
      </w:tr>
      <w:tr>
        <w:trPr>
          <w:trHeight w:val="197"/>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w:t>
            </w:r>
          </w:p>
        </w:tc>
      </w:tr>
      <w:tr>
        <w:trPr>
          <w:trHeight w:val="189"/>
        </w:trPr>
        <w:tc>
          <w:tcPr>
            <w:tcW w:w="48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236,564</w:t>
            </w:r>
          </w:p>
        </w:tc>
      </w:tr>
      <w:tr>
        <w:trPr>
          <w:trHeight w:val="197"/>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(157,453)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(144,786)</w:t>
            </w:r>
          </w:p>
        </w:tc>
      </w:tr>
      <w:tr>
        <w:trPr>
          <w:trHeight w:val="189"/>
        </w:trPr>
        <w:tc>
          <w:tcPr>
            <w:tcW w:w="48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91,778</w:t>
            </w:r>
          </w:p>
        </w:tc>
      </w:tr>
      <w:tr>
        <w:trPr>
          <w:trHeight w:val="20"/>
        </w:trPr>
        <w:tc>
          <w:tcPr>
            <w:tcW w:w="4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right="179"/>
        <w:spacing w:after="0" w:line="296" w:lineRule="auto"/>
        <w:rPr>
          <w:sz w:val="20"/>
          <w:szCs w:val="20"/>
          <w:color w:val="auto"/>
        </w:rPr>
      </w:pPr>
      <w:r>
        <w:rPr>
          <w:rFonts w:ascii="Times New Roman" w:cs="Times New Roman" w:eastAsia="Times New Roman" w:hAnsi="Times New Roman"/>
          <w:sz w:val="16"/>
          <w:szCs w:val="16"/>
          <w:color w:val="auto"/>
        </w:rPr>
        <w:t>Depreciation expense was $4.1 million and $4.3 million for the thirteen weeks ended September 23, 2020 and September 25, 2019, respectively, and $12.6 million and $13.6 million for the thirty-nine weeks September 23, 2020 and September 25, 2019, respectively.</w:t>
      </w:r>
    </w:p>
    <w:p>
      <w:pPr>
        <w:spacing w:after="0" w:line="137"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6"/>
          <w:szCs w:val="16"/>
          <w:color w:val="auto"/>
        </w:rPr>
        <w:t>Based on the Company’s review of its long-lived assets for impairment, the Company recorded non-cash impairment charges of $1.5 million and $2.9 million for the thirteen and thirty-nine weeks ended September 23, 2020, respectively, primarily related to the carrying value of the assets of four restaurants in California. During the thirteen and thirty-nine weeks ended September 25, 2019, the Company recorded non-cash impairment charges of $0.1 million and $0.3 million, respectively, primarily related to the carrying value of one restaurant in California. D</w:t>
      </w:r>
      <w:r>
        <w:rPr>
          <w:rFonts w:ascii="Times New Roman" w:cs="Times New Roman" w:eastAsia="Times New Roman" w:hAnsi="Times New Roman"/>
          <w:sz w:val="16"/>
          <w:szCs w:val="16"/>
          <w:color w:val="212529"/>
        </w:rPr>
        <w:t>epending on the severity and longevity of the COVID-19 pandemic,</w:t>
      </w:r>
      <w:r>
        <w:rPr>
          <w:rFonts w:ascii="Times New Roman" w:cs="Times New Roman" w:eastAsia="Times New Roman" w:hAnsi="Times New Roman"/>
          <w:sz w:val="16"/>
          <w:szCs w:val="16"/>
          <w:color w:val="auto"/>
        </w:rPr>
        <w:t xml:space="preserve"> the Company’s financial performance could be further impacted and it is possible that material impairments could be identified in future periods. See “Impairment of Long-Lived Assets and ROU Assets” in Note 1, “Basis of Presentation and Summary of Significant Accounting Policies” for additional information.</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3. STOCK-BASED COMPENSATION</w:t>
      </w:r>
    </w:p>
    <w:p>
      <w:pPr>
        <w:spacing w:after="0" w:line="214"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6"/>
          <w:szCs w:val="16"/>
          <w:color w:val="auto"/>
        </w:rPr>
        <w:t>At September 23, 2020, options to purchase 1,035,866 shares of common stock were outstanding, including 689,166 vested and 346,700 unvested. Unvested options vest over time; however, upon a change in control, the Board of Directors may accelerate vesting. At September 23, 2020, 303,786 premium options, options granted above the stock price at date of grant, remained outstanding. A summary of stock option activity as of September 23, 2020 and changes during the thirty-nine weeks ended September 23, 2020 is as follows: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8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2,077,570</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197"/>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 September 23,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1,035,866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September 23,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1,030,329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Exercisable at September 23, 2020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640" w:type="dxa"/>
            <w:vAlign w:val="bottom"/>
            <w:vMerge w:val="continue"/>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689,166</w:t>
            </w:r>
          </w:p>
        </w:tc>
        <w:tc>
          <w:tcPr>
            <w:tcW w:w="18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right="179"/>
        <w:spacing w:after="0" w:line="296" w:lineRule="auto"/>
        <w:rPr>
          <w:sz w:val="20"/>
          <w:szCs w:val="20"/>
          <w:color w:val="auto"/>
        </w:rPr>
      </w:pPr>
      <w:r>
        <w:rPr>
          <w:rFonts w:ascii="Times New Roman" w:cs="Times New Roman" w:eastAsia="Times New Roman" w:hAnsi="Times New Roman"/>
          <w:sz w:val="16"/>
          <w:szCs w:val="16"/>
          <w:color w:val="auto"/>
        </w:rPr>
        <w:t>At September 23, 2020, the Company had total unrecognized compensation expense of $1.1 million related to unvested stock options, which it expects to recognize over a weighted-average period of 2.23 years.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7" w:name="page18"/>
    <w:bookmarkEnd w:id="1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A summary of restricted share activity as of September 23, 2020 and changes during the thirty-nine weeks ended September 23, 2020 is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92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0" w:type="dxa"/>
            <w:vAlign w:val="bottom"/>
          </w:tcPr>
          <w:p>
            <w:pPr>
              <w:spacing w:after="0"/>
              <w:rPr>
                <w:sz w:val="1"/>
                <w:szCs w:val="1"/>
                <w:color w:val="auto"/>
              </w:rPr>
            </w:pPr>
          </w:p>
        </w:tc>
      </w:tr>
      <w:tr>
        <w:trPr>
          <w:trHeight w:val="158"/>
        </w:trPr>
        <w:tc>
          <w:tcPr>
            <w:tcW w:w="66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shares at December 25,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588,008</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197"/>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415,022</w:t>
            </w: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Released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(154,620)</w:t>
            </w:r>
          </w:p>
        </w:tc>
        <w:tc>
          <w:tcPr>
            <w:tcW w:w="3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36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shares at September 23,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769,107</w:t>
            </w:r>
          </w:p>
        </w:tc>
        <w:tc>
          <w:tcPr>
            <w:tcW w:w="36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right="379"/>
        <w:spacing w:after="0" w:line="296" w:lineRule="auto"/>
        <w:rPr>
          <w:sz w:val="20"/>
          <w:szCs w:val="20"/>
          <w:color w:val="auto"/>
        </w:rPr>
      </w:pPr>
      <w:r>
        <w:rPr>
          <w:rFonts w:ascii="Times New Roman" w:cs="Times New Roman" w:eastAsia="Times New Roman" w:hAnsi="Times New Roman"/>
          <w:sz w:val="16"/>
          <w:szCs w:val="16"/>
          <w:color w:val="auto"/>
        </w:rPr>
        <w:t>Unvested shares at September 23, 2020, included 684,971 unvested restricted shares, 36,058 unvested performance stock units and 48,078 unvested restricted units.</w:t>
      </w:r>
    </w:p>
    <w:p>
      <w:pPr>
        <w:spacing w:after="0" w:line="137"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6"/>
          <w:szCs w:val="16"/>
          <w:color w:val="auto"/>
        </w:rPr>
        <w:t>At September 23, 2020, the Company had unrecognized compensation expense of $7.3 million related to unvested restricted shares, which it expects to recognize over a weighted-average period of 3.01 years, unrecognized compensation expense of $0.1 million related to performance stock units, which it expects to recognize over a weighted-average period of 2.62 years and unrecognized compensation expense of $0.4 million related to unvested restricted units, which it expects to recognize over a weighted-average period of 1.62 years.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stock-based compensation expense was $0.9 million and $2.2 million for the thirteen and thirty-nine weeks ended</w:t>
      </w:r>
    </w:p>
    <w:p>
      <w:pPr>
        <w:spacing w:after="0" w:line="30" w:lineRule="exact"/>
        <w:rPr>
          <w:sz w:val="20"/>
          <w:szCs w:val="20"/>
          <w:color w:val="auto"/>
        </w:rPr>
      </w:pPr>
    </w:p>
    <w:p>
      <w:pPr>
        <w:ind w:left="40" w:right="199"/>
        <w:spacing w:after="0" w:line="273" w:lineRule="auto"/>
        <w:rPr>
          <w:sz w:val="20"/>
          <w:szCs w:val="20"/>
          <w:color w:val="auto"/>
        </w:rPr>
      </w:pPr>
      <w:r>
        <w:rPr>
          <w:rFonts w:ascii="Times New Roman" w:cs="Times New Roman" w:eastAsia="Times New Roman" w:hAnsi="Times New Roman"/>
          <w:sz w:val="16"/>
          <w:szCs w:val="16"/>
          <w:color w:val="auto"/>
        </w:rPr>
        <w:t>September 23, 2020, respectively, and $0.7 million and $1.8 million for the thirteen and thirty-nine weeks ended September 25, 2019, respectively.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4. LONG-TERM DEBT</w:t>
      </w:r>
    </w:p>
    <w:p>
      <w:pPr>
        <w:spacing w:after="0" w:line="214"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363" w:lineRule="exact"/>
        <w:rPr>
          <w:sz w:val="20"/>
          <w:szCs w:val="20"/>
          <w:color w:val="auto"/>
        </w:rPr>
      </w:pPr>
    </w:p>
    <w:p>
      <w:pPr>
        <w:ind w:left="40" w:right="159"/>
        <w:spacing w:after="0" w:line="260" w:lineRule="auto"/>
        <w:rPr>
          <w:sz w:val="20"/>
          <w:szCs w:val="20"/>
          <w:color w:val="auto"/>
        </w:rPr>
      </w:pPr>
      <w:r>
        <w:rPr>
          <w:rFonts w:ascii="Times New Roman" w:cs="Times New Roman" w:eastAsia="Times New Roman" w:hAnsi="Times New Roman"/>
          <w:sz w:val="16"/>
          <w:szCs w:val="16"/>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71"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1.67% to 1.68% and 1.67% to 3.29% for</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8" w:name="page19"/>
    <w:bookmarkEnd w:id="1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99"/>
        <w:spacing w:after="0" w:line="296" w:lineRule="auto"/>
        <w:rPr>
          <w:sz w:val="20"/>
          <w:szCs w:val="20"/>
          <w:color w:val="auto"/>
        </w:rPr>
      </w:pPr>
      <w:r>
        <w:rPr>
          <w:rFonts w:ascii="Times New Roman" w:cs="Times New Roman" w:eastAsia="Times New Roman" w:hAnsi="Times New Roman"/>
          <w:sz w:val="16"/>
          <w:szCs w:val="16"/>
          <w:color w:val="auto"/>
        </w:rPr>
        <w:t>the thirteen and thirty-nine weeks ended September 23, 2020, respectively, and 3.65% to 3.90% and 3.65% to 6.00% for the thirteen and thirty-nine weeks ended September 25, 2019, respectively.</w:t>
      </w:r>
    </w:p>
    <w:p>
      <w:pPr>
        <w:spacing w:after="0" w:line="137" w:lineRule="exact"/>
        <w:rPr>
          <w:sz w:val="20"/>
          <w:szCs w:val="20"/>
          <w:color w:val="auto"/>
        </w:rPr>
      </w:pPr>
    </w:p>
    <w:p>
      <w:pPr>
        <w:ind w:left="40" w:right="219"/>
        <w:spacing w:after="0" w:line="270" w:lineRule="auto"/>
        <w:rPr>
          <w:sz w:val="20"/>
          <w:szCs w:val="20"/>
          <w:color w:val="auto"/>
        </w:rPr>
      </w:pPr>
      <w:r>
        <w:rPr>
          <w:rFonts w:ascii="Times New Roman" w:cs="Times New Roman" w:eastAsia="Times New Roman" w:hAnsi="Times New Roman"/>
          <w:sz w:val="16"/>
          <w:szCs w:val="16"/>
          <w:color w:val="auto"/>
        </w:rPr>
        <w:t xml:space="preserve">The 2018 Credit Agreement contains certain financial covenants. The Company was in compliance with the financial covenants as of September 23, 2020. However, </w:t>
      </w:r>
      <w:r>
        <w:rPr>
          <w:rFonts w:ascii="Times New Roman" w:cs="Times New Roman" w:eastAsia="Times New Roman" w:hAnsi="Times New Roman"/>
          <w:sz w:val="16"/>
          <w:szCs w:val="16"/>
          <w:color w:val="212529"/>
        </w:rPr>
        <w:t>depending on the severity and longevity of the COVID-19 pandemic,</w:t>
      </w:r>
      <w:r>
        <w:rPr>
          <w:rFonts w:ascii="Times New Roman" w:cs="Times New Roman" w:eastAsia="Times New Roman" w:hAnsi="Times New Roman"/>
          <w:sz w:val="16"/>
          <w:szCs w:val="16"/>
          <w:color w:val="auto"/>
        </w:rPr>
        <w:t xml:space="preserve"> the Company’s financial performance and liquidity could be further impacted and could impact the Company’s ability to comply with certain financial covenants required in the 2018 Credit Agreement, specifically the lease-adjusted coverage ratio and fixed-charge coverage ratio.</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At September 23, 2020, $8.4 million of letters of credit and $83.8 million in borrowings under the 2018 Revolver were outstanding.</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had $57.8 million in borrowing availability under the 2018 Revolver at September 23, 2020.</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Maturities</w:t>
      </w:r>
    </w:p>
    <w:p>
      <w:pPr>
        <w:spacing w:after="0" w:line="214"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During the thirteen weeks ended September 23, 2020, the Company elected to pay down $55.0 million on its 2018 Revolver. During the thirty-nine weeks ended September 23, 2020, the Company paid down $13.2 million, net of borrowings of $52.5 million on its 2018 Revolver. During the thirteen and thirty-nine weeks ended September 25, 2019, the Company borrowed $16.0 million and $27.0 million, respectively, net of pay downs of $15.0 million during the thirty-nine week period, on the Company’s 2018 Revolver, primarily to fund settlement payments. There are no required principal payments prior to maturity for the 2018 Revolver. See “Subsequent Events” in Note 1, “Basis of Presentation and Summary of Significant Accounting Policies” for information regarding a $28.0 million pre-payment on the 2018 Revolver subsequent to September 23, 2020.</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Interest Rate Swap</w:t>
      </w:r>
    </w:p>
    <w:p>
      <w:pPr>
        <w:spacing w:after="0" w:line="214"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6"/>
          <w:szCs w:val="16"/>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is currently 1.5%. The interest rate swap was designated as a cash flow hedge, as the changes in the future cash flows of the swap were expected to offset changes in expected future interest payments on the related variable-rate debt, in accordance with ASC 815 “Derivatives and Hedging.”</w:t>
      </w:r>
    </w:p>
    <w:p>
      <w:pPr>
        <w:spacing w:after="0" w:line="164" w:lineRule="exact"/>
        <w:rPr>
          <w:sz w:val="20"/>
          <w:szCs w:val="20"/>
          <w:color w:val="auto"/>
        </w:rPr>
      </w:pPr>
    </w:p>
    <w:p>
      <w:pPr>
        <w:ind w:left="40" w:right="219"/>
        <w:spacing w:after="0" w:line="276" w:lineRule="auto"/>
        <w:rPr>
          <w:sz w:val="20"/>
          <w:szCs w:val="20"/>
          <w:color w:val="auto"/>
        </w:rPr>
      </w:pPr>
      <w:r>
        <w:rPr>
          <w:rFonts w:ascii="Times New Roman" w:cs="Times New Roman" w:eastAsia="Times New Roman" w:hAnsi="Times New Roman"/>
          <w:sz w:val="16"/>
          <w:szCs w:val="16"/>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thirteen and thirty-nine weeks ended September 23, 2020, the swap was a highly effective cash flow hedge.</w:t>
      </w:r>
    </w:p>
    <w:p>
      <w:pPr>
        <w:spacing w:after="0" w:line="210" w:lineRule="exact"/>
        <w:rPr>
          <w:sz w:val="20"/>
          <w:szCs w:val="20"/>
          <w:color w:val="auto"/>
        </w:rPr>
      </w:pPr>
    </w:p>
    <w:p>
      <w:pPr>
        <w:ind w:left="40" w:right="199"/>
        <w:spacing w:after="0" w:line="296" w:lineRule="auto"/>
        <w:rPr>
          <w:sz w:val="20"/>
          <w:szCs w:val="20"/>
          <w:color w:val="auto"/>
        </w:rPr>
      </w:pPr>
      <w:r>
        <w:rPr>
          <w:rFonts w:ascii="Times New Roman" w:cs="Times New Roman" w:eastAsia="Times New Roman" w:hAnsi="Times New Roman"/>
          <w:sz w:val="16"/>
          <w:szCs w:val="16"/>
          <w:color w:val="auto"/>
        </w:rPr>
        <w:t>As of September 23, 2020, the estimated net loss included in AOCI related to the Company’s cash flow hedge that will be reclassified into earnings in the next 12 months is $0.5 million, based on current LIBOR interest rates.</w:t>
      </w:r>
    </w:p>
    <w:p>
      <w:pPr>
        <w:spacing w:after="0" w:line="137" w:lineRule="exact"/>
        <w:rPr>
          <w:sz w:val="20"/>
          <w:szCs w:val="20"/>
          <w:color w:val="auto"/>
        </w:rPr>
      </w:pPr>
    </w:p>
    <w:p>
      <w:pPr>
        <w:ind w:left="40" w:right="759"/>
        <w:spacing w:after="0" w:line="296" w:lineRule="auto"/>
        <w:rPr>
          <w:sz w:val="20"/>
          <w:szCs w:val="20"/>
          <w:color w:val="auto"/>
        </w:rPr>
      </w:pPr>
      <w:r>
        <w:rPr>
          <w:rFonts w:ascii="Times New Roman" w:cs="Times New Roman" w:eastAsia="Times New Roman" w:hAnsi="Times New Roman"/>
          <w:sz w:val="16"/>
          <w:szCs w:val="16"/>
          <w:color w:val="auto"/>
        </w:rPr>
        <w:t>The following table shows the financial statement line item and amount of the Company’s cash flow hedge accounting on the condensed consolidated balance sheets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0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September 23, 2020</w:t>
            </w:r>
          </w:p>
        </w:tc>
        <w:tc>
          <w:tcPr>
            <w:tcW w:w="1680" w:type="dxa"/>
            <w:vAlign w:val="bottom"/>
            <w:gridSpan w:val="4"/>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December 25, 2019</w:t>
            </w:r>
          </w:p>
        </w:tc>
      </w:tr>
      <w:tr>
        <w:trPr>
          <w:trHeight w:val="128"/>
        </w:trPr>
        <w:tc>
          <w:tcPr>
            <w:tcW w:w="3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00" w:type="dxa"/>
            <w:vAlign w:val="bottom"/>
            <w:tcBorders>
              <w:top w:val="single" w:sz="8" w:color="auto"/>
            </w:tcBorders>
            <w:gridSpan w:val="2"/>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740" w:type="dxa"/>
            <w:vAlign w:val="bottom"/>
            <w:tcBorders>
              <w:top w:val="single" w:sz="8" w:color="auto"/>
            </w:tcBorders>
          </w:tcPr>
          <w:p>
            <w:pPr>
              <w:jc w:val="right"/>
              <w:ind w:right="3"/>
              <w:spacing w:after="0" w:line="12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1"/>
                <w:szCs w:val="11"/>
                <w:color w:val="auto"/>
              </w:rPr>
            </w:pPr>
          </w:p>
        </w:tc>
        <w:tc>
          <w:tcPr>
            <w:tcW w:w="920" w:type="dxa"/>
            <w:vAlign w:val="bottom"/>
            <w:tcBorders>
              <w:top w:val="single" w:sz="8" w:color="auto"/>
            </w:tcBorders>
            <w:gridSpan w:val="2"/>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3"/>
              <w:spacing w:after="0" w:line="128" w:lineRule="exact"/>
              <w:rPr>
                <w:sz w:val="20"/>
                <w:szCs w:val="20"/>
                <w:color w:val="auto"/>
              </w:rPr>
            </w:pPr>
            <w:r>
              <w:rPr>
                <w:rFonts w:ascii="Times New Roman" w:cs="Times New Roman" w:eastAsia="Times New Roman" w:hAnsi="Times New Roman"/>
                <w:sz w:val="13"/>
                <w:szCs w:val="13"/>
                <w:b w:val="1"/>
                <w:bCs w:val="1"/>
                <w:color w:val="auto"/>
                <w:w w:val="98"/>
              </w:rPr>
              <w:t>Fair value</w:t>
            </w:r>
          </w:p>
        </w:tc>
      </w:tr>
      <w:tr>
        <w:trPr>
          <w:trHeight w:val="18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 - Interest rate swap</w:t>
            </w:r>
          </w:p>
        </w:tc>
        <w:tc>
          <w:tcPr>
            <w:tcW w:w="2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40,000</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 Interest rate swap</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40,000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1,328</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771"/>
        </w:trPr>
        <w:tc>
          <w:tcPr>
            <w:tcW w:w="3340" w:type="dxa"/>
            <w:vAlign w:val="bottom"/>
          </w:tcPr>
          <w:p>
            <w:pPr>
              <w:spacing w:after="0"/>
              <w:rPr>
                <w:sz w:val="24"/>
                <w:szCs w:val="24"/>
                <w:color w:val="auto"/>
              </w:rPr>
            </w:pPr>
          </w:p>
        </w:tc>
        <w:tc>
          <w:tcPr>
            <w:tcW w:w="2100" w:type="dxa"/>
            <w:vAlign w:val="bottom"/>
          </w:tcPr>
          <w:p>
            <w:pPr>
              <w:jc w:val="right"/>
              <w:ind w:right="818"/>
              <w:spacing w:after="0"/>
              <w:rPr>
                <w:sz w:val="20"/>
                <w:szCs w:val="20"/>
                <w:color w:val="auto"/>
              </w:rPr>
            </w:pPr>
            <w:r>
              <w:rPr>
                <w:rFonts w:ascii="Times New Roman" w:cs="Times New Roman" w:eastAsia="Times New Roman" w:hAnsi="Times New Roman"/>
                <w:sz w:val="16"/>
                <w:szCs w:val="16"/>
                <w:color w:val="auto"/>
              </w:rPr>
              <w:t>19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9"/>
        </w:trPr>
        <w:tc>
          <w:tcPr>
            <w:tcW w:w="3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19" w:name="page20"/>
    <w:bookmarkEnd w:id="1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360"/>
        <w:spacing w:after="0" w:line="296" w:lineRule="auto"/>
        <w:rPr>
          <w:sz w:val="20"/>
          <w:szCs w:val="20"/>
          <w:color w:val="auto"/>
        </w:rPr>
      </w:pPr>
      <w:r>
        <w:rPr>
          <w:rFonts w:ascii="Times New Roman" w:cs="Times New Roman" w:eastAsia="Times New Roman" w:hAnsi="Times New Roman"/>
          <w:sz w:val="16"/>
          <w:szCs w:val="16"/>
          <w:color w:val="auto"/>
        </w:rPr>
        <w:t>The following table summarizes the effect of the Company’s cash flow hedge accounting on the condensed consolidated statements of income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440" w:type="dxa"/>
            <w:vAlign w:val="bottom"/>
            <w:tcBorders>
              <w:bottom w:val="single" w:sz="8" w:color="auto"/>
            </w:tcBorders>
          </w:tcPr>
          <w:p>
            <w:pPr>
              <w:spacing w:after="0"/>
              <w:rPr>
                <w:sz w:val="13"/>
                <w:szCs w:val="13"/>
                <w:color w:val="auto"/>
              </w:rPr>
            </w:pPr>
          </w:p>
        </w:tc>
      </w:tr>
      <w:tr>
        <w:trPr>
          <w:trHeight w:val="128"/>
        </w:trPr>
        <w:tc>
          <w:tcPr>
            <w:tcW w:w="36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r>
      <w:tr>
        <w:trPr>
          <w:trHeight w:val="18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hedged portion of debt</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197"/>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expense (income) on interest rate swap</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9"/>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 on debt and derivatives, net</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6"/>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right="1660"/>
        <w:spacing w:after="0" w:line="296" w:lineRule="auto"/>
        <w:rPr>
          <w:sz w:val="20"/>
          <w:szCs w:val="20"/>
          <w:color w:val="auto"/>
        </w:rPr>
      </w:pPr>
      <w:r>
        <w:rPr>
          <w:rFonts w:ascii="Times New Roman" w:cs="Times New Roman" w:eastAsia="Times New Roman" w:hAnsi="Times New Roman"/>
          <w:sz w:val="16"/>
          <w:szCs w:val="16"/>
          <w:color w:val="auto"/>
        </w:rPr>
        <w:t>The following table summarizes the effect of the Company’s cash flow hedge accounting on AOCI for the thirteen and thirty-nine weeks ended September 23, 2020 and September 25, 2019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4"/>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Net (Loss) Gain Recognized in OCI</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20" w:type="dxa"/>
            <w:vAlign w:val="bottom"/>
            <w:gridSpan w:val="4"/>
          </w:tcPr>
          <w:p>
            <w:pPr>
              <w:jc w:val="right"/>
              <w:ind w:right="340"/>
              <w:spacing w:after="0" w:line="106" w:lineRule="exact"/>
              <w:rPr>
                <w:sz w:val="20"/>
                <w:szCs w:val="20"/>
                <w:color w:val="auto"/>
              </w:rPr>
            </w:pPr>
            <w:r>
              <w:rPr>
                <w:rFonts w:ascii="Times New Roman" w:cs="Times New Roman" w:eastAsia="Times New Roman" w:hAnsi="Times New Roman"/>
                <w:sz w:val="12"/>
                <w:szCs w:val="12"/>
                <w:b w:val="1"/>
                <w:bCs w:val="1"/>
                <w:color w:val="auto"/>
              </w:rPr>
              <w:t>Loss (Gain) Reclassified from</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4"/>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Net (Loss) Gain Recognized in OCI</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gridSpan w:val="4"/>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Loss (Gain) Reclassified from</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AOCI into Interest expense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AOCI into Interest expense</w:t>
            </w: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16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16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16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04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September 25, 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Interest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swap</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right="1800"/>
        <w:spacing w:after="0" w:line="296" w:lineRule="auto"/>
        <w:rPr>
          <w:sz w:val="20"/>
          <w:szCs w:val="20"/>
          <w:color w:val="auto"/>
        </w:rPr>
      </w:pPr>
      <w:r>
        <w:rPr>
          <w:rFonts w:ascii="Times New Roman" w:cs="Times New Roman" w:eastAsia="Times New Roman" w:hAnsi="Times New Roman"/>
          <w:sz w:val="16"/>
          <w:szCs w:val="16"/>
          <w:color w:val="auto"/>
        </w:rPr>
        <w:t>See Note 1, “Basis of Presentation and Summary of Significant Accounting Policies” for information about the fair value of the Company’s derivative asset.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5. OTHER ACCRUED EXPENSES AND CURRENT LIABILITIES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accrued expenses and current liabilities consist of the following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3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23, 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25, 2019</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sales and property taxes</w:t>
            </w:r>
          </w:p>
        </w:tc>
        <w:tc>
          <w:tcPr>
            <w:tcW w:w="40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0" w:type="dxa"/>
            <w:vAlign w:val="bottom"/>
          </w:tcPr>
          <w:p>
            <w:pPr>
              <w:spacing w:after="0"/>
              <w:rPr>
                <w:sz w:val="1"/>
                <w:szCs w:val="1"/>
                <w:color w:val="auto"/>
              </w:rPr>
            </w:pPr>
          </w:p>
        </w:tc>
      </w:tr>
      <w:tr>
        <w:trPr>
          <w:trHeight w:val="197"/>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Gift card liability</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settlements and professional fees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16,901</w:t>
            </w:r>
          </w:p>
        </w:tc>
        <w:tc>
          <w:tcPr>
            <w:tcW w:w="0" w:type="dxa"/>
            <w:vAlign w:val="bottom"/>
          </w:tcPr>
          <w:p>
            <w:pPr>
              <w:spacing w:after="0"/>
              <w:rPr>
                <w:sz w:val="1"/>
                <w:szCs w:val="1"/>
                <w:color w:val="auto"/>
              </w:rPr>
            </w:pPr>
          </w:p>
        </w:tc>
      </w:tr>
      <w:tr>
        <w:trPr>
          <w:trHeight w:val="197"/>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Deferred franchise and development fees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lease payment deferrals</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accrued expenses and current liabilities</w:t>
            </w:r>
          </w:p>
        </w:tc>
        <w:tc>
          <w:tcPr>
            <w:tcW w:w="400" w:type="dxa"/>
            <w:vAlign w:val="bottom"/>
            <w:tcBorders>
              <w:bottom w:val="single" w:sz="8" w:color="auto"/>
            </w:tcBorders>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28,597</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OTHER NONCURRENT LIABILITIES</w:t>
            </w: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 consist of the following (in thousands):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23,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25, 2019</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franchise and development fees</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197"/>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payment deferrals - net of current portion</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Employer social security tax deferral</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0" w:type="dxa"/>
            <w:vAlign w:val="bottom"/>
          </w:tcPr>
          <w:p>
            <w:pPr>
              <w:spacing w:after="0"/>
              <w:rPr>
                <w:sz w:val="16"/>
                <w:szCs w:val="16"/>
                <w:color w:val="auto"/>
              </w:rPr>
            </w:pPr>
          </w:p>
        </w:tc>
        <w:tc>
          <w:tcPr>
            <w:tcW w:w="3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9,772</w:t>
            </w:r>
          </w:p>
        </w:tc>
        <w:tc>
          <w:tcPr>
            <w:tcW w:w="2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3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4380"/>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6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6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480" w:right="239" w:bottom="1440" w:gutter="0" w:footer="0" w:header="0"/>
        </w:sectPr>
      </w:pPr>
    </w:p>
    <w:bookmarkStart w:id="20" w:name="page21"/>
    <w:bookmarkEnd w:id="2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right="5659" w:firstLine="3"/>
        <w:spacing w:after="0" w:line="516" w:lineRule="auto"/>
        <w:tabs>
          <w:tab w:leader="none" w:pos="204"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Legal Matters</w:t>
      </w:r>
    </w:p>
    <w:p>
      <w:pPr>
        <w:spacing w:after="0" w:line="1"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 xml:space="preserve">On or about February 24, 2014, a former employee filed a class action in the Superior Court of the State of California, County of Orange, under the caption </w:t>
      </w:r>
      <w:r>
        <w:rPr>
          <w:rFonts w:ascii="Times New Roman" w:cs="Times New Roman" w:eastAsia="Times New Roman" w:hAnsi="Times New Roman"/>
          <w:sz w:val="16"/>
          <w:szCs w:val="16"/>
          <w:u w:val="single" w:color="auto"/>
          <w:color w:val="auto"/>
        </w:rPr>
        <w:t>Elliott Olvera, et al v. El Pollo Loco, Inc., et al</w:t>
      </w:r>
      <w:r>
        <w:rPr>
          <w:rFonts w:ascii="Times New Roman" w:cs="Times New Roman" w:eastAsia="Times New Roman" w:hAnsi="Times New Roman"/>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Times New Roman" w:cs="Times New Roman" w:eastAsia="Times New Roman" w:hAnsi="Times New Roman"/>
          <w:sz w:val="16"/>
          <w:szCs w:val="16"/>
          <w:u w:val="single" w:color="auto"/>
          <w:color w:val="auto"/>
        </w:rPr>
        <w:t>Olvera</w:t>
      </w:r>
      <w:r>
        <w:rPr>
          <w:rFonts w:ascii="Times New Roman" w:cs="Times New Roman" w:eastAsia="Times New Roman" w:hAnsi="Times New Roman"/>
          <w:sz w:val="16"/>
          <w:szCs w:val="16"/>
          <w:color w:val="auto"/>
        </w:rPr>
        <w:t xml:space="preserve">, as well as all claims for failure to pay overtime compensation, failure to provide meal periods and rest breaks, and failure to provide itemized wage statements brought in the class actions captioned </w:t>
      </w:r>
      <w:r>
        <w:rPr>
          <w:rFonts w:ascii="Times New Roman" w:cs="Times New Roman" w:eastAsia="Times New Roman" w:hAnsi="Times New Roman"/>
          <w:sz w:val="16"/>
          <w:szCs w:val="16"/>
          <w:u w:val="single" w:color="auto"/>
          <w:color w:val="auto"/>
        </w:rPr>
        <w:t>Martha Perez v. El Pollo Loco, Inc.</w:t>
      </w:r>
      <w:r>
        <w:rPr>
          <w:rFonts w:ascii="Times New Roman" w:cs="Times New Roman" w:eastAsia="Times New Roman" w:hAnsi="Times New Roman"/>
          <w:sz w:val="16"/>
          <w:szCs w:val="16"/>
          <w:color w:val="auto"/>
        </w:rPr>
        <w:t xml:space="preserve"> (Los Angeles Superior Court Case</w:t>
      </w:r>
    </w:p>
    <w:p>
      <w:pPr>
        <w:spacing w:after="0" w:line="7"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 xml:space="preserve">No. BC624001), </w:t>
      </w:r>
      <w:r>
        <w:rPr>
          <w:rFonts w:ascii="Times New Roman" w:cs="Times New Roman" w:eastAsia="Times New Roman" w:hAnsi="Times New Roman"/>
          <w:sz w:val="16"/>
          <w:szCs w:val="16"/>
          <w:u w:val="single" w:color="auto"/>
          <w:color w:val="auto"/>
        </w:rPr>
        <w:t>Maria Vega, et al. v. El Pollo Loco, Inc.</w:t>
      </w:r>
      <w:r>
        <w:rPr>
          <w:rFonts w:ascii="Times New Roman" w:cs="Times New Roman" w:eastAsia="Times New Roman" w:hAnsi="Times New Roman"/>
          <w:sz w:val="16"/>
          <w:szCs w:val="16"/>
          <w:color w:val="auto"/>
        </w:rPr>
        <w:t xml:space="preserve"> (Los Angeles Superior Court Case No. BC649719), and </w:t>
      </w:r>
      <w:r>
        <w:rPr>
          <w:rFonts w:ascii="Times New Roman" w:cs="Times New Roman" w:eastAsia="Times New Roman" w:hAnsi="Times New Roman"/>
          <w:sz w:val="16"/>
          <w:szCs w:val="16"/>
          <w:u w:val="single" w:color="auto"/>
          <w:color w:val="auto"/>
        </w:rPr>
        <w:t>Gonzalez v. El Pollo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Loco, Inc.</w:t>
      </w:r>
      <w:r>
        <w:rPr>
          <w:rFonts w:ascii="Times New Roman" w:cs="Times New Roman" w:eastAsia="Times New Roman" w:hAnsi="Times New Roman"/>
          <w:sz w:val="16"/>
          <w:szCs w:val="16"/>
          <w:color w:val="auto"/>
        </w:rPr>
        <w:t xml:space="preserve"> (Los Angeles Superior Court Case No. BC712867). The settlement reached in principle in the </w:t>
      </w:r>
      <w:r>
        <w:rPr>
          <w:rFonts w:ascii="Times New Roman" w:cs="Times New Roman" w:eastAsia="Times New Roman" w:hAnsi="Times New Roman"/>
          <w:sz w:val="16"/>
          <w:szCs w:val="16"/>
          <w:u w:val="single" w:color="auto"/>
          <w:color w:val="auto"/>
        </w:rPr>
        <w:t>Olvera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Perez</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Vega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Gonzalez actions</w:t>
      </w:r>
      <w:r>
        <w:rPr>
          <w:rFonts w:ascii="Times New Roman" w:cs="Times New Roman" w:eastAsia="Times New Roman" w:hAnsi="Times New Roman"/>
          <w:sz w:val="16"/>
          <w:szCs w:val="16"/>
          <w:color w:val="auto"/>
        </w:rPr>
        <w:t xml:space="preserve">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65"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6"/>
          <w:szCs w:val="16"/>
          <w:u w:val="single" w:color="auto"/>
          <w:color w:val="auto"/>
        </w:rPr>
        <w:t>Daniel Turocy, et al. v. El Pollo Loco Holdings, Inc., et al.</w:t>
      </w:r>
      <w:r>
        <w:rPr>
          <w:rFonts w:ascii="Times New Roman" w:cs="Times New Roman" w:eastAsia="Times New Roman" w:hAnsi="Times New Roman"/>
          <w:sz w:val="16"/>
          <w:szCs w:val="16"/>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6"/>
          <w:szCs w:val="16"/>
          <w:u w:val="single" w:color="auto"/>
          <w:color w:val="auto"/>
        </w:rPr>
        <w:t>Ron Huston, et al. v. El Pollo Loco Holdings, Inc., et al.</w:t>
      </w:r>
      <w:r>
        <w:rPr>
          <w:rFonts w:ascii="Times New Roman" w:cs="Times New Roman" w:eastAsia="Times New Roman" w:hAnsi="Times New Roman"/>
          <w:sz w:val="16"/>
          <w:szCs w:val="16"/>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68"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1" w:name="page22"/>
    <w:bookmarkEnd w:id="2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79"/>
        <w:spacing w:after="0" w:line="296" w:lineRule="auto"/>
        <w:rPr>
          <w:sz w:val="20"/>
          <w:szCs w:val="20"/>
          <w:color w:val="auto"/>
        </w:rPr>
      </w:pPr>
      <w:r>
        <w:rPr>
          <w:rFonts w:ascii="Times New Roman" w:cs="Times New Roman" w:eastAsia="Times New Roman" w:hAnsi="Times New Roman"/>
          <w:sz w:val="16"/>
          <w:szCs w:val="16"/>
          <w:color w:val="auto"/>
        </w:rPr>
        <w:t>certified a class as to all of Plaintiffs’ claims. Defendants filed a petition for appellate review of a portion of the Court’s July 3, 2018 class certification order. On October 19, 2018 the Ninth Circuit Court of Appeals denied the petition.</w:t>
      </w:r>
    </w:p>
    <w:p>
      <w:pPr>
        <w:spacing w:after="0" w:line="137"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and did so file a Stipulation of Settlement and a motion for preliminary approval of the settlement. The court granted preliminary approval of the settlement on May 13, 2019. Defendants maintain that the Plaintiffs’ claims are without merit, and entered into the settlement with Plaintiffs to eliminate the uncertainties, burden and expense of further protracted litigation. A $20.0 million accrual of an expected settlement amount related to this matter was recorded as of December 26, 2018 and all settlement payments were made during the year ended December 25, 2019.</w:t>
      </w:r>
    </w:p>
    <w:p>
      <w:pPr>
        <w:spacing w:after="0" w:line="166" w:lineRule="exact"/>
        <w:rPr>
          <w:sz w:val="20"/>
          <w:szCs w:val="20"/>
          <w:color w:val="auto"/>
        </w:rPr>
      </w:pPr>
    </w:p>
    <w:p>
      <w:pPr>
        <w:ind w:left="40" w:right="179"/>
        <w:spacing w:after="0" w:line="260" w:lineRule="auto"/>
        <w:rPr>
          <w:sz w:val="20"/>
          <w:szCs w:val="20"/>
          <w:color w:val="auto"/>
        </w:rPr>
      </w:pPr>
      <w:r>
        <w:rPr>
          <w:rFonts w:ascii="Times New Roman" w:cs="Times New Roman" w:eastAsia="Times New Roman" w:hAnsi="Times New Roman"/>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Times New Roman" w:cs="Times New Roman" w:eastAsia="Times New Roman" w:hAnsi="Times New Roman"/>
          <w:sz w:val="16"/>
          <w:szCs w:val="16"/>
          <w:u w:val="single" w:color="auto"/>
          <w:color w:val="auto"/>
        </w:rPr>
        <w:t>Armen Galustyan v. Sather, et al.</w:t>
      </w:r>
      <w:r>
        <w:rPr>
          <w:rFonts w:ascii="Times New Roman" w:cs="Times New Roman" w:eastAsia="Times New Roman" w:hAnsi="Times New Roman"/>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Times New Roman" w:cs="Times New Roman" w:eastAsia="Times New Roman" w:hAnsi="Times New Roman"/>
          <w:sz w:val="16"/>
          <w:szCs w:val="16"/>
          <w:u w:val="single" w:color="auto"/>
          <w:color w:val="auto"/>
        </w:rPr>
        <w:t>Turocy v. El Pollo Loco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Holdings, Inc</w:t>
      </w:r>
      <w:r>
        <w:rPr>
          <w:rFonts w:ascii="Times New Roman" w:cs="Times New Roman" w:eastAsia="Times New Roman" w:hAnsi="Times New Roman"/>
          <w:sz w:val="16"/>
          <w:szCs w:val="16"/>
          <w:color w:val="auto"/>
        </w:rPr>
        <w:t xml:space="preserve">., discussed above. A second purported Holdings shareholder filed a derivative complaint on or about September 23, 2016, under the caption </w:t>
      </w:r>
      <w:r>
        <w:rPr>
          <w:rFonts w:ascii="Times New Roman" w:cs="Times New Roman" w:eastAsia="Times New Roman" w:hAnsi="Times New Roman"/>
          <w:sz w:val="16"/>
          <w:szCs w:val="16"/>
          <w:u w:val="single" w:color="auto"/>
          <w:color w:val="auto"/>
        </w:rPr>
        <w:t>Diep v. Sather</w:t>
      </w:r>
      <w:r>
        <w:rPr>
          <w:rFonts w:ascii="Times New Roman" w:cs="Times New Roman" w:eastAsia="Times New Roman" w:hAnsi="Times New Roman"/>
          <w:sz w:val="16"/>
          <w:szCs w:val="16"/>
          <w:color w:val="auto"/>
        </w:rPr>
        <w:t xml:space="preserve">, CA 12760-VCL in the Delaware Court of Chancery. The </w:t>
      </w:r>
      <w:r>
        <w:rPr>
          <w:rFonts w:ascii="Times New Roman" w:cs="Times New Roman" w:eastAsia="Times New Roman" w:hAnsi="Times New Roman"/>
          <w:sz w:val="16"/>
          <w:szCs w:val="16"/>
          <w:u w:val="single" w:color="auto"/>
          <w:color w:val="auto"/>
        </w:rPr>
        <w:t>Diep</w:t>
      </w:r>
      <w:r>
        <w:rPr>
          <w:rFonts w:ascii="Times New Roman" w:cs="Times New Roman" w:eastAsia="Times New Roman" w:hAnsi="Times New Roman"/>
          <w:sz w:val="16"/>
          <w:szCs w:val="16"/>
          <w:color w:val="auto"/>
        </w:rPr>
        <w:t xml:space="preserve"> action is also purportedly brought on behalf of Holdings, names the same defendants and asserts substantially the same claims on substantially the same alleged facts as does </w:t>
      </w:r>
      <w:r>
        <w:rPr>
          <w:rFonts w:ascii="Times New Roman" w:cs="Times New Roman" w:eastAsia="Times New Roman" w:hAnsi="Times New Roman"/>
          <w:sz w:val="16"/>
          <w:szCs w:val="16"/>
          <w:u w:val="single" w:color="auto"/>
          <w:color w:val="auto"/>
        </w:rPr>
        <w:t>Galustyan</w:t>
      </w:r>
      <w:r>
        <w:rPr>
          <w:rFonts w:ascii="Times New Roman" w:cs="Times New Roman" w:eastAsia="Times New Roman" w:hAnsi="Times New Roman"/>
          <w:sz w:val="16"/>
          <w:szCs w:val="16"/>
          <w:color w:val="auto"/>
        </w:rPr>
        <w:t xml:space="preserve">. Defendants moved to stay or dismiss the </w:t>
      </w:r>
      <w:r>
        <w:rPr>
          <w:rFonts w:ascii="Times New Roman" w:cs="Times New Roman" w:eastAsia="Times New Roman" w:hAnsi="Times New Roman"/>
          <w:sz w:val="16"/>
          <w:szCs w:val="16"/>
          <w:u w:val="single" w:color="auto"/>
          <w:color w:val="auto"/>
        </w:rPr>
        <w:t>Diep</w:t>
      </w:r>
      <w:r>
        <w:rPr>
          <w:rFonts w:ascii="Times New Roman" w:cs="Times New Roman" w:eastAsia="Times New Roman" w:hAnsi="Times New Roman"/>
          <w:sz w:val="16"/>
          <w:szCs w:val="16"/>
          <w:color w:val="auto"/>
        </w:rPr>
        <w:t xml:space="preserve"> action.</w:t>
      </w:r>
    </w:p>
    <w:p>
      <w:pPr>
        <w:spacing w:after="0" w:line="169" w:lineRule="exact"/>
        <w:rPr>
          <w:sz w:val="20"/>
          <w:szCs w:val="20"/>
          <w:color w:val="auto"/>
        </w:rPr>
      </w:pPr>
    </w:p>
    <w:p>
      <w:pPr>
        <w:ind w:left="40" w:right="219"/>
        <w:spacing w:after="0" w:line="263" w:lineRule="auto"/>
        <w:rPr>
          <w:sz w:val="20"/>
          <w:szCs w:val="20"/>
          <w:color w:val="auto"/>
        </w:rPr>
      </w:pPr>
      <w:r>
        <w:rPr>
          <w:rFonts w:ascii="Times New Roman" w:cs="Times New Roman" w:eastAsia="Times New Roman" w:hAnsi="Times New Roman"/>
          <w:sz w:val="16"/>
          <w:szCs w:val="16"/>
          <w:color w:val="auto"/>
        </w:rPr>
        <w:t xml:space="preserve">On March 17, 2017, the Delaware court granted in part, and denied in part, the motion to stay the </w:t>
      </w:r>
      <w:r>
        <w:rPr>
          <w:rFonts w:ascii="Times New Roman" w:cs="Times New Roman" w:eastAsia="Times New Roman" w:hAnsi="Times New Roman"/>
          <w:sz w:val="16"/>
          <w:szCs w:val="16"/>
          <w:u w:val="single" w:color="auto"/>
          <w:color w:val="auto"/>
        </w:rPr>
        <w:t>Diep</w:t>
      </w:r>
      <w:r>
        <w:rPr>
          <w:rFonts w:ascii="Times New Roman" w:cs="Times New Roman" w:eastAsia="Times New Roman" w:hAnsi="Times New Roman"/>
          <w:sz w:val="16"/>
          <w:szCs w:val="16"/>
          <w:color w:val="auto"/>
        </w:rPr>
        <w:t xml:space="preserve"> action. The court denied defendants’ motion to dismiss the complaint for failure to state a claim. On January 17, 2018, the court entered an order granting the parties’ stipulation staying all proceedings in the </w:t>
      </w:r>
      <w:r>
        <w:rPr>
          <w:rFonts w:ascii="Times New Roman" w:cs="Times New Roman" w:eastAsia="Times New Roman" w:hAnsi="Times New Roman"/>
          <w:sz w:val="16"/>
          <w:szCs w:val="16"/>
          <w:u w:val="single" w:color="auto"/>
          <w:color w:val="auto"/>
        </w:rPr>
        <w:t>Diep</w:t>
      </w:r>
      <w:r>
        <w:rPr>
          <w:rFonts w:ascii="Times New Roman" w:cs="Times New Roman" w:eastAsia="Times New Roman" w:hAnsi="Times New Roman"/>
          <w:sz w:val="16"/>
          <w:szCs w:val="16"/>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Following discovery related to the SLC’s motion, on September 25, 2020, the SLC filed its opening brief with the Delaware court in support of the motion to dismiss. Further briefing on the motion is ongoing.</w:t>
      </w:r>
    </w:p>
    <w:p>
      <w:pPr>
        <w:spacing w:after="0" w:line="164"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u w:val="single" w:color="auto"/>
          <w:color w:val="auto"/>
        </w:rPr>
        <w:t>Janice P. Handlers-Bryman and Michael D. Bryman v. El Pollo Loco, Inc.</w:t>
      </w:r>
      <w:r>
        <w:rPr>
          <w:rFonts w:ascii="Times New Roman" w:cs="Times New Roman" w:eastAsia="Times New Roman" w:hAnsi="Times New Roman"/>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2" w:name="page23"/>
    <w:bookmarkEnd w:id="2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6"/>
          <w:szCs w:val="16"/>
          <w:color w:val="auto"/>
        </w:rPr>
        <w:t>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64"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66" w:lineRule="exact"/>
        <w:rPr>
          <w:sz w:val="20"/>
          <w:szCs w:val="20"/>
          <w:color w:val="auto"/>
        </w:rPr>
      </w:pPr>
    </w:p>
    <w:p>
      <w:pPr>
        <w:ind w:left="40" w:right="479"/>
        <w:spacing w:after="0" w:line="276" w:lineRule="auto"/>
        <w:rPr>
          <w:sz w:val="20"/>
          <w:szCs w:val="20"/>
          <w:color w:val="auto"/>
        </w:rPr>
      </w:pPr>
      <w:r>
        <w:rPr>
          <w:rFonts w:ascii="Times New Roman" w:cs="Times New Roman" w:eastAsia="Times New Roman" w:hAnsi="Times New Roman"/>
          <w:sz w:val="16"/>
          <w:szCs w:val="16"/>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w:t>
      </w:r>
    </w:p>
    <w:p>
      <w:pPr>
        <w:spacing w:after="0" w:line="153"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w:t>
      </w:r>
    </w:p>
    <w:p>
      <w:pPr>
        <w:spacing w:after="0" w:line="162"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During the thirteen and thirty-nine weeks ended September 23, 2020, the Company reached an agreement with the Plaintiffs to resolve the lawsuit for a payment by the Company of $2.5 million, which was recorded within operating expenses in the Company’s condensed consolidated statement of income for the thirty-nine weeks ended September 23, 2020. Additionally, during the thirteen and thirty-nine weeks ended September 23,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and the appeal bond has been released.</w:t>
      </w:r>
    </w:p>
    <w:p>
      <w:pPr>
        <w:spacing w:after="0" w:line="166"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6"/>
          <w:szCs w:val="16"/>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Purchasing Commitments</w:t>
      </w:r>
    </w:p>
    <w:p>
      <w:pPr>
        <w:spacing w:after="0" w:line="214"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6"/>
          <w:szCs w:val="16"/>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3" w:name="page24"/>
    <w:bookmarkEnd w:id="2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At September 23, 2020, the Company’s total estimated commitment to purchase chicken was $3.7 million.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Contingent Lease Obligations</w:t>
      </w:r>
    </w:p>
    <w:p>
      <w:pPr>
        <w:spacing w:after="0" w:line="21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September 23, 2020, the potential amount of undiscounted payments the Company could be required to make in the event of non-payment by the primary lessee was $3.1 million. The present value of these potential payments discounted at the Company’s estimated pre-tax cost of debt at September 23, 2020 was $2.8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the impact it has had on the ability of the Company’s franchisees to make their lease payments, the Company has recorded a $0.1 million liability in the Company’s condensed consolidated financial statements related to these contingent liabilities.</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The Company has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14" w:lineRule="exact"/>
        <w:rPr>
          <w:sz w:val="20"/>
          <w:szCs w:val="20"/>
          <w:color w:val="auto"/>
        </w:rPr>
      </w:pPr>
    </w:p>
    <w:p>
      <w:pPr>
        <w:jc w:val="both"/>
        <w:ind w:left="40" w:right="99"/>
        <w:spacing w:after="0" w:line="270" w:lineRule="auto"/>
        <w:rPr>
          <w:sz w:val="20"/>
          <w:szCs w:val="20"/>
          <w:color w:val="auto"/>
        </w:rPr>
      </w:pPr>
      <w:r>
        <w:rPr>
          <w:rFonts w:ascii="Times New Roman" w:cs="Times New Roman" w:eastAsia="Times New Roman" w:hAnsi="Times New Roman"/>
          <w:sz w:val="16"/>
          <w:szCs w:val="16"/>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8. NET INCOME PER SHARE</w:t>
      </w:r>
    </w:p>
    <w:p>
      <w:pPr>
        <w:spacing w:after="0" w:line="214" w:lineRule="exact"/>
        <w:rPr>
          <w:sz w:val="20"/>
          <w:szCs w:val="20"/>
          <w:color w:val="auto"/>
        </w:rPr>
      </w:pPr>
    </w:p>
    <w:p>
      <w:pPr>
        <w:ind w:left="40" w:right="219"/>
        <w:spacing w:after="0" w:line="276" w:lineRule="auto"/>
        <w:rPr>
          <w:sz w:val="20"/>
          <w:szCs w:val="20"/>
          <w:color w:val="auto"/>
        </w:rPr>
      </w:pPr>
      <w:r>
        <w:rPr>
          <w:rFonts w:ascii="Times New Roman" w:cs="Times New Roman" w:eastAsia="Times New Roman" w:hAnsi="Times New Roman"/>
          <w:sz w:val="16"/>
          <w:szCs w:val="16"/>
          <w:color w:val="auto"/>
        </w:rPr>
        <w:t>Basic earnings per share (“EPS”) is calculated using the weighted-average number of shares of common stock outstanding during the thirteen and thirty-nine weeks ended September 23, 2020 and September 25, 2019. Diluted EPS is calculated using the weighted-average number of shares of common stock outstanding and potentially dilutive during the period, using the treasury stock method.</w:t>
      </w:r>
    </w:p>
    <w:p>
      <w:pPr>
        <w:spacing w:after="0" w:line="153"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6"/>
          <w:szCs w:val="16"/>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157"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6"/>
          <w:szCs w:val="16"/>
          <w:color w:val="auto"/>
        </w:rPr>
        <w:t>On April 30, 2019, as part of the Company’s focus on stockholder returns, the Board of Directors approved a new stock repurchase program. The Company entered into a stock repurchase plan May 17, 2019 (the “2019 Stock Repurchase Plan”), which allowed for the repurchase up to $30.0 million of the Company’s common stock. The 2019 Stock Repurchase Plan commenced on June 27, 2019, and was exhausted on September 26, 2019.</w:t>
      </w:r>
    </w:p>
    <w:p>
      <w:pPr>
        <w:spacing w:after="0" w:line="157" w:lineRule="exact"/>
        <w:rPr>
          <w:sz w:val="20"/>
          <w:szCs w:val="20"/>
          <w:color w:val="auto"/>
        </w:rPr>
      </w:pPr>
    </w:p>
    <w:p>
      <w:pPr>
        <w:ind w:left="40" w:right="79"/>
        <w:spacing w:after="0" w:line="273" w:lineRule="auto"/>
        <w:rPr>
          <w:sz w:val="20"/>
          <w:szCs w:val="20"/>
          <w:color w:val="auto"/>
        </w:rPr>
      </w:pPr>
      <w:r>
        <w:rPr>
          <w:rFonts w:ascii="Times New Roman" w:cs="Times New Roman" w:eastAsia="Times New Roman" w:hAnsi="Times New Roman"/>
          <w:sz w:val="16"/>
          <w:szCs w:val="16"/>
          <w:color w:val="auto"/>
        </w:rPr>
        <w:t>Under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357"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For the thirteen weeks ended September 25, 2019, the Company repurchased 2,825,896 shares of common stock under the 2019 Stock Repurchase Plan, using open market purchases, for total consideration of approximately $29.9 million. For the thirty-nine weeks ended September 25, 2019, the Company repurchased 1,558,836 shares of common stock under the 2018 Stock Repurchase Plan and 2,825,896 shares of common stock under the 2019 Stock Repurchase Plan,</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4" w:name="page25"/>
    <w:bookmarkEnd w:id="2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40"/>
        <w:spacing w:after="0" w:line="296" w:lineRule="auto"/>
        <w:rPr>
          <w:sz w:val="20"/>
          <w:szCs w:val="20"/>
          <w:color w:val="auto"/>
        </w:rPr>
      </w:pPr>
      <w:r>
        <w:rPr>
          <w:rFonts w:ascii="Times New Roman" w:cs="Times New Roman" w:eastAsia="Times New Roman" w:hAnsi="Times New Roman"/>
          <w:sz w:val="16"/>
          <w:szCs w:val="16"/>
          <w:color w:val="auto"/>
        </w:rPr>
        <w:t>using open market purchases, for total consideration of approximately $48.3 million. The common stock repurchased under both the 2018 Stock Repurchase Plan and the 2019 Stock Repurchase Plan was retired upon repurchase.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Below are basic and diluted EPS data for the periods indicated (in thousands except for share and per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38"/>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280" w:type="dxa"/>
            <w:vAlign w:val="bottom"/>
          </w:tcPr>
          <w:p>
            <w:pPr>
              <w:spacing w:after="0"/>
              <w:rPr>
                <w:sz w:val="13"/>
                <w:szCs w:val="13"/>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28"/>
        </w:trPr>
        <w:tc>
          <w:tcPr>
            <w:tcW w:w="3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40" w:type="dxa"/>
            <w:vAlign w:val="bottom"/>
            <w:tcBorders>
              <w:top w:val="single" w:sz="8" w:color="auto"/>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26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Borders>
              <w:top w:val="single" w:sz="8" w:color="auto"/>
              <w:bottom w:val="single" w:sz="8" w:color="CCEEFF"/>
            </w:tcBorders>
          </w:tcPr>
          <w:p>
            <w:pPr>
              <w:spacing w:after="0"/>
              <w:rPr>
                <w:sz w:val="11"/>
                <w:szCs w:val="11"/>
                <w:color w:val="auto"/>
              </w:rPr>
            </w:pPr>
          </w:p>
        </w:tc>
        <w:tc>
          <w:tcPr>
            <w:tcW w:w="1260" w:type="dxa"/>
            <w:vAlign w:val="bottom"/>
            <w:tcBorders>
              <w:top w:val="single" w:sz="8" w:color="auto"/>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Borders>
              <w:bottom w:val="single" w:sz="8" w:color="CCEEFF"/>
            </w:tcBorders>
          </w:tcPr>
          <w:p>
            <w:pPr>
              <w:spacing w:after="0"/>
              <w:rPr>
                <w:sz w:val="11"/>
                <w:szCs w:val="11"/>
                <w:color w:val="auto"/>
              </w:rPr>
            </w:pPr>
          </w:p>
        </w:tc>
      </w:tr>
      <w:tr>
        <w:trPr>
          <w:trHeight w:val="18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w:t>
            </w:r>
          </w:p>
        </w:tc>
        <w:tc>
          <w:tcPr>
            <w:tcW w:w="400" w:type="dxa"/>
            <w:vAlign w:val="bottom"/>
            <w:gridSpan w:val="2"/>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19,019</w:t>
            </w:r>
          </w:p>
        </w:tc>
        <w:tc>
          <w:tcPr>
            <w:tcW w:w="40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140" w:type="dxa"/>
            <w:vAlign w:val="bottom"/>
          </w:tcPr>
          <w:p>
            <w:pPr>
              <w:spacing w:after="0"/>
              <w:rPr>
                <w:sz w:val="17"/>
                <w:szCs w:val="17"/>
                <w:color w:val="auto"/>
              </w:rPr>
            </w:pPr>
          </w:p>
        </w:tc>
      </w:tr>
      <w:tr>
        <w:trPr>
          <w:trHeight w:val="18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97"/>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outstanding—basic</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35,471,452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35,859,502</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34,989,007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37,484,372</w:t>
            </w:r>
          </w:p>
        </w:tc>
        <w:tc>
          <w:tcPr>
            <w:tcW w:w="140" w:type="dxa"/>
            <w:vAlign w:val="bottom"/>
          </w:tcPr>
          <w:p>
            <w:pPr>
              <w:spacing w:after="0"/>
              <w:rPr>
                <w:sz w:val="17"/>
                <w:szCs w:val="17"/>
                <w:color w:val="auto"/>
              </w:rPr>
            </w:pPr>
          </w:p>
        </w:tc>
      </w:tr>
      <w:tr>
        <w:trPr>
          <w:trHeight w:val="19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outstanding—diluted</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36,064,559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36,397,368</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35,609,320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38,173,097</w:t>
            </w:r>
          </w:p>
        </w:tc>
        <w:tc>
          <w:tcPr>
            <w:tcW w:w="140" w:type="dxa"/>
            <w:vAlign w:val="bottom"/>
            <w:shd w:val="clear" w:color="auto" w:fill="CCEEFF"/>
          </w:tcPr>
          <w:p>
            <w:pPr>
              <w:spacing w:after="0"/>
              <w:rPr>
                <w:sz w:val="17"/>
                <w:szCs w:val="17"/>
                <w:color w:val="auto"/>
              </w:rPr>
            </w:pPr>
          </w:p>
        </w:tc>
      </w:tr>
      <w:tr>
        <w:trPr>
          <w:trHeight w:val="18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share—basic</w:t>
            </w:r>
          </w:p>
        </w:tc>
        <w:tc>
          <w:tcPr>
            <w:tcW w:w="8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4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Pr>
          <w:p>
            <w:pPr>
              <w:spacing w:after="0"/>
              <w:rPr>
                <w:sz w:val="16"/>
                <w:szCs w:val="16"/>
                <w:color w:val="auto"/>
              </w:rPr>
            </w:pPr>
          </w:p>
        </w:tc>
      </w:tr>
      <w:tr>
        <w:trPr>
          <w:trHeight w:val="19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share—diluted</w:t>
            </w:r>
          </w:p>
        </w:tc>
        <w:tc>
          <w:tcPr>
            <w:tcW w:w="3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4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40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40" w:type="dxa"/>
            <w:vAlign w:val="bottom"/>
            <w:shd w:val="clear" w:color="auto" w:fill="CCEEFF"/>
          </w:tcPr>
          <w:p>
            <w:pPr>
              <w:spacing w:after="0"/>
              <w:rPr>
                <w:sz w:val="17"/>
                <w:szCs w:val="17"/>
                <w:color w:val="auto"/>
              </w:rPr>
            </w:pPr>
          </w:p>
        </w:tc>
      </w:tr>
      <w:tr>
        <w:trPr>
          <w:trHeight w:val="160"/>
        </w:trPr>
        <w:tc>
          <w:tcPr>
            <w:tcW w:w="36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Anti-dilutive securities not considered in diluted EPS</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1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calculation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882,253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636,099</w:t>
            </w:r>
          </w:p>
        </w:tc>
        <w:tc>
          <w:tcPr>
            <w:tcW w:w="140" w:type="dxa"/>
            <w:vAlign w:val="bottom"/>
          </w:tcPr>
          <w:p>
            <w:pPr>
              <w:spacing w:after="0"/>
              <w:rPr>
                <w:sz w:val="18"/>
                <w:szCs w:val="18"/>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Below is a reconciliation of basic and diluted share counts: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264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2660" w:type="dxa"/>
            <w:vAlign w:val="bottom"/>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28"/>
        </w:trPr>
        <w:tc>
          <w:tcPr>
            <w:tcW w:w="3620" w:type="dxa"/>
            <w:vAlign w:val="bottom"/>
          </w:tcPr>
          <w:p>
            <w:pPr>
              <w:spacing w:after="0"/>
              <w:rPr>
                <w:sz w:val="11"/>
                <w:szCs w:val="11"/>
                <w:color w:val="auto"/>
              </w:rPr>
            </w:pPr>
          </w:p>
        </w:tc>
        <w:tc>
          <w:tcPr>
            <w:tcW w:w="1280" w:type="dxa"/>
            <w:vAlign w:val="bottom"/>
            <w:tcBorders>
              <w:top w:val="single" w:sz="8" w:color="auto"/>
            </w:tcBorders>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280" w:type="dxa"/>
            <w:vAlign w:val="bottom"/>
            <w:tcBorders>
              <w:top w:val="single" w:sz="8" w:color="auto"/>
            </w:tcBorders>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40" w:type="dxa"/>
            <w:vAlign w:val="bottom"/>
            <w:tcBorders>
              <w:top w:val="single" w:sz="8" w:color="auto"/>
            </w:tcBorders>
          </w:tcPr>
          <w:p>
            <w:pPr>
              <w:jc w:val="right"/>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r>
      <w:tr>
        <w:trPr>
          <w:trHeight w:val="18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outstanding—basic</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35,471,452</w:t>
            </w:r>
          </w:p>
        </w:tc>
        <w:tc>
          <w:tcPr>
            <w:tcW w:w="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35,859,502</w:t>
            </w: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34,989,007</w:t>
            </w:r>
          </w:p>
        </w:tc>
        <w:tc>
          <w:tcPr>
            <w:tcW w:w="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37,484,372</w:t>
            </w:r>
          </w:p>
        </w:tc>
        <w:tc>
          <w:tcPr>
            <w:tcW w:w="140" w:type="dxa"/>
            <w:vAlign w:val="bottom"/>
            <w:tcBorders>
              <w:top w:val="single" w:sz="8" w:color="CCEEFF"/>
            </w:tcBorders>
            <w:shd w:val="clear" w:color="auto" w:fill="CCEEFF"/>
          </w:tcPr>
          <w:p>
            <w:pPr>
              <w:spacing w:after="0"/>
              <w:rPr>
                <w:sz w:val="16"/>
                <w:szCs w:val="16"/>
                <w:color w:val="auto"/>
              </w:rPr>
            </w:pPr>
          </w:p>
        </w:tc>
      </w:tr>
      <w:tr>
        <w:trPr>
          <w:trHeight w:val="197"/>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Dilutive effect of stock options and restricted shares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593,107</w:t>
            </w:r>
          </w:p>
        </w:tc>
        <w:tc>
          <w:tcPr>
            <w:tcW w:w="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537,866</w:t>
            </w: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620,313</w:t>
            </w:r>
          </w:p>
        </w:tc>
        <w:tc>
          <w:tcPr>
            <w:tcW w:w="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688,725</w:t>
            </w:r>
          </w:p>
        </w:tc>
        <w:tc>
          <w:tcPr>
            <w:tcW w:w="140" w:type="dxa"/>
            <w:vAlign w:val="bottom"/>
            <w:tcBorders>
              <w:bottom w:val="single" w:sz="8" w:color="CCEEFF"/>
            </w:tcBorders>
          </w:tcPr>
          <w:p>
            <w:pPr>
              <w:spacing w:after="0"/>
              <w:rPr>
                <w:sz w:val="17"/>
                <w:szCs w:val="17"/>
                <w:color w:val="auto"/>
              </w:rPr>
            </w:pPr>
          </w:p>
        </w:tc>
      </w:tr>
      <w:tr>
        <w:trPr>
          <w:trHeight w:val="189"/>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shares outstanding—diluted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36,064,559</w:t>
            </w:r>
          </w:p>
        </w:tc>
        <w:tc>
          <w:tcPr>
            <w:tcW w:w="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36,397,368</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35,609,320</w:t>
            </w:r>
          </w:p>
        </w:tc>
        <w:tc>
          <w:tcPr>
            <w:tcW w:w="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38,173,097</w:t>
            </w:r>
          </w:p>
        </w:tc>
        <w:tc>
          <w:tcPr>
            <w:tcW w:w="140" w:type="dxa"/>
            <w:vAlign w:val="bottom"/>
            <w:tcBorders>
              <w:bottom w:val="single" w:sz="8" w:color="CCEEFF"/>
            </w:tcBorders>
            <w:shd w:val="clear" w:color="auto" w:fill="CCEEFF"/>
          </w:tcPr>
          <w:p>
            <w:pPr>
              <w:spacing w:after="0"/>
              <w:rPr>
                <w:sz w:val="16"/>
                <w:szCs w:val="16"/>
                <w:color w:val="auto"/>
              </w:rPr>
            </w:pPr>
          </w:p>
        </w:tc>
      </w:tr>
      <w:tr>
        <w:trPr>
          <w:trHeight w:val="20"/>
        </w:trPr>
        <w:tc>
          <w:tcPr>
            <w:tcW w:w="3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9. RELATED PARTY TRANSACTIONS</w:t>
      </w:r>
    </w:p>
    <w:p>
      <w:pPr>
        <w:spacing w:after="0" w:line="214" w:lineRule="exact"/>
        <w:rPr>
          <w:sz w:val="20"/>
          <w:szCs w:val="20"/>
          <w:color w:val="auto"/>
        </w:rPr>
      </w:pPr>
    </w:p>
    <w:p>
      <w:pPr>
        <w:ind w:left="40" w:right="100"/>
        <w:spacing w:after="0" w:line="260" w:lineRule="auto"/>
        <w:rPr>
          <w:sz w:val="20"/>
          <w:szCs w:val="20"/>
          <w:color w:val="auto"/>
        </w:rPr>
      </w:pPr>
      <w:r>
        <w:rPr>
          <w:rFonts w:ascii="Times New Roman" w:cs="Times New Roman" w:eastAsia="Times New Roman" w:hAnsi="Times New Roman"/>
          <w:sz w:val="16"/>
          <w:szCs w:val="16"/>
          <w:color w:val="auto"/>
        </w:rPr>
        <w:t>Trimaran Pollo Partners, L.L.C. (“LLC”) owns approximately 46.0%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67" w:lineRule="exact"/>
        <w:rPr>
          <w:sz w:val="20"/>
          <w:szCs w:val="20"/>
          <w:color w:val="auto"/>
        </w:rPr>
      </w:pPr>
    </w:p>
    <w:p>
      <w:pPr>
        <w:ind w:left="40" w:right="4780" w:firstLine="3"/>
        <w:spacing w:after="0" w:line="515" w:lineRule="auto"/>
        <w:tabs>
          <w:tab w:leader="none" w:pos="286"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FROM CONTRACTS WITH CUSTOMERS Revenue Recognition</w:t>
      </w:r>
    </w:p>
    <w:p>
      <w:pPr>
        <w:ind w:left="40"/>
        <w:spacing w:after="0"/>
        <w:rPr>
          <w:sz w:val="20"/>
          <w:szCs w:val="20"/>
          <w:color w:val="auto"/>
        </w:rPr>
      </w:pPr>
      <w:r>
        <w:rPr>
          <w:rFonts w:ascii="Times New Roman" w:cs="Times New Roman" w:eastAsia="Times New Roman" w:hAnsi="Times New Roman"/>
          <w:sz w:val="16"/>
          <w:szCs w:val="16"/>
          <w:i w:val="1"/>
          <w:iCs w:val="1"/>
          <w:color w:val="auto"/>
        </w:rPr>
        <w:t>Nature of products and services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has two revenue streams, company-operated restaurant revenue and franchise related revenue.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Company-operated restaurant revenue</w:t>
      </w:r>
    </w:p>
    <w:p>
      <w:pPr>
        <w:spacing w:after="0" w:line="212" w:lineRule="exact"/>
        <w:rPr>
          <w:sz w:val="20"/>
          <w:szCs w:val="20"/>
          <w:color w:val="auto"/>
        </w:rPr>
      </w:pPr>
    </w:p>
    <w:p>
      <w:pPr>
        <w:ind w:left="40" w:right="120"/>
        <w:spacing w:after="0" w:line="296" w:lineRule="auto"/>
        <w:rPr>
          <w:sz w:val="20"/>
          <w:szCs w:val="20"/>
          <w:color w:val="auto"/>
        </w:rPr>
      </w:pPr>
      <w:r>
        <w:rPr>
          <w:rFonts w:ascii="Times New Roman" w:cs="Times New Roman" w:eastAsia="Times New Roman" w:hAnsi="Times New Roman"/>
          <w:sz w:val="16"/>
          <w:szCs w:val="16"/>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37" w:lineRule="exact"/>
        <w:rPr>
          <w:sz w:val="20"/>
          <w:szCs w:val="20"/>
          <w:color w:val="auto"/>
        </w:rPr>
      </w:pPr>
    </w:p>
    <w:p>
      <w:pPr>
        <w:ind w:left="40" w:right="480"/>
        <w:spacing w:after="0" w:line="296" w:lineRule="auto"/>
        <w:rPr>
          <w:sz w:val="20"/>
          <w:szCs w:val="20"/>
          <w:color w:val="auto"/>
        </w:rPr>
      </w:pPr>
      <w:r>
        <w:rPr>
          <w:rFonts w:ascii="Times New Roman" w:cs="Times New Roman" w:eastAsia="Times New Roman" w:hAnsi="Times New Roman"/>
          <w:sz w:val="16"/>
          <w:szCs w:val="16"/>
          <w:color w:val="auto"/>
        </w:rPr>
        <w:t>The Company offers a loyalty rewards program, which awards a customer points for dollars spent. Customers earn points for each dollar spent and as of August 4, 2020, 50 points can be redeemed for a $5 reward to be used for a future</w:t>
      </w: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60"/>
          </w:cols>
          <w:pgMar w:left="1440" w:top="480" w:right="1399" w:bottom="1440" w:gutter="0" w:footer="0" w:header="0"/>
        </w:sectPr>
      </w:pPr>
    </w:p>
    <w:bookmarkStart w:id="25" w:name="page26"/>
    <w:bookmarkEnd w:id="2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6"/>
          <w:szCs w:val="16"/>
          <w:color w:val="auto"/>
        </w:rPr>
        <w:t>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23, 2020 and December 25, 2019, the revenue allocated to loyalty points that have not been redeemed was $1.0 million and $1.1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71"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Franchise and franchise advertising revenue</w:t>
      </w:r>
    </w:p>
    <w:p>
      <w:pPr>
        <w:spacing w:after="0" w:line="212" w:lineRule="exact"/>
        <w:rPr>
          <w:sz w:val="20"/>
          <w:szCs w:val="20"/>
          <w:color w:val="auto"/>
        </w:rPr>
      </w:pPr>
    </w:p>
    <w:p>
      <w:pPr>
        <w:ind w:left="40" w:right="459"/>
        <w:spacing w:after="0" w:line="276" w:lineRule="auto"/>
        <w:rPr>
          <w:sz w:val="20"/>
          <w:szCs w:val="20"/>
          <w:color w:val="auto"/>
        </w:rPr>
      </w:pPr>
      <w:r>
        <w:rPr>
          <w:rFonts w:ascii="Times New Roman" w:cs="Times New Roman" w:eastAsia="Times New Roman" w:hAnsi="Times New Roman"/>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53" w:lineRule="exact"/>
        <w:rPr>
          <w:sz w:val="20"/>
          <w:szCs w:val="20"/>
          <w:color w:val="auto"/>
        </w:rPr>
      </w:pPr>
    </w:p>
    <w:p>
      <w:pPr>
        <w:ind w:left="660" w:right="679" w:hanging="297"/>
        <w:spacing w:after="0" w:line="26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license - inclusive of advertising services, development agreements, training, access to plans and help desk services.</w:t>
      </w:r>
    </w:p>
    <w:p>
      <w:pPr>
        <w:ind w:left="660" w:hanging="297"/>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Discounted renewal option.</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Hardware services.</w:t>
      </w:r>
    </w:p>
    <w:p>
      <w:pPr>
        <w:spacing w:after="0" w:line="193"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62"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62" w:lineRule="exact"/>
        <w:rPr>
          <w:sz w:val="20"/>
          <w:szCs w:val="20"/>
          <w:color w:val="auto"/>
        </w:rPr>
      </w:pPr>
    </w:p>
    <w:p>
      <w:pPr>
        <w:ind w:left="40" w:right="219"/>
        <w:spacing w:after="0" w:line="270" w:lineRule="auto"/>
        <w:rPr>
          <w:sz w:val="20"/>
          <w:szCs w:val="20"/>
          <w:color w:val="auto"/>
        </w:rPr>
      </w:pPr>
      <w:r>
        <w:rPr>
          <w:rFonts w:ascii="Times New Roman" w:cs="Times New Roman" w:eastAsia="Times New Roman" w:hAnsi="Times New Roman"/>
          <w:sz w:val="16"/>
          <w:szCs w:val="16"/>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57"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23, 2020, there were no performance obligations related to hardware services that were unsatisfied or partially satisfied.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6" w:name="page27"/>
    <w:bookmarkEnd w:id="2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Disaggregated revenue</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by revenue source and market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06"/>
        </w:trPr>
        <w:tc>
          <w:tcPr>
            <w:tcW w:w="2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20" w:type="dxa"/>
            <w:vAlign w:val="bottom"/>
            <w:gridSpan w:val="3"/>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September 23,</w:t>
            </w:r>
          </w:p>
        </w:tc>
        <w:tc>
          <w:tcPr>
            <w:tcW w:w="9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September 25,</w:t>
            </w:r>
          </w:p>
        </w:tc>
        <w:tc>
          <w:tcPr>
            <w:tcW w:w="20" w:type="dxa"/>
            <w:vAlign w:val="bottom"/>
          </w:tcPr>
          <w:p>
            <w:pPr>
              <w:spacing w:after="0"/>
              <w:rPr>
                <w:sz w:val="9"/>
                <w:szCs w:val="9"/>
                <w:color w:val="auto"/>
              </w:rPr>
            </w:pPr>
          </w:p>
        </w:tc>
        <w:tc>
          <w:tcPr>
            <w:tcW w:w="9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September 23,</w:t>
            </w:r>
          </w:p>
        </w:tc>
        <w:tc>
          <w:tcPr>
            <w:tcW w:w="140" w:type="dxa"/>
            <w:vAlign w:val="bottom"/>
          </w:tcPr>
          <w:p>
            <w:pPr>
              <w:spacing w:after="0"/>
              <w:rPr>
                <w:sz w:val="9"/>
                <w:szCs w:val="9"/>
                <w:color w:val="auto"/>
              </w:rPr>
            </w:pPr>
          </w:p>
        </w:tc>
        <w:tc>
          <w:tcPr>
            <w:tcW w:w="9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September 25,</w:t>
            </w:r>
          </w:p>
        </w:tc>
      </w:tr>
      <w:tr>
        <w:trPr>
          <w:trHeight w:val="158"/>
        </w:trPr>
        <w:tc>
          <w:tcPr>
            <w:tcW w:w="224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89"/>
        </w:trPr>
        <w:tc>
          <w:tcPr>
            <w:tcW w:w="382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Core Market</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5"/>
                <w:szCs w:val="15"/>
                <w:b w:val="1"/>
                <w:bCs w:val="1"/>
                <w:color w:val="auto"/>
              </w:rPr>
              <w:t>:</w:t>
            </w: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7"/>
        </w:trPr>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Company-operated restaurant revenue</w:t>
            </w:r>
          </w:p>
        </w:tc>
        <w:tc>
          <w:tcPr>
            <w:tcW w:w="140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90,207</w:t>
            </w:r>
          </w:p>
        </w:tc>
        <w:tc>
          <w:tcPr>
            <w:tcW w:w="14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90,277</w:t>
            </w: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257,493</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264,391</w:t>
            </w:r>
          </w:p>
        </w:tc>
      </w:tr>
      <w:tr>
        <w:trPr>
          <w:trHeight w:val="197"/>
        </w:trPr>
        <w:tc>
          <w:tcPr>
            <w:tcW w:w="3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Franchise revenue</w:t>
            </w: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11,369</w:t>
            </w:r>
          </w:p>
        </w:tc>
      </w:tr>
      <w:tr>
        <w:trPr>
          <w:trHeight w:val="197"/>
        </w:trPr>
        <w:tc>
          <w:tcPr>
            <w:tcW w:w="3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8,332</w:t>
            </w:r>
          </w:p>
        </w:tc>
      </w:tr>
      <w:tr>
        <w:trPr>
          <w:trHeight w:val="189"/>
        </w:trPr>
        <w:tc>
          <w:tcPr>
            <w:tcW w:w="3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core market</w:t>
            </w:r>
          </w:p>
        </w:tc>
        <w:tc>
          <w:tcPr>
            <w:tcW w:w="1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96,615</w:t>
            </w:r>
          </w:p>
        </w:tc>
        <w:tc>
          <w:tcPr>
            <w:tcW w:w="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96,782</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275,642</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284,092</w:t>
            </w:r>
          </w:p>
        </w:tc>
      </w:tr>
      <w:tr>
        <w:trPr>
          <w:trHeight w:val="189"/>
        </w:trPr>
        <w:tc>
          <w:tcPr>
            <w:tcW w:w="3820" w:type="dxa"/>
            <w:vAlign w:val="bottom"/>
            <w:gridSpan w:val="2"/>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Non-Core Market</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5"/>
                <w:szCs w:val="15"/>
                <w:b w:val="1"/>
                <w:bCs w:val="1"/>
                <w:color w:val="auto"/>
              </w:rPr>
              <w:t>:</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7"/>
        </w:trPr>
        <w:tc>
          <w:tcPr>
            <w:tcW w:w="3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Company-operated restaurant revenue</w:t>
            </w:r>
          </w:p>
        </w:tc>
        <w:tc>
          <w:tcPr>
            <w:tcW w:w="14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1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20,124</w:t>
            </w:r>
          </w:p>
        </w:tc>
        <w:tc>
          <w:tcPr>
            <w:tcW w:w="34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w:t>
            </w:r>
          </w:p>
        </w:tc>
      </w:tr>
      <w:tr>
        <w:trPr>
          <w:trHeight w:val="197"/>
        </w:trPr>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Franchise revenue</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w:t>
            </w:r>
          </w:p>
        </w:tc>
      </w:tr>
      <w:tr>
        <w:trPr>
          <w:trHeight w:val="197"/>
        </w:trPr>
        <w:tc>
          <w:tcPr>
            <w:tcW w:w="3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8,476</w:t>
            </w:r>
          </w:p>
        </w:tc>
      </w:tr>
      <w:tr>
        <w:trPr>
          <w:trHeight w:val="189"/>
        </w:trPr>
        <w:tc>
          <w:tcPr>
            <w:tcW w:w="38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Total non-core market</w:t>
            </w:r>
          </w:p>
        </w:tc>
        <w:tc>
          <w:tcPr>
            <w:tcW w:w="1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15,285</w:t>
            </w: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50,692</w:t>
            </w:r>
          </w:p>
        </w:tc>
      </w:tr>
      <w:tr>
        <w:trPr>
          <w:trHeight w:val="189"/>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110,979</w:t>
            </w:r>
          </w:p>
        </w:tc>
        <w:tc>
          <w:tcPr>
            <w:tcW w:w="1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112,067</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315,746</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334,784</w:t>
            </w: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r>
    </w:tbl>
    <w:p>
      <w:pPr>
        <w:spacing w:after="0" w:line="57" w:lineRule="exact"/>
        <w:rPr>
          <w:sz w:val="20"/>
          <w:szCs w:val="20"/>
          <w:color w:val="auto"/>
        </w:rPr>
      </w:pPr>
    </w:p>
    <w:p>
      <w:pPr>
        <w:ind w:left="340" w:right="359" w:hanging="297"/>
        <w:spacing w:after="0" w:line="209"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Core Market includes markets with existing company-operated restaurants at the time of the Company’s Initial Public Offering ("IPO") on July 28, 2014.</w:t>
      </w:r>
    </w:p>
    <w:p>
      <w:pPr>
        <w:ind w:left="340" w:hanging="297"/>
        <w:spacing w:after="0" w:line="186" w:lineRule="auto"/>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Non-Core Market includes markets entered into by the Company subsequent to the IPO date.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by geographic market:</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120" w:type="dxa"/>
            <w:vAlign w:val="bottom"/>
          </w:tcPr>
          <w:p>
            <w:pPr>
              <w:spacing w:after="0"/>
              <w:rPr>
                <w:sz w:val="13"/>
                <w:szCs w:val="13"/>
                <w:color w:val="auto"/>
              </w:rPr>
            </w:pPr>
          </w:p>
        </w:tc>
        <w:tc>
          <w:tcPr>
            <w:tcW w:w="2920" w:type="dxa"/>
            <w:vAlign w:val="bottom"/>
            <w:gridSpan w:val="4"/>
          </w:tcPr>
          <w:p>
            <w:pPr>
              <w:jc w:val="right"/>
              <w:ind w:right="818"/>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2920" w:type="dxa"/>
            <w:vAlign w:val="bottom"/>
            <w:gridSpan w:val="4"/>
          </w:tcPr>
          <w:p>
            <w:pPr>
              <w:jc w:val="right"/>
              <w:ind w:right="738"/>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r>
      <w:tr>
        <w:trPr>
          <w:trHeight w:val="128"/>
        </w:trPr>
        <w:tc>
          <w:tcPr>
            <w:tcW w:w="3120" w:type="dxa"/>
            <w:vAlign w:val="bottom"/>
          </w:tcPr>
          <w:p>
            <w:pPr>
              <w:spacing w:after="0"/>
              <w:rPr>
                <w:sz w:val="11"/>
                <w:szCs w:val="11"/>
                <w:color w:val="auto"/>
              </w:rPr>
            </w:pPr>
          </w:p>
        </w:tc>
        <w:tc>
          <w:tcPr>
            <w:tcW w:w="1520" w:type="dxa"/>
            <w:vAlign w:val="bottom"/>
            <w:tcBorders>
              <w:top w:val="single" w:sz="8" w:color="auto"/>
            </w:tcBorders>
            <w:gridSpan w:val="2"/>
          </w:tcPr>
          <w:p>
            <w:pPr>
              <w:jc w:val="right"/>
              <w:ind w:right="278"/>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20" w:type="dxa"/>
            <w:vAlign w:val="bottom"/>
            <w:tcBorders>
              <w:top w:val="single" w:sz="8" w:color="auto"/>
            </w:tcBorders>
          </w:tcPr>
          <w:p>
            <w:pPr>
              <w:jc w:val="right"/>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80" w:type="dxa"/>
            <w:vAlign w:val="bottom"/>
          </w:tcPr>
          <w:p>
            <w:pPr>
              <w:spacing w:after="0"/>
              <w:rPr>
                <w:sz w:val="11"/>
                <w:szCs w:val="11"/>
                <w:color w:val="auto"/>
              </w:rPr>
            </w:pPr>
          </w:p>
        </w:tc>
        <w:tc>
          <w:tcPr>
            <w:tcW w:w="1500" w:type="dxa"/>
            <w:vAlign w:val="bottom"/>
            <w:tcBorders>
              <w:top w:val="single" w:sz="8" w:color="auto"/>
            </w:tcBorders>
            <w:gridSpan w:val="2"/>
          </w:tcPr>
          <w:p>
            <w:pPr>
              <w:jc w:val="right"/>
              <w:ind w:right="258"/>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40" w:type="dxa"/>
            <w:vAlign w:val="bottom"/>
            <w:tcBorders>
              <w:top w:val="single" w:sz="8" w:color="auto"/>
            </w:tcBorders>
          </w:tcPr>
          <w:p>
            <w:pPr>
              <w:jc w:val="right"/>
              <w:ind w:right="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80" w:type="dxa"/>
            <w:vAlign w:val="bottom"/>
          </w:tcPr>
          <w:p>
            <w:pPr>
              <w:spacing w:after="0"/>
              <w:rPr>
                <w:sz w:val="11"/>
                <w:szCs w:val="11"/>
                <w:color w:val="auto"/>
              </w:rPr>
            </w:pPr>
          </w:p>
        </w:tc>
      </w:tr>
      <w:tr>
        <w:trPr>
          <w:trHeight w:val="18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Greater Los Angeles area market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markets</w:t>
            </w:r>
          </w:p>
        </w:tc>
        <w:tc>
          <w:tcPr>
            <w:tcW w:w="152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28.8 %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50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28.5 %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189"/>
        </w:trPr>
        <w:tc>
          <w:tcPr>
            <w:tcW w:w="3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
        </w:trPr>
        <w:tc>
          <w:tcPr>
            <w:tcW w:w="3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212" w:lineRule="exact"/>
        <w:rPr>
          <w:sz w:val="20"/>
          <w:szCs w:val="20"/>
          <w:color w:val="auto"/>
        </w:rPr>
      </w:pPr>
    </w:p>
    <w:p>
      <w:pPr>
        <w:ind w:left="40" w:right="439"/>
        <w:spacing w:after="0" w:line="296" w:lineRule="auto"/>
        <w:rPr>
          <w:sz w:val="20"/>
          <w:szCs w:val="20"/>
          <w:color w:val="auto"/>
        </w:rPr>
      </w:pPr>
      <w:r>
        <w:rPr>
          <w:rFonts w:ascii="Times New Roman" w:cs="Times New Roman" w:eastAsia="Times New Roman" w:hAnsi="Times New Roman"/>
          <w:sz w:val="16"/>
          <w:szCs w:val="16"/>
          <w:color w:val="auto"/>
        </w:rPr>
        <w:t>The following table provides information about the change in the franchise contract liability balances during the thirty-nine weeks ended September 23, 2020 and September 25, 2019 (in thousands)</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25, 2019</w:t>
            </w:r>
          </w:p>
        </w:tc>
        <w:tc>
          <w:tcPr>
            <w:tcW w:w="4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 recognized - beginning balance</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contract liability</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23, 2020</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5,427</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7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26, 2018</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recognized - beginning balance</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contract liability</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recognized - additional contract liability</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89"/>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25, 2019</w:t>
            </w: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7" w:name="page28"/>
    <w:bookmarkEnd w:id="2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39"/>
        <w:spacing w:after="0" w:line="296" w:lineRule="auto"/>
        <w:rPr>
          <w:sz w:val="20"/>
          <w:szCs w:val="20"/>
          <w:color w:val="auto"/>
        </w:rPr>
      </w:pPr>
      <w:r>
        <w:rPr>
          <w:rFonts w:ascii="Times New Roman" w:cs="Times New Roman" w:eastAsia="Times New Roman" w:hAnsi="Times New Roman"/>
          <w:sz w:val="16"/>
          <w:szCs w:val="16"/>
          <w:color w:val="auto"/>
        </w:rPr>
        <w:t>The following table illustrates the estimated revenue to be recognized in future periods related to performance obligations under the applicable contracts that are unsatisfied as of September 23, 2020 (in thousands):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Franchise revenues: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2020 (remaining)</w:t>
            </w:r>
          </w:p>
        </w:tc>
        <w:tc>
          <w:tcPr>
            <w:tcW w:w="3660" w:type="dxa"/>
            <w:vAlign w:val="bottom"/>
            <w:tcBorders>
              <w:top w:val="single" w:sz="8" w:color="auto"/>
            </w:tcBorders>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197"/>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2021</w:t>
            </w:r>
          </w:p>
        </w:tc>
        <w:tc>
          <w:tcPr>
            <w:tcW w:w="3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197"/>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2022</w:t>
            </w:r>
          </w:p>
        </w:tc>
        <w:tc>
          <w:tcPr>
            <w:tcW w:w="3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197"/>
        </w:trPr>
        <w:tc>
          <w:tcPr>
            <w:tcW w:w="4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2023</w:t>
            </w:r>
          </w:p>
        </w:tc>
        <w:tc>
          <w:tcPr>
            <w:tcW w:w="3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197"/>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2024</w:t>
            </w:r>
          </w:p>
        </w:tc>
        <w:tc>
          <w:tcPr>
            <w:tcW w:w="3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197"/>
        </w:trPr>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Thereafter</w:t>
            </w:r>
          </w:p>
        </w:tc>
        <w:tc>
          <w:tcPr>
            <w:tcW w:w="32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w:t>
            </w:r>
          </w:p>
        </w:tc>
      </w:tr>
      <w:tr>
        <w:trPr>
          <w:trHeight w:val="189"/>
        </w:trPr>
        <w:tc>
          <w:tcPr>
            <w:tcW w:w="4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5,427</w:t>
            </w:r>
          </w:p>
        </w:tc>
      </w:tr>
      <w:tr>
        <w:trPr>
          <w:trHeight w:val="20"/>
        </w:trPr>
        <w:tc>
          <w:tcPr>
            <w:tcW w:w="4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Contract Costs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does not currently incur costs to obtain or fulfill a contract that would be considered contract assets under Topic 606.</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11. LEASES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Adoption of Topic 842 "Leases"</w:t>
      </w:r>
    </w:p>
    <w:p>
      <w:pPr>
        <w:spacing w:after="0" w:line="214" w:lineRule="exact"/>
        <w:rPr>
          <w:sz w:val="20"/>
          <w:szCs w:val="20"/>
          <w:color w:val="auto"/>
        </w:rPr>
      </w:pPr>
    </w:p>
    <w:p>
      <w:pPr>
        <w:ind w:left="40" w:right="299"/>
        <w:spacing w:after="0" w:line="276" w:lineRule="auto"/>
        <w:rPr>
          <w:sz w:val="20"/>
          <w:szCs w:val="20"/>
          <w:color w:val="auto"/>
        </w:rPr>
      </w:pPr>
      <w:r>
        <w:rPr>
          <w:rFonts w:ascii="Times New Roman" w:cs="Times New Roman" w:eastAsia="Times New Roman" w:hAnsi="Times New Roman"/>
          <w:sz w:val="16"/>
          <w:szCs w:val="16"/>
          <w:color w:val="auto"/>
        </w:rPr>
        <w:t>On December 27, 2018, the Company adopted Topic 842, using the effective date method, recognizing and measuring all leases that existed as of December 27, 2018. The Company recorded a cumulative-effect adjustment as of December 27, 2018. All leases that either (1) commenced, or (2) were modified or re-measured after December 27, 2018 are accounted for under Topic 842.</w:t>
      </w:r>
    </w:p>
    <w:p>
      <w:pPr>
        <w:spacing w:after="0" w:line="153" w:lineRule="exact"/>
        <w:rPr>
          <w:sz w:val="20"/>
          <w:szCs w:val="20"/>
          <w:color w:val="auto"/>
        </w:rPr>
      </w:pPr>
    </w:p>
    <w:p>
      <w:pPr>
        <w:ind w:left="40" w:right="379"/>
        <w:spacing w:after="0" w:line="276" w:lineRule="auto"/>
        <w:rPr>
          <w:sz w:val="20"/>
          <w:szCs w:val="20"/>
          <w:color w:val="auto"/>
        </w:rPr>
      </w:pPr>
      <w:r>
        <w:rPr>
          <w:rFonts w:ascii="Times New Roman" w:cs="Times New Roman" w:eastAsia="Times New Roman" w:hAnsi="Times New Roman"/>
          <w:sz w:val="16"/>
          <w:szCs w:val="16"/>
          <w:color w:val="auto"/>
        </w:rPr>
        <w:t>As a result of Topic 842, the Company recognized a ROU asset of $205.2 million and a lease liability of $222.3 million on its consolidated balance sheet as of December 27, 2018. However, the adoption of Topic 842 did not result in a material impact on the Company’s consolidated statement of operations or consolidated statement of cash flows.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Nature of leases</w:t>
      </w:r>
    </w:p>
    <w:p>
      <w:pPr>
        <w:spacing w:after="0" w:line="212" w:lineRule="exact"/>
        <w:rPr>
          <w:sz w:val="20"/>
          <w:szCs w:val="20"/>
          <w:color w:val="auto"/>
        </w:rPr>
      </w:pPr>
    </w:p>
    <w:p>
      <w:pPr>
        <w:ind w:left="40" w:right="519"/>
        <w:spacing w:after="0" w:line="296" w:lineRule="auto"/>
        <w:rPr>
          <w:sz w:val="20"/>
          <w:szCs w:val="20"/>
          <w:color w:val="auto"/>
        </w:rPr>
      </w:pPr>
      <w:r>
        <w:rPr>
          <w:rFonts w:ascii="Times New Roman" w:cs="Times New Roman" w:eastAsia="Times New Roman" w:hAnsi="Times New Roman"/>
          <w:sz w:val="16"/>
          <w:szCs w:val="16"/>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37" w:lineRule="exact"/>
        <w:rPr>
          <w:sz w:val="20"/>
          <w:szCs w:val="20"/>
          <w:color w:val="auto"/>
        </w:rPr>
      </w:pPr>
    </w:p>
    <w:p>
      <w:pPr>
        <w:ind w:left="40" w:right="199"/>
        <w:spacing w:after="0" w:line="296" w:lineRule="auto"/>
        <w:rPr>
          <w:sz w:val="20"/>
          <w:szCs w:val="20"/>
          <w:color w:val="auto"/>
        </w:rPr>
      </w:pPr>
      <w:r>
        <w:rPr>
          <w:rFonts w:ascii="Times New Roman" w:cs="Times New Roman" w:eastAsia="Times New Roman" w:hAnsi="Times New Roman"/>
          <w:sz w:val="16"/>
          <w:szCs w:val="16"/>
          <w:color w:val="auto"/>
        </w:rPr>
        <w:t>As of September 23, 2020, the Company had three leases that it had entered into, but had not yet commenced. The Company does not have control of the property until lease commencement.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Building and facility leases</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The majority of the Company’s building and facilities leases are classified as operating leases; however, the Company currently has one facility and two equipment leases that are classified as finance leases.</w:t>
      </w:r>
    </w:p>
    <w:p>
      <w:pPr>
        <w:spacing w:after="0" w:line="137"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64" w:lineRule="exact"/>
        <w:rPr>
          <w:sz w:val="20"/>
          <w:szCs w:val="20"/>
          <w:color w:val="auto"/>
        </w:rPr>
      </w:pPr>
    </w:p>
    <w:p>
      <w:pPr>
        <w:ind w:left="40" w:right="259"/>
        <w:spacing w:after="0" w:line="270" w:lineRule="auto"/>
        <w:rPr>
          <w:sz w:val="20"/>
          <w:szCs w:val="20"/>
          <w:color w:val="auto"/>
        </w:rPr>
      </w:pPr>
      <w:r>
        <w:rPr>
          <w:rFonts w:ascii="Times New Roman" w:cs="Times New Roman" w:eastAsia="Times New Roman" w:hAnsi="Times New Roman"/>
          <w:sz w:val="16"/>
          <w:szCs w:val="16"/>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8" w:name="page29"/>
    <w:bookmarkEnd w:id="2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19"/>
        <w:spacing w:after="0" w:line="296" w:lineRule="auto"/>
        <w:rPr>
          <w:sz w:val="20"/>
          <w:szCs w:val="20"/>
          <w:color w:val="auto"/>
        </w:rPr>
      </w:pPr>
      <w:r>
        <w:rPr>
          <w:rFonts w:ascii="Times New Roman" w:cs="Times New Roman" w:eastAsia="Times New Roman" w:hAnsi="Times New Roman"/>
          <w:sz w:val="16"/>
          <w:szCs w:val="16"/>
          <w:color w:val="auto"/>
        </w:rPr>
        <w:t>useful life that extend past the original lease term. Furthermore, there are no residual value guarantees and no restrictions imposed by the lease.</w:t>
      </w:r>
    </w:p>
    <w:p>
      <w:pPr>
        <w:spacing w:after="0" w:line="137" w:lineRule="exact"/>
        <w:rPr>
          <w:sz w:val="20"/>
          <w:szCs w:val="20"/>
          <w:color w:val="auto"/>
        </w:rPr>
      </w:pPr>
    </w:p>
    <w:p>
      <w:pPr>
        <w:ind w:left="40" w:right="159"/>
        <w:spacing w:after="0" w:line="260" w:lineRule="auto"/>
        <w:rPr>
          <w:sz w:val="20"/>
          <w:szCs w:val="20"/>
          <w:color w:val="auto"/>
        </w:rPr>
      </w:pPr>
      <w:r>
        <w:rPr>
          <w:rFonts w:ascii="Times New Roman" w:cs="Times New Roman" w:eastAsia="Times New Roman" w:hAnsi="Times New Roman"/>
          <w:sz w:val="16"/>
          <w:szCs w:val="16"/>
          <w:color w:val="auto"/>
        </w:rPr>
        <w:t>During the thirteen and thirty-nine weeks ended September 23, 2020, the Company reassessed the lease terms on two and nine restaurants, respectively, due to certain triggering events, such as the addition of significant leasehold improvements, the decision to terminate a lease, or the decision to renew. As a result of the reassessment, an additional $0.3 million and $2.0 million of ROU asset and lease liabilities for the thirteen and thirty-nine weeks ended September 23, 2020, respectively, were recognized and will be amortized over the new lease term. During the thirteen and thirty-nine weeks ended September 25, 2019, the Company reassessed the lease terms on three and six restaurants, respectively, due to the addition of significant leasehold improvements with useful lives that extend past the current lease expiration, the decision to terminate a lease or the decision to renew leases. This resulted in an additional $2.0 million and $3.3 million of ROU asset and lease liability for the thirteen and thirty-nine weeks ended September 25, 2019, respectively, which will be recognized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-1381125</wp:posOffset>
            </wp:positionV>
            <wp:extent cx="23495" cy="11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95" cy="117475"/>
                    </a:xfrm>
                    <a:prstGeom prst="rect">
                      <a:avLst/>
                    </a:prstGeom>
                    <a:noFill/>
                  </pic:spPr>
                </pic:pic>
              </a:graphicData>
            </a:graphic>
          </wp:anchor>
        </w:drawing>
      </w:r>
    </w:p>
    <w:p>
      <w:pPr>
        <w:spacing w:after="0" w:line="151" w:lineRule="exact"/>
        <w:rPr>
          <w:sz w:val="20"/>
          <w:szCs w:val="20"/>
          <w:color w:val="auto"/>
        </w:rPr>
      </w:pPr>
    </w:p>
    <w:p>
      <w:pPr>
        <w:jc w:val="both"/>
        <w:ind w:left="40" w:right="179"/>
        <w:spacing w:after="0" w:line="270" w:lineRule="auto"/>
        <w:rPr>
          <w:sz w:val="20"/>
          <w:szCs w:val="20"/>
          <w:color w:val="auto"/>
        </w:rPr>
      </w:pPr>
      <w:r>
        <w:rPr>
          <w:rFonts w:ascii="Times New Roman" w:cs="Times New Roman" w:eastAsia="Times New Roman" w:hAnsi="Times New Roman"/>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ind w:left="40" w:right="99"/>
        <w:spacing w:after="0" w:line="265" w:lineRule="auto"/>
        <w:rPr>
          <w:sz w:val="20"/>
          <w:szCs w:val="20"/>
          <w:color w:val="auto"/>
        </w:rPr>
      </w:pPr>
      <w:r>
        <w:rPr>
          <w:rFonts w:ascii="Times New Roman" w:cs="Times New Roman" w:eastAsia="Times New Roman" w:hAnsi="Times New Roman"/>
          <w:sz w:val="16"/>
          <w:szCs w:val="16"/>
          <w:color w:val="auto"/>
        </w:rPr>
        <w:t>During the thirty-nine weeks ended September 23, 2020, the Company determined that the carrying value of ROU assets at one restaurant was not recoverable. As a result, the Company recorded a $0.5 million non-cash impairment charge for the thirty-nine weeks ended September 23, 2020, related to one restaurant in Texas, sold to franchisees in the prior year. The Company did not recognize any impairment related to ROU assets during the thirteen and thirty-nine ended September 25, 2019. See “Impairment of Long-Lived Assets and ROU Assets” in Note 1, “Basis of Presentation and Summary of Significant Accounting Policies” for additional information.</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Equipment</w:t>
      </w:r>
    </w:p>
    <w:p>
      <w:pPr>
        <w:spacing w:after="0" w:line="214" w:lineRule="exact"/>
        <w:rPr>
          <w:sz w:val="20"/>
          <w:szCs w:val="20"/>
          <w:color w:val="auto"/>
        </w:rPr>
      </w:pPr>
    </w:p>
    <w:p>
      <w:pPr>
        <w:ind w:left="40" w:right="159"/>
        <w:spacing w:after="0" w:line="276" w:lineRule="auto"/>
        <w:rPr>
          <w:sz w:val="20"/>
          <w:szCs w:val="20"/>
          <w:color w:val="auto"/>
        </w:rPr>
      </w:pPr>
      <w:r>
        <w:rPr>
          <w:rFonts w:ascii="Times New Roman" w:cs="Times New Roman" w:eastAsia="Times New Roman" w:hAnsi="Times New Roman"/>
          <w:sz w:val="16"/>
          <w:szCs w:val="16"/>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Significant Assumptions and Judgments</w:t>
      </w:r>
    </w:p>
    <w:p>
      <w:pPr>
        <w:spacing w:after="0" w:line="212" w:lineRule="exact"/>
        <w:rPr>
          <w:sz w:val="20"/>
          <w:szCs w:val="20"/>
          <w:color w:val="auto"/>
        </w:rPr>
      </w:pPr>
    </w:p>
    <w:p>
      <w:pPr>
        <w:ind w:left="40" w:right="519"/>
        <w:spacing w:after="0" w:line="296" w:lineRule="auto"/>
        <w:rPr>
          <w:sz w:val="20"/>
          <w:szCs w:val="20"/>
          <w:color w:val="auto"/>
        </w:rPr>
      </w:pPr>
      <w:r>
        <w:rPr>
          <w:rFonts w:ascii="Times New Roman" w:cs="Times New Roman" w:eastAsia="Times New Roman" w:hAnsi="Times New Roman"/>
          <w:sz w:val="16"/>
          <w:szCs w:val="16"/>
          <w:color w:val="auto"/>
        </w:rPr>
        <w:t>In applying the requirements of Topic 842 the Company made significant assumptions and judgments related to determination of whether a contract contains a lease and the discount rate used for the lease.</w:t>
      </w:r>
    </w:p>
    <w:p>
      <w:pPr>
        <w:spacing w:after="0" w:line="137" w:lineRule="exact"/>
        <w:rPr>
          <w:sz w:val="20"/>
          <w:szCs w:val="20"/>
          <w:color w:val="auto"/>
        </w:rPr>
      </w:pPr>
    </w:p>
    <w:p>
      <w:pPr>
        <w:ind w:left="40" w:right="79"/>
        <w:spacing w:after="0" w:line="276" w:lineRule="auto"/>
        <w:rPr>
          <w:sz w:val="20"/>
          <w:szCs w:val="20"/>
          <w:color w:val="auto"/>
        </w:rPr>
      </w:pPr>
      <w:r>
        <w:rPr>
          <w:rFonts w:ascii="Times New Roman" w:cs="Times New Roman" w:eastAsia="Times New Roman" w:hAnsi="Times New Roman"/>
          <w:sz w:val="16"/>
          <w:szCs w:val="16"/>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53" w:lineRule="exact"/>
        <w:rPr>
          <w:sz w:val="20"/>
          <w:szCs w:val="20"/>
          <w:color w:val="auto"/>
        </w:rPr>
      </w:pPr>
    </w:p>
    <w:p>
      <w:pPr>
        <w:jc w:val="both"/>
        <w:ind w:left="40" w:right="139"/>
        <w:spacing w:after="0" w:line="266" w:lineRule="auto"/>
        <w:rPr>
          <w:sz w:val="20"/>
          <w:szCs w:val="20"/>
          <w:color w:val="auto"/>
        </w:rPr>
      </w:pPr>
      <w:r>
        <w:rPr>
          <w:rFonts w:ascii="Times New Roman" w:cs="Times New Roman" w:eastAsia="Times New Roman" w:hAnsi="Times New Roman"/>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62" w:lineRule="exact"/>
        <w:rPr>
          <w:sz w:val="20"/>
          <w:szCs w:val="20"/>
          <w:color w:val="auto"/>
        </w:rPr>
      </w:pPr>
    </w:p>
    <w:p>
      <w:pPr>
        <w:ind w:left="40" w:right="379"/>
        <w:spacing w:after="0" w:line="296" w:lineRule="auto"/>
        <w:rPr>
          <w:sz w:val="20"/>
          <w:szCs w:val="20"/>
          <w:color w:val="auto"/>
        </w:rPr>
      </w:pPr>
      <w:r>
        <w:rPr>
          <w:rFonts w:ascii="Times New Roman" w:cs="Times New Roman" w:eastAsia="Times New Roman" w:hAnsi="Times New Roman"/>
          <w:sz w:val="16"/>
          <w:szCs w:val="16"/>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9" w:name="page30"/>
    <w:bookmarkEnd w:id="2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the Company’s total lease cost, disaggregated by underlying asset (in thousands):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10"/>
          </w:tcPr>
          <w:p>
            <w:pPr>
              <w:jc w:val="center"/>
              <w:ind w:left="382"/>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10"/>
          </w:tcPr>
          <w:p>
            <w:pPr>
              <w:jc w:val="center"/>
              <w:ind w:right="38"/>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tcPr>
          <w:p>
            <w:pPr>
              <w:jc w:val="right"/>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22"/>
              <w:spacing w:after="0" w:line="106"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7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w:t>
            </w:r>
          </w:p>
        </w:tc>
        <w:tc>
          <w:tcPr>
            <w:tcW w:w="0" w:type="dxa"/>
            <w:vAlign w:val="bottom"/>
          </w:tcPr>
          <w:p>
            <w:pPr>
              <w:spacing w:after="0"/>
              <w:rPr>
                <w:sz w:val="1"/>
                <w:szCs w:val="1"/>
                <w:color w:val="auto"/>
              </w:rPr>
            </w:pPr>
          </w:p>
        </w:tc>
      </w:tr>
      <w:tr>
        <w:trPr>
          <w:trHeight w:val="197"/>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7"/>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18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7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0" w:type="dxa"/>
            <w:vAlign w:val="bottom"/>
          </w:tcPr>
          <w:p>
            <w:pPr>
              <w:spacing w:after="0"/>
              <w:rPr>
                <w:sz w:val="1"/>
                <w:szCs w:val="1"/>
                <w:color w:val="auto"/>
              </w:rPr>
            </w:pPr>
          </w:p>
        </w:tc>
      </w:tr>
      <w:tr>
        <w:trPr>
          <w:trHeight w:val="411"/>
        </w:trPr>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10"/>
          </w:tcPr>
          <w:p>
            <w:pPr>
              <w:jc w:val="center"/>
              <w:ind w:left="322"/>
              <w:spacing w:after="0"/>
              <w:rPr>
                <w:sz w:val="20"/>
                <w:szCs w:val="20"/>
                <w:color w:val="auto"/>
              </w:rPr>
            </w:pPr>
            <w:r>
              <w:rPr>
                <w:rFonts w:ascii="Times New Roman" w:cs="Times New Roman" w:eastAsia="Times New Roman" w:hAnsi="Times New Roman"/>
                <w:sz w:val="13"/>
                <w:szCs w:val="13"/>
                <w:b w:val="1"/>
                <w:bCs w:val="1"/>
                <w:color w:val="auto"/>
                <w:w w:val="99"/>
              </w:rPr>
              <w:t>September 23, 2020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11"/>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rPr>
              <w:t>September 25, 2019</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Property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Property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7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72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18,477</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the Company’s total lease cost on the condensed consolidated statements of income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28"/>
        </w:trPr>
        <w:tc>
          <w:tcPr>
            <w:tcW w:w="38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26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3"/>
          </w:tcPr>
          <w:p>
            <w:pPr>
              <w:jc w:val="right"/>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r>
      <w:tr>
        <w:trPr>
          <w:trHeight w:val="18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cost – Occupancy and other operating expenses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w:t>
            </w:r>
          </w:p>
        </w:tc>
        <w:tc>
          <w:tcPr>
            <w:tcW w:w="3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18,675</w:t>
            </w:r>
          </w:p>
        </w:tc>
      </w:tr>
      <w:tr>
        <w:trPr>
          <w:trHeight w:val="19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Lease cost – General &amp; administrative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348</w:t>
            </w:r>
          </w:p>
        </w:tc>
      </w:tr>
      <w:tr>
        <w:trPr>
          <w:trHeight w:val="19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cost – 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19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Lease cost – Interest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19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cost - Closed-store reserve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6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r>
        <w:trPr>
          <w:trHeight w:val="189"/>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6,093</w:t>
            </w:r>
          </w:p>
        </w:tc>
        <w:tc>
          <w:tcPr>
            <w:tcW w:w="60" w:type="dxa"/>
            <w:vAlign w:val="bottom"/>
          </w:tcPr>
          <w:p>
            <w:pPr>
              <w:spacing w:after="0"/>
              <w:rPr>
                <w:sz w:val="16"/>
                <w:szCs w:val="16"/>
                <w:color w:val="auto"/>
              </w:rPr>
            </w:pPr>
          </w:p>
        </w:tc>
        <w:tc>
          <w:tcPr>
            <w:tcW w:w="7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3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18,543</w:t>
            </w:r>
          </w:p>
        </w:tc>
        <w:tc>
          <w:tcPr>
            <w:tcW w:w="140" w:type="dxa"/>
            <w:vAlign w:val="bottom"/>
          </w:tcPr>
          <w:p>
            <w:pPr>
              <w:spacing w:after="0"/>
              <w:rPr>
                <w:sz w:val="16"/>
                <w:szCs w:val="16"/>
                <w:color w:val="auto"/>
              </w:rPr>
            </w:pPr>
          </w:p>
        </w:tc>
        <w:tc>
          <w:tcPr>
            <w:tcW w:w="7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19,606</w:t>
            </w:r>
          </w:p>
        </w:tc>
      </w:tr>
      <w:tr>
        <w:trPr>
          <w:trHeight w:val="781"/>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9"/>
        </w:trPr>
        <w:tc>
          <w:tcPr>
            <w:tcW w:w="3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040"/>
          </w:cols>
          <w:pgMar w:left="1440" w:top="480" w:right="1419" w:bottom="1440" w:gutter="0" w:footer="0" w:header="0"/>
        </w:sectPr>
      </w:pPr>
    </w:p>
    <w:bookmarkStart w:id="30" w:name="page31"/>
    <w:bookmarkEnd w:id="3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59"/>
        <w:spacing w:after="0" w:line="296" w:lineRule="auto"/>
        <w:rPr>
          <w:sz w:val="20"/>
          <w:szCs w:val="20"/>
          <w:color w:val="auto"/>
        </w:rPr>
      </w:pPr>
      <w:r>
        <w:rPr>
          <w:rFonts w:ascii="Times New Roman" w:cs="Times New Roman" w:eastAsia="Times New Roman" w:hAnsi="Times New Roman"/>
          <w:sz w:val="16"/>
          <w:szCs w:val="16"/>
          <w:color w:val="auto"/>
        </w:rPr>
        <w:t>During the thirty-nine weeks ended September 23, 2020 and September 25, 2019, the Company had the following cash and non-cash activities associated with its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7"/>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Thirty-Nine Weeks Ended September 23, 2020</w:t>
            </w:r>
          </w:p>
        </w:tc>
        <w:tc>
          <w:tcPr>
            <w:tcW w:w="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7"/>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Thirty-Nine Weeks Ended September 25, 2019</w:t>
            </w:r>
          </w:p>
        </w:tc>
        <w:tc>
          <w:tcPr>
            <w:tcW w:w="0" w:type="dxa"/>
            <w:vAlign w:val="bottom"/>
          </w:tcPr>
          <w:p>
            <w:pPr>
              <w:spacing w:after="0"/>
              <w:rPr>
                <w:sz w:val="1"/>
                <w:szCs w:val="1"/>
                <w:color w:val="auto"/>
              </w:rPr>
            </w:pPr>
          </w:p>
        </w:tc>
      </w:tr>
      <w:tr>
        <w:trPr>
          <w:trHeight w:val="106"/>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right"/>
              <w:ind w:right="400"/>
              <w:spacing w:after="0" w:line="106"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100" w:type="dxa"/>
            <w:vAlign w:val="bottom"/>
          </w:tcPr>
          <w:p>
            <w:pPr>
              <w:spacing w:after="0"/>
              <w:rPr>
                <w:sz w:val="9"/>
                <w:szCs w:val="9"/>
                <w:color w:val="auto"/>
              </w:rPr>
            </w:pPr>
          </w:p>
        </w:tc>
        <w:tc>
          <w:tcPr>
            <w:tcW w:w="980" w:type="dxa"/>
            <w:vAlign w:val="bottom"/>
            <w:gridSpan w:val="2"/>
          </w:tcPr>
          <w:p>
            <w:pPr>
              <w:jc w:val="center"/>
              <w:ind w:right="320"/>
              <w:spacing w:after="0" w:line="106"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180" w:type="dxa"/>
            <w:vAlign w:val="bottom"/>
          </w:tcPr>
          <w:p>
            <w:pPr>
              <w:spacing w:after="0"/>
              <w:rPr>
                <w:sz w:val="9"/>
                <w:szCs w:val="9"/>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9"/>
                <w:szCs w:val="9"/>
                <w:color w:val="auto"/>
              </w:rPr>
            </w:pPr>
          </w:p>
        </w:tc>
        <w:tc>
          <w:tcPr>
            <w:tcW w:w="78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2"/>
                <w:szCs w:val="12"/>
                <w:b w:val="1"/>
                <w:bCs w:val="1"/>
                <w:color w:val="auto"/>
              </w:rPr>
              <w:t>Property</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2"/>
              <w:spacing w:after="0" w:line="106" w:lineRule="exact"/>
              <w:rPr>
                <w:sz w:val="20"/>
                <w:szCs w:val="20"/>
                <w:color w:val="auto"/>
              </w:rPr>
            </w:pPr>
            <w:r>
              <w:rPr>
                <w:rFonts w:ascii="Times New Roman" w:cs="Times New Roman" w:eastAsia="Times New Roman" w:hAnsi="Times New Roman"/>
                <w:sz w:val="12"/>
                <w:szCs w:val="12"/>
                <w:b w:val="1"/>
                <w:bCs w:val="1"/>
                <w:color w:val="auto"/>
              </w:rPr>
              <w:t>Equipment</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Cash paid for amounts included in the</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measurement of lease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Operating cash flows used for operating</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19,789</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rPr>
              <w:t>Financing cash flows used for finance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Non-cash investing and financing</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Operating lease ROU assets obtained in</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exchange for lease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0" w:type="dxa"/>
            <w:vAlign w:val="bottom"/>
          </w:tcPr>
          <w:p>
            <w:pPr>
              <w:spacing w:after="0"/>
              <w:rPr>
                <w:sz w:val="1"/>
                <w:szCs w:val="1"/>
                <w:color w:val="auto"/>
              </w:rPr>
            </w:pPr>
          </w:p>
        </w:tc>
      </w:tr>
      <w:tr>
        <w:trPr>
          <w:trHeight w:val="180"/>
        </w:trPr>
        <w:tc>
          <w:tcPr>
            <w:tcW w:w="2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Derecognition of ROU assets due to</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terminations, impairment or modifications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rPr>
              <w:t>Weighted-average remaining lease term</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Weighted-average remaining lease term</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rPr>
              <w:t>Weighted-average discount rate—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11.10 %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1.68 %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Weighted-average discount rate—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4.31 %</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3.89 %</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4.00</w:t>
            </w: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Information regarding the Company’s minimum future lease obligations as of September 23, 2020 is as follows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Finance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23"/>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63"/>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0" w:type="dxa"/>
            <w:vAlign w:val="bottom"/>
          </w:tcPr>
          <w:p>
            <w:pPr>
              <w:spacing w:after="0"/>
              <w:rPr>
                <w:sz w:val="1"/>
                <w:szCs w:val="1"/>
                <w:color w:val="auto"/>
              </w:rPr>
            </w:pPr>
          </w:p>
        </w:tc>
      </w:tr>
      <w:tr>
        <w:trPr>
          <w:trHeight w:val="135"/>
        </w:trPr>
        <w:tc>
          <w:tcPr>
            <w:tcW w:w="3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Years Ending</w:t>
            </w: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Lease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rPr>
              <w:t>Lease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43"/>
              <w:spacing w:after="0" w:line="136" w:lineRule="exact"/>
              <w:rPr>
                <w:sz w:val="20"/>
                <w:szCs w:val="20"/>
                <w:color w:val="auto"/>
              </w:rPr>
            </w:pPr>
            <w:r>
              <w:rPr>
                <w:rFonts w:ascii="Times New Roman" w:cs="Times New Roman" w:eastAsia="Times New Roman" w:hAnsi="Times New Roman"/>
                <w:sz w:val="13"/>
                <w:szCs w:val="13"/>
                <w:b w:val="1"/>
                <w:bCs w:val="1"/>
                <w:color w:val="auto"/>
              </w:rPr>
              <w:t>Sublease</w:t>
            </w:r>
          </w:p>
        </w:tc>
        <w:tc>
          <w:tcPr>
            <w:tcW w:w="0" w:type="dxa"/>
            <w:vAlign w:val="bottom"/>
          </w:tcPr>
          <w:p>
            <w:pPr>
              <w:spacing w:after="0"/>
              <w:rPr>
                <w:sz w:val="1"/>
                <w:szCs w:val="1"/>
                <w:color w:val="auto"/>
              </w:rPr>
            </w:pPr>
          </w:p>
        </w:tc>
      </w:tr>
      <w:tr>
        <w:trPr>
          <w:trHeight w:val="158"/>
        </w:trPr>
        <w:tc>
          <w:tcPr>
            <w:tcW w:w="352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Payments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9"/>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30, 2020</w:t>
            </w:r>
          </w:p>
        </w:tc>
        <w:tc>
          <w:tcPr>
            <w:tcW w:w="2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December 29, 2021</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28, 2022</w:t>
            </w:r>
          </w:p>
        </w:tc>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December 27, 2023</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25, 2024</w:t>
            </w:r>
          </w:p>
        </w:tc>
        <w:tc>
          <w:tcPr>
            <w:tcW w:w="2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23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142,716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27,265</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250,572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40,650</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Less: imputed interest (2.33% - 11.10%)</w:t>
            </w: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20" w:type="dxa"/>
            <w:vAlign w:val="bottom"/>
            <w:tcBorders>
              <w:bottom w:val="single" w:sz="8" w:color="CCEEFF"/>
            </w:tcBorders>
            <w:vMerge w:val="continue"/>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(47,972)</w:t>
            </w: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obligations</w:t>
            </w:r>
          </w:p>
        </w:tc>
        <w:tc>
          <w:tcPr>
            <w:tcW w:w="2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maturities</w:t>
            </w: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w:t>
            </w:r>
          </w:p>
        </w:tc>
        <w:tc>
          <w:tcPr>
            <w:tcW w:w="2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340" w:type="dxa"/>
            <w:vAlign w:val="bottom"/>
            <w:vMerge w:val="restart"/>
          </w:tcPr>
          <w:p>
            <w:pPr>
              <w:jc w:val="right"/>
              <w:ind w:right="1238"/>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35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0" w:right="1440" w:bottom="1440" w:gutter="0" w:footer="0" w:header="0"/>
        </w:sectPr>
      </w:pPr>
    </w:p>
    <w:bookmarkStart w:id="31" w:name="page32"/>
    <w:bookmarkEnd w:id="3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Information regarding the Company’s minimum future lease obligations as of December 25, 2019 is as follows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Finance Leases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0" w:type="dxa"/>
            <w:vAlign w:val="bottom"/>
          </w:tcPr>
          <w:p>
            <w:pPr>
              <w:spacing w:after="0"/>
              <w:rPr>
                <w:sz w:val="1"/>
                <w:szCs w:val="1"/>
                <w:color w:val="auto"/>
              </w:rPr>
            </w:pPr>
          </w:p>
        </w:tc>
      </w:tr>
      <w:tr>
        <w:trPr>
          <w:trHeight w:val="106"/>
        </w:trPr>
        <w:tc>
          <w:tcPr>
            <w:tcW w:w="5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center"/>
              <w:ind w:right="42"/>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100" w:type="dxa"/>
            <w:vAlign w:val="bottom"/>
          </w:tcPr>
          <w:p>
            <w:pPr>
              <w:spacing w:after="0"/>
              <w:rPr>
                <w:sz w:val="9"/>
                <w:szCs w:val="9"/>
                <w:color w:val="auto"/>
              </w:rPr>
            </w:pPr>
          </w:p>
        </w:tc>
        <w:tc>
          <w:tcPr>
            <w:tcW w:w="720" w:type="dxa"/>
            <w:vAlign w:val="bottom"/>
          </w:tcPr>
          <w:p>
            <w:pPr>
              <w:jc w:val="center"/>
              <w:ind w:right="43"/>
              <w:spacing w:after="0" w:line="106" w:lineRule="exact"/>
              <w:rPr>
                <w:sz w:val="20"/>
                <w:szCs w:val="20"/>
                <w:color w:val="auto"/>
              </w:rPr>
            </w:pPr>
            <w:r>
              <w:rPr>
                <w:rFonts w:ascii="Times New Roman" w:cs="Times New Roman" w:eastAsia="Times New Roman" w:hAnsi="Times New Roman"/>
                <w:sz w:val="12"/>
                <w:szCs w:val="12"/>
                <w:b w:val="1"/>
                <w:bCs w:val="1"/>
                <w:color w:val="auto"/>
              </w:rPr>
              <w:t>Minimum</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Years Ending</w:t>
            </w:r>
          </w:p>
        </w:tc>
        <w:tc>
          <w:tcPr>
            <w:tcW w:w="140" w:type="dxa"/>
            <w:vAlign w:val="bottom"/>
          </w:tcPr>
          <w:p>
            <w:pPr>
              <w:spacing w:after="0"/>
              <w:rPr>
                <w:sz w:val="11"/>
                <w:szCs w:val="11"/>
                <w:color w:val="auto"/>
              </w:rPr>
            </w:pPr>
          </w:p>
        </w:tc>
        <w:tc>
          <w:tcPr>
            <w:tcW w:w="800" w:type="dxa"/>
            <w:vAlign w:val="bottom"/>
          </w:tcPr>
          <w:p>
            <w:pPr>
              <w:jc w:val="center"/>
              <w:ind w:right="42"/>
              <w:spacing w:after="0" w:line="136" w:lineRule="exact"/>
              <w:rPr>
                <w:sz w:val="20"/>
                <w:szCs w:val="20"/>
                <w:color w:val="auto"/>
              </w:rPr>
            </w:pPr>
            <w:r>
              <w:rPr>
                <w:rFonts w:ascii="Times New Roman" w:cs="Times New Roman" w:eastAsia="Times New Roman" w:hAnsi="Times New Roman"/>
                <w:sz w:val="13"/>
                <w:szCs w:val="13"/>
                <w:b w:val="1"/>
                <w:bCs w:val="1"/>
                <w:color w:val="auto"/>
              </w:rPr>
              <w:t>Lease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Lease</w:t>
            </w:r>
          </w:p>
        </w:tc>
        <w:tc>
          <w:tcPr>
            <w:tcW w:w="100" w:type="dxa"/>
            <w:vAlign w:val="bottom"/>
          </w:tcPr>
          <w:p>
            <w:pPr>
              <w:spacing w:after="0"/>
              <w:rPr>
                <w:sz w:val="11"/>
                <w:szCs w:val="11"/>
                <w:color w:val="auto"/>
              </w:rPr>
            </w:pPr>
          </w:p>
        </w:tc>
        <w:tc>
          <w:tcPr>
            <w:tcW w:w="720" w:type="dxa"/>
            <w:vAlign w:val="bottom"/>
          </w:tcPr>
          <w:p>
            <w:pPr>
              <w:jc w:val="center"/>
              <w:ind w:right="23"/>
              <w:spacing w:after="0" w:line="136" w:lineRule="exact"/>
              <w:rPr>
                <w:sz w:val="20"/>
                <w:szCs w:val="20"/>
                <w:color w:val="auto"/>
              </w:rPr>
            </w:pPr>
            <w:r>
              <w:rPr>
                <w:rFonts w:ascii="Times New Roman" w:cs="Times New Roman" w:eastAsia="Times New Roman" w:hAnsi="Times New Roman"/>
                <w:sz w:val="13"/>
                <w:szCs w:val="13"/>
                <w:b w:val="1"/>
                <w:bCs w:val="1"/>
                <w:color w:val="auto"/>
              </w:rPr>
              <w:t>Sublease</w:t>
            </w:r>
          </w:p>
        </w:tc>
        <w:tc>
          <w:tcPr>
            <w:tcW w:w="0" w:type="dxa"/>
            <w:vAlign w:val="bottom"/>
          </w:tcPr>
          <w:p>
            <w:pPr>
              <w:spacing w:after="0"/>
              <w:rPr>
                <w:sz w:val="1"/>
                <w:szCs w:val="1"/>
                <w:color w:val="auto"/>
              </w:rPr>
            </w:pPr>
          </w:p>
        </w:tc>
      </w:tr>
      <w:tr>
        <w:trPr>
          <w:trHeight w:val="158"/>
        </w:trPr>
        <w:tc>
          <w:tcPr>
            <w:tcW w:w="6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9"/>
              </w:rPr>
              <w:t>Payments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Payments</w:t>
            </w:r>
          </w:p>
        </w:tc>
        <w:tc>
          <w:tcPr>
            <w:tcW w:w="100" w:type="dxa"/>
            <w:vAlign w:val="bottom"/>
          </w:tcPr>
          <w:p>
            <w:pPr>
              <w:spacing w:after="0"/>
              <w:rPr>
                <w:sz w:val="13"/>
                <w:szCs w:val="13"/>
                <w:color w:val="auto"/>
              </w:rPr>
            </w:pPr>
          </w:p>
        </w:tc>
        <w:tc>
          <w:tcPr>
            <w:tcW w:w="72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30, 2020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197"/>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29, 2021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197"/>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28, 2022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0" w:type="dxa"/>
            <w:vAlign w:val="bottom"/>
          </w:tcPr>
          <w:p>
            <w:pPr>
              <w:spacing w:after="0"/>
              <w:rPr>
                <w:sz w:val="1"/>
                <w:szCs w:val="1"/>
                <w:color w:val="auto"/>
              </w:rPr>
            </w:pPr>
          </w:p>
        </w:tc>
      </w:tr>
      <w:tr>
        <w:trPr>
          <w:trHeight w:val="197"/>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27, 2023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197"/>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25, 2024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0" w:type="dxa"/>
            <w:vAlign w:val="bottom"/>
          </w:tcPr>
          <w:p>
            <w:pPr>
              <w:spacing w:after="0"/>
              <w:rPr>
                <w:sz w:val="1"/>
                <w:szCs w:val="1"/>
                <w:color w:val="auto"/>
              </w:rPr>
            </w:pPr>
          </w:p>
        </w:tc>
      </w:tr>
      <w:tr>
        <w:trPr>
          <w:trHeight w:val="197"/>
        </w:trPr>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139,454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27,265</w:t>
            </w:r>
          </w:p>
        </w:tc>
        <w:tc>
          <w:tcPr>
            <w:tcW w:w="0" w:type="dxa"/>
            <w:vAlign w:val="bottom"/>
          </w:tcPr>
          <w:p>
            <w:pPr>
              <w:spacing w:after="0"/>
              <w:rPr>
                <w:sz w:val="1"/>
                <w:szCs w:val="1"/>
                <w:color w:val="auto"/>
              </w:rPr>
            </w:pPr>
          </w:p>
        </w:tc>
      </w:tr>
      <w:tr>
        <w:trPr>
          <w:trHeight w:val="189"/>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259,171</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Less: imputed interest (3.96% to 11.10%)</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(45,273)</w:t>
            </w:r>
          </w:p>
        </w:tc>
        <w:tc>
          <w:tcPr>
            <w:tcW w:w="1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capital lease obligations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213,898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current maturities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(16,406)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197,492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Short-Term Leases</w:t>
      </w:r>
    </w:p>
    <w:p>
      <w:pPr>
        <w:spacing w:after="0" w:line="212" w:lineRule="exact"/>
        <w:rPr>
          <w:sz w:val="20"/>
          <w:szCs w:val="20"/>
          <w:color w:val="auto"/>
        </w:rPr>
      </w:pPr>
    </w:p>
    <w:p>
      <w:pPr>
        <w:ind w:left="40" w:right="259"/>
        <w:spacing w:after="0" w:line="270" w:lineRule="auto"/>
        <w:rPr>
          <w:sz w:val="20"/>
          <w:szCs w:val="20"/>
          <w:color w:val="auto"/>
        </w:rPr>
      </w:pPr>
      <w:r>
        <w:rPr>
          <w:rFonts w:ascii="Times New Roman" w:cs="Times New Roman" w:eastAsia="Times New Roman" w:hAnsi="Times New Roman"/>
          <w:sz w:val="16"/>
          <w:szCs w:val="16"/>
          <w:color w:val="auto"/>
        </w:rPr>
        <w:t>The Company has multiple short-term leases, which have terms of less than 12 months, and thus were excluded from the recognition requirements of Topic 842. The Company has recognized these lease payments in its consolidated statements of operations on a straight-line basis over the lease term and variable lease payments in the period in which the obligation for those payments was incurred.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Lessor</w:t>
      </w:r>
    </w:p>
    <w:p>
      <w:pPr>
        <w:spacing w:after="0" w:line="214"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6"/>
          <w:szCs w:val="16"/>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57" w:lineRule="exact"/>
        <w:rPr>
          <w:sz w:val="20"/>
          <w:szCs w:val="20"/>
          <w:color w:val="auto"/>
        </w:rPr>
      </w:pPr>
    </w:p>
    <w:p>
      <w:pPr>
        <w:ind w:left="40" w:right="199"/>
        <w:spacing w:after="0" w:line="296" w:lineRule="auto"/>
        <w:rPr>
          <w:sz w:val="20"/>
          <w:szCs w:val="20"/>
          <w:color w:val="auto"/>
        </w:rPr>
      </w:pPr>
      <w:r>
        <w:rPr>
          <w:rFonts w:ascii="Times New Roman" w:cs="Times New Roman" w:eastAsia="Times New Roman" w:hAnsi="Times New Roman"/>
          <w:sz w:val="16"/>
          <w:szCs w:val="16"/>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received $0.1 million of lease income from company-owned locations for both the thirteen weeks ended</w:t>
      </w:r>
    </w:p>
    <w:p>
      <w:pPr>
        <w:spacing w:after="0" w:line="30" w:lineRule="exact"/>
        <w:rPr>
          <w:sz w:val="20"/>
          <w:szCs w:val="20"/>
          <w:color w:val="auto"/>
        </w:rPr>
      </w:pPr>
    </w:p>
    <w:p>
      <w:pPr>
        <w:ind w:left="40" w:right="239"/>
        <w:spacing w:after="0" w:line="262" w:lineRule="auto"/>
        <w:rPr>
          <w:sz w:val="20"/>
          <w:szCs w:val="20"/>
          <w:color w:val="auto"/>
        </w:rPr>
      </w:pPr>
      <w:r>
        <w:rPr>
          <w:rFonts w:ascii="Times New Roman" w:cs="Times New Roman" w:eastAsia="Times New Roman" w:hAnsi="Times New Roman"/>
          <w:sz w:val="16"/>
          <w:szCs w:val="16"/>
          <w:color w:val="auto"/>
        </w:rPr>
        <w:t>September 23, 2020 and September 25, 2019. For both the thirty-nine weeks ended September 23, 2020 and September 25, 2019, the Company received $0.4 million of lease income from company-owned locations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214"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2" w:name="page33"/>
    <w:bookmarkEnd w:id="3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6"/>
          <w:szCs w:val="16"/>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57" w:lineRule="exact"/>
        <w:rPr>
          <w:sz w:val="20"/>
          <w:szCs w:val="20"/>
          <w:color w:val="auto"/>
        </w:rPr>
      </w:pPr>
    </w:p>
    <w:p>
      <w:pPr>
        <w:ind w:left="660" w:right="79" w:hanging="297"/>
        <w:spacing w:after="0" w:line="26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the novel coronavirus (COVID-19) pandemic on our company, our employees, our customers, our partners, our industry and the economy as a whole, as well as our franchisees ability to maintain operations in their individual restaurants;</w:t>
      </w:r>
    </w:p>
    <w:p>
      <w:pPr>
        <w:ind w:left="660" w:right="17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2" w:lineRule="exact"/>
        <w:rPr>
          <w:rFonts w:ascii="Times New Roman" w:cs="Times New Roman" w:eastAsia="Times New Roman" w:hAnsi="Times New Roman"/>
          <w:sz w:val="16"/>
          <w:szCs w:val="16"/>
          <w:color w:val="auto"/>
        </w:rPr>
      </w:pPr>
    </w:p>
    <w:p>
      <w:pPr>
        <w:ind w:left="660" w:right="61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open new restaurants in new and existing markets, including difficulty in finding sites and in negotiating acceptable leases;</w:t>
      </w:r>
    </w:p>
    <w:p>
      <w:pPr>
        <w:spacing w:after="0" w:line="1"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successfully with other quick-service and fast casual restaurants;</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vulnerability to changes in consumer preferences and economic conditions;</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vulnerability to conditions in the greater Los Angeles area;</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vulnerability to natural disasters given the geographic concentration and real estate intensive nature of our business;</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identify and secure appropriate new sites for restaurants;</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food and supply costs, especially for chicken;</w:t>
      </w:r>
    </w:p>
    <w:p>
      <w:pPr>
        <w:spacing w:after="0" w:line="12" w:lineRule="exact"/>
        <w:rPr>
          <w:rFonts w:ascii="Times New Roman" w:cs="Times New Roman" w:eastAsia="Times New Roman" w:hAnsi="Times New Roman"/>
          <w:sz w:val="16"/>
          <w:szCs w:val="16"/>
          <w:color w:val="auto"/>
        </w:rPr>
      </w:pPr>
    </w:p>
    <w:p>
      <w:pPr>
        <w:ind w:left="660" w:right="17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publicity, whether or not valid, and our ability to respond to and effectively manage the accelerated impact of social media;</w:t>
      </w:r>
    </w:p>
    <w:p>
      <w:pPr>
        <w:spacing w:after="0" w:line="1"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expand our digital business, delivery orders and catering;</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about food safety and quality and about food-borne illness, particularly avian flu;</w:t>
      </w:r>
    </w:p>
    <w:p>
      <w:pPr>
        <w:spacing w:after="0" w:line="12" w:lineRule="exact"/>
        <w:rPr>
          <w:rFonts w:ascii="Times New Roman" w:cs="Times New Roman" w:eastAsia="Times New Roman" w:hAnsi="Times New Roman"/>
          <w:sz w:val="16"/>
          <w:szCs w:val="16"/>
          <w:color w:val="auto"/>
        </w:rPr>
      </w:pPr>
    </w:p>
    <w:p>
      <w:pPr>
        <w:ind w:left="660" w:right="49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frequent and timely deliveries of food and supplies and our dependence on a single supplier to distribute substantially all of our products to our restaurants;</w:t>
      </w:r>
    </w:p>
    <w:p>
      <w:pPr>
        <w:spacing w:after="0" w:line="1"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service our level of indebtedness;</w:t>
      </w:r>
    </w:p>
    <w:p>
      <w:pPr>
        <w:spacing w:after="0" w:line="12" w:lineRule="exact"/>
        <w:rPr>
          <w:rFonts w:ascii="Times New Roman" w:cs="Times New Roman" w:eastAsia="Times New Roman" w:hAnsi="Times New Roman"/>
          <w:sz w:val="16"/>
          <w:szCs w:val="16"/>
          <w:color w:val="auto"/>
        </w:rPr>
      </w:pPr>
    </w:p>
    <w:p>
      <w:pPr>
        <w:ind w:left="660" w:right="69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our franchisees, who may incur financial hardships, lose access to credit, close restaurants, or declare bankruptcy, and our limited control over our franchisees and potential liability for their acts;</w:t>
      </w:r>
    </w:p>
    <w:p>
      <w:pPr>
        <w:spacing w:after="0" w:line="1" w:lineRule="exact"/>
        <w:rPr>
          <w:rFonts w:ascii="Times New Roman" w:cs="Times New Roman" w:eastAsia="Times New Roman" w:hAnsi="Times New Roman"/>
          <w:sz w:val="16"/>
          <w:szCs w:val="16"/>
          <w:color w:val="auto"/>
        </w:rPr>
      </w:pPr>
    </w:p>
    <w:p>
      <w:pPr>
        <w:ind w:left="660" w:right="239" w:hanging="297"/>
        <w:spacing w:after="0" w:line="25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security breaches of confidential customer information in connection with our electronic process of credit and debit card transactions;</w:t>
      </w:r>
    </w:p>
    <w:p>
      <w:pPr>
        <w:spacing w:after="0" w:line="1"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failure of our information technology system or any breach of our network security;</w:t>
      </w:r>
    </w:p>
    <w:p>
      <w:pPr>
        <w:spacing w:after="0" w:line="12"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protect our name and logo and other proprietary intellectual property; and</w:t>
      </w:r>
    </w:p>
    <w:p>
      <w:pPr>
        <w:spacing w:after="0" w:line="12" w:lineRule="exact"/>
        <w:rPr>
          <w:rFonts w:ascii="Times New Roman" w:cs="Times New Roman" w:eastAsia="Times New Roman" w:hAnsi="Times New Roman"/>
          <w:sz w:val="16"/>
          <w:szCs w:val="16"/>
          <w:color w:val="auto"/>
        </w:rPr>
      </w:pPr>
    </w:p>
    <w:p>
      <w:pPr>
        <w:ind w:left="660" w:right="59" w:hanging="297"/>
        <w:spacing w:after="0" w:line="26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set forth in our filings with the SEC from time to time, including under Item 1A, Risk Factors in our annual report on Form 10-K for the year ended December 25, 2019, under Item 1A, Risk Factors in our quarterly report on Form 10-Q for the quarter ended March 25, 2020 and under Item 1A, Risk Factors in our quarterly report on Form 10-Q for the quarter ended June 24, 2020, which such filings are available online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at </w:t>
      </w:r>
      <w:r>
        <w:rPr>
          <w:rFonts w:ascii="Times New Roman" w:cs="Times New Roman" w:eastAsia="Times New Roman" w:hAnsi="Times New Roman"/>
          <w:sz w:val="16"/>
          <w:szCs w:val="16"/>
          <w:u w:val="single" w:color="auto"/>
          <w:color w:val="auto"/>
        </w:rPr>
        <w:t>www.elpolloloco.com</w:t>
      </w:r>
      <w:r>
        <w:rPr>
          <w:rFonts w:ascii="Times New Roman" w:cs="Times New Roman" w:eastAsia="Times New Roman" w:hAnsi="Times New Roman"/>
          <w:sz w:val="16"/>
          <w:szCs w:val="16"/>
          <w:color w:val="auto"/>
        </w:rPr>
        <w:t xml:space="preserve"> or upon request from El Pollo Loco.</w:t>
      </w:r>
    </w:p>
    <w:p>
      <w:pPr>
        <w:spacing w:after="0" w:line="361"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4"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6"/>
          <w:szCs w:val="16"/>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3" w:name="page34"/>
    <w:bookmarkEnd w:id="3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spacing w:after="0" w:line="265" w:lineRule="auto"/>
        <w:rPr>
          <w:sz w:val="20"/>
          <w:szCs w:val="20"/>
          <w:color w:val="auto"/>
        </w:rPr>
      </w:pPr>
      <w:r>
        <w:rPr>
          <w:rFonts w:ascii="Times New Roman" w:cs="Times New Roman" w:eastAsia="Times New Roman" w:hAnsi="Times New Roman"/>
          <w:sz w:val="16"/>
          <w:szCs w:val="16"/>
          <w:color w:val="auto"/>
        </w:rPr>
        <w:t>LA-inspired entrees, and sides, and, throughout the year, on a limited-time basis, additional proteins like shrimp. Our entrees include favorites such as our Chicken Avocado Burrito, Under 500 Calorie entrees, chicken tostada salads, and Pollo Bowls.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COVID-19 Impact</w:t>
      </w:r>
    </w:p>
    <w:p>
      <w:pPr>
        <w:spacing w:after="0" w:line="214"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w:t>
      </w:r>
    </w:p>
    <w:p>
      <w:pPr>
        <w:spacing w:after="0" w:line="157"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 xml:space="preserve">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In May 2020, the “stay at home” directive was temporarily modified in most areas in which the Company operates, allowing for the opening of lower-risk workplaces, including restaurants, but with restrictions such as limited capacity. However, in July a surge in the COVID-19 pandemic caused many state and local governments to re-implement certain additional restrictions to try and contain the spread of the virus. As of September 23, 2020 the majority of the Company’s restaurants were permitted to be open with limited capacity; however, while most of the Company’s markets outside of California have dining rooms open at a limited capacity, the majority of the Company’s restaurants in California are continuing to operate on a take-away, mobile pick-up and delivery basis, as well as maintaining drive-thru operations where available, </w:t>
      </w:r>
      <w:r>
        <w:rPr>
          <w:rFonts w:ascii="Times New Roman" w:cs="Times New Roman" w:eastAsia="Times New Roman" w:hAnsi="Times New Roman"/>
          <w:sz w:val="16"/>
          <w:szCs w:val="16"/>
          <w:color w:val="212529"/>
        </w:rPr>
        <w:t>in order to protect their employees</w:t>
      </w:r>
      <w:r>
        <w:rPr>
          <w:rFonts w:ascii="Times New Roman" w:cs="Times New Roman" w:eastAsia="Times New Roman" w:hAnsi="Times New Roman"/>
          <w:sz w:val="16"/>
          <w:szCs w:val="16"/>
          <w:color w:val="auto"/>
        </w:rPr>
        <w:t xml:space="preserve"> and customers from the spread of the COVID-19 pandemic and to comply with the government mandates. Due to the impact of the COVID-19 pandemic, during the thirteen and thirty-nine weeks ended September 23, 2020, we temporarily closed 40 restaurants and 65 restaurants, respectively, of which all but three have reopened as of September 23, 2020. Similarly, during the thirteen and thirty-nine weeks ended September 23, 2020, franchisees temporarily closed 15 restaurants and 36 restaurants, respectively, of which all but three have reopened as of September 23, 2020. As of September 23, 2020, we have not permanently closed any restaurants due to the COVID-19 pandemic.</w:t>
      </w:r>
    </w:p>
    <w:p>
      <w:pPr>
        <w:spacing w:after="0" w:line="171" w:lineRule="exact"/>
        <w:rPr>
          <w:sz w:val="20"/>
          <w:szCs w:val="20"/>
          <w:color w:val="auto"/>
        </w:rPr>
      </w:pPr>
    </w:p>
    <w:p>
      <w:pPr>
        <w:ind w:left="40" w:right="679"/>
        <w:spacing w:after="0" w:line="296" w:lineRule="auto"/>
        <w:rPr>
          <w:sz w:val="20"/>
          <w:szCs w:val="20"/>
          <w:color w:val="auto"/>
        </w:rPr>
      </w:pPr>
      <w:r>
        <w:rPr>
          <w:rFonts w:ascii="Times New Roman" w:cs="Times New Roman" w:eastAsia="Times New Roman" w:hAnsi="Times New Roman"/>
          <w:sz w:val="16"/>
          <w:szCs w:val="16"/>
          <w:color w:val="auto"/>
        </w:rPr>
        <w:t>Below is a summary of other actions we have taken to enhance financial and operating flexibility for the Company and for our franchisees, and to protect our employees and customers:</w:t>
      </w:r>
    </w:p>
    <w:p>
      <w:pPr>
        <w:spacing w:after="0" w:line="137" w:lineRule="exact"/>
        <w:rPr>
          <w:sz w:val="20"/>
          <w:szCs w:val="20"/>
          <w:color w:val="auto"/>
        </w:rPr>
      </w:pPr>
    </w:p>
    <w:p>
      <w:pPr>
        <w:ind w:left="660" w:right="299" w:hanging="297"/>
        <w:spacing w:after="0" w:line="261"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precautionary measure, we initially bolstered our existing cash position by fully drawing down our $150 million 2018 Revolver, adding $34.5 million of cash to our balance sheet. However, subsequent to the initial drawdown, we paid down $57.7 million on our 2018 Revolver. See Note 4 to Item 1 above for further details regarding our current debt balances. Subsequent to September 23, 2020, we made an additional voluntary pre-payment of $28.0 million on the 2018 Revolver. Refer to “Subsequent Events” in Note 1 to Item 1 above.</w:t>
      </w:r>
    </w:p>
    <w:p>
      <w:pPr>
        <w:spacing w:after="0" w:line="1" w:lineRule="exact"/>
        <w:rPr>
          <w:rFonts w:ascii="Times New Roman" w:cs="Times New Roman" w:eastAsia="Times New Roman" w:hAnsi="Times New Roman"/>
          <w:sz w:val="16"/>
          <w:szCs w:val="16"/>
          <w:color w:val="auto"/>
        </w:rPr>
      </w:pPr>
    </w:p>
    <w:p>
      <w:pPr>
        <w:ind w:left="660" w:right="139" w:hanging="297"/>
        <w:spacing w:after="0" w:line="256"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temporarily suspended all share repurchase activity, significantly reduced capital spending, reevaluated essential support center general and administrative expenses, and fine-tuned our restaurant labor model based on indoor dining room restrictions, limited dining room capacity in restaurants located in geographies where indoor dining is permitted, dining room closures and fluctuating sales volume.</w:t>
      </w:r>
    </w:p>
    <w:p>
      <w:pPr>
        <w:spacing w:after="0" w:line="2" w:lineRule="exact"/>
        <w:rPr>
          <w:rFonts w:ascii="Times New Roman" w:cs="Times New Roman" w:eastAsia="Times New Roman" w:hAnsi="Times New Roman"/>
          <w:sz w:val="16"/>
          <w:szCs w:val="16"/>
          <w:color w:val="auto"/>
        </w:rPr>
      </w:pPr>
    </w:p>
    <w:p>
      <w:pPr>
        <w:ind w:left="660" w:right="99" w:hanging="297"/>
        <w:spacing w:after="0" w:line="256"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our franchisees, we deferred 50% of their April royalties until July 1, 2020, when such royalties began to be repaid in even monthly installments over the remainder of fiscal 2020. In addition, we deferred 100% of our franchisees’ 2020 remodel and new restaurant build requirements until 2021. We also established a support team to assist franchisees in accessing funds and benefits provided by the CARES Act legislation.</w:t>
      </w:r>
    </w:p>
    <w:p>
      <w:pPr>
        <w:spacing w:after="0" w:line="2" w:lineRule="exact"/>
        <w:rPr>
          <w:rFonts w:ascii="Times New Roman" w:cs="Times New Roman" w:eastAsia="Times New Roman" w:hAnsi="Times New Roman"/>
          <w:sz w:val="16"/>
          <w:szCs w:val="16"/>
          <w:color w:val="auto"/>
        </w:rPr>
      </w:pPr>
    </w:p>
    <w:p>
      <w:pPr>
        <w:ind w:left="660" w:right="119" w:hanging="297"/>
        <w:spacing w:after="0" w:line="261"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our employees, we continue to implement actions to help protect them from the coronavirus while working in our restaurants. These include implementing pre-shift health assessments, enhanced cleaning procedures in our restaurants, providing gloves and masks to all system restaurant employees, installing plexiglass shields at company restaurant cashier stations and initiating other social distancing measures. We are providing extended sick leave benefits to employees impacted by COVID-19, and we have granted two weeks paid leave for employees who are 65 or older.</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4" w:name="page35"/>
    <w:bookmarkEnd w:id="3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right="119" w:hanging="297"/>
        <w:spacing w:after="0" w:line="264"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shifted our marketing to highlight our free delivery program; our Family Meals as a healthier and affordable option; and our meaningful value platform. Additionally, we have added curbside pick-up, enabling customers to pick-up their orders from the safety of their own cars.</w:t>
      </w:r>
    </w:p>
    <w:p>
      <w:pPr>
        <w:ind w:left="660" w:right="319" w:hanging="297"/>
        <w:spacing w:after="0" w:line="256"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delayed making April, May and June rent payments on the majority of our leased properties, and we have reached rent abatement and/or deferment agreements with our landlords for those properties.</w:t>
      </w:r>
    </w:p>
    <w:p>
      <w:pPr>
        <w:spacing w:after="0" w:line="1" w:lineRule="exact"/>
        <w:rPr>
          <w:rFonts w:ascii="Times New Roman" w:cs="Times New Roman" w:eastAsia="Times New Roman" w:hAnsi="Times New Roman"/>
          <w:sz w:val="16"/>
          <w:szCs w:val="16"/>
          <w:color w:val="auto"/>
        </w:rPr>
      </w:pPr>
    </w:p>
    <w:p>
      <w:pPr>
        <w:ind w:left="660" w:right="139" w:hanging="297"/>
        <w:spacing w:after="0" w:line="273"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taken advantage of provisions available under the CARES Act. Specifically, we have deferred payment of employer Social Security taxes that are otherwise owed for wage payments.</w:t>
      </w:r>
    </w:p>
    <w:p>
      <w:pPr>
        <w:spacing w:after="0" w:line="155"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6"/>
          <w:szCs w:val="16"/>
          <w:color w:val="auto"/>
        </w:rPr>
        <w:t>The full impact of the COVID-19 outbreak continues to evolve as of the date of this report. Management is continually evaluating the impact of the global crisis on its financial condition, liquidity, operations, suppliers, industry, and workforce and will take additional actions as necessary. The disruption in operations has led to us considering the impact of the COVID-19 pandemic on our liquidity, debt covenant compliance, and recoverability of long-lived and ROU assets, goodwill and intangible assets, among others. If these disruptions to our operations from COVID-19 pandemic continue, they may have a material negative impact on our financial results, future operations and liquidity. The extent of such negative impact will depend, in part, on the longevity and severity of the COVID-19 pandemic.</w:t>
      </w:r>
    </w:p>
    <w:p>
      <w:pPr>
        <w:spacing w:after="0" w:line="164" w:lineRule="exact"/>
        <w:rPr>
          <w:sz w:val="20"/>
          <w:szCs w:val="20"/>
          <w:color w:val="auto"/>
        </w:rPr>
      </w:pPr>
    </w:p>
    <w:p>
      <w:pPr>
        <w:jc w:val="both"/>
        <w:ind w:left="40" w:right="119"/>
        <w:spacing w:after="0" w:line="276" w:lineRule="auto"/>
        <w:rPr>
          <w:sz w:val="20"/>
          <w:szCs w:val="20"/>
          <w:color w:val="auto"/>
        </w:rPr>
      </w:pPr>
      <w:r>
        <w:rPr>
          <w:rFonts w:ascii="Times New Roman" w:cs="Times New Roman" w:eastAsia="Times New Roman" w:hAnsi="Times New Roman"/>
          <w:sz w:val="16"/>
          <w:szCs w:val="16"/>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materiality of the adverse impact on our consolidated financial condition, liquidity, and future results of operations is uncertain.</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Growth Strategies and Outlook</w:t>
      </w:r>
    </w:p>
    <w:p>
      <w:pPr>
        <w:spacing w:after="0" w:line="214"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As of September 23, 2020, we had 478 locations in six states. In fiscal 2019, we opened two new company-operated and two new franchised restaurants all in California. For the thirty-nine weeks ended September 23, 2020, one new company-operated restaurant was opened in Nevada, which was in process prior to the COVID-19 pandemic, and two franchised restaurants were opened, one in California and one in Arizona. As a result of the COVID-19 crisis, we have suspended company-operated new unit development until the timing of the economic recovery and our business improvement becomes more clear. In addition, we are allowing franchisees to defer their 2020 new unit development obligations until 2021. As a result, we do not expect to open any additional company-operated or franchised restaurant during the remainder of 2020.</w:t>
      </w:r>
    </w:p>
    <w:p>
      <w:pPr>
        <w:spacing w:after="0" w:line="164" w:lineRule="exact"/>
        <w:rPr>
          <w:sz w:val="20"/>
          <w:szCs w:val="20"/>
          <w:color w:val="auto"/>
        </w:rPr>
      </w:pPr>
    </w:p>
    <w:p>
      <w:pPr>
        <w:ind w:left="40" w:right="59"/>
        <w:spacing w:after="0" w:line="276" w:lineRule="auto"/>
        <w:rPr>
          <w:sz w:val="20"/>
          <w:szCs w:val="20"/>
          <w:color w:val="auto"/>
        </w:rPr>
      </w:pPr>
      <w:r>
        <w:rPr>
          <w:rFonts w:ascii="Times New Roman" w:cs="Times New Roman" w:eastAsia="Times New Roman" w:hAnsi="Times New Roman"/>
          <w:sz w:val="16"/>
          <w:szCs w:val="16"/>
          <w:color w:val="auto"/>
        </w:rPr>
        <w:t>It is our intention to return to the following long-term growth strategy after the impact of the COVID-19 pandemic subsides. We plan to continue to expand our business, drive restaurant sales growth, and enhance our competitive positioning, by executing the following strategies:</w:t>
      </w:r>
    </w:p>
    <w:p>
      <w:pPr>
        <w:spacing w:after="0" w:line="153" w:lineRule="exact"/>
        <w:rPr>
          <w:sz w:val="20"/>
          <w:szCs w:val="20"/>
          <w:color w:val="auto"/>
        </w:rPr>
      </w:pPr>
    </w:p>
    <w:p>
      <w:pPr>
        <w:ind w:left="660" w:hanging="297"/>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restaurant base;</w:t>
      </w:r>
    </w:p>
    <w:p>
      <w:pPr>
        <w:spacing w:after="0" w:line="209"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comparable restaurant sales; and</w:t>
      </w:r>
    </w:p>
    <w:p>
      <w:pPr>
        <w:spacing w:after="0" w:line="209" w:lineRule="exact"/>
        <w:rPr>
          <w:rFonts w:ascii="Times New Roman" w:cs="Times New Roman" w:eastAsia="Times New Roman" w:hAnsi="Times New Roman"/>
          <w:sz w:val="16"/>
          <w:szCs w:val="16"/>
          <w:color w:val="auto"/>
        </w:rPr>
      </w:pPr>
    </w:p>
    <w:p>
      <w:pPr>
        <w:ind w:left="660" w:hanging="297"/>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 operations and leverage our infrastructure.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 increase comparable restaurant sales, we plan to increase customer frequency, attract new customers, and improve per-person spend.</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Success of these growth plans is not guaranteed.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Highlights and Trends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Comparable Restaurant Sales</w:t>
      </w:r>
    </w:p>
    <w:p>
      <w:pPr>
        <w:spacing w:after="0" w:line="214" w:lineRule="exact"/>
        <w:rPr>
          <w:sz w:val="20"/>
          <w:szCs w:val="20"/>
          <w:color w:val="auto"/>
        </w:rPr>
      </w:pPr>
    </w:p>
    <w:p>
      <w:pPr>
        <w:ind w:left="40" w:right="379"/>
        <w:spacing w:after="0" w:line="262" w:lineRule="auto"/>
        <w:rPr>
          <w:sz w:val="20"/>
          <w:szCs w:val="20"/>
          <w:color w:val="auto"/>
        </w:rPr>
      </w:pPr>
      <w:r>
        <w:rPr>
          <w:rFonts w:ascii="Times New Roman" w:cs="Times New Roman" w:eastAsia="Times New Roman" w:hAnsi="Times New Roman"/>
          <w:sz w:val="16"/>
          <w:szCs w:val="16"/>
          <w:color w:val="auto"/>
        </w:rPr>
        <w:t>System-wide, for the thirteen and thirty-nine weeks ended September 23, 2020, comparable restaurant sales increased by 1.8% and decreased by 3.2%, respectively, from the comparable period in the prior year. For company-operated restaurants, comparable restaurant sales for the thirteen and thirty-nine weeks ended September 23, 2020 increased by 0.2% and decreased by 3.0%, respectively. For company-operated restaurants, the quarter’s change in comparable restaurant sales consisted of an approximately</w:t>
      </w:r>
    </w:p>
    <w:p>
      <w:pPr>
        <w:spacing w:after="0" w:line="2" w:lineRule="exact"/>
        <w:rPr>
          <w:sz w:val="20"/>
          <w:szCs w:val="20"/>
          <w:color w:val="auto"/>
        </w:rPr>
      </w:pPr>
    </w:p>
    <w:p>
      <w:pPr>
        <w:jc w:val="both"/>
        <w:ind w:left="40" w:right="159"/>
        <w:spacing w:after="0" w:line="265" w:lineRule="auto"/>
        <w:rPr>
          <w:sz w:val="20"/>
          <w:szCs w:val="20"/>
          <w:color w:val="auto"/>
        </w:rPr>
      </w:pPr>
      <w:r>
        <w:rPr>
          <w:rFonts w:ascii="Times New Roman" w:cs="Times New Roman" w:eastAsia="Times New Roman" w:hAnsi="Times New Roman"/>
          <w:sz w:val="16"/>
          <w:szCs w:val="16"/>
          <w:color w:val="auto"/>
        </w:rPr>
        <w:t>18.1% increase in average check size, partially offset by a decline in transactions of 15.2%, and the year-to-date change in comparable restaurant sales consisted of a 15.2% decline in transactions, partially offset by a 14.4% increase in average check size. For franchised restaurants, comparable restaurant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5" w:name="page36"/>
    <w:bookmarkEnd w:id="3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19"/>
        <w:spacing w:after="0" w:line="296" w:lineRule="auto"/>
        <w:rPr>
          <w:sz w:val="20"/>
          <w:szCs w:val="20"/>
          <w:color w:val="auto"/>
        </w:rPr>
      </w:pPr>
      <w:r>
        <w:rPr>
          <w:rFonts w:ascii="Times New Roman" w:cs="Times New Roman" w:eastAsia="Times New Roman" w:hAnsi="Times New Roman"/>
          <w:sz w:val="16"/>
          <w:szCs w:val="16"/>
          <w:color w:val="auto"/>
        </w:rPr>
        <w:t>sales increased 3.0% and decreased 3.3% for the thirteen and thirty-nine weeks ended September 23, 2020, respectively. Refer to Comparable Restaurant Sales definition in "Key Performance Indicators" section below.</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Development</w:t>
      </w:r>
    </w:p>
    <w:p>
      <w:pPr>
        <w:spacing w:after="0" w:line="214" w:lineRule="exact"/>
        <w:rPr>
          <w:sz w:val="20"/>
          <w:szCs w:val="20"/>
          <w:color w:val="auto"/>
        </w:rPr>
      </w:pPr>
    </w:p>
    <w:p>
      <w:pPr>
        <w:ind w:left="40" w:right="1419"/>
        <w:spacing w:after="0" w:line="296" w:lineRule="auto"/>
        <w:rPr>
          <w:sz w:val="20"/>
          <w:szCs w:val="20"/>
          <w:color w:val="auto"/>
        </w:rPr>
      </w:pPr>
      <w:r>
        <w:rPr>
          <w:rFonts w:ascii="Times New Roman" w:cs="Times New Roman" w:eastAsia="Times New Roman" w:hAnsi="Times New Roman"/>
          <w:sz w:val="16"/>
          <w:szCs w:val="16"/>
          <w:color w:val="auto"/>
        </w:rPr>
        <w:t>Our restaurant counts at the beginning and end of each of the last three fiscal years and the thirty-nine weeks ended September 23, 2020, were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162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480" w:type="dxa"/>
            <w:vAlign w:val="bottom"/>
          </w:tcPr>
          <w:p>
            <w:pPr>
              <w:spacing w:after="0"/>
              <w:rPr>
                <w:sz w:val="13"/>
                <w:szCs w:val="13"/>
                <w:color w:val="auto"/>
              </w:rPr>
            </w:pPr>
          </w:p>
        </w:tc>
      </w:tr>
      <w:tr>
        <w:trPr>
          <w:trHeight w:val="128"/>
        </w:trPr>
        <w:tc>
          <w:tcPr>
            <w:tcW w:w="5040" w:type="dxa"/>
            <w:vAlign w:val="bottom"/>
            <w:tcBorders>
              <w:bottom w:val="single" w:sz="8" w:color="CCEEFF"/>
            </w:tcBorders>
          </w:tcPr>
          <w:p>
            <w:pPr>
              <w:spacing w:after="0"/>
              <w:rPr>
                <w:sz w:val="11"/>
                <w:szCs w:val="11"/>
                <w:color w:val="auto"/>
              </w:rPr>
            </w:pPr>
          </w:p>
        </w:tc>
        <w:tc>
          <w:tcPr>
            <w:tcW w:w="1660" w:type="dxa"/>
            <w:vAlign w:val="bottom"/>
            <w:tcBorders>
              <w:top w:val="single" w:sz="8" w:color="auto"/>
              <w:bottom w:val="single" w:sz="8" w:color="auto"/>
            </w:tcBorders>
          </w:tcPr>
          <w:p>
            <w:pPr>
              <w:jc w:val="right"/>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9"/>
              <w:spacing w:after="0" w:line="128"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9"/>
              <w:spacing w:after="0" w:line="128" w:lineRule="exact"/>
              <w:rPr>
                <w:sz w:val="20"/>
                <w:szCs w:val="20"/>
                <w:color w:val="auto"/>
              </w:rPr>
            </w:pPr>
            <w:r>
              <w:rPr>
                <w:rFonts w:ascii="Times New Roman" w:cs="Times New Roman" w:eastAsia="Times New Roman" w:hAnsi="Times New Roman"/>
                <w:sz w:val="13"/>
                <w:szCs w:val="13"/>
                <w:b w:val="1"/>
                <w:bCs w:val="1"/>
                <w:color w:val="auto"/>
              </w:rPr>
              <w:t>2017</w:t>
            </w:r>
          </w:p>
        </w:tc>
      </w:tr>
      <w:tr>
        <w:trPr>
          <w:trHeight w:val="18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Company-operated restaurant activity:</w:t>
            </w: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Restaurant sale to franchisee</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Closures</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Restaurants at end of period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Franchised restaurant activity:</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Restaurant sale to franchisee</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Closures</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Restaurants at end of period</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System-wide restaurant activity:</w:t>
            </w: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19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Openings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Closures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Restaurants at end of period</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0"/>
        </w:trPr>
        <w:tc>
          <w:tcPr>
            <w:tcW w:w="5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Remodeling</w:t>
      </w:r>
    </w:p>
    <w:p>
      <w:pPr>
        <w:spacing w:after="0" w:line="214"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 xml:space="preserve">As of September 23, 2020, together with our franchisees, we had remodeled 34 company-operated and 45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September 23, 2020, including new builds and remodels, we had 120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Vision design restaurant remodels varied depending on the scope of work required, but on average, the investment was $0.3 million to $0.4 million per restaurant. We believe that our Vision design remodeling program resulted in higher restaurant revenue and a strengthened brand. In addition, we are currently working on a new asset design that we believe will clearly differentiate and communicate our brand, both on the exterior and interior. We believe that this new design will deliver improved unit volumes and cash on cash returns in both existing and new markets. We also believe that our remodels using this new design will result in higher restaurant revenue and a strengthened brand. If tests are successful, this new design will replace our “Vision” design, which was implemented in 2016. However, given the uncertainty surrounding the </w:t>
      </w:r>
      <w:r>
        <w:rPr>
          <w:rFonts w:ascii="Times New Roman" w:cs="Times New Roman" w:eastAsia="Times New Roman" w:hAnsi="Times New Roman"/>
          <w:sz w:val="16"/>
          <w:szCs w:val="16"/>
          <w:color w:val="212529"/>
        </w:rPr>
        <w:t>severity and longevity of the COVID-19 pandemic, as a precautionary measure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have significantly reduced capital spending in 2020 and plan to limit our remodels to two restaurants using the new design in the fourth quarter. We do not expect our franchisees to complete any remodels in 2020 as we have deferred their remodel requirements until 2021.</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Loco Rewards</w:t>
      </w:r>
    </w:p>
    <w:p>
      <w:pPr>
        <w:spacing w:after="0" w:line="214" w:lineRule="exact"/>
        <w:rPr>
          <w:sz w:val="20"/>
          <w:szCs w:val="20"/>
          <w:color w:val="auto"/>
        </w:rPr>
      </w:pPr>
    </w:p>
    <w:p>
      <w:pPr>
        <w:ind w:left="40" w:right="1299"/>
        <w:spacing w:after="0" w:line="268" w:lineRule="auto"/>
        <w:rPr>
          <w:sz w:val="20"/>
          <w:szCs w:val="20"/>
          <w:color w:val="auto"/>
        </w:rPr>
      </w:pPr>
      <w:r>
        <w:rPr>
          <w:rFonts w:ascii="Times New Roman" w:cs="Times New Roman" w:eastAsia="Times New Roman" w:hAnsi="Times New Roman"/>
          <w:sz w:val="16"/>
          <w:szCs w:val="16"/>
          <w:color w:val="auto"/>
        </w:rPr>
        <w:t>During the second quarter of 2017, we introduced a new loyalty rewards points program in an effort to increase sales and loyalty among our customers, by offering rewards that incentivize customers to visit our restaurants more often</w:t>
      </w:r>
    </w:p>
    <w:p>
      <w:pPr>
        <w:ind w:left="40" w:right="159"/>
        <w:spacing w:after="0" w:line="256" w:lineRule="auto"/>
        <w:rPr>
          <w:sz w:val="20"/>
          <w:szCs w:val="20"/>
          <w:color w:val="auto"/>
        </w:rPr>
      </w:pPr>
      <w:r>
        <w:rPr>
          <w:rFonts w:ascii="Times New Roman" w:cs="Times New Roman" w:eastAsia="Times New Roman" w:hAnsi="Times New Roman"/>
          <w:sz w:val="16"/>
          <w:szCs w:val="16"/>
          <w:color w:val="auto"/>
        </w:rPr>
        <w:t>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w:t>
      </w:r>
    </w:p>
    <w:p>
      <w:pPr>
        <w:spacing w:after="0" w:line="2" w:lineRule="exact"/>
        <w:rPr>
          <w:sz w:val="20"/>
          <w:szCs w:val="20"/>
          <w:color w:val="auto"/>
        </w:rPr>
      </w:pPr>
    </w:p>
    <w:p>
      <w:pPr>
        <w:ind w:left="40" w:right="419"/>
        <w:spacing w:after="0" w:line="273" w:lineRule="auto"/>
        <w:rPr>
          <w:sz w:val="20"/>
          <w:szCs w:val="20"/>
          <w:color w:val="auto"/>
        </w:rPr>
      </w:pPr>
      <w:r>
        <w:rPr>
          <w:rFonts w:ascii="Times New Roman" w:cs="Times New Roman" w:eastAsia="Times New Roman" w:hAnsi="Times New Roman"/>
          <w:sz w:val="16"/>
          <w:szCs w:val="16"/>
          <w:color w:val="auto"/>
        </w:rPr>
        <w:t>six months, it expires. When a customer is part of the rewards program, the obligation to provide future discounts related to points earned is considered a separate performance obligation, to which</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6" w:name="page37"/>
    <w:bookmarkEnd w:id="3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70" w:lineRule="auto"/>
        <w:rPr>
          <w:sz w:val="20"/>
          <w:szCs w:val="20"/>
          <w:color w:val="auto"/>
        </w:rPr>
      </w:pPr>
      <w:r>
        <w:rPr>
          <w:rFonts w:ascii="Times New Roman" w:cs="Times New Roman" w:eastAsia="Times New Roman" w:hAnsi="Times New Roman"/>
          <w:sz w:val="16"/>
          <w:szCs w:val="16"/>
          <w:color w:val="auto"/>
        </w:rPr>
        <w:t>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157"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September 23, 2020 and December 25, 2019, the revenue allocated to loyalty points that have not been redeemed is $1.0 million and $1.1 million, respectively, which is reflected in the Company’s accompanying condensed consolidated balance sheets within other accrued expenses and current liabilities. The Company had almost 2.0 million loyalty program members as of September 23, 2020.</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214"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363"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6"/>
          <w:szCs w:val="16"/>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25, 2019.</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There have been no material changes to our critical accounting policies or uses of estimates since our annual report on Form 10-K.</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14" w:lineRule="exact"/>
        <w:rPr>
          <w:sz w:val="20"/>
          <w:szCs w:val="20"/>
          <w:color w:val="auto"/>
        </w:rPr>
      </w:pPr>
    </w:p>
    <w:p>
      <w:pPr>
        <w:ind w:left="40" w:right="459"/>
        <w:spacing w:after="0" w:line="296" w:lineRule="auto"/>
        <w:rPr>
          <w:sz w:val="20"/>
          <w:szCs w:val="20"/>
          <w:color w:val="auto"/>
        </w:rPr>
      </w:pPr>
      <w:r>
        <w:rPr>
          <w:rFonts w:ascii="Times New Roman" w:cs="Times New Roman" w:eastAsia="Times New Roman" w:hAnsi="Times New Roman"/>
          <w:sz w:val="16"/>
          <w:szCs w:val="16"/>
          <w:color w:val="auto"/>
        </w:rPr>
        <w:t>Recent accounting pronouncements are described in Note 1 to our condensed consolidated financial statements included in Item 1 above.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Key Financial Definitions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14" w:lineRule="exact"/>
        <w:rPr>
          <w:sz w:val="20"/>
          <w:szCs w:val="20"/>
          <w:color w:val="auto"/>
        </w:rPr>
      </w:pPr>
    </w:p>
    <w:p>
      <w:pPr>
        <w:ind w:left="40" w:right="99"/>
        <w:spacing w:after="0" w:line="276" w:lineRule="auto"/>
        <w:rPr>
          <w:sz w:val="20"/>
          <w:szCs w:val="20"/>
          <w:color w:val="auto"/>
        </w:rPr>
      </w:pPr>
      <w:r>
        <w:rPr>
          <w:rFonts w:ascii="Times New Roman" w:cs="Times New Roman" w:eastAsia="Times New Roman" w:hAnsi="Times New Roman"/>
          <w:sz w:val="16"/>
          <w:szCs w:val="16"/>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to Item 1 above for further details regarding our revenue recognition policy.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Food and Paper Costs</w:t>
      </w:r>
    </w:p>
    <w:p>
      <w:pPr>
        <w:spacing w:after="0" w:line="214" w:lineRule="exact"/>
        <w:rPr>
          <w:sz w:val="20"/>
          <w:szCs w:val="20"/>
          <w:color w:val="auto"/>
        </w:rPr>
      </w:pPr>
    </w:p>
    <w:p>
      <w:pPr>
        <w:ind w:left="40" w:right="399"/>
        <w:spacing w:after="0" w:line="276" w:lineRule="auto"/>
        <w:rPr>
          <w:sz w:val="20"/>
          <w:szCs w:val="20"/>
          <w:color w:val="auto"/>
        </w:rPr>
      </w:pPr>
      <w:r>
        <w:rPr>
          <w:rFonts w:ascii="Times New Roman" w:cs="Times New Roman" w:eastAsia="Times New Roman" w:hAnsi="Times New Roman"/>
          <w:sz w:val="16"/>
          <w:szCs w:val="16"/>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Labor and Related Expenses</w:t>
      </w:r>
    </w:p>
    <w:p>
      <w:pPr>
        <w:spacing w:after="0" w:line="214" w:lineRule="exact"/>
        <w:rPr>
          <w:sz w:val="20"/>
          <w:szCs w:val="20"/>
          <w:color w:val="auto"/>
        </w:rPr>
      </w:pPr>
    </w:p>
    <w:p>
      <w:pPr>
        <w:ind w:left="40" w:right="179"/>
        <w:spacing w:after="0" w:line="296" w:lineRule="auto"/>
        <w:rPr>
          <w:sz w:val="20"/>
          <w:szCs w:val="20"/>
          <w:color w:val="auto"/>
        </w:rPr>
      </w:pPr>
      <w:r>
        <w:rPr>
          <w:rFonts w:ascii="Times New Roman" w:cs="Times New Roman" w:eastAsia="Times New Roman" w:hAnsi="Times New Roman"/>
          <w:sz w:val="16"/>
          <w:szCs w:val="16"/>
          <w:color w:val="auto"/>
        </w:rPr>
        <w:t>Labor and related expenses include wages, payroll taxes, workers’ compensation expense, benefits, and bonuses paid to our restaurant management teams. Like other expense items, we expect labor costs to grow proportionately as our</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7" w:name="page38"/>
    <w:bookmarkEnd w:id="3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479"/>
        <w:spacing w:after="0" w:line="296" w:lineRule="auto"/>
        <w:rPr>
          <w:sz w:val="20"/>
          <w:szCs w:val="20"/>
          <w:color w:val="auto"/>
        </w:rPr>
      </w:pPr>
      <w:r>
        <w:rPr>
          <w:rFonts w:ascii="Times New Roman" w:cs="Times New Roman" w:eastAsia="Times New Roman" w:hAnsi="Times New Roman"/>
          <w:sz w:val="16"/>
          <w:szCs w:val="16"/>
          <w:color w:val="auto"/>
        </w:rPr>
        <w:t>restaurant revenue grows. Factors that influence labor costs include minimum wage and payroll tax legislation, the frequency and severity of workers’ compensation claims, health care costs, and the performance of our restaurants.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Occupancy Costs and Other Operating Expenses</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14"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6"/>
          <w:szCs w:val="16"/>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Legal Settlements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Legal settlements include expenses such as judgments or settlements related to legal matters, legal claims and class action lawsuits.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Franchise Expenses</w:t>
      </w:r>
    </w:p>
    <w:p>
      <w:pPr>
        <w:spacing w:after="0" w:line="214" w:lineRule="exact"/>
        <w:rPr>
          <w:sz w:val="20"/>
          <w:szCs w:val="20"/>
          <w:color w:val="auto"/>
        </w:rPr>
      </w:pPr>
    </w:p>
    <w:p>
      <w:pPr>
        <w:ind w:left="40" w:right="539"/>
        <w:spacing w:after="0" w:line="296" w:lineRule="auto"/>
        <w:rPr>
          <w:sz w:val="20"/>
          <w:szCs w:val="20"/>
          <w:color w:val="auto"/>
        </w:rPr>
      </w:pPr>
      <w:r>
        <w:rPr>
          <w:rFonts w:ascii="Times New Roman" w:cs="Times New Roman" w:eastAsia="Times New Roman" w:hAnsi="Times New Roman"/>
          <w:sz w:val="16"/>
          <w:szCs w:val="16"/>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214" w:lineRule="exact"/>
        <w:rPr>
          <w:sz w:val="20"/>
          <w:szCs w:val="20"/>
          <w:color w:val="auto"/>
        </w:rPr>
      </w:pPr>
    </w:p>
    <w:p>
      <w:pPr>
        <w:ind w:left="40" w:right="99"/>
        <w:spacing w:after="0" w:line="296" w:lineRule="auto"/>
        <w:rPr>
          <w:sz w:val="20"/>
          <w:szCs w:val="20"/>
          <w:color w:val="auto"/>
        </w:rPr>
      </w:pPr>
      <w:r>
        <w:rPr>
          <w:rFonts w:ascii="Times New Roman" w:cs="Times New Roman" w:eastAsia="Times New Roman" w:hAnsi="Times New Roman"/>
          <w:sz w:val="16"/>
          <w:szCs w:val="16"/>
          <w:color w:val="auto"/>
        </w:rPr>
        <w:t>Depreciation and amortization primarily consists of the depreciation of property and equipment, including leasehold improvements and equipment.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Loss on Disposal of Assets</w:t>
      </w:r>
    </w:p>
    <w:p>
      <w:pPr>
        <w:spacing w:after="0" w:line="214" w:lineRule="exact"/>
        <w:rPr>
          <w:sz w:val="20"/>
          <w:szCs w:val="20"/>
          <w:color w:val="auto"/>
        </w:rPr>
      </w:pPr>
    </w:p>
    <w:p>
      <w:pPr>
        <w:ind w:left="40" w:right="579"/>
        <w:spacing w:after="0" w:line="296" w:lineRule="auto"/>
        <w:rPr>
          <w:sz w:val="20"/>
          <w:szCs w:val="20"/>
          <w:color w:val="auto"/>
        </w:rPr>
      </w:pPr>
      <w:r>
        <w:rPr>
          <w:rFonts w:ascii="Times New Roman" w:cs="Times New Roman" w:eastAsia="Times New Roman" w:hAnsi="Times New Roman"/>
          <w:sz w:val="16"/>
          <w:szCs w:val="16"/>
          <w:color w:val="auto"/>
        </w:rPr>
        <w:t>Loss on disposal of assets includes the loss on disposal of assets related to retirements and replacement or write-off of leasehold improvements or equipment.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Impairment and Closed-Store Reserves</w:t>
      </w:r>
    </w:p>
    <w:p>
      <w:pPr>
        <w:spacing w:after="0" w:line="214"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366" w:lineRule="exact"/>
        <w:rPr>
          <w:sz w:val="20"/>
          <w:szCs w:val="20"/>
          <w:color w:val="auto"/>
        </w:rPr>
      </w:pPr>
    </w:p>
    <w:p>
      <w:pPr>
        <w:ind w:left="40" w:right="259"/>
        <w:spacing w:after="0" w:line="276" w:lineRule="auto"/>
        <w:rPr>
          <w:sz w:val="20"/>
          <w:szCs w:val="20"/>
          <w:color w:val="auto"/>
        </w:rPr>
      </w:pPr>
      <w:r>
        <w:rPr>
          <w:rFonts w:ascii="Times New Roman" w:cs="Times New Roman" w:eastAsia="Times New Roman" w:hAnsi="Times New Roman"/>
          <w:sz w:val="16"/>
          <w:szCs w:val="16"/>
          <w:color w:val="auto"/>
        </w:rPr>
        <w:t>When the Company closes a restaurant, it will evaluate the right-of-use (“ROU”) asset for impairment, based on anticipated sublease recoveries. The remaining value of the ROU asset is amortized on a straight-line basis, with the expense recognized in closed-store reserve expense, in addition to property tax and common area maintenance ("CAM") charges for closed restaurants.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8" w:name="page39"/>
    <w:bookmarkEnd w:id="3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Interest expense, net, consists primarily of interest on our outstanding debt. Debt issuance costs are amortized at cost over the life of the related debt.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Provision for income taxes consists of federal and state taxes on our income.</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Comparison of Results of Income</w:t>
      </w:r>
    </w:p>
    <w:p>
      <w:pPr>
        <w:spacing w:after="0" w:line="214" w:lineRule="exact"/>
        <w:rPr>
          <w:sz w:val="20"/>
          <w:szCs w:val="20"/>
          <w:color w:val="auto"/>
        </w:rPr>
      </w:pPr>
    </w:p>
    <w:p>
      <w:pPr>
        <w:jc w:val="both"/>
        <w:ind w:left="40" w:right="199"/>
        <w:spacing w:after="0" w:line="276" w:lineRule="auto"/>
        <w:rPr>
          <w:sz w:val="20"/>
          <w:szCs w:val="20"/>
          <w:color w:val="auto"/>
        </w:rPr>
      </w:pPr>
      <w:r>
        <w:rPr>
          <w:rFonts w:ascii="Times New Roman" w:cs="Times New Roman" w:eastAsia="Times New Roman" w:hAnsi="Times New Roman"/>
          <w:sz w:val="16"/>
          <w:szCs w:val="16"/>
          <w:color w:val="auto"/>
        </w:rPr>
        <w:t>Our operating results for the thirteen weeks ended September 23, 2020 and September 25, 2019 and expressed as percentages of total revenue, with the exception of cost of operations and company restaurant expenses, which are expressed as a percentage of company-operated restaurant revenue, are compared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Thirteen Weeks Ended</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79"/>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99"/>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59"/>
              <w:spacing w:after="0" w:line="128" w:lineRule="exact"/>
              <w:rPr>
                <w:sz w:val="20"/>
                <w:szCs w:val="20"/>
                <w:color w:val="auto"/>
              </w:rPr>
            </w:pPr>
            <w:r>
              <w:rPr>
                <w:rFonts w:ascii="Times New Roman" w:cs="Times New Roman" w:eastAsia="Times New Roman" w:hAnsi="Times New Roman"/>
                <w:sz w:val="13"/>
                <w:szCs w:val="13"/>
                <w:b w:val="1"/>
                <w:bCs w:val="1"/>
                <w:color w:val="auto"/>
              </w:rPr>
              <w:t>Increase / (Decrease)</w:t>
            </w:r>
          </w:p>
        </w:tc>
      </w:tr>
      <w:tr>
        <w:trPr>
          <w:trHeight w:val="128"/>
        </w:trPr>
        <w:tc>
          <w:tcPr>
            <w:tcW w:w="224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5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7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8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Statements of Income Data</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Company-operated restaurant revenue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97,276</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revenue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97"/>
        </w:trPr>
        <w:tc>
          <w:tcPr>
            <w:tcW w:w="4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8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110,979</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112,067</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operations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 and paper costs (1)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 and related expenses (1)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28,756</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 and other operating expenses (1)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23,836</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recovery of insurance proceeds, lost profits (1)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189"/>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Company restaurant expenses (1)</w:t>
            </w: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75,514</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80,648</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(5,134)</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and closed-store reserves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disposition of restaurants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98,786</w:t>
            </w:r>
          </w:p>
        </w:tc>
        <w:tc>
          <w:tcPr>
            <w:tcW w:w="14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89.0</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101,949</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(3,163)</w:t>
            </w:r>
          </w:p>
        </w:tc>
        <w:tc>
          <w:tcPr>
            <w:tcW w:w="1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12,193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r>
      <w:tr>
        <w:trPr>
          <w:trHeight w:val="1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receivable agreement income</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189"/>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11,567</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9,342</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r>
      <w:tr>
        <w:trPr>
          <w:trHeight w:val="197"/>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189"/>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9,920</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6,402</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3,518</w:t>
            </w: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r>
    </w:tbl>
    <w:p>
      <w:pPr>
        <w:spacing w:after="0" w:line="57" w:lineRule="exact"/>
        <w:rPr>
          <w:sz w:val="20"/>
          <w:szCs w:val="20"/>
          <w:color w:val="auto"/>
        </w:rPr>
      </w:pPr>
    </w:p>
    <w:p>
      <w:pPr>
        <w:ind w:left="340" w:right="279" w:hanging="297"/>
        <w:spacing w:after="0" w:line="296"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9" w:name="page40"/>
    <w:bookmarkEnd w:id="3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379"/>
        <w:spacing w:after="0" w:line="276" w:lineRule="auto"/>
        <w:rPr>
          <w:sz w:val="20"/>
          <w:szCs w:val="20"/>
          <w:color w:val="auto"/>
        </w:rPr>
      </w:pPr>
      <w:r>
        <w:rPr>
          <w:rFonts w:ascii="Times New Roman" w:cs="Times New Roman" w:eastAsia="Times New Roman" w:hAnsi="Times New Roman"/>
          <w:sz w:val="16"/>
          <w:szCs w:val="16"/>
          <w:color w:val="auto"/>
        </w:rPr>
        <w:t>Our operating results for the thirty-nine weeks ended September 23, 2020 and September 25, 2019 and expressed as percentages of total revenue, with the exception of cost of operations and company restaurant expenses, which are expressed as a percentage of company-operated restaurant revenue, are compared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2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20" w:type="dxa"/>
            <w:vAlign w:val="bottom"/>
          </w:tcPr>
          <w:p>
            <w:pPr>
              <w:spacing w:after="0"/>
              <w:rPr>
                <w:sz w:val="11"/>
                <w:szCs w:val="11"/>
                <w:color w:val="auto"/>
              </w:rPr>
            </w:pPr>
          </w:p>
        </w:tc>
        <w:tc>
          <w:tcPr>
            <w:tcW w:w="14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right"/>
              <w:ind w:right="99"/>
              <w:spacing w:after="0" w:line="128" w:lineRule="exact"/>
              <w:rPr>
                <w:sz w:val="20"/>
                <w:szCs w:val="20"/>
                <w:color w:val="auto"/>
              </w:rPr>
            </w:pPr>
            <w:r>
              <w:rPr>
                <w:rFonts w:ascii="Times New Roman" w:cs="Times New Roman" w:eastAsia="Times New Roman" w:hAnsi="Times New Roman"/>
                <w:sz w:val="13"/>
                <w:szCs w:val="13"/>
                <w:b w:val="1"/>
                <w:bCs w:val="1"/>
                <w:color w:val="auto"/>
              </w:rPr>
              <w:t>Increase / (Decrease)</w:t>
            </w:r>
          </w:p>
        </w:tc>
        <w:tc>
          <w:tcPr>
            <w:tcW w:w="20" w:type="dxa"/>
            <w:vAlign w:val="bottom"/>
          </w:tcPr>
          <w:p>
            <w:pPr>
              <w:spacing w:after="0"/>
              <w:rPr>
                <w:sz w:val="11"/>
                <w:szCs w:val="11"/>
                <w:color w:val="auto"/>
              </w:rPr>
            </w:pPr>
          </w:p>
        </w:tc>
      </w:tr>
      <w:tr>
        <w:trPr>
          <w:trHeight w:val="128"/>
        </w:trPr>
        <w:tc>
          <w:tcPr>
            <w:tcW w:w="2240" w:type="dxa"/>
            <w:vAlign w:val="bottom"/>
            <w:tcBorders>
              <w:bottom w:val="single" w:sz="8" w:color="CCEEFF"/>
            </w:tcBorders>
          </w:tcPr>
          <w:p>
            <w:pPr>
              <w:spacing w:after="0"/>
              <w:rPr>
                <w:sz w:val="11"/>
                <w:szCs w:val="11"/>
                <w:color w:val="auto"/>
              </w:rPr>
            </w:pPr>
          </w:p>
        </w:tc>
        <w:tc>
          <w:tcPr>
            <w:tcW w:w="20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9"/>
              <w:spacing w:after="0" w:line="128" w:lineRule="exact"/>
              <w:rPr>
                <w:sz w:val="20"/>
                <w:szCs w:val="20"/>
                <w:color w:val="auto"/>
              </w:rPr>
            </w:pPr>
            <w:r>
              <w:rPr>
                <w:rFonts w:ascii="Times New Roman" w:cs="Times New Roman" w:eastAsia="Times New Roman" w:hAnsi="Times New Roman"/>
                <w:sz w:val="13"/>
                <w:szCs w:val="13"/>
                <w:b w:val="1"/>
                <w:bCs w:val="1"/>
                <w:color w:val="auto"/>
              </w:rPr>
              <w:t>($,000)</w:t>
            </w:r>
          </w:p>
        </w:tc>
        <w:tc>
          <w:tcPr>
            <w:tcW w:w="1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9"/>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r>
      <w:tr>
        <w:trPr>
          <w:trHeight w:val="18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Statements of Income Data</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Company-operated restaurant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277,617</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296,341</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revenue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16,567</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r>
      <w:tr>
        <w:trPr>
          <w:trHeight w:val="189"/>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315,746</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334,784</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(19,038)</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6"/>
                <w:szCs w:val="16"/>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operations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Food and paper costs(1)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(9,193)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Labor and related expenses(1)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83,208</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(4,932)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 and other operating expenses(1)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67,867</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(2,236)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recovery of insurance proceeds, lost profits(1)</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(2,000)</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tcPr>
          <w:p>
            <w:pPr>
              <w:spacing w:after="0"/>
              <w:rPr>
                <w:sz w:val="17"/>
                <w:szCs w:val="17"/>
                <w:color w:val="auto"/>
              </w:rPr>
            </w:pPr>
          </w:p>
        </w:tc>
      </w:tr>
      <w:tr>
        <w:trPr>
          <w:trHeight w:val="189"/>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Company restaurant expenses(1)</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222,432</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240,793</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81.3</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(18,361)</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20" w:type="dxa"/>
            <w:vAlign w:val="bottom"/>
          </w:tcPr>
          <w:p>
            <w:pPr>
              <w:spacing w:after="0"/>
              <w:rPr>
                <w:sz w:val="16"/>
                <w:szCs w:val="16"/>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21,110</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(929)</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tcPr>
          <w:p>
            <w:pPr>
              <w:spacing w:after="0"/>
              <w:rPr>
                <w:sz w:val="17"/>
                <w:szCs w:val="17"/>
                <w:color w:val="auto"/>
              </w:rPr>
            </w:pPr>
          </w:p>
        </w:tc>
      </w:tr>
      <w:tr>
        <w:trPr>
          <w:trHeight w:val="180"/>
        </w:trPr>
        <w:tc>
          <w:tcPr>
            <w:tcW w:w="42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Recovery of securities lawsuits related legal expenses and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insurance claims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(98.8)</w:t>
            </w: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and closed-store reserves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disposition of restaurants</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(5,062)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r>
      <w:tr>
        <w:trPr>
          <w:trHeight w:val="189"/>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290,418</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301,794</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(11,376)</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0" w:type="dxa"/>
            <w:vAlign w:val="bottom"/>
          </w:tcPr>
          <w:p>
            <w:pPr>
              <w:spacing w:after="0"/>
              <w:rPr>
                <w:sz w:val="16"/>
                <w:szCs w:val="16"/>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25,328</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32,990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(7,662)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20" w:type="dxa"/>
            <w:vAlign w:val="bottom"/>
          </w:tcPr>
          <w:p>
            <w:pPr>
              <w:spacing w:after="0"/>
              <w:rPr>
                <w:sz w:val="17"/>
                <w:szCs w:val="17"/>
                <w:color w:val="auto"/>
              </w:rPr>
            </w:pPr>
          </w:p>
        </w:tc>
      </w:tr>
      <w:tr>
        <w:trPr>
          <w:trHeight w:val="19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7"/>
                <w:szCs w:val="17"/>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receivable agreement expense (income)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20" w:type="dxa"/>
            <w:vAlign w:val="bottom"/>
          </w:tcPr>
          <w:p>
            <w:pPr>
              <w:spacing w:after="0"/>
              <w:rPr>
                <w:sz w:val="17"/>
                <w:szCs w:val="17"/>
                <w:color w:val="auto"/>
              </w:rPr>
            </w:pPr>
          </w:p>
        </w:tc>
      </w:tr>
      <w:tr>
        <w:trPr>
          <w:trHeight w:val="189"/>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22,719</w:t>
            </w: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30,356</w:t>
            </w:r>
          </w:p>
        </w:tc>
        <w:tc>
          <w:tcPr>
            <w:tcW w:w="1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(7,637)</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20" w:type="dxa"/>
            <w:vAlign w:val="bottom"/>
          </w:tcPr>
          <w:p>
            <w:pPr>
              <w:spacing w:after="0"/>
              <w:rPr>
                <w:sz w:val="16"/>
                <w:szCs w:val="16"/>
                <w:color w:val="auto"/>
              </w:rPr>
            </w:pPr>
          </w:p>
        </w:tc>
      </w:tr>
      <w:tr>
        <w:trPr>
          <w:trHeight w:val="197"/>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(5,254)</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0" w:type="dxa"/>
            <w:vAlign w:val="bottom"/>
          </w:tcPr>
          <w:p>
            <w:pPr>
              <w:spacing w:after="0"/>
              <w:rPr>
                <w:sz w:val="17"/>
                <w:szCs w:val="17"/>
                <w:color w:val="auto"/>
              </w:rPr>
            </w:pPr>
          </w:p>
        </w:tc>
      </w:tr>
      <w:tr>
        <w:trPr>
          <w:trHeight w:val="189"/>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19,019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21,402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20" w:type="dxa"/>
            <w:vAlign w:val="bottom"/>
          </w:tcPr>
          <w:p>
            <w:pPr>
              <w:spacing w:after="0"/>
              <w:rPr>
                <w:sz w:val="16"/>
                <w:szCs w:val="16"/>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57" w:lineRule="exact"/>
        <w:rPr>
          <w:sz w:val="20"/>
          <w:szCs w:val="20"/>
          <w:color w:val="auto"/>
        </w:rPr>
      </w:pPr>
    </w:p>
    <w:p>
      <w:pPr>
        <w:ind w:left="640" w:right="559" w:hanging="597"/>
        <w:spacing w:after="0" w:line="296"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Company-Operated Restaurant Revenue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quarter, company-operated restaurant revenue decreased $1.8 million, or 1.8%, from the comparable period in the</w:t>
      </w:r>
    </w:p>
    <w:p>
      <w:pPr>
        <w:spacing w:after="0" w:line="30"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prior year. The decline in company-operated restaurant sales was primarily due to a decrease in company-operated restaurant revenue of $1.9 million from the closure of two restaurants and the five company-operated restaurants sold by the Company to franchisees during or subsequent to the third quarter of 2019, a $0.6 million decrease due to temporary restaurant closures due to the COVID-19 pandemic and a $0.2 million decrease in revenue recognized for our loyalty points program. This company-operated restaurant sales decrease was partially offset by an increase of $0.7 million of non-comparable restaurant sales on restaurants that had not been open the fifteen months required to be included in comparable restaurant sales and an increase of $0.2 million due to a 0.2% increase in company-operated comparable restaurant sales. The company-operated comparable restaurant sales increase consisted of an approximately 18.1% increase in average check size, partially offset by a decline in transactions of 15.2%. It is uncertain whether the increase in average check size will persist once the pandemic ends.</w:t>
      </w:r>
    </w:p>
    <w:p>
      <w:pPr>
        <w:spacing w:after="0" w:line="165"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Year-to-date, company-operated restaurant revenue decreased $18.7 million, or 6.3%, from the comparable period in the prior year. The decline in company-operated restaurant sales was primarily due to a $11.3 million decrease in revenue from the closure of four restaurants and the 16 company-operated restaurants sold by the Company to franchisees during or subsequent to the first quarter of 2019, a decrease in company-operated restaurant revenue of $8.5 million due to a 3.0% decrease in company-operated comparable restaurant sales, which we believe was primarily related to the impact of the COVID-19 pandemic, and a $1.0 million decrease due to temporary restaurant closures due to the COVID-19</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0" w:name="page41"/>
    <w:bookmarkEnd w:id="4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6"/>
          <w:szCs w:val="16"/>
          <w:color w:val="auto"/>
        </w:rPr>
        <w:t>pandemic. See above under “COVID-19 Impact” for additional information related to the impact of the COVID-19 pandemic on our business. This company-operated restaurant sales decrease was partially offset by an increase of $2.1 million of non-comparable restaurant sales on restaurants that had not been open the fifteen months required to be included in comparable restaurant sales. The company-operated comparable restaurant sales decrease consisted of a decline in transactions of 15.2%, partially offset by a 14.4% increase in average check size. It is uncertain whether the increase in average check size will persist once the pandemic ends.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Franchise Revenue</w:t>
      </w:r>
    </w:p>
    <w:p>
      <w:pPr>
        <w:spacing w:after="0" w:line="214"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For the quarter, franchise revenue increased $0.5 million, or 7.0%, from the comparable period in the prior year. This increase was primarily due to a franchise comparable restaurant sales increase of 3.0%, the opening of two new franchised restaurants and revenue generated from five company-operated restaurants sold by the Company to franchisees during or subsequent to the third quarter of 2019, and revenue recognized related to franchise development agreements. This franchise revenue increase was partially offset by the closure of nine franchise locations during or subsequent to the third quarter of 2019.</w:t>
      </w:r>
    </w:p>
    <w:p>
      <w:pPr>
        <w:spacing w:after="0" w:line="162"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6"/>
          <w:szCs w:val="16"/>
          <w:color w:val="auto"/>
        </w:rPr>
        <w:t>Year-to-date, franchise revenue decreased less than $0.1 million, or 0.3%, from the comparable period in the prior year. This decrease was primarily due to a franchise comparable restaurant sales decrease of 3.3%, which we believe was primarily due to the COVID-19 pandemic, the closure of nine franchise locations during or subsequent to the first quarter of 2019 and a decrease in fees received from franchised restaurants related to their use of our point-of-sales system. See above under “COVID-19 Impact” for additional information related to the impact of the COVID-19 pandemic on our business. This franchise revenue decrease was almost fully offset by the opening of four new franchised restaurants and revenue generated from 16 company-operated restaurants sold by the Company to franchisees during or subsequent to the first quarter of 2019.</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Franchise Advertising Fee Revenue</w:t>
      </w:r>
    </w:p>
    <w:p>
      <w:pPr>
        <w:spacing w:after="0" w:line="214"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For the quarter, franchise advertising fee revenue increased $0.2 million, or 3.1%, from the comparable period in the prior year. Year-to-date, franchise advertising fee revenue decreased $0.2 million, or 1.4%, from the comparable period in the prior year. As advertising fee revenue is a percentage of franchisees’ revenue, both the quarter and year-to-date fluctuations were due to the increases and decreases noted in franchise revenue above.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Food and Paper Costs</w:t>
      </w:r>
    </w:p>
    <w:p>
      <w:pPr>
        <w:spacing w:after="0" w:line="21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For the quarter, food and paper costs decreased $2.6 million, or 9.4%, from the comparable period in the prior year, primarily due to a $2.5 million decrease in food costs and a $0.1 million decrease in paper costs. Year-to-date, food and paper costs decreased $9.2 million, or 11.1%, from the comparable period in the prior year, due to a $8.1 million decrease in food costs and a $1.1 million decrease in paper costs. The decrease in food and paper costs, for the quarter and year-to-date periods, resulted primarily from lower company transactions, due to the COVID-19 pandemic, lower food waste and a vendor rebate received. For the quarter, food and paper costs as a percentage of company-operated restaurant revenue were 25.6%, down from 27.8% in the comparable period of the prior year. Year-to-date, food and paper costs as a percentage of company-operated restaurant revenue were 26.4%, down from 27.9% in the comparable period of the prior year. The percentage decrease for the quarter and year-to-date periods was due primarily to an increase in pricing, lower food usage, effective waste management and favorable sales mix, partially offset by commodity inflation.</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Labor and Related Expenses</w:t>
      </w:r>
    </w:p>
    <w:p>
      <w:pPr>
        <w:spacing w:after="0" w:line="214"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color w:val="auto"/>
        </w:rPr>
        <w:t>For the quarter, labor and related expenses decreased $0.5 million, or 1.8%, from the comparable period in the prior year. Year-to-date, labor and related expenses decreased $4.9 million, or 5.6%, from the comparable period in the prior year. The decrease for the quarter and year-to-date periods was due primarily to a reduction in labor by restaurants closed or sold to franchisees, adjustments to the labor model based on dining room closures, operating hours and lower sales volumes and lower group insurance and workers compensation expense due to decreased claims activity. These decreases were partially offset by higher wages primarily due to minimum wage increases in California during fiscal 2019 and 2020, and labor costs associated with the COVID-19 pandemic.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1" w:name="page42"/>
    <w:bookmarkEnd w:id="4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color w:val="auto"/>
        </w:rPr>
        <w:t>For the quarter, labor and related expenses as a percentage of company-operated restaurant revenue were 29.6%, consistent with the comparable period in the prior year. This percentage was impacted by wage increases in California and labor costs associated with the COVID-19 pandemic, offset by an increase in pricing and labor efficiencies. Year-to-date payroll and benefit expenses as a percentage of company-operated restaurant revenue were 30.0%, up from 29.7% in the comparable period in the prior year. The increase for the year-to-date period was due primarily to sales deleverage, wage increases in California, and labor costs associated with the COVID-19 pandemic. Partially offsetting these increases were the positive impacts of an increase in pricing and labor efficiencies.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Occupancy and Other Operating Expenses</w:t>
      </w:r>
    </w:p>
    <w:p>
      <w:pPr>
        <w:spacing w:after="0" w:line="214"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6"/>
          <w:szCs w:val="16"/>
          <w:color w:val="auto"/>
        </w:rPr>
        <w:t>For the quarter, occupancy and other operating expenses was flat from the comparable period of the prior year. Fluctuations in occupancy and other expenses consisted primarily of a $0.6 million increase in customer order delivery fees payable to third parties due to an increase in delivery orders and a $0.2 million increase in other operating expenses. These increases were offset by a $0.3 million decrease in utilities costs, a $0.2 million decrease in occupancy costs, primarily related to a reduction in rent expense from restaurants closed or sold to franchisees, and a decrease in other operating expenses of $0.3 million. Year-to-date, occupancy and other operating expenses decreased $2.2 million, or 3.2%, from the comparable period of the prior year. The decrease was primarily due to a $1.0 million decrease in repair and maintenance costs, a $1.0 million decrease in utilities costs, a $0.9 million decrease in occupancy costs, primarily related to a reduction in rent expense from restaurants closed or sold to franchisees, a $0.8 million decrease in advertising expenses, a $0.4 million decrease in credit card fees primarily related to a decrease in rates and transactions and a $0.1 million decrease in other operating expenses. These decreases were partially offset by a $2.0 million increase in customer order delivery fees payable to third parties due to an increase in delivery orders.</w:t>
      </w:r>
    </w:p>
    <w:p>
      <w:pPr>
        <w:spacing w:after="0" w:line="171" w:lineRule="exact"/>
        <w:rPr>
          <w:sz w:val="20"/>
          <w:szCs w:val="20"/>
          <w:color w:val="auto"/>
        </w:rPr>
      </w:pPr>
    </w:p>
    <w:p>
      <w:pPr>
        <w:ind w:left="40" w:right="159"/>
        <w:spacing w:after="0" w:line="270" w:lineRule="auto"/>
        <w:rPr>
          <w:sz w:val="20"/>
          <w:szCs w:val="20"/>
          <w:color w:val="auto"/>
        </w:rPr>
      </w:pPr>
      <w:r>
        <w:rPr>
          <w:rFonts w:ascii="Times New Roman" w:cs="Times New Roman" w:eastAsia="Times New Roman" w:hAnsi="Times New Roman"/>
          <w:sz w:val="16"/>
          <w:szCs w:val="16"/>
          <w:color w:val="auto"/>
        </w:rPr>
        <w:t>For the quarter, occupancy and other operating expenses as a percentage of company-operated restaurant revenue were 24.5% up from 24.1% in the comparable period in the prior year. Year-to-date, occupancy and other operating expenses as a percentage of company-operated restaurant revenue were 24.4%, up from 23.7% in the comparable period of the prior year. The increases for the quarter and year-to-date periods resulted primarily from the increases noted above and sales deleverage.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Gain on Recovery of Insurance Proceeds, Lost Profits</w:t>
      </w:r>
    </w:p>
    <w:p>
      <w:pPr>
        <w:spacing w:after="0" w:line="214" w:lineRule="exact"/>
        <w:rPr>
          <w:sz w:val="20"/>
          <w:szCs w:val="20"/>
          <w:color w:val="auto"/>
        </w:rPr>
      </w:pPr>
    </w:p>
    <w:p>
      <w:pPr>
        <w:ind w:left="40" w:right="399"/>
        <w:spacing w:after="0" w:line="276" w:lineRule="auto"/>
        <w:rPr>
          <w:sz w:val="20"/>
          <w:szCs w:val="20"/>
          <w:color w:val="auto"/>
        </w:rPr>
      </w:pPr>
      <w:r>
        <w:rPr>
          <w:rFonts w:ascii="Times New Roman" w:cs="Times New Roman" w:eastAsia="Times New Roman" w:hAnsi="Times New Roman"/>
          <w:sz w:val="16"/>
          <w:szCs w:val="16"/>
          <w:color w:val="auto"/>
        </w:rPr>
        <w:t>During the thirteen and thirty-nine weeks ended September 23, 2020, we received business interruption insurance proceeds of $2.0 million, primarily related to restaurant sales losses and expenses related to the COVID-19 pandemic and resulting dining room closures.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14"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6"/>
          <w:szCs w:val="16"/>
          <w:color w:val="auto"/>
        </w:rPr>
        <w:t>For the quarter, general and administrative expenses increased $0.3 million, or 2.8%, from the comparable period in the prior year. The increase for the quarter was due primarily to a $0.8 million increase in labor related costs, primarily related to an increase in management bonus expense, and a $0.4 million increase in stock compensation expenses. This increase was partially offset by a $0.4 million decrease in legal expenses, a $0.2 million decrease in restaurant pre-opening costs, a $0.2 million decrease in recruiting costs and a $0.1 million decrease in other general and administrative expenses. Year-to-date, general and administrative expenses decreased $0.6 million, or 2.1%, from the comparable period in the prior year. The decrease for the year-to-date period was due primarily to a $0.6 million decrease in labor related costs, largely related to a decrease in management bonus expense, decrease in severance expense and lower group insurance costs. Additionally, there was a $0.1 million decrease in legal expenses related primarily to a decrease in securities class action litigation costs, partially offset by a $2.5 million legal settlement related to the resolution of the longstanding lawsuit involving a contract dispute with one of the Company’s franchisees concerning asserted territory rights. These decreases were partially offset by a $0.1 million increase in other general and administrative expenses.</w:t>
      </w:r>
    </w:p>
    <w:p>
      <w:pPr>
        <w:spacing w:after="0" w:line="171" w:lineRule="exact"/>
        <w:rPr>
          <w:sz w:val="20"/>
          <w:szCs w:val="20"/>
          <w:color w:val="auto"/>
        </w:rPr>
      </w:pPr>
    </w:p>
    <w:p>
      <w:pPr>
        <w:ind w:left="40" w:right="99"/>
        <w:spacing w:after="0" w:line="270" w:lineRule="auto"/>
        <w:rPr>
          <w:sz w:val="20"/>
          <w:szCs w:val="20"/>
          <w:color w:val="auto"/>
        </w:rPr>
      </w:pPr>
      <w:r>
        <w:rPr>
          <w:rFonts w:ascii="Times New Roman" w:cs="Times New Roman" w:eastAsia="Times New Roman" w:hAnsi="Times New Roman"/>
          <w:sz w:val="16"/>
          <w:szCs w:val="16"/>
          <w:color w:val="auto"/>
        </w:rPr>
        <w:t>For the quarter, general and administrative expenses as a percentage of total revenue were 8.8%, up from 8.5% in the comparable period of the prior year. Year-to-date, general and administrative expenses as a percentage of total revenue were 9.4%, up from 9.0% in the comparable period of the prior year. The percentage increase for the quarter and year-to-date periods resulted primarily from the decline in revenue, as well as the cost increases discussed above.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2" w:name="page43"/>
    <w:bookmarkEnd w:id="4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Recovery of Securities Class Action Legal Expenses and Other Insurance Claims</w:t>
      </w:r>
    </w:p>
    <w:p>
      <w:pPr>
        <w:spacing w:after="0" w:line="214" w:lineRule="exact"/>
        <w:rPr>
          <w:sz w:val="20"/>
          <w:szCs w:val="20"/>
          <w:color w:val="auto"/>
        </w:rPr>
      </w:pPr>
    </w:p>
    <w:p>
      <w:pPr>
        <w:jc w:val="both"/>
        <w:ind w:left="40" w:right="239"/>
        <w:spacing w:after="0" w:line="276" w:lineRule="auto"/>
        <w:rPr>
          <w:sz w:val="20"/>
          <w:szCs w:val="20"/>
          <w:color w:val="auto"/>
        </w:rPr>
      </w:pPr>
      <w:r>
        <w:rPr>
          <w:rFonts w:ascii="Times New Roman" w:cs="Times New Roman" w:eastAsia="Times New Roman" w:hAnsi="Times New Roman"/>
          <w:sz w:val="16"/>
          <w:szCs w:val="16"/>
          <w:color w:val="auto"/>
        </w:rPr>
        <w:t>During the thirty-nine weeks ended September 23, 2020, we received insurance proceeds of $0.1 million related to a property claim. During the thirty-nine weeks ended September 25, 2019, we received insurance proceeds of $10.0 million related to the settlement of the securities class action lawsuit. See Note 7, “Commitments and Contingencies, Legal Matters.”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Loss on Disposition of Restaurants</w:t>
      </w:r>
    </w:p>
    <w:p>
      <w:pPr>
        <w:spacing w:after="0" w:line="21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During the thirteen and thirty-nine weeks ended September 25, 2019, we completed the sale of four company-operated restaurants within the San Francisco area to an existing franchisee and seven company-operated restaurants in the Phoenix area to another existing franchisee. We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We also considered the future lease payments in allocating the initial cash consideration received. The cash consideration per restaurant for franchise fees is consistent with the amounts stated in the related franchise agreements, which are charged for separate standalone arrangements. We initially defer and subsequently recognize the franchise fees over the term of the franchise agreement. Future royalty income is also recognized in revenue as earned.</w:t>
      </w:r>
    </w:p>
    <w:p>
      <w:pPr>
        <w:spacing w:after="0" w:line="169" w:lineRule="exact"/>
        <w:rPr>
          <w:sz w:val="20"/>
          <w:szCs w:val="20"/>
          <w:color w:val="auto"/>
        </w:rPr>
      </w:pPr>
    </w:p>
    <w:p>
      <w:pPr>
        <w:ind w:left="40" w:right="479"/>
        <w:spacing w:after="0" w:line="296" w:lineRule="auto"/>
        <w:rPr>
          <w:sz w:val="20"/>
          <w:szCs w:val="20"/>
          <w:color w:val="auto"/>
        </w:rPr>
      </w:pPr>
      <w:r>
        <w:rPr>
          <w:rFonts w:ascii="Times New Roman" w:cs="Times New Roman" w:eastAsia="Times New Roman" w:hAnsi="Times New Roman"/>
          <w:sz w:val="16"/>
          <w:szCs w:val="16"/>
          <w:color w:val="auto"/>
        </w:rPr>
        <w:t>These sales resulted in cash proceeds of $4.8 million and a net loss on sale of restaurants of $5.1 million for the thirty-nine weeks ended September 25, 2019. These restaurants are included in the total number of franchised El Pollo Loco restaurants.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Impairment and Closed-Store Reserves</w:t>
      </w:r>
    </w:p>
    <w:p>
      <w:pPr>
        <w:spacing w:after="0" w:line="214"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During the thirteen and thirty-nine weeks ended September 23, 2020, we recognized a $1.5 million and $3.5 million non-cash impairment charge, respectively, primarily related to the carrying value of the ROU assets of one restaurant in Texas and the long-lived assets of four restaurants in California. During the thirteen and thirty-nine weeks ended September 25, 2019, we recorded a non-cash impairment charge of $0.1 million and $0.3 million, respectively, primarily related to the carrying value of the assets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6"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thirty-nine weeks ended September 23, 2020, we recognized $0.3 million and $1.1 million, respectively, of closed-store reserve expense related to the amortization of ROU assets, property taxes and CAM payments for our closed locations. During the thirty-nine weeks ended September 25, 2019, we closed one restaurant in California and one restaurant in Texas and recognized $0.3 million and $1.0 million of closed-store reserve expense for the thirteen and thirty-nine weeks ended September 25, 2019, respectively, primarily related to the amortization of ROU assets, property taxes and CAM payments for our closed locations.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214" w:lineRule="exact"/>
        <w:rPr>
          <w:sz w:val="20"/>
          <w:szCs w:val="20"/>
          <w:color w:val="auto"/>
        </w:rPr>
      </w:pPr>
    </w:p>
    <w:p>
      <w:pPr>
        <w:ind w:left="40" w:right="219"/>
        <w:spacing w:after="0" w:line="296" w:lineRule="auto"/>
        <w:rPr>
          <w:sz w:val="20"/>
          <w:szCs w:val="20"/>
          <w:color w:val="auto"/>
        </w:rPr>
      </w:pPr>
      <w:r>
        <w:rPr>
          <w:rFonts w:ascii="Times New Roman" w:cs="Times New Roman" w:eastAsia="Times New Roman" w:hAnsi="Times New Roman"/>
          <w:sz w:val="16"/>
          <w:szCs w:val="16"/>
          <w:color w:val="auto"/>
        </w:rPr>
        <w:t>For each of the quarter and year-to-date periods, interest expense, net, decreased $0.2 million from the comparable period in the prior year. The decrease is primarily related to lower interest rates and lower outstanding balances on our 2018 Revolver.</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Tax Receivable Agreement</w:t>
      </w:r>
    </w:p>
    <w:p>
      <w:pPr>
        <w:spacing w:after="0" w:line="214" w:lineRule="exact"/>
        <w:rPr>
          <w:sz w:val="20"/>
          <w:szCs w:val="20"/>
          <w:color w:val="auto"/>
        </w:rPr>
      </w:pPr>
    </w:p>
    <w:p>
      <w:pPr>
        <w:ind w:left="40" w:right="179"/>
        <w:spacing w:after="0" w:line="276" w:lineRule="auto"/>
        <w:rPr>
          <w:sz w:val="20"/>
          <w:szCs w:val="20"/>
          <w:color w:val="auto"/>
        </w:rPr>
      </w:pPr>
      <w:r>
        <w:rPr>
          <w:rFonts w:ascii="Times New Roman" w:cs="Times New Roman" w:eastAsia="Times New Roman" w:hAnsi="Times New Roman"/>
          <w:sz w:val="16"/>
          <w:szCs w:val="16"/>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and thirty-nine weeks ended September 23, 2020, we recorded income tax receivable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3" w:name="page44"/>
    <w:bookmarkEnd w:id="4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0" w:right="279"/>
        <w:spacing w:after="0" w:line="276" w:lineRule="auto"/>
        <w:rPr>
          <w:sz w:val="20"/>
          <w:szCs w:val="20"/>
          <w:color w:val="auto"/>
        </w:rPr>
      </w:pPr>
      <w:r>
        <w:rPr>
          <w:rFonts w:ascii="Times New Roman" w:cs="Times New Roman" w:eastAsia="Times New Roman" w:hAnsi="Times New Roman"/>
          <w:sz w:val="16"/>
          <w:szCs w:val="16"/>
          <w:color w:val="auto"/>
        </w:rPr>
        <w:t>agreement income of $0.1 million and income tax receivable expense of less than $0.1 million, respectively, and for the thirteen and thirty-nine weeks ended September 25, 2019 we recorded income tax receivable agreement income of $0.2 million and $0.1 million, respectively.</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14"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6"/>
          <w:szCs w:val="16"/>
          <w:color w:val="auto"/>
        </w:rPr>
        <w:t>For the quarter ended September 23, 2020, we recorded an income tax provision of $1.6 million, reflecting an estimated effective tax rate of 14.2%. For the quarter ended September 25, 2019, we recorded an income tax provision of $2.9 million, reflecting an estimated effective tax rate of approximately 31.5%. Year-to-date ended September 23, 2020, we recorded an income tax provision of $3.7 million, reflecting an estimated effective tax rate of approximately 16.3%. Year-to-date ended September 25, 2019, we recorded an income tax provision of $9.0 million, reflecting an estimated effective tax rate of approximately 29.5%. The difference between the</w:t>
      </w:r>
    </w:p>
    <w:p>
      <w:pPr>
        <w:spacing w:after="0" w:line="2"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6"/>
          <w:szCs w:val="16"/>
          <w:color w:val="auto"/>
        </w:rPr>
        <w:t>21.0% statutory rate and the Company’s effective tax rate of 16.3% for the year-to-date ended September 23, 2020 is primarily a result of state taxes, a Work Opportunity Tax Credit benefit, the change in valuation allowance against certain state credits as a result of future forecasted income apportioned to the state jurisdiction, non-deductible executive compensation, changes to total expected TRA payments due to changes in future forecasted taxable income and windfall tax benefit related to stock options exercised, recorded as a discrete item during the thirteen and thirty-nine weeks ended September 23, 2020.</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Key Performance Indicators</w:t>
      </w:r>
    </w:p>
    <w:p>
      <w:pPr>
        <w:spacing w:after="0" w:line="214" w:lineRule="exact"/>
        <w:rPr>
          <w:sz w:val="20"/>
          <w:szCs w:val="20"/>
          <w:color w:val="auto"/>
        </w:rPr>
      </w:pPr>
    </w:p>
    <w:p>
      <w:pPr>
        <w:jc w:val="both"/>
        <w:ind w:left="40" w:right="219"/>
        <w:spacing w:after="0" w:line="276" w:lineRule="auto"/>
        <w:rPr>
          <w:sz w:val="20"/>
          <w:szCs w:val="20"/>
          <w:color w:val="auto"/>
        </w:rPr>
      </w:pPr>
      <w:r>
        <w:rPr>
          <w:rFonts w:ascii="Times New Roman" w:cs="Times New Roman" w:eastAsia="Times New Roman" w:hAnsi="Times New Roman"/>
          <w:sz w:val="16"/>
          <w:szCs w:val="16"/>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Company-Operated Restaurant Revenue</w:t>
      </w:r>
    </w:p>
    <w:p>
      <w:pPr>
        <w:spacing w:after="0" w:line="214" w:lineRule="exact"/>
        <w:rPr>
          <w:sz w:val="20"/>
          <w:szCs w:val="20"/>
          <w:color w:val="auto"/>
        </w:rPr>
      </w:pPr>
    </w:p>
    <w:p>
      <w:pPr>
        <w:jc w:val="both"/>
        <w:ind w:left="40" w:right="379"/>
        <w:spacing w:after="0" w:line="276" w:lineRule="auto"/>
        <w:rPr>
          <w:sz w:val="20"/>
          <w:szCs w:val="20"/>
          <w:color w:val="auto"/>
        </w:rPr>
      </w:pPr>
      <w:r>
        <w:rPr>
          <w:rFonts w:ascii="Times New Roman" w:cs="Times New Roman" w:eastAsia="Times New Roman" w:hAnsi="Times New Roman"/>
          <w:sz w:val="16"/>
          <w:szCs w:val="16"/>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53"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Comparable Restaurant Sales</w:t>
      </w:r>
    </w:p>
    <w:p>
      <w:pPr>
        <w:spacing w:after="0" w:line="214"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23, 2020 and September 25, 2019, there were 468 and 462 comparable restaurants, 191 and 198 company-operated restaurants and 277 and 264 franchised restaurants, respectively. Comparable restaurant sales indicate the performance of existing restaurants, since new restaurants are excluded.</w:t>
      </w:r>
    </w:p>
    <w:p>
      <w:pPr>
        <w:spacing w:after="0" w:line="162" w:lineRule="exact"/>
        <w:rPr>
          <w:sz w:val="20"/>
          <w:szCs w:val="20"/>
          <w:color w:val="auto"/>
        </w:rPr>
      </w:pPr>
    </w:p>
    <w:p>
      <w:pPr>
        <w:ind w:left="40" w:right="359"/>
        <w:spacing w:after="0" w:line="296" w:lineRule="auto"/>
        <w:rPr>
          <w:sz w:val="20"/>
          <w:szCs w:val="20"/>
          <w:color w:val="auto"/>
        </w:rPr>
      </w:pPr>
      <w:r>
        <w:rPr>
          <w:rFonts w:ascii="Times New Roman" w:cs="Times New Roman" w:eastAsia="Times New Roman" w:hAnsi="Times New Roman"/>
          <w:sz w:val="16"/>
          <w:szCs w:val="16"/>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Company-Operated Average Unit Volumes</w:t>
      </w:r>
    </w:p>
    <w:p>
      <w:pPr>
        <w:spacing w:after="0" w:line="214" w:lineRule="exact"/>
        <w:rPr>
          <w:sz w:val="20"/>
          <w:szCs w:val="20"/>
          <w:color w:val="auto"/>
        </w:rPr>
      </w:pPr>
    </w:p>
    <w:p>
      <w:pPr>
        <w:ind w:left="40" w:right="559"/>
        <w:spacing w:after="0" w:line="296" w:lineRule="auto"/>
        <w:rPr>
          <w:sz w:val="20"/>
          <w:szCs w:val="20"/>
          <w:color w:val="auto"/>
        </w:rPr>
      </w:pPr>
      <w:r>
        <w:rPr>
          <w:rFonts w:ascii="Times New Roman" w:cs="Times New Roman" w:eastAsia="Times New Roman" w:hAnsi="Times New Roman"/>
          <w:sz w:val="16"/>
          <w:szCs w:val="16"/>
          <w:color w:val="auto"/>
        </w:rPr>
        <w:t>We measure company-operated average unit volumes (“AUVs”) on both a weekly and an annual basis. Weekly AUVs consist of comparable restaurant sales over a seven-day period from Thursday to Wednesday. Annual AUVs are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4" w:name="page45"/>
    <w:bookmarkEnd w:id="4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6"/>
          <w:szCs w:val="16"/>
          <w:color w:val="auto"/>
        </w:rPr>
        <w:t>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Restaurant Contribution and Restaurant Contribution Margin</w:t>
      </w:r>
    </w:p>
    <w:p>
      <w:pPr>
        <w:spacing w:after="0" w:line="214"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6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5" w:name="page46"/>
    <w:bookmarkEnd w:id="45"/>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439"/>
        <w:spacing w:after="0" w:line="296" w:lineRule="auto"/>
        <w:rPr>
          <w:sz w:val="20"/>
          <w:szCs w:val="20"/>
          <w:color w:val="auto"/>
        </w:rPr>
      </w:pPr>
      <w:r>
        <w:rPr>
          <w:rFonts w:ascii="Times New Roman" w:cs="Times New Roman" w:eastAsia="Times New Roman" w:hAnsi="Times New Roman"/>
          <w:sz w:val="16"/>
          <w:szCs w:val="16"/>
          <w:color w:val="auto"/>
        </w:rPr>
        <w:t>A reconciliation of restaurant contribution and restaurant contribution margin to company-operated restaurant revenue is provided below:</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6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right"/>
              <w:ind w:right="2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Pr>
          <w:p>
            <w:pPr>
              <w:spacing w:after="0"/>
              <w:rPr>
                <w:sz w:val="11"/>
                <w:szCs w:val="11"/>
                <w:color w:val="auto"/>
              </w:rPr>
            </w:pPr>
          </w:p>
        </w:tc>
        <w:tc>
          <w:tcPr>
            <w:tcW w:w="1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jc w:val="right"/>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Pr>
          <w:p>
            <w:pPr>
              <w:spacing w:after="0"/>
              <w:rPr>
                <w:sz w:val="11"/>
                <w:szCs w:val="11"/>
                <w:color w:val="auto"/>
              </w:rPr>
            </w:pPr>
          </w:p>
        </w:tc>
        <w:tc>
          <w:tcPr>
            <w:tcW w:w="1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Restaurant contribution:</w:t>
            </w: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w:t>
            </w:r>
          </w:p>
        </w:tc>
        <w:tc>
          <w:tcPr>
            <w:tcW w:w="180" w:type="dxa"/>
            <w:vAlign w:val="bottom"/>
          </w:tcPr>
          <w:p>
            <w:pPr>
              <w:spacing w:after="0"/>
              <w:rPr>
                <w:sz w:val="17"/>
                <w:szCs w:val="17"/>
                <w:color w:val="auto"/>
              </w:rPr>
            </w:pPr>
          </w:p>
        </w:tc>
        <w:tc>
          <w:tcPr>
            <w:tcW w:w="64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80" w:type="dxa"/>
            <w:vAlign w:val="bottom"/>
          </w:tcPr>
          <w:p>
            <w:pPr>
              <w:spacing w:after="0"/>
              <w:rPr>
                <w:sz w:val="17"/>
                <w:szCs w:val="17"/>
                <w:color w:val="auto"/>
              </w:rPr>
            </w:pPr>
          </w:p>
        </w:tc>
        <w:tc>
          <w:tcPr>
            <w:tcW w:w="4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25,328</w:t>
            </w:r>
          </w:p>
        </w:tc>
        <w:tc>
          <w:tcPr>
            <w:tcW w:w="180" w:type="dxa"/>
            <w:vAlign w:val="bottom"/>
          </w:tcPr>
          <w:p>
            <w:pPr>
              <w:spacing w:after="0"/>
              <w:rPr>
                <w:sz w:val="17"/>
                <w:szCs w:val="17"/>
                <w:color w:val="auto"/>
              </w:rPr>
            </w:pPr>
          </w:p>
        </w:tc>
        <w:tc>
          <w:tcPr>
            <w:tcW w:w="680" w:type="dxa"/>
            <w:vAlign w:val="bottom"/>
            <w:gridSpan w:val="2"/>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32,990</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(less):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Franchise expenses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Franchise revenue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8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Recovery of securities lawsuits related</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legal expenses and other insurance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claims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and closed-store reserves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sale of restaurants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Restaurant contribution</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55,548</w:t>
            </w: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Company-operated restaurant revenue: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5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110,979</w:t>
            </w:r>
          </w:p>
        </w:tc>
        <w:tc>
          <w:tcPr>
            <w:tcW w:w="180" w:type="dxa"/>
            <w:vAlign w:val="bottom"/>
          </w:tcPr>
          <w:p>
            <w:pPr>
              <w:spacing w:after="0"/>
              <w:rPr>
                <w:sz w:val="17"/>
                <w:szCs w:val="17"/>
                <w:color w:val="auto"/>
              </w:rPr>
            </w:pPr>
          </w:p>
        </w:tc>
        <w:tc>
          <w:tcPr>
            <w:tcW w:w="640" w:type="dxa"/>
            <w:vAlign w:val="bottom"/>
            <w:gridSpan w:val="2"/>
          </w:tcPr>
          <w:p>
            <w:pPr>
              <w:jc w:val="right"/>
              <w:ind w:right="423"/>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112,067</w:t>
            </w:r>
          </w:p>
        </w:tc>
        <w:tc>
          <w:tcPr>
            <w:tcW w:w="180" w:type="dxa"/>
            <w:vAlign w:val="bottom"/>
          </w:tcPr>
          <w:p>
            <w:pPr>
              <w:spacing w:after="0"/>
              <w:rPr>
                <w:sz w:val="17"/>
                <w:szCs w:val="17"/>
                <w:color w:val="auto"/>
              </w:rPr>
            </w:pPr>
          </w:p>
        </w:tc>
        <w:tc>
          <w:tcPr>
            <w:tcW w:w="40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315,746</w:t>
            </w:r>
          </w:p>
        </w:tc>
        <w:tc>
          <w:tcPr>
            <w:tcW w:w="180" w:type="dxa"/>
            <w:vAlign w:val="bottom"/>
          </w:tcPr>
          <w:p>
            <w:pPr>
              <w:spacing w:after="0"/>
              <w:rPr>
                <w:sz w:val="17"/>
                <w:szCs w:val="17"/>
                <w:color w:val="auto"/>
              </w:rPr>
            </w:pPr>
          </w:p>
        </w:tc>
        <w:tc>
          <w:tcPr>
            <w:tcW w:w="680" w:type="dxa"/>
            <w:vAlign w:val="bottom"/>
            <w:gridSpan w:val="2"/>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334,784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Franchise revenue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(21,635)</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Franchise advertising fee revenue</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Company-operated restaurant revenue</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97,276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99,052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296,341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Restaurant contribution margin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22.4 %</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18.6 %</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19.9 %</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New Restaurant Openings</w:t>
      </w:r>
    </w:p>
    <w:p>
      <w:pPr>
        <w:spacing w:after="0" w:line="214"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EBITDA and Adjusted EBITDA</w:t>
      </w:r>
    </w:p>
    <w:p>
      <w:pPr>
        <w:spacing w:after="0" w:line="21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53"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6"/>
          <w:szCs w:val="16"/>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6" w:name="page47"/>
    <w:bookmarkEnd w:id="46"/>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99"/>
        <w:spacing w:after="0" w:line="270" w:lineRule="auto"/>
        <w:rPr>
          <w:sz w:val="20"/>
          <w:szCs w:val="20"/>
          <w:color w:val="auto"/>
        </w:rPr>
      </w:pPr>
      <w:r>
        <w:rPr>
          <w:rFonts w:ascii="Times New Roman" w:cs="Times New Roman" w:eastAsia="Times New Roman" w:hAnsi="Times New Roman"/>
          <w:sz w:val="16"/>
          <w:szCs w:val="16"/>
          <w:color w:val="auto"/>
        </w:rPr>
        <w:t>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57"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w:t>
      </w:r>
    </w:p>
    <w:p>
      <w:pPr>
        <w:spacing w:after="0" w:line="1" w:lineRule="exact"/>
        <w:rPr>
          <w:sz w:val="20"/>
          <w:szCs w:val="20"/>
          <w:color w:val="auto"/>
        </w:rPr>
      </w:pPr>
    </w:p>
    <w:p>
      <w:pPr>
        <w:ind w:left="40" w:right="199" w:firstLine="3"/>
        <w:spacing w:after="0" w:line="265" w:lineRule="auto"/>
        <w:tabs>
          <w:tab w:leader="none" w:pos="3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1" w:lineRule="exact"/>
        <w:rPr>
          <w:sz w:val="20"/>
          <w:szCs w:val="20"/>
          <w:color w:val="auto"/>
        </w:rPr>
      </w:pPr>
    </w:p>
    <w:p>
      <w:pPr>
        <w:jc w:val="both"/>
        <w:ind w:left="40" w:right="219"/>
        <w:spacing w:after="0" w:line="276" w:lineRule="auto"/>
        <w:rPr>
          <w:sz w:val="20"/>
          <w:szCs w:val="20"/>
          <w:color w:val="auto"/>
        </w:rPr>
      </w:pPr>
      <w:r>
        <w:rPr>
          <w:rFonts w:ascii="Times New Roman" w:cs="Times New Roman" w:eastAsia="Times New Roman" w:hAnsi="Times New Roman"/>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53"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sets forth reconciliations of EBITDA and Adjusted EBITDA to our net income:</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Thirteen Weeks Ended</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Pr>
          <w:p>
            <w:pPr>
              <w:spacing w:after="0"/>
              <w:rPr>
                <w:sz w:val="11"/>
                <w:szCs w:val="11"/>
                <w:color w:val="auto"/>
              </w:rPr>
            </w:pPr>
          </w:p>
        </w:tc>
        <w:tc>
          <w:tcPr>
            <w:tcW w:w="122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132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60" w:type="dxa"/>
            <w:vAlign w:val="bottom"/>
          </w:tcPr>
          <w:p>
            <w:pPr>
              <w:spacing w:after="0"/>
              <w:rPr>
                <w:sz w:val="11"/>
                <w:szCs w:val="11"/>
                <w:color w:val="auto"/>
              </w:rPr>
            </w:pPr>
          </w:p>
        </w:tc>
        <w:tc>
          <w:tcPr>
            <w:tcW w:w="1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9,920</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6,402</w:t>
            </w: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19,019</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21,402</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Non-GAAP adjustments: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16,429</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14,658</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37,931</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46,668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(a)</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disposal of assets (b)</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Recovery of securities lawsuits related legal</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and other insurance claims (c)</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and closed-store reserves (d)</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disposition of restaurants (e)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Income tax receivable agreement (income)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expense (f)</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9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class action legal expense (g)</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settlements (h)</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Pre-opening costs (i)</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transition costs (j)</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15,930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48,014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  Includes non-cash, stock-based compensation.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7" w:name="page48"/>
    <w:bookmarkEnd w:id="47"/>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right="279" w:hanging="297"/>
        <w:spacing w:after="0" w:line="26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disposal of assets includes the loss on disposal of assets related to retirements and replacement or write-off of leasehold improvements or equipment.</w:t>
      </w:r>
    </w:p>
    <w:p>
      <w:pPr>
        <w:jc w:val="both"/>
        <w:ind w:left="340" w:right="239" w:hanging="297"/>
        <w:spacing w:after="0" w:line="25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thirty-nine weeks ended September 23, 2020, we received insurance proceeds of $0.1 million related to a property claim. During the thirteen and thirty-nine weeks ended September 25, 2019, we received insurance proceeds of $10.0 million related to the settlement of the securities class action lawsuit. See Note 7, “Commitments and Contingencies, Legal Matters.”</w:t>
      </w:r>
    </w:p>
    <w:p>
      <w:pPr>
        <w:spacing w:after="0" w:line="2" w:lineRule="exact"/>
        <w:rPr>
          <w:rFonts w:ascii="Times New Roman" w:cs="Times New Roman" w:eastAsia="Times New Roman" w:hAnsi="Times New Roman"/>
          <w:sz w:val="16"/>
          <w:szCs w:val="16"/>
          <w:color w:val="auto"/>
        </w:rPr>
      </w:pPr>
    </w:p>
    <w:p>
      <w:pPr>
        <w:ind w:left="340" w:right="99" w:hanging="297"/>
        <w:spacing w:after="0" w:line="259"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related to impairment of long-lived assets and closing restaurants. During the thirteen and thirty-nine weeks ended September 23, 2020, we recognized $1.5 million and a $3.5 million, respectively, non-cash impairment charge, primarily related to the carrying value of the ROU assets of one restaurant in Texas and the long-lived assets of four restaurants in California. During the thirteen and thirty-nine weeks ended September 25, 2019, we recorded a non-cash impairment charge of $0.1 million and $0.3 million, respectively, primarily related to the carrying value of the assets of one restaurant in California. Given the difficulty in projecting results for newer restaurants in newer markets, as well as the impact of the COVID-19 pandemic,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6" w:lineRule="exact"/>
        <w:rPr>
          <w:rFonts w:ascii="Times New Roman" w:cs="Times New Roman" w:eastAsia="Times New Roman" w:hAnsi="Times New Roman"/>
          <w:sz w:val="16"/>
          <w:szCs w:val="16"/>
          <w:color w:val="auto"/>
        </w:rPr>
      </w:pPr>
    </w:p>
    <w:p>
      <w:pPr>
        <w:ind w:left="340" w:right="5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thirty-nine weeks ended September 23, 2020, we recognized $0.3 million and $1.1 million, respectively, of closed-store reserve expense related to the amortization of ROU assets, property taxes and CAM payments for our closed locations. During the thirty-nine weeks ended September 25, 2019, we closed one restaurant in California and one restaurant in Texas, and recognized $0.3 million and $1.0 million of closed-store reserve expense for the thirteen and thirty-nine weeks ended September 25, 2019, respectively, primarily related to the amortization of ROU assets, property taxes and CAM payments for our closed locations.</w:t>
      </w:r>
    </w:p>
    <w:p>
      <w:pPr>
        <w:spacing w:after="0" w:line="183" w:lineRule="exact"/>
        <w:rPr>
          <w:rFonts w:ascii="Times New Roman" w:cs="Times New Roman" w:eastAsia="Times New Roman" w:hAnsi="Times New Roman"/>
          <w:sz w:val="16"/>
          <w:szCs w:val="16"/>
          <w:color w:val="auto"/>
        </w:rPr>
      </w:pPr>
    </w:p>
    <w:p>
      <w:pPr>
        <w:ind w:left="340" w:right="139" w:hanging="297"/>
        <w:spacing w:after="0" w:line="25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thirteen and thirty-nine weeks ended September 25, 2019, we completed the sale of four company-operated restaurants within the San Francisco area to an existing franchisee and seven company-operated restaurants in the Phoenix area to another existing franchisee. These sales resulted in cash proceeds of $4.8 million and a net loss on sale of restaurants of $0.9</w:t>
      </w:r>
    </w:p>
    <w:p>
      <w:pPr>
        <w:spacing w:after="0" w:line="2" w:lineRule="exact"/>
        <w:rPr>
          <w:rFonts w:ascii="Times New Roman" w:cs="Times New Roman" w:eastAsia="Times New Roman" w:hAnsi="Times New Roman"/>
          <w:sz w:val="16"/>
          <w:szCs w:val="16"/>
          <w:color w:val="auto"/>
        </w:rPr>
      </w:pPr>
    </w:p>
    <w:p>
      <w:pPr>
        <w:ind w:left="340" w:right="15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and $5.1 million for the thirteen and thirty-nine weeks ended September 25, 2019, respectively. These restaurants are now included in our franchised restaurant totals.</w:t>
      </w:r>
    </w:p>
    <w:p>
      <w:pPr>
        <w:spacing w:after="0" w:line="1" w:lineRule="exact"/>
        <w:rPr>
          <w:rFonts w:ascii="Times New Roman" w:cs="Times New Roman" w:eastAsia="Times New Roman" w:hAnsi="Times New Roman"/>
          <w:sz w:val="16"/>
          <w:szCs w:val="16"/>
          <w:color w:val="auto"/>
        </w:rPr>
      </w:pPr>
    </w:p>
    <w:p>
      <w:pPr>
        <w:ind w:left="340" w:right="139" w:hanging="297"/>
        <w:spacing w:after="0" w:line="25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23, 2020 and September 25, 2019, income tax receivable agreement (income) expense consisted of the amortization of interest expense and changes in estimates for actual tax returns filed, related to our total expected TRA payments.</w:t>
      </w:r>
    </w:p>
    <w:p>
      <w:pPr>
        <w:spacing w:after="0" w:line="3"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costs related to the defense of securities lawsuits. See Note 7, “Commitments and Contingencies, Legal Matters."</w:t>
      </w:r>
    </w:p>
    <w:p>
      <w:pPr>
        <w:spacing w:after="0" w:line="12" w:lineRule="exact"/>
        <w:rPr>
          <w:rFonts w:ascii="Times New Roman" w:cs="Times New Roman" w:eastAsia="Times New Roman" w:hAnsi="Times New Roman"/>
          <w:sz w:val="16"/>
          <w:szCs w:val="16"/>
          <w:color w:val="auto"/>
        </w:rPr>
      </w:pPr>
    </w:p>
    <w:p>
      <w:pPr>
        <w:ind w:left="340" w:right="139" w:hanging="297"/>
        <w:spacing w:after="0" w:line="25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expense related to resolution of the longstanding lawsuit involving a contract dispute with one of the Company’s franchisees concerning asserted territory rights, as well as amounts incurred related to the payment of the final settlement amounts for consolidated wage and hour class action lawsuits resolved in prior quarters.</w:t>
      </w:r>
    </w:p>
    <w:p>
      <w:pPr>
        <w:spacing w:after="0" w:line="2" w:lineRule="exact"/>
        <w:rPr>
          <w:rFonts w:ascii="Times New Roman" w:cs="Times New Roman" w:eastAsia="Times New Roman" w:hAnsi="Times New Roman"/>
          <w:sz w:val="16"/>
          <w:szCs w:val="16"/>
          <w:color w:val="auto"/>
        </w:rPr>
      </w:pPr>
    </w:p>
    <w:p>
      <w:pPr>
        <w:ind w:left="340" w:right="99" w:hanging="297"/>
        <w:spacing w:after="0" w:line="25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associated with the transition of our CEO, such as CEO sign-on bonus.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4" w:lineRule="exact"/>
        <w:rPr>
          <w:sz w:val="20"/>
          <w:szCs w:val="20"/>
          <w:color w:val="auto"/>
        </w:rPr>
      </w:pPr>
    </w:p>
    <w:p>
      <w:pPr>
        <w:ind w:left="40" w:right="359"/>
        <w:spacing w:after="0" w:line="263" w:lineRule="auto"/>
        <w:rPr>
          <w:sz w:val="20"/>
          <w:szCs w:val="20"/>
          <w:color w:val="auto"/>
        </w:rPr>
      </w:pPr>
      <w:r>
        <w:rPr>
          <w:rFonts w:ascii="Times New Roman" w:cs="Times New Roman" w:eastAsia="Times New Roman" w:hAnsi="Times New Roman"/>
          <w:sz w:val="16"/>
          <w:szCs w:val="16"/>
          <w:color w:val="auto"/>
        </w:rPr>
        <w:t>Our primary sources of liquidity and capital resources have been cash provided from operations, cash and cash equivalents, and the 2018 Revolver. Our primary requirements for liquidity and capital are new restaurants, existing restaurant capital investments (remodels and maintenance), interest payments on our debt, lease obligations, and working capital and general corporate needs. However, in light of the COVID-19 pandemic, we have temporarily suspended all new restaurants and capital investments.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8" w:name="page49"/>
    <w:bookmarkEnd w:id="48"/>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64" w:lineRule="auto"/>
        <w:rPr>
          <w:sz w:val="20"/>
          <w:szCs w:val="20"/>
          <w:color w:val="auto"/>
        </w:rPr>
      </w:pPr>
      <w:r>
        <w:rPr>
          <w:rFonts w:ascii="Times New Roman" w:cs="Times New Roman" w:eastAsia="Times New Roman" w:hAnsi="Times New Roman"/>
          <w:sz w:val="16"/>
          <w:szCs w:val="16"/>
          <w:color w:val="auto"/>
        </w:rPr>
        <w:t xml:space="preserve">receivables. We believe that our sources of liquidity and capital are sufficient to finance our continued operations for at least the next twelve months from the filing of the condensed consolidated financial statements. However, </w:t>
      </w:r>
      <w:r>
        <w:rPr>
          <w:rFonts w:ascii="Times New Roman" w:cs="Times New Roman" w:eastAsia="Times New Roman" w:hAnsi="Times New Roman"/>
          <w:sz w:val="16"/>
          <w:szCs w:val="16"/>
          <w:color w:val="212529"/>
        </w:rPr>
        <w:t>depending on the severity and longevity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the COVID-19 pandemic, the efforts taken to reduce its spread (including government-mandated closures of our dining rooms) and the possibility of a subsequent resurgence of the COVID-19 outbreak after the current outbreak subsides, our </w:t>
      </w:r>
      <w:r>
        <w:rPr>
          <w:rFonts w:ascii="Times New Roman" w:cs="Times New Roman" w:eastAsia="Times New Roman" w:hAnsi="Times New Roman"/>
          <w:sz w:val="16"/>
          <w:szCs w:val="16"/>
          <w:color w:val="000000"/>
        </w:rPr>
        <w:t>financial performance and</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liquidity could be further impacted and could impact our ability to meet certain financial covenants required in our 2018 Credit Agreement, specifically the lease-adjusted coverage ratio and fixed-charge coverage ratio.</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summary cash flow information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Thirty-Nine Weeks Ended</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23, 2020</w:t>
            </w: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September 25, 2019</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activities</w:t>
            </w:r>
          </w:p>
        </w:tc>
        <w:tc>
          <w:tcPr>
            <w:tcW w:w="460" w:type="dxa"/>
            <w:vAlign w:val="bottom"/>
            <w:gridSpan w:val="2"/>
          </w:tcPr>
          <w:p>
            <w:pPr>
              <w:jc w:val="right"/>
              <w:ind w:right="166"/>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33,519</w:t>
            </w:r>
          </w:p>
        </w:tc>
        <w:tc>
          <w:tcPr>
            <w:tcW w:w="800" w:type="dxa"/>
            <w:vAlign w:val="bottom"/>
            <w:gridSpan w:val="2"/>
          </w:tcPr>
          <w:p>
            <w:pPr>
              <w:jc w:val="right"/>
              <w:ind w:right="50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(7,711)</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(20,717)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21,459</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14" w:lineRule="exact"/>
        <w:rPr>
          <w:sz w:val="20"/>
          <w:szCs w:val="20"/>
          <w:color w:val="auto"/>
        </w:rPr>
      </w:pPr>
    </w:p>
    <w:p>
      <w:pPr>
        <w:jc w:val="both"/>
        <w:ind w:left="40" w:right="99"/>
        <w:spacing w:after="0" w:line="270" w:lineRule="auto"/>
        <w:rPr>
          <w:sz w:val="20"/>
          <w:szCs w:val="20"/>
          <w:color w:val="auto"/>
        </w:rPr>
      </w:pPr>
      <w:r>
        <w:rPr>
          <w:rFonts w:ascii="Times New Roman" w:cs="Times New Roman" w:eastAsia="Times New Roman" w:hAnsi="Times New Roman"/>
          <w:sz w:val="16"/>
          <w:szCs w:val="16"/>
          <w:color w:val="auto"/>
        </w:rPr>
        <w:t>For the thirty-nine weeks ended September 23, 2020, net cash provided by operating activities increased by approximately $1.6 million from the comparable period of the prior year. This increase was due primarily to favorable working capital fluctuations, partially offset by a decline in profitability after non-cash items for the thirty-nine weeks ended September 23, 2020 compared to the prior year, which we believe related to the COVID-19 pandemic.</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14"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6"/>
          <w:szCs w:val="16"/>
          <w:color w:val="auto"/>
        </w:rPr>
        <w:t>For the thirty-nine weeks ended September 23, 2020, net cash used in investing activities decreased by $1.7 million from the comparable period of the prior year. This was due primarily to purchases of property and equipment of $4.3 million in the thirty-nine weeks ended September 23, 2020 compared to $10.8 million in the thirty-nine weeks ended September 25, 2019. This was partially offset by cash proceeds of $4.8 million received during the thirty-nine weeks ended September 25, 2019 related to the sale</w:t>
      </w:r>
    </w:p>
    <w:p>
      <w:pPr>
        <w:spacing w:after="0" w:line="2" w:lineRule="exact"/>
        <w:rPr>
          <w:sz w:val="20"/>
          <w:szCs w:val="20"/>
          <w:color w:val="auto"/>
        </w:rPr>
      </w:pPr>
    </w:p>
    <w:p>
      <w:pPr>
        <w:ind w:left="40" w:right="179"/>
        <w:spacing w:after="0" w:line="273" w:lineRule="auto"/>
        <w:rPr>
          <w:sz w:val="20"/>
          <w:szCs w:val="20"/>
          <w:color w:val="auto"/>
        </w:rPr>
      </w:pPr>
      <w:r>
        <w:rPr>
          <w:rFonts w:ascii="Times New Roman" w:cs="Times New Roman" w:eastAsia="Times New Roman" w:hAnsi="Times New Roman"/>
          <w:sz w:val="16"/>
          <w:szCs w:val="16"/>
          <w:color w:val="auto"/>
        </w:rPr>
        <w:t>of four company-operated restaurants within the San Francisco area to an existing franchisee and seven company-operated restaurants in the Phoenix area to another existing franchisee.</w:t>
      </w:r>
    </w:p>
    <w:p>
      <w:pPr>
        <w:spacing w:after="0" w:line="155" w:lineRule="exact"/>
        <w:rPr>
          <w:sz w:val="20"/>
          <w:szCs w:val="20"/>
          <w:color w:val="auto"/>
        </w:rPr>
      </w:pPr>
    </w:p>
    <w:p>
      <w:pPr>
        <w:ind w:left="40" w:right="659"/>
        <w:spacing w:after="0" w:line="296" w:lineRule="auto"/>
        <w:rPr>
          <w:sz w:val="20"/>
          <w:szCs w:val="20"/>
          <w:color w:val="auto"/>
        </w:rPr>
      </w:pPr>
      <w:r>
        <w:rPr>
          <w:rFonts w:ascii="Times New Roman" w:cs="Times New Roman" w:eastAsia="Times New Roman" w:hAnsi="Times New Roman"/>
          <w:sz w:val="16"/>
          <w:szCs w:val="16"/>
          <w:color w:val="auto"/>
        </w:rPr>
        <w:t>Given the uncertainty surrounding the severity and longevity of the COVID-19 pandemic, as a precautionary measure we have significantly reduced capital spending.</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14"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6"/>
          <w:szCs w:val="16"/>
          <w:color w:val="auto"/>
        </w:rPr>
        <w:t>For the thirty-nine weeks ended September 23, 2020, net cash used in financing activities decreased by $13.0 million from the comparable period of the prior year. This decrease was due primarily to $47.4 million of cash outflow related to stock buybacks during the thirty-nine weeks ended September 25, 2019 and $5.8 million of proceeds received from the issuance of common stock upon exercise of stock options during the thirty-nine weeks ended September 23, 2020. This was partially offset by $13.2 million of net pay downs on the 2018 Revolver during the thirty-nine weeks ended September 23, 2020, compared to net borrowings of $27.0 million for the thirty-nine weeks ended September 25, 2019.</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Debt and Other Obligations</w:t>
      </w:r>
    </w:p>
    <w:p>
      <w:pPr>
        <w:spacing w:after="0" w:line="214"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6"/>
          <w:szCs w:val="16"/>
          <w:color w:val="auto"/>
        </w:rPr>
        <w:t>On July 13, 2018, the Company entered into the 2018 Credit Agreement, which provides for the 2018 Revolver to refinance the previous 2014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64" w:lineRule="exact"/>
        <w:rPr>
          <w:sz w:val="20"/>
          <w:szCs w:val="20"/>
          <w:color w:val="auto"/>
        </w:rPr>
      </w:pPr>
    </w:p>
    <w:p>
      <w:pPr>
        <w:ind w:left="40" w:right="179"/>
        <w:spacing w:after="0" w:line="296" w:lineRule="auto"/>
        <w:rPr>
          <w:sz w:val="20"/>
          <w:szCs w:val="20"/>
          <w:color w:val="auto"/>
        </w:rPr>
      </w:pPr>
      <w:r>
        <w:rPr>
          <w:rFonts w:ascii="Times New Roman" w:cs="Times New Roman" w:eastAsia="Times New Roman" w:hAnsi="Times New Roman"/>
          <w:sz w:val="16"/>
          <w:szCs w:val="16"/>
          <w:color w:val="auto"/>
        </w:rPr>
        <w:t>Under the 2018 Revolver, Holdings may not make certain payments such as cash dividends, except that it may, inter alia, (i) pay up to $1.0 million per year to repurchase or redeem qualified equity interests of Holdings held by past or present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9" w:name="page50"/>
    <w:bookmarkEnd w:id="49"/>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6"/>
          <w:szCs w:val="16"/>
          <w:color w:val="auto"/>
        </w:rPr>
        <w:t>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69"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1.67% to 1.68% and 1.67% to 3.29% for the thirteen and thirty-nine weeks ended September 23, 2020, respectively, and 3.65% to 3.90% and 3.65% to 6.00% for the thirteen and thirty-nine weeks ended September 25, 2019, respectively.</w:t>
      </w:r>
    </w:p>
    <w:p>
      <w:pPr>
        <w:spacing w:after="0" w:line="164" w:lineRule="exact"/>
        <w:rPr>
          <w:sz w:val="20"/>
          <w:szCs w:val="20"/>
          <w:color w:val="auto"/>
        </w:rPr>
      </w:pPr>
    </w:p>
    <w:p>
      <w:pPr>
        <w:ind w:left="40" w:right="219"/>
        <w:spacing w:after="0" w:line="266" w:lineRule="auto"/>
        <w:rPr>
          <w:sz w:val="20"/>
          <w:szCs w:val="20"/>
          <w:color w:val="auto"/>
        </w:rPr>
      </w:pPr>
      <w:r>
        <w:rPr>
          <w:rFonts w:ascii="Times New Roman" w:cs="Times New Roman" w:eastAsia="Times New Roman" w:hAnsi="Times New Roman"/>
          <w:sz w:val="16"/>
          <w:szCs w:val="16"/>
          <w:color w:val="auto"/>
        </w:rPr>
        <w:t xml:space="preserve">The 2018 Credit Agreement contains certain financial covenants. The Company was in compliance with the financial covenants as of September 23, 2020. However, </w:t>
      </w:r>
      <w:r>
        <w:rPr>
          <w:rFonts w:ascii="Times New Roman" w:cs="Times New Roman" w:eastAsia="Times New Roman" w:hAnsi="Times New Roman"/>
          <w:sz w:val="16"/>
          <w:szCs w:val="16"/>
          <w:color w:val="212529"/>
        </w:rPr>
        <w:t>depending on the severity and longevity of the COVID-19 pandemic, the efforts taken to reduce 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spread and the possibility of a resurgence of the COVID-19 outbreak after the initial outbreak subside, </w:t>
      </w:r>
      <w:r>
        <w:rPr>
          <w:rFonts w:ascii="Times New Roman" w:cs="Times New Roman" w:eastAsia="Times New Roman" w:hAnsi="Times New Roman"/>
          <w:sz w:val="16"/>
          <w:szCs w:val="16"/>
          <w:color w:val="000000"/>
        </w:rPr>
        <w:t>the Company’s financial</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performance and liquidity could be further impacted and could impact the Company’s ability to comply with certain financial covenants required in our 2018 Credit Agreement, specifically the lease-adjusted coverage ratio and fixed-charge coverage ratio.</w:t>
      </w:r>
    </w:p>
    <w:p>
      <w:pPr>
        <w:spacing w:after="0" w:line="162" w:lineRule="exact"/>
        <w:rPr>
          <w:sz w:val="20"/>
          <w:szCs w:val="20"/>
          <w:color w:val="auto"/>
        </w:rPr>
      </w:pPr>
    </w:p>
    <w:p>
      <w:pPr>
        <w:ind w:left="40" w:right="319"/>
        <w:spacing w:after="0" w:line="270" w:lineRule="auto"/>
        <w:rPr>
          <w:sz w:val="20"/>
          <w:szCs w:val="20"/>
          <w:color w:val="auto"/>
        </w:rPr>
      </w:pPr>
      <w:r>
        <w:rPr>
          <w:rFonts w:ascii="Times New Roman" w:cs="Times New Roman" w:eastAsia="Times New Roman" w:hAnsi="Times New Roman"/>
          <w:sz w:val="16"/>
          <w:szCs w:val="16"/>
          <w:color w:val="auto"/>
        </w:rPr>
        <w:t>At September 23, 2020, $8.4 million of letters of credit and $83.8 million of borrowings were outstanding under the 2018 Revolver. There were $57.8 million remaining borrowings available under the 2018 Revolver at September 23, 2020. Subsequent to September 23, 2020, the Company made a voluntary $28.0 million pre-payment on its 2018 Revolver. As of October 30, 2020, the Company had $55.8 million in outstanding borrowings under the 2018 Revolver and $85.8 million in borrowing availability.</w:t>
      </w:r>
    </w:p>
    <w:p>
      <w:pPr>
        <w:spacing w:after="0" w:line="157" w:lineRule="exact"/>
        <w:rPr>
          <w:sz w:val="20"/>
          <w:szCs w:val="20"/>
          <w:color w:val="auto"/>
        </w:rPr>
      </w:pPr>
    </w:p>
    <w:p>
      <w:pPr>
        <w:ind w:left="40" w:right="79"/>
        <w:spacing w:after="0" w:line="270" w:lineRule="auto"/>
        <w:rPr>
          <w:sz w:val="20"/>
          <w:szCs w:val="20"/>
          <w:color w:val="auto"/>
        </w:rPr>
      </w:pPr>
      <w:r>
        <w:rPr>
          <w:rFonts w:ascii="Times New Roman" w:cs="Times New Roman" w:eastAsia="Times New Roman" w:hAnsi="Times New Roman"/>
          <w:sz w:val="16"/>
          <w:szCs w:val="16"/>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is currently 1.5%. The interest rate swap matures in June 2023.</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Contractual Obligations</w:t>
      </w:r>
    </w:p>
    <w:p>
      <w:pPr>
        <w:spacing w:after="0" w:line="212" w:lineRule="exact"/>
        <w:rPr>
          <w:sz w:val="20"/>
          <w:szCs w:val="20"/>
          <w:color w:val="auto"/>
        </w:rPr>
      </w:pPr>
    </w:p>
    <w:p>
      <w:pPr>
        <w:ind w:left="40" w:right="239"/>
        <w:spacing w:after="0" w:line="263" w:lineRule="auto"/>
        <w:rPr>
          <w:sz w:val="20"/>
          <w:szCs w:val="20"/>
          <w:color w:val="auto"/>
        </w:rPr>
      </w:pPr>
      <w:r>
        <w:rPr>
          <w:rFonts w:ascii="Times New Roman" w:cs="Times New Roman" w:eastAsia="Times New Roman" w:hAnsi="Times New Roman"/>
          <w:sz w:val="16"/>
          <w:szCs w:val="16"/>
          <w:color w:val="auto"/>
        </w:rPr>
        <w:t>Our contractual obligations outstanding on September 23, 2020 have not changed materially since those disclosed under “Debt and Other Obligations – Contractual Obligations” in Part II, Item 7 of our annual report on Form 10-K for the year ended December 25, 2019 other than (i) the impact of our delay in making April, May and June rent payments on the majority of our leased properties as discussed under to COVID-19 Impact in the "Overview" section above and (ii) subsequent borrowings and pre-payments under our 2018 Revolver as disclosed under Note 4, “Long-Term Debt” in Item 1 above. . Our contractual commitments relate to future (i) debt payments, including expected interest expense, calculated based on current interest rates, (ii) restaurant operating lease payments, (iii) income tax receivable agreement payments, and (iv) purchasing commitments for chicken.</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Off-Balance Sheet and Other Arrangements</w:t>
      </w:r>
    </w:p>
    <w:p>
      <w:pPr>
        <w:spacing w:after="0" w:line="212" w:lineRule="exact"/>
        <w:rPr>
          <w:sz w:val="20"/>
          <w:szCs w:val="20"/>
          <w:color w:val="auto"/>
        </w:rPr>
      </w:pPr>
    </w:p>
    <w:p>
      <w:pPr>
        <w:ind w:left="40" w:right="159"/>
        <w:spacing w:after="0" w:line="296" w:lineRule="auto"/>
        <w:rPr>
          <w:sz w:val="20"/>
          <w:szCs w:val="20"/>
          <w:color w:val="auto"/>
        </w:rPr>
      </w:pPr>
      <w:r>
        <w:rPr>
          <w:rFonts w:ascii="Times New Roman" w:cs="Times New Roman" w:eastAsia="Times New Roman" w:hAnsi="Times New Roman"/>
          <w:sz w:val="16"/>
          <w:szCs w:val="16"/>
          <w:color w:val="auto"/>
        </w:rPr>
        <w:t>As of September 23, 2020 and December 25, 2019, we were using $8.4 million of borrowing capacity on the 2018 Revolver for letters of credit in support of our insurance programs.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0" w:name="page51"/>
    <w:bookmarkEnd w:id="50"/>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214"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6"/>
          <w:szCs w:val="16"/>
          <w:color w:val="auto"/>
        </w:rPr>
        <w:t>We are exposed to market risk from changes in the interest rate on our debt, which bears interest, at our option, at rates based on LIBOR or a base rate, plus, for each rate, a margin determined in accordance with the terms of the 2018 Credit Agreement. For LIBOR loans, the margin is in the range of 1.25% and 2.25%. As of September 23, 2020, we had outstanding borrowings of $83.8 million under our 2018 Revolver, $8.4 million of letters of credit in support of our insurance programs, and the applicable margin on outstanding borrowings under 2018 Revolver was 1.5%. In addition, there is currently uncertainty around whether LIBOR will continue to exist after 2021. If LIBOR ceases to exist, we may need to enter into an amendment to the 2018 Credit Agreement and we cannot predict what alternative index would be negotiated with our lenders.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described below, we effectively had $43.8 million of long-term debt subject to variations in interest rates as of September 23, 2020 and a one percent increase in the variable rate of interest would increase annual interest expense by $0.4 million.</w:t>
      </w:r>
    </w:p>
    <w:p>
      <w:pPr>
        <w:spacing w:after="0" w:line="171"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We manage our interest rate risk through normal operating and financing activities and, when determined appropriate, through the use of derivative financial instruments. To balance our portfolio,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applicable margin, which is currently 1.5%. The interest rate swap matures in June 2023.</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214"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Commodity Price Risk</w:t>
      </w:r>
    </w:p>
    <w:p>
      <w:pPr>
        <w:spacing w:after="0" w:line="214"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14"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We maintain disclosure controls and procedures (as such term is defined in Rules 13a-15(e) of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2" w:lineRule="exact"/>
        <w:rPr>
          <w:sz w:val="20"/>
          <w:szCs w:val="20"/>
          <w:color w:val="auto"/>
        </w:rPr>
      </w:pPr>
    </w:p>
    <w:p>
      <w:pPr>
        <w:jc w:val="both"/>
        <w:ind w:left="40" w:right="199"/>
        <w:spacing w:after="0" w:line="276" w:lineRule="auto"/>
        <w:rPr>
          <w:sz w:val="20"/>
          <w:szCs w:val="20"/>
          <w:color w:val="auto"/>
        </w:rPr>
      </w:pPr>
      <w:r>
        <w:rPr>
          <w:rFonts w:ascii="Times New Roman" w:cs="Times New Roman" w:eastAsia="Times New Roman" w:hAnsi="Times New Roman"/>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1" w:name="page52"/>
    <w:bookmarkEnd w:id="51"/>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739"/>
        <w:spacing w:after="0" w:line="296" w:lineRule="auto"/>
        <w:rPr>
          <w:sz w:val="20"/>
          <w:szCs w:val="20"/>
          <w:color w:val="auto"/>
        </w:rPr>
      </w:pPr>
      <w:r>
        <w:rPr>
          <w:rFonts w:ascii="Times New Roman" w:cs="Times New Roman" w:eastAsia="Times New Roman" w:hAnsi="Times New Roman"/>
          <w:sz w:val="16"/>
          <w:szCs w:val="16"/>
          <w:color w:val="auto"/>
        </w:rPr>
        <w:t>achieving their stated objectives in all cases, that they will be complied with in all cases, or that they will prevent or detect all misstatements.</w:t>
      </w:r>
    </w:p>
    <w:p>
      <w:pPr>
        <w:spacing w:after="0" w:line="137" w:lineRule="exact"/>
        <w:rPr>
          <w:sz w:val="20"/>
          <w:szCs w:val="20"/>
          <w:color w:val="auto"/>
        </w:rPr>
      </w:pPr>
    </w:p>
    <w:p>
      <w:pPr>
        <w:ind w:left="40" w:right="79"/>
        <w:spacing w:after="0" w:line="270" w:lineRule="auto"/>
        <w:rPr>
          <w:sz w:val="20"/>
          <w:szCs w:val="20"/>
          <w:color w:val="auto"/>
        </w:rPr>
      </w:pPr>
      <w:r>
        <w:rPr>
          <w:rFonts w:ascii="Times New Roman" w:cs="Times New Roman" w:eastAsia="Times New Roman" w:hAnsi="Times New Roman"/>
          <w:sz w:val="16"/>
          <w:szCs w:val="16"/>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September 23, 2020.</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4" w:lineRule="exact"/>
        <w:rPr>
          <w:sz w:val="20"/>
          <w:szCs w:val="20"/>
          <w:color w:val="auto"/>
        </w:rPr>
      </w:pPr>
    </w:p>
    <w:p>
      <w:pPr>
        <w:ind w:left="40" w:right="179"/>
        <w:spacing w:after="0" w:line="296" w:lineRule="auto"/>
        <w:rPr>
          <w:sz w:val="20"/>
          <w:szCs w:val="20"/>
          <w:color w:val="auto"/>
        </w:rPr>
      </w:pPr>
      <w:r>
        <w:rPr>
          <w:rFonts w:ascii="Times New Roman" w:cs="Times New Roman" w:eastAsia="Times New Roman" w:hAnsi="Times New Roman"/>
          <w:sz w:val="16"/>
          <w:szCs w:val="16"/>
          <w:color w:val="auto"/>
        </w:rPr>
        <w:t>No changes in our internal control over financial reporting occurred during the quarter ended September 23,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2" w:name="page53"/>
    <w:bookmarkEnd w:id="52"/>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93" w:lineRule="exact"/>
        <w:rPr>
          <w:sz w:val="20"/>
          <w:szCs w:val="20"/>
          <w:color w:val="auto"/>
        </w:rPr>
      </w:pPr>
    </w:p>
    <w:p>
      <w:pPr>
        <w:ind w:left="40" w:right="119"/>
        <w:spacing w:after="0" w:line="276" w:lineRule="auto"/>
        <w:rPr>
          <w:sz w:val="20"/>
          <w:szCs w:val="20"/>
          <w:color w:val="auto"/>
        </w:rPr>
      </w:pPr>
      <w:r>
        <w:rPr>
          <w:rFonts w:ascii="Times New Roman" w:cs="Times New Roman" w:eastAsia="Times New Roman" w:hAnsi="Times New Roman"/>
          <w:sz w:val="16"/>
          <w:szCs w:val="16"/>
          <w:color w:val="auto"/>
        </w:rPr>
        <w:t>For information regarding legal proceedings, see Note 7. “Commitments and Contingencies—Legal Matters" in the accompanying "Notes to Condensed Consolidated Financial Statements" in this Quarterly Report, which information is incorporated by reference into this Item 1.</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14" w:lineRule="exact"/>
        <w:rPr>
          <w:sz w:val="20"/>
          <w:szCs w:val="20"/>
          <w:color w:val="auto"/>
        </w:rPr>
      </w:pPr>
    </w:p>
    <w:p>
      <w:pPr>
        <w:ind w:left="40" w:right="219"/>
        <w:spacing w:after="0" w:line="276" w:lineRule="auto"/>
        <w:rPr>
          <w:sz w:val="20"/>
          <w:szCs w:val="20"/>
          <w:color w:val="auto"/>
        </w:rPr>
      </w:pPr>
      <w:r>
        <w:rPr>
          <w:rFonts w:ascii="Times New Roman" w:cs="Times New Roman" w:eastAsia="Times New Roman" w:hAnsi="Times New Roman"/>
          <w:sz w:val="16"/>
          <w:szCs w:val="16"/>
          <w:color w:val="auto"/>
        </w:rPr>
        <w:t>There have been no material changes from the risk factors previously disclosed in our annual report on Form 10-K for the year ended December 25, 2019 filed with the SEC on March 6, 2020, our quarterly report on Form 10-Q for the quarter ended March 25, 2020 filed with the SEC on May 1, 2020, and our Form 10-Q for the quarter ended June 24, 2020 filed with the SEC on July 31, 2020.</w:t>
      </w: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Defaults of Senior Securities.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3" w:name="page54"/>
    <w:bookmarkEnd w:id="53"/>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color w:val="auto"/>
              </w:rPr>
              <w:t>Filed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tcPr>
          <w:p>
            <w:pPr>
              <w:jc w:val="center"/>
              <w:ind w:left="203"/>
              <w:spacing w:after="0"/>
              <w:rPr>
                <w:sz w:val="20"/>
                <w:szCs w:val="20"/>
                <w:color w:val="auto"/>
              </w:rPr>
            </w:pPr>
            <w:r>
              <w:rPr>
                <w:rFonts w:ascii="Times New Roman" w:cs="Times New Roman" w:eastAsia="Times New Roman" w:hAnsi="Times New Roman"/>
                <w:sz w:val="13"/>
                <w:szCs w:val="13"/>
                <w:color w:val="auto"/>
              </w:rPr>
              <w:t>SEC File</w:t>
            </w:r>
          </w:p>
        </w:tc>
      </w:tr>
      <w:tr>
        <w:trPr>
          <w:trHeight w:val="115"/>
        </w:trPr>
        <w:tc>
          <w:tcPr>
            <w:tcW w:w="82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Number</w:t>
            </w: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20" w:type="dxa"/>
            <w:vAlign w:val="bottom"/>
            <w:gridSpan w:val="9"/>
          </w:tcPr>
          <w:p>
            <w:pPr>
              <w:spacing w:after="0" w:line="116" w:lineRule="exact"/>
              <w:rPr>
                <w:sz w:val="20"/>
                <w:szCs w:val="20"/>
                <w:color w:val="auto"/>
              </w:rPr>
            </w:pPr>
            <w:r>
              <w:rPr>
                <w:rFonts w:ascii="Times New Roman" w:cs="Times New Roman" w:eastAsia="Times New Roman" w:hAnsi="Times New Roman"/>
                <w:sz w:val="13"/>
                <w:szCs w:val="13"/>
                <w:color w:val="auto"/>
              </w:rPr>
              <w:t>Description</w:t>
            </w:r>
          </w:p>
        </w:tc>
        <w:tc>
          <w:tcPr>
            <w:tcW w:w="100" w:type="dxa"/>
            <w:vAlign w:val="bottom"/>
          </w:tcPr>
          <w:p>
            <w:pPr>
              <w:spacing w:after="0"/>
              <w:rPr>
                <w:sz w:val="10"/>
                <w:szCs w:val="10"/>
                <w:color w:val="auto"/>
              </w:rPr>
            </w:pP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75"/>
              </w:rPr>
              <w:t>Herewith</w:t>
            </w:r>
          </w:p>
        </w:tc>
        <w:tc>
          <w:tcPr>
            <w:tcW w:w="100" w:type="dxa"/>
            <w:vAlign w:val="bottom"/>
          </w:tcPr>
          <w:p>
            <w:pPr>
              <w:spacing w:after="0"/>
              <w:rPr>
                <w:sz w:val="10"/>
                <w:szCs w:val="10"/>
                <w:color w:val="auto"/>
              </w:rPr>
            </w:pPr>
          </w:p>
        </w:tc>
        <w:tc>
          <w:tcPr>
            <w:tcW w:w="620" w:type="dxa"/>
            <w:vAlign w:val="bottom"/>
            <w:gridSpan w:val="3"/>
          </w:tcPr>
          <w:p>
            <w:pPr>
              <w:ind w:left="240"/>
              <w:spacing w:after="0" w:line="116" w:lineRule="exact"/>
              <w:rPr>
                <w:sz w:val="20"/>
                <w:szCs w:val="20"/>
                <w:color w:val="auto"/>
              </w:rPr>
            </w:pPr>
            <w:r>
              <w:rPr>
                <w:rFonts w:ascii="Times New Roman" w:cs="Times New Roman" w:eastAsia="Times New Roman" w:hAnsi="Times New Roman"/>
                <w:sz w:val="13"/>
                <w:szCs w:val="13"/>
                <w:color w:val="auto"/>
              </w:rPr>
              <w:t>Form</w:t>
            </w:r>
          </w:p>
        </w:tc>
        <w:tc>
          <w:tcPr>
            <w:tcW w:w="100" w:type="dxa"/>
            <w:vAlign w:val="bottom"/>
          </w:tcPr>
          <w:p>
            <w:pPr>
              <w:spacing w:after="0"/>
              <w:rPr>
                <w:sz w:val="10"/>
                <w:szCs w:val="10"/>
                <w:color w:val="auto"/>
              </w:rPr>
            </w:pPr>
          </w:p>
        </w:tc>
        <w:tc>
          <w:tcPr>
            <w:tcW w:w="78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Period Ended</w:t>
            </w:r>
          </w:p>
        </w:tc>
        <w:tc>
          <w:tcPr>
            <w:tcW w:w="100" w:type="dxa"/>
            <w:vAlign w:val="bottom"/>
          </w:tcPr>
          <w:p>
            <w:pPr>
              <w:spacing w:after="0"/>
              <w:rPr>
                <w:sz w:val="10"/>
                <w:szCs w:val="10"/>
                <w:color w:val="auto"/>
              </w:rPr>
            </w:pPr>
          </w:p>
        </w:tc>
        <w:tc>
          <w:tcPr>
            <w:tcW w:w="46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Exhibit</w:t>
            </w:r>
          </w:p>
        </w:tc>
        <w:tc>
          <w:tcPr>
            <w:tcW w:w="140" w:type="dxa"/>
            <w:vAlign w:val="bottom"/>
          </w:tcPr>
          <w:p>
            <w:pPr>
              <w:spacing w:after="0"/>
              <w:rPr>
                <w:sz w:val="10"/>
                <w:szCs w:val="10"/>
                <w:color w:val="auto"/>
              </w:rPr>
            </w:pPr>
          </w:p>
        </w:tc>
        <w:tc>
          <w:tcPr>
            <w:tcW w:w="68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color w:val="auto"/>
              </w:rPr>
              <w:t>Filing Date</w:t>
            </w:r>
          </w:p>
        </w:tc>
        <w:tc>
          <w:tcPr>
            <w:tcW w:w="3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ind w:right="20"/>
              <w:spacing w:after="0" w:line="116" w:lineRule="exact"/>
              <w:rPr>
                <w:sz w:val="20"/>
                <w:szCs w:val="20"/>
                <w:color w:val="auto"/>
              </w:rPr>
            </w:pPr>
            <w:r>
              <w:rPr>
                <w:rFonts w:ascii="Times New Roman" w:cs="Times New Roman" w:eastAsia="Times New Roman" w:hAnsi="Times New Roman"/>
                <w:sz w:val="13"/>
                <w:szCs w:val="13"/>
                <w:color w:val="auto"/>
              </w:rPr>
              <w:t>Number</w:t>
            </w:r>
          </w:p>
        </w:tc>
        <w:tc>
          <w:tcPr>
            <w:tcW w:w="20" w:type="dxa"/>
            <w:vAlign w:val="bottom"/>
          </w:tcPr>
          <w:p>
            <w:pPr>
              <w:spacing w:after="0"/>
              <w:rPr>
                <w:sz w:val="10"/>
                <w:szCs w:val="10"/>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9"/>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24"/>
                <w:szCs w:val="24"/>
                <w:color w:val="auto"/>
              </w:rPr>
            </w:pPr>
          </w:p>
        </w:tc>
        <w:tc>
          <w:tcPr>
            <w:tcW w:w="3640" w:type="dxa"/>
            <w:vAlign w:val="bottom"/>
            <w:gridSpan w:val="12"/>
          </w:tcPr>
          <w:p>
            <w:pPr>
              <w:spacing w:after="0"/>
              <w:rPr>
                <w:rFonts w:ascii="Times New Roman" w:cs="Times New Roman" w:eastAsia="Times New Roman" w:hAnsi="Times New Roman"/>
                <w:sz w:val="16"/>
                <w:szCs w:val="16"/>
                <w:color w:val="0000EE"/>
              </w:rPr>
            </w:pPr>
            <w:hyperlink r:id="rId63">
              <w:r>
                <w:rPr>
                  <w:rFonts w:ascii="Times New Roman" w:cs="Times New Roman" w:eastAsia="Times New Roman" w:hAnsi="Times New Roman"/>
                  <w:sz w:val="16"/>
                  <w:szCs w:val="16"/>
                  <w:color w:val="0000EE"/>
                </w:rPr>
                <w:t>Amended and Restated Certificate of Incorporation</w:t>
              </w:r>
            </w:hyperlink>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60" w:type="dxa"/>
            <w:vAlign w:val="bottom"/>
            <w:tcBorders>
              <w:top w:val="single" w:sz="8" w:color="0000EE"/>
            </w:tcBorders>
            <w:gridSpan w:val="11"/>
          </w:tcPr>
          <w:p>
            <w:pPr>
              <w:spacing w:after="0" w:line="177" w:lineRule="exact"/>
              <w:rPr>
                <w:rFonts w:ascii="Times New Roman" w:cs="Times New Roman" w:eastAsia="Times New Roman" w:hAnsi="Times New Roman"/>
                <w:sz w:val="16"/>
                <w:szCs w:val="16"/>
                <w:color w:val="0000EE"/>
              </w:rPr>
            </w:pPr>
            <w:hyperlink r:id="rId63">
              <w:r>
                <w:rPr>
                  <w:rFonts w:ascii="Times New Roman" w:cs="Times New Roman" w:eastAsia="Times New Roman" w:hAnsi="Times New Roman"/>
                  <w:sz w:val="16"/>
                  <w:szCs w:val="16"/>
                  <w:color w:val="0000EE"/>
                </w:rPr>
                <w:t>of El Pollo Loco Holdings, Inc.</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ind w:left="180"/>
              <w:spacing w:after="0" w:line="177" w:lineRule="exact"/>
              <w:rPr>
                <w:sz w:val="20"/>
                <w:szCs w:val="20"/>
                <w:color w:val="auto"/>
              </w:rPr>
            </w:pPr>
            <w:r>
              <w:rPr>
                <w:rFonts w:ascii="Times New Roman" w:cs="Times New Roman" w:eastAsia="Times New Roman" w:hAnsi="Times New Roman"/>
                <w:sz w:val="16"/>
                <w:szCs w:val="16"/>
                <w:color w:val="auto"/>
              </w:rPr>
              <w:t>10-Q</w:t>
            </w:r>
          </w:p>
        </w:tc>
        <w:tc>
          <w:tcPr>
            <w:tcW w:w="820" w:type="dxa"/>
            <w:vAlign w:val="bottom"/>
            <w:gridSpan w:val="2"/>
          </w:tcPr>
          <w:p>
            <w:pPr>
              <w:jc w:val="right"/>
              <w:ind w:right="14"/>
              <w:spacing w:after="0" w:line="177" w:lineRule="exact"/>
              <w:rPr>
                <w:sz w:val="20"/>
                <w:szCs w:val="20"/>
                <w:color w:val="auto"/>
              </w:rPr>
            </w:pPr>
            <w:r>
              <w:rPr>
                <w:rFonts w:ascii="Times New Roman" w:cs="Times New Roman" w:eastAsia="Times New Roman" w:hAnsi="Times New Roman"/>
                <w:sz w:val="16"/>
                <w:szCs w:val="16"/>
                <w:color w:val="auto"/>
              </w:rPr>
              <w:t>6/25/2014</w:t>
            </w:r>
          </w:p>
        </w:tc>
        <w:tc>
          <w:tcPr>
            <w:tcW w:w="60" w:type="dxa"/>
            <w:vAlign w:val="bottom"/>
          </w:tcPr>
          <w:p>
            <w:pPr>
              <w:spacing w:after="0"/>
              <w:rPr>
                <w:sz w:val="15"/>
                <w:szCs w:val="15"/>
                <w:color w:val="auto"/>
              </w:rPr>
            </w:pPr>
          </w:p>
        </w:tc>
        <w:tc>
          <w:tcPr>
            <w:tcW w:w="480" w:type="dxa"/>
            <w:vAlign w:val="bottom"/>
            <w:gridSpan w:val="2"/>
          </w:tcPr>
          <w:p>
            <w:pPr>
              <w:jc w:val="right"/>
              <w:ind w:right="154"/>
              <w:spacing w:after="0" w:line="177"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5"/>
                <w:szCs w:val="15"/>
                <w:color w:val="auto"/>
              </w:rPr>
            </w:pPr>
          </w:p>
        </w:tc>
        <w:tc>
          <w:tcPr>
            <w:tcW w:w="740" w:type="dxa"/>
            <w:vAlign w:val="bottom"/>
            <w:gridSpan w:val="2"/>
          </w:tcPr>
          <w:p>
            <w:pPr>
              <w:jc w:val="right"/>
              <w:ind w:right="14"/>
              <w:spacing w:after="0" w:line="177" w:lineRule="exact"/>
              <w:rPr>
                <w:sz w:val="20"/>
                <w:szCs w:val="20"/>
                <w:color w:val="auto"/>
              </w:rPr>
            </w:pPr>
            <w:r>
              <w:rPr>
                <w:rFonts w:ascii="Times New Roman" w:cs="Times New Roman" w:eastAsia="Times New Roman" w:hAnsi="Times New Roman"/>
                <w:sz w:val="16"/>
                <w:szCs w:val="16"/>
                <w:color w:val="auto"/>
              </w:rPr>
              <w:t>9/5/2014</w:t>
            </w:r>
          </w:p>
        </w:tc>
        <w:tc>
          <w:tcPr>
            <w:tcW w:w="80" w:type="dxa"/>
            <w:vAlign w:val="bottom"/>
          </w:tcPr>
          <w:p>
            <w:pPr>
              <w:spacing w:after="0"/>
              <w:rPr>
                <w:sz w:val="15"/>
                <w:szCs w:val="15"/>
                <w:color w:val="auto"/>
              </w:rPr>
            </w:pPr>
          </w:p>
        </w:tc>
        <w:tc>
          <w:tcPr>
            <w:tcW w:w="800" w:type="dxa"/>
            <w:vAlign w:val="bottom"/>
            <w:gridSpan w:val="5"/>
          </w:tcPr>
          <w:p>
            <w:pPr>
              <w:jc w:val="right"/>
              <w:spacing w:after="0" w:line="177" w:lineRule="exact"/>
              <w:rPr>
                <w:sz w:val="20"/>
                <w:szCs w:val="20"/>
                <w:color w:val="auto"/>
              </w:rPr>
            </w:pPr>
            <w:r>
              <w:rPr>
                <w:rFonts w:ascii="Times New Roman" w:cs="Times New Roman" w:eastAsia="Times New Roman" w:hAnsi="Times New Roman"/>
                <w:sz w:val="16"/>
                <w:szCs w:val="16"/>
                <w:color w:val="auto"/>
              </w:rPr>
              <w:t>001-36556</w:t>
            </w:r>
          </w:p>
        </w:tc>
      </w:tr>
      <w:tr>
        <w:trPr>
          <w:trHeight w:val="20"/>
        </w:trPr>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4"/>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24"/>
                <w:szCs w:val="24"/>
                <w:color w:val="auto"/>
              </w:rPr>
            </w:pPr>
          </w:p>
        </w:tc>
        <w:tc>
          <w:tcPr>
            <w:tcW w:w="330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64">
              <w:r>
                <w:rPr>
                  <w:rFonts w:ascii="Times New Roman" w:cs="Times New Roman" w:eastAsia="Times New Roman" w:hAnsi="Times New Roman"/>
                  <w:sz w:val="16"/>
                  <w:szCs w:val="16"/>
                  <w:color w:val="0000EE"/>
                </w:rPr>
                <w:t>Amended and Restated By-Laws of El Pollo Loco</w:t>
              </w:r>
            </w:hyperlink>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Borders>
              <w:bottom w:val="single" w:sz="8" w:color="0000EE"/>
            </w:tcBorders>
            <w:gridSpan w:val="2"/>
          </w:tcPr>
          <w:p>
            <w:pPr>
              <w:spacing w:after="0" w:line="177" w:lineRule="exact"/>
              <w:rPr>
                <w:rFonts w:ascii="Times New Roman" w:cs="Times New Roman" w:eastAsia="Times New Roman" w:hAnsi="Times New Roman"/>
                <w:sz w:val="16"/>
                <w:szCs w:val="16"/>
                <w:color w:val="0000EE"/>
              </w:rPr>
            </w:pPr>
            <w:hyperlink r:id="rId64">
              <w:r>
                <w:rPr>
                  <w:rFonts w:ascii="Times New Roman" w:cs="Times New Roman" w:eastAsia="Times New Roman" w:hAnsi="Times New Roman"/>
                  <w:sz w:val="16"/>
                  <w:szCs w:val="16"/>
                  <w:color w:val="0000EE"/>
                </w:rPr>
                <w:t>Holdings, Inc.</w:t>
              </w:r>
            </w:hyperlink>
          </w:p>
        </w:tc>
        <w:tc>
          <w:tcPr>
            <w:tcW w:w="270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ind w:left="180"/>
              <w:spacing w:after="0" w:line="177" w:lineRule="exact"/>
              <w:rPr>
                <w:sz w:val="20"/>
                <w:szCs w:val="20"/>
                <w:color w:val="auto"/>
              </w:rPr>
            </w:pPr>
            <w:r>
              <w:rPr>
                <w:rFonts w:ascii="Times New Roman" w:cs="Times New Roman" w:eastAsia="Times New Roman" w:hAnsi="Times New Roman"/>
                <w:sz w:val="16"/>
                <w:szCs w:val="16"/>
                <w:color w:val="auto"/>
              </w:rPr>
              <w:t>10-Q</w:t>
            </w:r>
          </w:p>
        </w:tc>
        <w:tc>
          <w:tcPr>
            <w:tcW w:w="820" w:type="dxa"/>
            <w:vAlign w:val="bottom"/>
            <w:gridSpan w:val="2"/>
          </w:tcPr>
          <w:p>
            <w:pPr>
              <w:jc w:val="right"/>
              <w:ind w:right="14"/>
              <w:spacing w:after="0" w:line="177" w:lineRule="exact"/>
              <w:rPr>
                <w:sz w:val="20"/>
                <w:szCs w:val="20"/>
                <w:color w:val="auto"/>
              </w:rPr>
            </w:pPr>
            <w:r>
              <w:rPr>
                <w:rFonts w:ascii="Times New Roman" w:cs="Times New Roman" w:eastAsia="Times New Roman" w:hAnsi="Times New Roman"/>
                <w:sz w:val="16"/>
                <w:szCs w:val="16"/>
                <w:color w:val="auto"/>
              </w:rPr>
              <w:t>6/25/2014</w:t>
            </w:r>
          </w:p>
        </w:tc>
        <w:tc>
          <w:tcPr>
            <w:tcW w:w="60" w:type="dxa"/>
            <w:vAlign w:val="bottom"/>
          </w:tcPr>
          <w:p>
            <w:pPr>
              <w:spacing w:after="0"/>
              <w:rPr>
                <w:sz w:val="15"/>
                <w:szCs w:val="15"/>
                <w:color w:val="auto"/>
              </w:rPr>
            </w:pPr>
          </w:p>
        </w:tc>
        <w:tc>
          <w:tcPr>
            <w:tcW w:w="480" w:type="dxa"/>
            <w:vAlign w:val="bottom"/>
            <w:gridSpan w:val="2"/>
          </w:tcPr>
          <w:p>
            <w:pPr>
              <w:jc w:val="right"/>
              <w:ind w:right="154"/>
              <w:spacing w:after="0" w:line="177" w:lineRule="exact"/>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5"/>
                <w:szCs w:val="15"/>
                <w:color w:val="auto"/>
              </w:rPr>
            </w:pPr>
          </w:p>
        </w:tc>
        <w:tc>
          <w:tcPr>
            <w:tcW w:w="740" w:type="dxa"/>
            <w:vAlign w:val="bottom"/>
            <w:gridSpan w:val="2"/>
          </w:tcPr>
          <w:p>
            <w:pPr>
              <w:jc w:val="right"/>
              <w:ind w:right="14"/>
              <w:spacing w:after="0" w:line="177" w:lineRule="exact"/>
              <w:rPr>
                <w:sz w:val="20"/>
                <w:szCs w:val="20"/>
                <w:color w:val="auto"/>
              </w:rPr>
            </w:pPr>
            <w:r>
              <w:rPr>
                <w:rFonts w:ascii="Times New Roman" w:cs="Times New Roman" w:eastAsia="Times New Roman" w:hAnsi="Times New Roman"/>
                <w:sz w:val="16"/>
                <w:szCs w:val="16"/>
                <w:color w:val="auto"/>
              </w:rPr>
              <w:t>9/5/2014</w:t>
            </w:r>
          </w:p>
        </w:tc>
        <w:tc>
          <w:tcPr>
            <w:tcW w:w="80" w:type="dxa"/>
            <w:vAlign w:val="bottom"/>
          </w:tcPr>
          <w:p>
            <w:pPr>
              <w:spacing w:after="0"/>
              <w:rPr>
                <w:sz w:val="15"/>
                <w:szCs w:val="15"/>
                <w:color w:val="auto"/>
              </w:rPr>
            </w:pPr>
          </w:p>
        </w:tc>
        <w:tc>
          <w:tcPr>
            <w:tcW w:w="800" w:type="dxa"/>
            <w:vAlign w:val="bottom"/>
            <w:gridSpan w:val="5"/>
          </w:tcPr>
          <w:p>
            <w:pPr>
              <w:jc w:val="right"/>
              <w:spacing w:after="0" w:line="177" w:lineRule="exact"/>
              <w:rPr>
                <w:sz w:val="20"/>
                <w:szCs w:val="20"/>
                <w:color w:val="auto"/>
              </w:rPr>
            </w:pPr>
            <w:r>
              <w:rPr>
                <w:rFonts w:ascii="Times New Roman" w:cs="Times New Roman" w:eastAsia="Times New Roman" w:hAnsi="Times New Roman"/>
                <w:sz w:val="16"/>
                <w:szCs w:val="16"/>
                <w:color w:val="auto"/>
              </w:rPr>
              <w:t>001-36556</w:t>
            </w:r>
          </w:p>
        </w:tc>
      </w:tr>
      <w:tr>
        <w:trPr>
          <w:trHeight w:val="374"/>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0" w:type="dxa"/>
            <w:vAlign w:val="bottom"/>
          </w:tcPr>
          <w:p>
            <w:pPr>
              <w:spacing w:after="0"/>
              <w:rPr>
                <w:sz w:val="24"/>
                <w:szCs w:val="24"/>
                <w:color w:val="auto"/>
              </w:rPr>
            </w:pPr>
          </w:p>
        </w:tc>
        <w:tc>
          <w:tcPr>
            <w:tcW w:w="3640" w:type="dxa"/>
            <w:vAlign w:val="bottom"/>
            <w:gridSpan w:val="12"/>
          </w:tcPr>
          <w:p>
            <w:pPr>
              <w:spacing w:after="0"/>
              <w:rPr>
                <w:rFonts w:ascii="Times New Roman" w:cs="Times New Roman" w:eastAsia="Times New Roman" w:hAnsi="Times New Roman"/>
                <w:sz w:val="16"/>
                <w:szCs w:val="16"/>
                <w:color w:val="0000EE"/>
              </w:rPr>
            </w:pPr>
            <w:hyperlink w:anchor="page56">
              <w:r>
                <w:rPr>
                  <w:rFonts w:ascii="Times New Roman" w:cs="Times New Roman" w:eastAsia="Times New Roman" w:hAnsi="Times New Roman"/>
                  <w:sz w:val="16"/>
                  <w:szCs w:val="16"/>
                  <w:color w:val="0000EE"/>
                </w:rPr>
                <w:t>Certification of Principal Executive Officer under</w:t>
              </w:r>
            </w:hyperlink>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tcBorders>
              <w:top w:val="single" w:sz="8" w:color="0000EE"/>
            </w:tcBorders>
            <w:gridSpan w:val="8"/>
          </w:tcPr>
          <w:p>
            <w:pPr>
              <w:spacing w:after="0"/>
              <w:rPr>
                <w:rFonts w:ascii="Times New Roman" w:cs="Times New Roman" w:eastAsia="Times New Roman" w:hAnsi="Times New Roman"/>
                <w:sz w:val="16"/>
                <w:szCs w:val="16"/>
                <w:u w:val="single" w:color="auto"/>
                <w:color w:val="0000EE"/>
              </w:rPr>
            </w:pPr>
            <w:hyperlink w:anchor="page56">
              <w:r>
                <w:rPr>
                  <w:rFonts w:ascii="Times New Roman" w:cs="Times New Roman" w:eastAsia="Times New Roman" w:hAnsi="Times New Roman"/>
                  <w:sz w:val="16"/>
                  <w:szCs w:val="16"/>
                  <w:u w:val="single" w:color="auto"/>
                  <w:color w:val="0000EE"/>
                </w:rPr>
                <w:t>section 302 of the Sarbanes–Oxley Act of 2002</w:t>
              </w:r>
            </w:hyperlink>
          </w:p>
        </w:tc>
        <w:tc>
          <w:tcPr>
            <w:tcW w:w="38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6"/>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00" w:type="dxa"/>
            <w:vAlign w:val="bottom"/>
          </w:tcPr>
          <w:p>
            <w:pPr>
              <w:spacing w:after="0"/>
              <w:rPr>
                <w:sz w:val="24"/>
                <w:szCs w:val="24"/>
                <w:color w:val="auto"/>
              </w:rPr>
            </w:pPr>
          </w:p>
        </w:tc>
        <w:tc>
          <w:tcPr>
            <w:tcW w:w="32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57">
              <w:r>
                <w:rPr>
                  <w:rFonts w:ascii="Times New Roman" w:cs="Times New Roman" w:eastAsia="Times New Roman" w:hAnsi="Times New Roman"/>
                  <w:sz w:val="16"/>
                  <w:szCs w:val="16"/>
                  <w:color w:val="0000EE"/>
                </w:rPr>
                <w:t>Certification of Principal Financial Officer under</w:t>
              </w:r>
            </w:hyperlink>
          </w:p>
        </w:tc>
        <w:tc>
          <w:tcPr>
            <w:tcW w:w="4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rFonts w:ascii="Times New Roman" w:cs="Times New Roman" w:eastAsia="Times New Roman" w:hAnsi="Times New Roman"/>
                <w:sz w:val="16"/>
                <w:szCs w:val="16"/>
                <w:u w:val="single" w:color="auto"/>
                <w:color w:val="0000EE"/>
              </w:rPr>
            </w:pPr>
            <w:hyperlink w:anchor="page57">
              <w:r>
                <w:rPr>
                  <w:rFonts w:ascii="Times New Roman" w:cs="Times New Roman" w:eastAsia="Times New Roman" w:hAnsi="Times New Roman"/>
                  <w:sz w:val="16"/>
                  <w:szCs w:val="16"/>
                  <w:u w:val="single" w:color="auto"/>
                  <w:color w:val="0000EE"/>
                </w:rPr>
                <w:t>section 302 of the Sarbanes–Oxley Act of 2002</w:t>
              </w:r>
            </w:hyperlink>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6"/>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00" w:type="dxa"/>
            <w:vAlign w:val="bottom"/>
          </w:tcPr>
          <w:p>
            <w:pPr>
              <w:spacing w:after="0"/>
              <w:rPr>
                <w:sz w:val="24"/>
                <w:szCs w:val="24"/>
                <w:color w:val="auto"/>
              </w:rPr>
            </w:pPr>
          </w:p>
        </w:tc>
        <w:tc>
          <w:tcPr>
            <w:tcW w:w="3640" w:type="dxa"/>
            <w:vAlign w:val="bottom"/>
            <w:gridSpan w:val="12"/>
          </w:tcPr>
          <w:p>
            <w:pPr>
              <w:spacing w:after="0"/>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Certification of Chief Executive Officer and Chief</w:t>
              </w:r>
            </w:hyperlink>
          </w:p>
        </w:tc>
        <w:tc>
          <w:tcPr>
            <w:tcW w:w="38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tcBorders>
              <w:top w:val="single" w:sz="8" w:color="0000EE"/>
            </w:tcBorders>
            <w:gridSpan w:val="9"/>
          </w:tcPr>
          <w:p>
            <w:pPr>
              <w:spacing w:after="0" w:line="177" w:lineRule="exact"/>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Financial Officer under 18 U.S.C. section 1350,</w:t>
              </w:r>
            </w:hyperlink>
          </w:p>
        </w:tc>
        <w:tc>
          <w:tcPr>
            <w:tcW w:w="3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Borders>
              <w:bottom w:val="single" w:sz="8" w:color="0000EE"/>
            </w:tcBorders>
            <w:gridSpan w:val="10"/>
          </w:tcPr>
          <w:p>
            <w:pPr>
              <w:spacing w:after="0" w:line="177" w:lineRule="exact"/>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adopted by section 906 of the Sarbanes–Oxley Act</w:t>
              </w:r>
            </w:hyperlink>
          </w:p>
        </w:tc>
        <w:tc>
          <w:tcPr>
            <w:tcW w:w="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40" w:type="dxa"/>
            <w:vAlign w:val="bottom"/>
            <w:gridSpan w:val="12"/>
          </w:tcPr>
          <w:p>
            <w:pPr>
              <w:spacing w:after="0" w:line="177" w:lineRule="exact"/>
              <w:rPr>
                <w:rFonts w:ascii="Times New Roman" w:cs="Times New Roman" w:eastAsia="Times New Roman" w:hAnsi="Times New Roman"/>
                <w:sz w:val="16"/>
                <w:szCs w:val="16"/>
                <w:color w:val="0000EE"/>
              </w:rPr>
            </w:pPr>
            <w:hyperlink w:anchor="page58">
              <w:r>
                <w:rPr>
                  <w:rFonts w:ascii="Times New Roman" w:cs="Times New Roman" w:eastAsia="Times New Roman" w:hAnsi="Times New Roman"/>
                  <w:sz w:val="16"/>
                  <w:szCs w:val="16"/>
                  <w:color w:val="0000EE"/>
                </w:rPr>
                <w:t>of 2002</w:t>
              </w:r>
            </w:hyperlink>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 does not appear in the Interactive Data</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File because its XBRL tags are embedded within the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4"/>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7"/>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7"/>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7"/>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Document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7"/>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00" w:type="dxa"/>
            <w:vAlign w:val="bottom"/>
          </w:tcPr>
          <w:p>
            <w:pPr>
              <w:spacing w:after="0"/>
              <w:rPr>
                <w:sz w:val="24"/>
                <w:szCs w:val="24"/>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w:t>
            </w:r>
          </w:p>
        </w:tc>
        <w:tc>
          <w:tcPr>
            <w:tcW w:w="10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and contained in Exhibit 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62230</wp:posOffset>
            </wp:positionV>
            <wp:extent cx="141478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414780" cy="15875"/>
                    </a:xfrm>
                    <a:prstGeom prst="rect">
                      <a:avLst/>
                    </a:prstGeom>
                    <a:noFill/>
                  </pic:spPr>
                </pic:pic>
              </a:graphicData>
            </a:graphic>
          </wp:anchor>
        </w:drawing>
      </w:r>
    </w:p>
    <w:p>
      <w:pPr>
        <w:spacing w:after="0" w:line="160" w:lineRule="exact"/>
        <w:rPr>
          <w:sz w:val="20"/>
          <w:szCs w:val="20"/>
          <w:color w:val="auto"/>
        </w:rPr>
      </w:pPr>
    </w:p>
    <w:p>
      <w:pPr>
        <w:ind w:left="340" w:right="79" w:hanging="297"/>
        <w:spacing w:after="0" w:line="270"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4" w:name="page55"/>
    <w:bookmarkEnd w:id="54"/>
    <w:p>
      <w:pPr>
        <w:ind w:left="40"/>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4" w:lineRule="exact"/>
        <w:rPr>
          <w:sz w:val="20"/>
          <w:szCs w:val="20"/>
          <w:color w:val="auto"/>
        </w:rPr>
      </w:pPr>
    </w:p>
    <w:p>
      <w:pPr>
        <w:ind w:left="40" w:right="59"/>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 Pollo Loco Holdings, Inc.</w:t>
            </w:r>
          </w:p>
        </w:tc>
        <w:tc>
          <w:tcPr>
            <w:tcW w:w="0" w:type="dxa"/>
            <w:vAlign w:val="bottom"/>
          </w:tcPr>
          <w:p>
            <w:pPr>
              <w:spacing w:after="0"/>
              <w:rPr>
                <w:sz w:val="1"/>
                <w:szCs w:val="1"/>
                <w:color w:val="auto"/>
              </w:rPr>
            </w:pPr>
          </w:p>
        </w:tc>
      </w:tr>
      <w:tr>
        <w:trPr>
          <w:trHeight w:val="36"/>
        </w:trPr>
        <w:tc>
          <w:tcPr>
            <w:tcW w:w="450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7"/>
                <w:szCs w:val="17"/>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(Registrant)</w:t>
            </w:r>
          </w:p>
        </w:tc>
        <w:tc>
          <w:tcPr>
            <w:tcW w:w="0" w:type="dxa"/>
            <w:vAlign w:val="bottom"/>
          </w:tcPr>
          <w:p>
            <w:pPr>
              <w:spacing w:after="0"/>
              <w:rPr>
                <w:sz w:val="1"/>
                <w:szCs w:val="1"/>
                <w:color w:val="auto"/>
              </w:rPr>
            </w:pPr>
          </w:p>
        </w:tc>
      </w:tr>
      <w:tr>
        <w:trPr>
          <w:trHeight w:val="45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October 30, 2020</w:t>
            </w: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 Bernard Acoca</w:t>
            </w:r>
          </w:p>
        </w:tc>
        <w:tc>
          <w:tcPr>
            <w:tcW w:w="0" w:type="dxa"/>
            <w:vAlign w:val="bottom"/>
          </w:tcPr>
          <w:p>
            <w:pPr>
              <w:spacing w:after="0"/>
              <w:rPr>
                <w:sz w:val="1"/>
                <w:szCs w:val="1"/>
                <w:color w:val="auto"/>
              </w:rPr>
            </w:pPr>
          </w:p>
        </w:tc>
      </w:tr>
      <w:tr>
        <w:trPr>
          <w:trHeight w:val="36"/>
        </w:trPr>
        <w:tc>
          <w:tcPr>
            <w:tcW w:w="45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Date</w:t>
            </w: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500" w:type="dxa"/>
            <w:vAlign w:val="bottom"/>
            <w:vMerge w:val="continue"/>
          </w:tcPr>
          <w:p>
            <w:pPr>
              <w:spacing w:after="0"/>
              <w:rPr>
                <w:sz w:val="17"/>
                <w:szCs w:val="17"/>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Bernard Acoca</w:t>
            </w:r>
          </w:p>
        </w:tc>
        <w:tc>
          <w:tcPr>
            <w:tcW w:w="0" w:type="dxa"/>
            <w:vAlign w:val="bottom"/>
          </w:tcPr>
          <w:p>
            <w:pPr>
              <w:spacing w:after="0"/>
              <w:rPr>
                <w:sz w:val="1"/>
                <w:szCs w:val="1"/>
                <w:color w:val="auto"/>
              </w:rPr>
            </w:pPr>
          </w:p>
        </w:tc>
      </w:tr>
      <w:tr>
        <w:trPr>
          <w:trHeight w:val="217"/>
        </w:trPr>
        <w:tc>
          <w:tcPr>
            <w:tcW w:w="450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October 30, 2020</w:t>
            </w: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 Laurance Roberts</w:t>
            </w:r>
          </w:p>
        </w:tc>
        <w:tc>
          <w:tcPr>
            <w:tcW w:w="0" w:type="dxa"/>
            <w:vAlign w:val="bottom"/>
          </w:tcPr>
          <w:p>
            <w:pPr>
              <w:spacing w:after="0"/>
              <w:rPr>
                <w:sz w:val="1"/>
                <w:szCs w:val="1"/>
                <w:color w:val="auto"/>
              </w:rPr>
            </w:pPr>
          </w:p>
        </w:tc>
      </w:tr>
      <w:tr>
        <w:trPr>
          <w:trHeight w:val="36"/>
        </w:trPr>
        <w:tc>
          <w:tcPr>
            <w:tcW w:w="45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Date</w:t>
            </w: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500" w:type="dxa"/>
            <w:vAlign w:val="bottom"/>
            <w:vMerge w:val="continue"/>
          </w:tcPr>
          <w:p>
            <w:pPr>
              <w:spacing w:after="0"/>
              <w:rPr>
                <w:sz w:val="17"/>
                <w:szCs w:val="17"/>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Laurance Roberts</w:t>
            </w:r>
          </w:p>
        </w:tc>
        <w:tc>
          <w:tcPr>
            <w:tcW w:w="0" w:type="dxa"/>
            <w:vAlign w:val="bottom"/>
          </w:tcPr>
          <w:p>
            <w:pPr>
              <w:spacing w:after="0"/>
              <w:rPr>
                <w:sz w:val="1"/>
                <w:szCs w:val="1"/>
                <w:color w:val="auto"/>
              </w:rPr>
            </w:pPr>
          </w:p>
        </w:tc>
      </w:tr>
      <w:tr>
        <w:trPr>
          <w:trHeight w:val="217"/>
        </w:trPr>
        <w:tc>
          <w:tcPr>
            <w:tcW w:w="4500" w:type="dxa"/>
            <w:vAlign w:val="bottom"/>
          </w:tcPr>
          <w:p>
            <w:pPr>
              <w:spacing w:after="0"/>
              <w:rPr>
                <w:sz w:val="18"/>
                <w:szCs w:val="18"/>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CERTIFICATIONS</w:t>
      </w:r>
    </w:p>
    <w:p>
      <w:pPr>
        <w:spacing w:after="0" w:line="2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Bernard Acoca, certify that:</w:t>
      </w:r>
    </w:p>
    <w:p>
      <w:pPr>
        <w:spacing w:after="0" w:line="247" w:lineRule="exact"/>
        <w:rPr>
          <w:sz w:val="20"/>
          <w:szCs w:val="20"/>
          <w:color w:val="auto"/>
        </w:rPr>
      </w:pPr>
    </w:p>
    <w:p>
      <w:pPr>
        <w:ind w:left="162" w:hanging="162"/>
        <w:spacing w:after="0"/>
        <w:tabs>
          <w:tab w:leader="none" w:pos="16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El Pollo Loco Holdings, Inc.;</w:t>
      </w:r>
    </w:p>
    <w:p>
      <w:pPr>
        <w:spacing w:after="0" w:line="246" w:lineRule="exact"/>
        <w:rPr>
          <w:rFonts w:ascii="Times New Roman" w:cs="Times New Roman" w:eastAsia="Times New Roman" w:hAnsi="Times New Roman"/>
          <w:sz w:val="16"/>
          <w:szCs w:val="16"/>
          <w:color w:val="auto"/>
        </w:rPr>
      </w:pPr>
    </w:p>
    <w:p>
      <w:pPr>
        <w:jc w:val="both"/>
        <w:ind w:left="2" w:right="300" w:hanging="2"/>
        <w:spacing w:after="0" w:line="324" w:lineRule="auto"/>
        <w:tabs>
          <w:tab w:leader="none" w:pos="1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2" w:right="500" w:hanging="2"/>
        <w:spacing w:after="0" w:line="344" w:lineRule="auto"/>
        <w:tabs>
          <w:tab w:leader="none" w:pos="1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2" w:right="60" w:hanging="2"/>
        <w:spacing w:after="0" w:line="324" w:lineRule="auto"/>
        <w:tabs>
          <w:tab w:leader="none" w:pos="16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sz w:val="20"/>
          <w:szCs w:val="20"/>
          <w:color w:val="auto"/>
        </w:rPr>
      </w:pPr>
    </w:p>
    <w:p>
      <w:pPr>
        <w:jc w:val="both"/>
        <w:ind w:left="2" w:right="20" w:hanging="2"/>
        <w:spacing w:after="0" w:line="324" w:lineRule="auto"/>
        <w:tabs>
          <w:tab w:leader="none" w:pos="2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6"/>
          <w:szCs w:val="16"/>
          <w:color w:val="auto"/>
        </w:rPr>
      </w:pPr>
    </w:p>
    <w:p>
      <w:pPr>
        <w:ind w:left="2" w:right="240" w:hanging="2"/>
        <w:spacing w:after="0" w:line="324" w:lineRule="auto"/>
        <w:tabs>
          <w:tab w:leader="none" w:pos="23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6"/>
          <w:szCs w:val="16"/>
          <w:color w:val="auto"/>
        </w:rPr>
      </w:pPr>
    </w:p>
    <w:p>
      <w:pPr>
        <w:ind w:left="2" w:right="360" w:hanging="2"/>
        <w:spacing w:after="0" w:line="344" w:lineRule="auto"/>
        <w:tabs>
          <w:tab w:leader="none" w:pos="2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6"/>
          <w:szCs w:val="16"/>
          <w:color w:val="auto"/>
        </w:rPr>
      </w:pPr>
    </w:p>
    <w:p>
      <w:pPr>
        <w:ind w:left="2" w:right="60" w:hanging="2"/>
        <w:spacing w:after="0" w:line="324" w:lineRule="auto"/>
        <w:tabs>
          <w:tab w:leader="none" w:pos="23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ind w:left="2" w:right="20" w:hanging="2"/>
        <w:spacing w:after="0" w:line="344" w:lineRule="auto"/>
        <w:tabs>
          <w:tab w:leader="none" w:pos="16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2" w:right="560" w:hanging="2"/>
        <w:spacing w:after="0" w:line="344" w:lineRule="auto"/>
        <w:tabs>
          <w:tab w:leader="none" w:pos="22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6"/>
          <w:szCs w:val="16"/>
          <w:color w:val="auto"/>
        </w:rPr>
      </w:pPr>
    </w:p>
    <w:p>
      <w:pPr>
        <w:ind w:left="2" w:right="260" w:hanging="2"/>
        <w:spacing w:after="0" w:line="344" w:lineRule="auto"/>
        <w:tabs>
          <w:tab w:leader="none" w:pos="23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October 30, 2020</w:t>
      </w:r>
    </w:p>
    <w:p>
      <w:pPr>
        <w:spacing w:after="0" w:line="222"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6"/>
          <w:szCs w:val="16"/>
          <w:color w:val="auto"/>
        </w:rPr>
        <w:t>/s/Bernard Acoca</w:t>
      </w:r>
    </w:p>
    <w:p>
      <w:pPr>
        <w:spacing w:after="0" w:line="37"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6"/>
          <w:szCs w:val="16"/>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597217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972175" cy="7620"/>
                    </a:xfrm>
                    <a:prstGeom prst="rect">
                      <a:avLst/>
                    </a:prstGeom>
                    <a:noFill/>
                  </pic:spPr>
                </pic:pic>
              </a:graphicData>
            </a:graphic>
          </wp:anchor>
        </w:drawing>
      </w:r>
    </w:p>
    <w:p>
      <w:pPr>
        <w:spacing w:after="0" w:line="11"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3" w:lineRule="exact"/>
        <w:rPr>
          <w:sz w:val="20"/>
          <w:szCs w:val="20"/>
          <w:color w:val="auto"/>
        </w:rPr>
      </w:pPr>
    </w:p>
    <w:p>
      <w:pPr>
        <w:ind w:left="62"/>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727075</wp:posOffset>
            </wp:positionV>
            <wp:extent cx="597217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972175" cy="234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31115</wp:posOffset>
            </wp:positionV>
            <wp:extent cx="59721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972175" cy="7620"/>
                    </a:xfrm>
                    <a:prstGeom prst="rect">
                      <a:avLst/>
                    </a:prstGeom>
                    <a:noFill/>
                  </pic:spPr>
                </pic:pic>
              </a:graphicData>
            </a:graphic>
          </wp:anchor>
        </w:drawing>
      </w:r>
    </w:p>
    <w:p>
      <w:pPr>
        <w:sectPr>
          <w:pgSz w:w="11900" w:h="16838" w:orient="portrait"/>
          <w:cols w:equalWidth="0" w:num="1">
            <w:col w:w="9422"/>
          </w:cols>
          <w:pgMar w:left="1238" w:top="378" w:right="1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CERTIFICATIONS</w:t>
      </w:r>
    </w:p>
    <w:p>
      <w:pPr>
        <w:spacing w:after="0" w:line="2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Laurance Roberts, certify that:</w:t>
      </w:r>
    </w:p>
    <w:p>
      <w:pPr>
        <w:spacing w:after="0" w:line="247" w:lineRule="exact"/>
        <w:rPr>
          <w:sz w:val="20"/>
          <w:szCs w:val="20"/>
          <w:color w:val="auto"/>
        </w:rPr>
      </w:pPr>
    </w:p>
    <w:p>
      <w:pPr>
        <w:ind w:left="162" w:hanging="162"/>
        <w:spacing w:after="0"/>
        <w:tabs>
          <w:tab w:leader="none" w:pos="16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El Pollo Loco Holdings, Inc.;</w:t>
      </w:r>
    </w:p>
    <w:p>
      <w:pPr>
        <w:spacing w:after="0" w:line="246" w:lineRule="exact"/>
        <w:rPr>
          <w:rFonts w:ascii="Times New Roman" w:cs="Times New Roman" w:eastAsia="Times New Roman" w:hAnsi="Times New Roman"/>
          <w:sz w:val="16"/>
          <w:szCs w:val="16"/>
          <w:color w:val="auto"/>
        </w:rPr>
      </w:pPr>
    </w:p>
    <w:p>
      <w:pPr>
        <w:jc w:val="both"/>
        <w:ind w:left="2" w:right="300" w:hanging="2"/>
        <w:spacing w:after="0" w:line="324" w:lineRule="auto"/>
        <w:tabs>
          <w:tab w:leader="none" w:pos="1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2" w:right="500" w:hanging="2"/>
        <w:spacing w:after="0" w:line="344" w:lineRule="auto"/>
        <w:tabs>
          <w:tab w:leader="none" w:pos="1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2" w:right="60" w:hanging="2"/>
        <w:spacing w:after="0" w:line="324" w:lineRule="auto"/>
        <w:tabs>
          <w:tab w:leader="none" w:pos="1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sz w:val="20"/>
          <w:szCs w:val="20"/>
          <w:color w:val="auto"/>
        </w:rPr>
      </w:pPr>
    </w:p>
    <w:p>
      <w:pPr>
        <w:jc w:val="both"/>
        <w:ind w:left="2" w:right="20" w:hanging="2"/>
        <w:spacing w:after="0" w:line="324" w:lineRule="auto"/>
        <w:tabs>
          <w:tab w:leader="none" w:pos="22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6"/>
          <w:szCs w:val="16"/>
          <w:color w:val="auto"/>
        </w:rPr>
      </w:pPr>
    </w:p>
    <w:p>
      <w:pPr>
        <w:ind w:left="2" w:right="240" w:hanging="2"/>
        <w:spacing w:after="0" w:line="324" w:lineRule="auto"/>
        <w:tabs>
          <w:tab w:leader="none" w:pos="2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6"/>
          <w:szCs w:val="16"/>
          <w:color w:val="auto"/>
        </w:rPr>
      </w:pPr>
    </w:p>
    <w:p>
      <w:pPr>
        <w:ind w:left="2" w:right="360" w:hanging="2"/>
        <w:spacing w:after="0" w:line="344" w:lineRule="auto"/>
        <w:tabs>
          <w:tab w:leader="none" w:pos="22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6"/>
          <w:szCs w:val="16"/>
          <w:color w:val="auto"/>
        </w:rPr>
      </w:pPr>
    </w:p>
    <w:p>
      <w:pPr>
        <w:ind w:left="2" w:right="60" w:hanging="2"/>
        <w:spacing w:after="0" w:line="324" w:lineRule="auto"/>
        <w:tabs>
          <w:tab w:leader="none" w:pos="2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sz w:val="20"/>
          <w:szCs w:val="20"/>
          <w:color w:val="auto"/>
        </w:rPr>
      </w:pPr>
    </w:p>
    <w:p>
      <w:pPr>
        <w:ind w:left="2" w:right="20" w:hanging="2"/>
        <w:spacing w:after="0" w:line="344" w:lineRule="auto"/>
        <w:tabs>
          <w:tab w:leader="none" w:pos="1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2" w:right="560" w:hanging="2"/>
        <w:spacing w:after="0" w:line="344" w:lineRule="auto"/>
        <w:tabs>
          <w:tab w:leader="none" w:pos="22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6"/>
          <w:szCs w:val="16"/>
          <w:color w:val="auto"/>
        </w:rPr>
      </w:pPr>
    </w:p>
    <w:p>
      <w:pPr>
        <w:ind w:left="2" w:right="260" w:hanging="2"/>
        <w:spacing w:after="0" w:line="344" w:lineRule="auto"/>
        <w:tabs>
          <w:tab w:leader="none" w:pos="23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Date: October 30, 2020</w:t>
      </w:r>
    </w:p>
    <w:p>
      <w:pPr>
        <w:spacing w:after="0" w:line="247"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6"/>
          <w:szCs w:val="16"/>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18415</wp:posOffset>
            </wp:positionV>
            <wp:extent cx="594042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940425" cy="7620"/>
                    </a:xfrm>
                    <a:prstGeom prst="rect">
                      <a:avLst/>
                    </a:prstGeom>
                    <a:noFill/>
                  </pic:spPr>
                </pic:pic>
              </a:graphicData>
            </a:graphic>
          </wp:anchor>
        </w:drawing>
      </w:r>
    </w:p>
    <w:p>
      <w:pPr>
        <w:spacing w:after="0" w:line="55"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6"/>
          <w:szCs w:val="16"/>
          <w:color w:val="auto"/>
        </w:rPr>
        <w:t>Laurance Roberts</w:t>
      </w:r>
    </w:p>
    <w:p>
      <w:pPr>
        <w:spacing w:after="0" w:line="30"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3"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597217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972175" cy="23495"/>
                    </a:xfrm>
                    <a:prstGeom prst="rect">
                      <a:avLst/>
                    </a:prstGeom>
                    <a:noFill/>
                  </pic:spPr>
                </pic:pic>
              </a:graphicData>
            </a:graphic>
          </wp:anchor>
        </w:drawing>
      </w:r>
    </w:p>
    <w:p>
      <w:pPr>
        <w:sectPr>
          <w:pgSz w:w="11900" w:h="16838" w:orient="portrait"/>
          <w:cols w:equalWidth="0" w:num="1">
            <w:col w:w="9422"/>
          </w:cols>
          <w:pgMar w:left="1238" w:top="378" w:right="1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247"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2020</w:t>
      </w:r>
    </w:p>
    <w:p>
      <w:pPr>
        <w:spacing w:after="0" w:line="2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59404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940425" cy="7620"/>
                    </a:xfrm>
                    <a:prstGeom prst="rect">
                      <a:avLst/>
                    </a:prstGeom>
                    <a:noFill/>
                  </pic:spPr>
                </pic:pic>
              </a:graphicData>
            </a:graphic>
          </wp:anchor>
        </w:drawing>
      </w: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Bernard Acoca</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18415</wp:posOffset>
            </wp:positionV>
            <wp:extent cx="594042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40425" cy="7620"/>
                    </a:xfrm>
                    <a:prstGeom prst="rect">
                      <a:avLst/>
                    </a:prstGeom>
                    <a:noFill/>
                  </pic:spPr>
                </pic:pic>
              </a:graphicData>
            </a:graphic>
          </wp:anchor>
        </w:drawing>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Laurance Roberts</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609600</wp:posOffset>
            </wp:positionV>
            <wp:extent cx="5972175"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972175" cy="23495"/>
                    </a:xfrm>
                    <a:prstGeom prst="rect">
                      <a:avLst/>
                    </a:prstGeom>
                    <a:noFill/>
                  </pic:spPr>
                </pic:pic>
              </a:graphicData>
            </a:graphic>
          </wp:anchor>
        </w:drawing>
      </w:r>
    </w:p>
    <w:sectPr>
      <w:pgSz w:w="11900" w:h="16838" w:orient="portrait"/>
      <w:cols w:equalWidth="0" w:num="1">
        <w:col w:w="9420"/>
      </w:cols>
      <w:pgMar w:left="1240" w:top="37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Roman"/>
      <w:start w:val="6"/>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3" Type="http://schemas.openxmlformats.org/officeDocument/2006/relationships/hyperlink" Target="https://www.sec.gov/Archives/edgar/data/1606366/000119312514332367/d779664dex31.htm" TargetMode="External"/><Relationship Id="rId64"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2020-10-30T15:25:17Z</dcterms:created>
  <dcterms:modified xsi:type="dcterms:W3CDTF">2020-10-30T15:25:17Z</dcterms:modified>
</cp:coreProperties>
</file>