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6005_07142026.xml.htm"/>
      <w:bookmarkStart w:id="1" w:name="ksform408106005_0714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 Pollo Loco Holdings, Inc.</w:t>
              </w:r>
            </w:hyperlink>
            <w:r>
              <w:rPr/>
              <w:t xml:space="preserve"> [ </w:t>
            </w:r>
            <w:r>
              <w:rPr>
                <w:rFonts w:ascii="Times;serif" w:hAnsi="Times;serif"/>
                <w:color w:val="0000FF"/>
                <w:sz w:val="24"/>
                <w:shd w:fill="FFFFFF" w:val="clear"/>
              </w:rPr>
              <w:t>LOCO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1"/>
        <w:gridCol w:w="926"/>
        <w:gridCol w:w="796"/>
        <w:gridCol w:w="615"/>
        <w:gridCol w:w="339"/>
        <w:gridCol w:w="905"/>
        <w:gridCol w:w="412"/>
        <w:gridCol w:w="798"/>
        <w:gridCol w:w="1244"/>
        <w:gridCol w:w="958"/>
        <w:gridCol w:w="13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16.74</w:t>
            </w:r>
            <w:r>
              <w:rPr>
                <w:rFonts w:ascii="Times;serif" w:hAnsi="Times;serif"/>
                <w:color w:val="008000"/>
                <w:position w:val="7"/>
                <w:sz w:val="16"/>
                <w:sz w:val="20"/>
                <w:shd w:fill="FFFFFF" w:val="clear"/>
              </w:rPr>
              <w:t>(1)</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3,560,454</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(2)</w:t>
            </w:r>
            <w:r>
              <w:rPr/>
              <w:t xml:space="preserve"> </w:t>
            </w:r>
          </w:p>
        </w:tc>
      </w:tr>
      <w:tr>
        <w:trPr/>
        <w:tc>
          <w:tcPr>
            <w:tcW w:w="18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369,247</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Biglari Reinsurance Ltd.</w:t>
            </w:r>
            <w:r>
              <w:rPr>
                <w:rFonts w:ascii="Times;serif" w:hAnsi="Times;serif"/>
                <w:color w:val="008000"/>
                <w:position w:val="7"/>
                <w:sz w:val="16"/>
                <w:sz w:val="20"/>
                <w:shd w:fill="FFFFFF" w:val="clear"/>
              </w:rPr>
              <w:t>(3)</w:t>
            </w:r>
            <w:r>
              <w:rPr/>
              <w:t xml:space="preserve"> </w:t>
            </w:r>
          </w:p>
        </w:tc>
      </w:tr>
      <w:tr>
        <w:trPr/>
        <w:tc>
          <w:tcPr>
            <w:tcW w:w="18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First Guard Insurance Company</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BIGLARI CAPITAL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LION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Biglari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Biglari Reinsurance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Biglari Insurance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$16.70 to $17.02. The reporting persons undertake to provide to the Issuer, any security holder of the Issuer or the staff of the Securities and Exchange Commision,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owned directly by The Lion Fund II, L.P. (the "Lion Fund II"). Biglari Capital Corp. ("BCC") is the general partner of the Lion Fund II. Mr. Biglari is the sole owner, Chairman and Chief Executive Officer of BCC. By virtue of these relationships, BCC and Mr. Biglari may be deemed to beneficially own the shares of Common Stock of the Issuer owned directly by the Lion Fund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owned directly by Biglari Reinsurance Ltd. ("Biglari Reinsurance"). Biglari Insurance Group Inc. ("Biglari Insurance") is the direct parent company of Biglari Reinsurance. Biglari Holdings Inc. ("Biglari Holdings") is the direct parent company of Biglari Insurance. Mr. Biglari is the Chairman and Chief Executive Officer of Biglari Holdings. By virute of these relationships, Biglari Insurance, Biglari Holdings and Mr. Biglari may be deemed to beneficially own the shares of Common Stock of the Issuer owned directly by Biglari Reinsurance.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owned directly by First Guard Insurance Company ("First Guard"). Biglari Reinsurance is the direct parent company of First Guard. Biglari Insurance is the direct parent company of Biglari Reinsurance. Biglari Holdings is the direct parent company of Biglari Insurance. Mr. Biglari is the Chairman and Chief Executive Officer of Biglari Holdings and has investment discretion over the securities owned by First Guard. By virtue of these relationships, Biglari Reinsurance, Biglari Insurance, Biglari Holdings and Mr. Biglari may be deemed to beneficially own the shares of Common Stock of the Issuer owned directly by First Guard.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filed jointly by Mr. Biglari, Biglari Holdings, BCC, the Lion Fund II, Biglari Reinsurance and Biglari Insurance. Each of the foregoing disclaims beneficial ownership of the shares of Common Stock reported herein except to the extent of his or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Sardar Biglari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Capital Corp.;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The Lion Fund II, L.P.; By: Biglari Capital Corp., its general partner;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Holdings Inc.,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Reinsurance Ltd.; By: /s/ Sardar Biglari, Chairman of the Board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Insurance Group Inc.; By: /s/ Sardar Biglari, Chairman of the Board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430" TargetMode="External"/><Relationship Id="rId5" Type="http://schemas.openxmlformats.org/officeDocument/2006/relationships/hyperlink" Target="http://www.sec.gov/cgi-bin/browse-edgar?action=getcompany&amp;CIK=00016063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34430" TargetMode="External"/><Relationship Id="rId9" Type="http://schemas.openxmlformats.org/officeDocument/2006/relationships/hyperlink" Target="http://www.sec.gov/cgi-bin/browse-edgar?action=getcompany&amp;CIK=0001334429" TargetMode="External"/><Relationship Id="rId10" Type="http://schemas.openxmlformats.org/officeDocument/2006/relationships/hyperlink" Target="http://www.sec.gov/cgi-bin/browse-edgar?action=getcompany&amp;CIK=0001580602" TargetMode="External"/><Relationship Id="rId11" Type="http://schemas.openxmlformats.org/officeDocument/2006/relationships/hyperlink" Target="http://www.sec.gov/cgi-bin/browse-edgar?action=getcompany&amp;CIK=0001726173" TargetMode="External"/><Relationship Id="rId12" Type="http://schemas.openxmlformats.org/officeDocument/2006/relationships/hyperlink" Target="http://www.sec.gov/cgi-bin/browse-edgar?action=getcompany&amp;CIK=0002035328" TargetMode="External"/><Relationship Id="rId13" Type="http://schemas.openxmlformats.org/officeDocument/2006/relationships/hyperlink" Target="http://www.sec.gov/cgi-bin/browse-edgar?action=getcompany&amp;CIK=000203496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1232</Words>
  <Characters>6668</Characters>
  <CharactersWithSpaces>7741</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