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2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20" w:right="200" w:hanging="512"/>
        <w:spacing w:after="0" w:line="256" w:lineRule="auto"/>
        <w:tabs>
          <w:tab w:leader="none" w:pos="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2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116205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7"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6680" w:type="dxa"/>
            <w:vAlign w:val="bottom"/>
          </w:tcPr>
          <w:p>
            <w:pPr>
              <w:jc w:val="center"/>
              <w:ind w:right="2499"/>
              <w:spacing w:after="0"/>
              <w:rPr>
                <w:sz w:val="20"/>
                <w:szCs w:val="20"/>
                <w:color w:val="auto"/>
              </w:rPr>
            </w:pPr>
            <w:r>
              <w:rPr>
                <w:rFonts w:ascii="Arial" w:cs="Arial" w:eastAsia="Arial" w:hAnsi="Arial"/>
                <w:sz w:val="18"/>
                <w:szCs w:val="18"/>
                <w:b w:val="1"/>
                <w:bCs w:val="1"/>
                <w:color w:val="auto"/>
                <w:w w:val="93"/>
              </w:rPr>
              <w:t>Delaware</w:t>
            </w:r>
          </w:p>
        </w:tc>
        <w:tc>
          <w:tcPr>
            <w:tcW w:w="2280" w:type="dxa"/>
            <w:vAlign w:val="bottom"/>
          </w:tcPr>
          <w:p>
            <w:pPr>
              <w:jc w:val="right"/>
              <w:ind w:right="579"/>
              <w:spacing w:after="0"/>
              <w:rPr>
                <w:sz w:val="20"/>
                <w:szCs w:val="20"/>
                <w:color w:val="auto"/>
              </w:rPr>
            </w:pPr>
            <w:r>
              <w:rPr>
                <w:rFonts w:ascii="Arial" w:cs="Arial" w:eastAsia="Arial" w:hAnsi="Arial"/>
                <w:sz w:val="18"/>
                <w:szCs w:val="18"/>
                <w:b w:val="1"/>
                <w:bCs w:val="1"/>
                <w:color w:val="auto"/>
              </w:rPr>
              <w:t>20-3563182</w:t>
            </w:r>
          </w:p>
        </w:tc>
      </w:tr>
      <w:tr>
        <w:trPr>
          <w:trHeight w:val="186"/>
        </w:trPr>
        <w:tc>
          <w:tcPr>
            <w:tcW w:w="6680" w:type="dxa"/>
            <w:vAlign w:val="bottom"/>
          </w:tcPr>
          <w:p>
            <w:pPr>
              <w:jc w:val="center"/>
              <w:ind w:right="249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27"/>
        </w:trPr>
        <w:tc>
          <w:tcPr>
            <w:tcW w:w="6680" w:type="dxa"/>
            <w:vAlign w:val="bottom"/>
          </w:tcPr>
          <w:p>
            <w:pPr>
              <w:jc w:val="center"/>
              <w:ind w:right="2499"/>
              <w:spacing w:after="0"/>
              <w:rPr>
                <w:sz w:val="20"/>
                <w:szCs w:val="20"/>
                <w:color w:val="auto"/>
              </w:rPr>
            </w:pPr>
            <w:r>
              <w:rPr>
                <w:rFonts w:ascii="Arial" w:cs="Arial" w:eastAsia="Arial" w:hAnsi="Arial"/>
                <w:sz w:val="18"/>
                <w:szCs w:val="18"/>
                <w:b w:val="1"/>
                <w:bCs w:val="1"/>
                <w:color w:val="auto"/>
                <w:w w:val="92"/>
              </w:rPr>
              <w:t>3535 Harbor Blvd., Suite 100, Costa Mesa, California</w:t>
            </w:r>
          </w:p>
        </w:tc>
        <w:tc>
          <w:tcPr>
            <w:tcW w:w="2280" w:type="dxa"/>
            <w:vAlign w:val="bottom"/>
          </w:tcPr>
          <w:p>
            <w:pPr>
              <w:jc w:val="right"/>
              <w:ind w:right="799"/>
              <w:spacing w:after="0"/>
              <w:rPr>
                <w:sz w:val="20"/>
                <w:szCs w:val="20"/>
                <w:color w:val="auto"/>
              </w:rPr>
            </w:pPr>
            <w:r>
              <w:rPr>
                <w:rFonts w:ascii="Arial" w:cs="Arial" w:eastAsia="Arial" w:hAnsi="Arial"/>
                <w:sz w:val="18"/>
                <w:szCs w:val="18"/>
                <w:b w:val="1"/>
                <w:bCs w:val="1"/>
                <w:color w:val="auto"/>
              </w:rPr>
              <w:t>92626</w:t>
            </w:r>
          </w:p>
        </w:tc>
      </w:tr>
      <w:tr>
        <w:trPr>
          <w:trHeight w:val="186"/>
        </w:trPr>
        <w:tc>
          <w:tcPr>
            <w:tcW w:w="6680" w:type="dxa"/>
            <w:vAlign w:val="bottom"/>
          </w:tcPr>
          <w:p>
            <w:pPr>
              <w:jc w:val="center"/>
              <w:ind w:right="24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680" w:type="dxa"/>
            <w:vAlign w:val="bottom"/>
          </w:tcPr>
          <w:p>
            <w:pPr>
              <w:jc w:val="right"/>
              <w:ind w:right="1079"/>
              <w:spacing w:after="0"/>
              <w:rPr>
                <w:sz w:val="20"/>
                <w:szCs w:val="20"/>
                <w:color w:val="auto"/>
              </w:rPr>
            </w:pPr>
            <w:r>
              <w:rPr>
                <w:rFonts w:ascii="Arial" w:cs="Arial" w:eastAsia="Arial" w:hAnsi="Arial"/>
                <w:sz w:val="18"/>
                <w:szCs w:val="18"/>
                <w:b w:val="1"/>
                <w:bCs w:val="1"/>
                <w:color w:val="auto"/>
              </w:rPr>
              <w:t>(714) 599-5000</w:t>
            </w:r>
          </w:p>
        </w:tc>
        <w:tc>
          <w:tcPr>
            <w:tcW w:w="2280" w:type="dxa"/>
            <w:vAlign w:val="bottom"/>
          </w:tcPr>
          <w:p>
            <w:pPr>
              <w:spacing w:after="0"/>
              <w:rPr>
                <w:sz w:val="24"/>
                <w:szCs w:val="24"/>
                <w:color w:val="auto"/>
              </w:rPr>
            </w:pPr>
          </w:p>
        </w:tc>
      </w:tr>
      <w:tr>
        <w:trPr>
          <w:trHeight w:val="186"/>
        </w:trPr>
        <w:tc>
          <w:tcPr>
            <w:tcW w:w="6680" w:type="dxa"/>
            <w:vAlign w:val="bottom"/>
          </w:tcPr>
          <w:p>
            <w:pPr>
              <w:jc w:val="center"/>
              <w:ind w:left="31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80" w:type="dxa"/>
            <w:vAlign w:val="bottom"/>
          </w:tcPr>
          <w:p>
            <w:pPr>
              <w:spacing w:after="0"/>
              <w:rPr>
                <w:sz w:val="16"/>
                <w:szCs w:val="16"/>
                <w:color w:val="auto"/>
              </w:rPr>
            </w:pPr>
          </w:p>
        </w:tc>
      </w:tr>
    </w:tbl>
    <w:p>
      <w:pPr>
        <w:spacing w:after="0" w:line="9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4" w:lineRule="exact"/>
        <w:rPr>
          <w:sz w:val="24"/>
          <w:szCs w:val="24"/>
          <w:color w:val="auto"/>
        </w:rPr>
      </w:pPr>
    </w:p>
    <w:p>
      <w:pPr>
        <w:ind w:right="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16" w:lineRule="exact"/>
        <w:rPr>
          <w:sz w:val="24"/>
          <w:szCs w:val="24"/>
          <w:color w:val="auto"/>
        </w:rPr>
      </w:pPr>
    </w:p>
    <w:p>
      <w:pPr>
        <w:ind w:right="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1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240"/>
          </w:cols>
          <w:pgMar w:left="240" w:top="355" w:right="419" w:bottom="1440" w:gutter="0" w:footer="0" w:header="0"/>
        </w:sectPr>
      </w:pP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3" w:lineRule="exact"/>
        <w:rPr>
          <w:sz w:val="24"/>
          <w:szCs w:val="24"/>
          <w:color w:val="auto"/>
        </w:rPr>
      </w:pPr>
    </w:p>
    <w:p>
      <w:pPr>
        <w:sectPr>
          <w:pgSz w:w="11900" w:h="16838" w:orient="portrait"/>
          <w:cols w:equalWidth="0" w:num="4">
            <w:col w:w="1620" w:space="480"/>
            <w:col w:w="5620" w:space="720"/>
            <w:col w:w="1860" w:space="720"/>
            <w:col w:w="220"/>
          </w:cols>
          <w:pgMar w:left="240" w:top="355" w:right="41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70" w:lineRule="exact"/>
        <w:rPr>
          <w:sz w:val="24"/>
          <w:szCs w:val="24"/>
          <w:color w:val="auto"/>
        </w:rPr>
      </w:pPr>
    </w:p>
    <w:p>
      <w:pPr>
        <w:sectPr>
          <w:pgSz w:w="11900" w:h="16838" w:orient="portrait"/>
          <w:cols w:equalWidth="0" w:num="5">
            <w:col w:w="1540" w:space="560"/>
            <w:col w:w="160" w:space="100"/>
            <w:col w:w="5360" w:space="720"/>
            <w:col w:w="1980" w:space="600"/>
            <w:col w:w="220"/>
          </w:cols>
          <w:pgMar w:left="240" w:top="355" w:right="419" w:bottom="1440" w:gutter="0" w:footer="0" w:header="0"/>
          <w:type w:val="continuous"/>
        </w:sectPr>
      </w:pPr>
    </w:p>
    <w:p>
      <w:pPr>
        <w:spacing w:after="0" w:line="33" w:lineRule="exact"/>
        <w:rPr>
          <w:sz w:val="24"/>
          <w:szCs w:val="24"/>
          <w:color w:val="auto"/>
        </w:rPr>
      </w:pPr>
    </w:p>
    <w:p>
      <w:pPr>
        <w:ind w:left="520"/>
        <w:spacing w:after="0"/>
        <w:tabs>
          <w:tab w:leader="none" w:pos="88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o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156" w:lineRule="exact"/>
        <w:rPr>
          <w:sz w:val="24"/>
          <w:szCs w:val="24"/>
          <w:color w:val="auto"/>
        </w:rPr>
      </w:pPr>
    </w:p>
    <w:p>
      <w:pPr>
        <w:sectPr>
          <w:pgSz w:w="11900" w:h="16838" w:orient="portrait"/>
          <w:cols w:equalWidth="0" w:num="3">
            <w:col w:w="9320" w:space="180"/>
            <w:col w:w="160" w:space="100"/>
            <w:col w:w="1480"/>
          </w:cols>
          <w:pgMar w:left="240" w:top="355" w:right="41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November 11, 2015, there were 38,284,435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308610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55"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Table of Contents</w:t>
            </w:r>
          </w:p>
        </w:tc>
        <w:tc>
          <w:tcPr>
            <w:tcW w:w="9920" w:type="dxa"/>
            <w:vAlign w:val="bottom"/>
            <w:gridSpan w:val="18"/>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80" w:type="dxa"/>
            <w:vAlign w:val="bottom"/>
          </w:tcPr>
          <w:p>
            <w:pPr>
              <w:spacing w:after="0"/>
              <w:rPr>
                <w:sz w:val="14"/>
                <w:szCs w:val="14"/>
                <w:color w:val="auto"/>
              </w:rPr>
            </w:pPr>
          </w:p>
        </w:tc>
      </w:tr>
      <w:tr>
        <w:trPr>
          <w:trHeight w:val="183"/>
        </w:trPr>
        <w:tc>
          <w:tcPr>
            <w:tcW w:w="11020" w:type="dxa"/>
            <w:vAlign w:val="bottom"/>
            <w:gridSpan w:val="21"/>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3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3</w:t>
            </w:r>
          </w:p>
        </w:tc>
      </w:tr>
      <w:tr>
        <w:trPr>
          <w:trHeight w:val="210"/>
        </w:trPr>
        <w:tc>
          <w:tcPr>
            <w:tcW w:w="21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w:t>
              </w:r>
            </w:hyperlink>
          </w:p>
        </w:tc>
        <w:tc>
          <w:tcPr>
            <w:tcW w:w="860" w:type="dxa"/>
            <w:vAlign w:val="bottom"/>
            <w:tcBorders>
              <w:top w:val="single" w:sz="8" w:color="0000EE"/>
            </w:tcBorders>
            <w:gridSpan w:val="5"/>
          </w:tcPr>
          <w:p>
            <w:pPr>
              <w:spacing w:after="0"/>
              <w:rPr>
                <w:sz w:val="18"/>
                <w:szCs w:val="18"/>
                <w:color w:val="auto"/>
              </w:rPr>
            </w:pPr>
          </w:p>
        </w:tc>
        <w:tc>
          <w:tcPr>
            <w:tcW w:w="8040" w:type="dxa"/>
            <w:vAlign w:val="bottom"/>
            <w:gridSpan w:val="8"/>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38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w:t>
              </w:r>
            </w:hyperlink>
          </w:p>
        </w:tc>
        <w:tc>
          <w:tcPr>
            <w:tcW w:w="7160" w:type="dxa"/>
            <w:vAlign w:val="bottom"/>
            <w:gridSpan w:val="7"/>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10"/>
        </w:trPr>
        <w:tc>
          <w:tcPr>
            <w:tcW w:w="4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w:t>
              </w:r>
            </w:hyperlink>
          </w:p>
        </w:tc>
        <w:tc>
          <w:tcPr>
            <w:tcW w:w="6380" w:type="dxa"/>
            <w:vAlign w:val="bottom"/>
            <w:gridSpan w:val="5"/>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49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6100" w:type="dxa"/>
            <w:vAlign w:val="bottom"/>
            <w:gridSpan w:val="4"/>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49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8"/>
                <w:szCs w:val="18"/>
                <w:color w:val="auto"/>
              </w:rPr>
            </w:pPr>
          </w:p>
        </w:tc>
        <w:tc>
          <w:tcPr>
            <w:tcW w:w="39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24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4. Controls and Procedures.</w:t>
              </w:r>
            </w:hyperlink>
          </w:p>
        </w:tc>
        <w:tc>
          <w:tcPr>
            <w:tcW w:w="8620" w:type="dxa"/>
            <w:vAlign w:val="bottom"/>
            <w:gridSpan w:val="11"/>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268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PART II—OTHER INFORMATION</w:t>
              </w:r>
            </w:hyperlink>
          </w:p>
        </w:tc>
        <w:tc>
          <w:tcPr>
            <w:tcW w:w="8340" w:type="dxa"/>
            <w:vAlign w:val="bottom"/>
            <w:gridSpan w:val="10"/>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1102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 Legal Proceedings.</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1940" w:type="dxa"/>
            <w:vAlign w:val="bottom"/>
            <w:tcBorders>
              <w:top w:val="single" w:sz="8" w:color="0000EE"/>
            </w:tcBorders>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 Risk Factors.</w:t>
              </w:r>
            </w:hyperlink>
          </w:p>
        </w:tc>
        <w:tc>
          <w:tcPr>
            <w:tcW w:w="9080" w:type="dxa"/>
            <w:vAlign w:val="bottom"/>
            <w:gridSpan w:val="14"/>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10"/>
        </w:trPr>
        <w:tc>
          <w:tcPr>
            <w:tcW w:w="49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2. Unregistered Sales of Equity Securities and Use of Proceeds.</w:t>
              </w:r>
            </w:hyperlink>
          </w:p>
        </w:tc>
        <w:tc>
          <w:tcPr>
            <w:tcW w:w="6060" w:type="dxa"/>
            <w:vAlign w:val="bottom"/>
            <w:gridSpan w:val="3"/>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Item 3.</w:t>
              </w:r>
            </w:hyperlink>
          </w:p>
        </w:tc>
        <w:tc>
          <w:tcPr>
            <w:tcW w:w="240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Defaults Upon Senior Securities.</w:t>
              </w:r>
            </w:hyperlink>
          </w:p>
        </w:tc>
        <w:tc>
          <w:tcPr>
            <w:tcW w:w="8080" w:type="dxa"/>
            <w:vAlign w:val="bottom"/>
            <w:gridSpan w:val="9"/>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4.</w:t>
              </w:r>
            </w:hyperlink>
          </w:p>
        </w:tc>
        <w:tc>
          <w:tcPr>
            <w:tcW w:w="1840" w:type="dxa"/>
            <w:vAlign w:val="bottom"/>
            <w:tcBorders>
              <w:bottom w:val="single" w:sz="8" w:color="0000EE"/>
            </w:tcBorders>
            <w:gridSpan w:val="8"/>
          </w:tcPr>
          <w:p>
            <w:pPr>
              <w:ind w:left="20"/>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Mine Safety Disclosures.</w:t>
              </w:r>
            </w:hyperlink>
          </w:p>
        </w:tc>
        <w:tc>
          <w:tcPr>
            <w:tcW w:w="8640" w:type="dxa"/>
            <w:vAlign w:val="bottom"/>
            <w:gridSpan w:val="12"/>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540" w:type="dxa"/>
            <w:vAlign w:val="bottom"/>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5.</w:t>
              </w:r>
            </w:hyperlink>
          </w:p>
        </w:tc>
        <w:tc>
          <w:tcPr>
            <w:tcW w:w="10480" w:type="dxa"/>
            <w:vAlign w:val="bottom"/>
            <w:gridSpan w:val="20"/>
          </w:tcPr>
          <w:p>
            <w:pPr>
              <w:ind w:left="20"/>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540" w:type="dxa"/>
            <w:vAlign w:val="bottom"/>
            <w:tcBorders>
              <w:top w:val="single" w:sz="8" w:color="0000EE"/>
            </w:tcBorders>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6.</w:t>
              </w:r>
            </w:hyperlink>
          </w:p>
        </w:tc>
        <w:tc>
          <w:tcPr>
            <w:tcW w:w="138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9100" w:type="dxa"/>
            <w:vAlign w:val="bottom"/>
            <w:gridSpan w:val="15"/>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1200" w:type="dxa"/>
            <w:vAlign w:val="bottom"/>
            <w:tcBorders>
              <w:top w:val="single" w:sz="8" w:color="0000EE"/>
            </w:tcBorders>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9820" w:type="dxa"/>
            <w:vAlign w:val="bottom"/>
            <w:gridSpan w:val="17"/>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FF0FC"/>
            </w:tcBorders>
          </w:tcPr>
          <w:p>
            <w:pPr>
              <w:spacing w:after="0"/>
              <w:rPr>
                <w:sz w:val="14"/>
                <w:szCs w:val="14"/>
                <w:color w:val="auto"/>
              </w:rPr>
            </w:pPr>
          </w:p>
        </w:tc>
        <w:tc>
          <w:tcPr>
            <w:tcW w:w="10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8,207</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Restricted cash</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Accounts and other receivables, net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Inventories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Income tax receivable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39,072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owned, net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Property held under capital leases, net</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Notes receivables, net of current portion</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248,674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Domestic trademarks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450,785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455,306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Current portion of obligations under capital leases</w:t>
            </w:r>
          </w:p>
        </w:tc>
        <w:tc>
          <w:tcPr>
            <w:tcW w:w="1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Accrued salaries and vacation</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Accrued insurance</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Accrued interest</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Accrued advertising</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 and current liabilities</w:t>
            </w:r>
          </w:p>
        </w:tc>
        <w:tc>
          <w:tcPr>
            <w:tcW w:w="10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Revolver loan</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liabilities, net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10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0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211,169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Commitments, contingencies and subsequent events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none issued or</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value—200,000,000 shares authorized; 38,284,435</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37,420,450 shares issued and outstanding</w:t>
            </w: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369,984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359,465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(130,751)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(149,439)</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0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239,616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450,785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455,306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4"/>
                <w:szCs w:val="14"/>
                <w:color w:val="auto"/>
              </w:rPr>
            </w:pPr>
          </w:p>
        </w:tc>
        <w:tc>
          <w:tcPr>
            <w:tcW w:w="23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6360" w:type="dxa"/>
            <w:vAlign w:val="bottom"/>
          </w:tcPr>
          <w:p>
            <w:pPr>
              <w:spacing w:after="0"/>
              <w:rPr>
                <w:sz w:val="11"/>
                <w:szCs w:val="11"/>
                <w:color w:val="auto"/>
              </w:rPr>
            </w:pPr>
          </w:p>
        </w:tc>
        <w:tc>
          <w:tcPr>
            <w:tcW w:w="1260" w:type="dxa"/>
            <w:vAlign w:val="bottom"/>
            <w:tcBorders>
              <w:top w:val="single" w:sz="8" w:color="auto"/>
            </w:tcBorders>
            <w:gridSpan w:val="3"/>
          </w:tcPr>
          <w:p>
            <w:pPr>
              <w:ind w:left="80"/>
              <w:spacing w:after="0" w:line="133" w:lineRule="exact"/>
              <w:rPr>
                <w:sz w:val="20"/>
                <w:szCs w:val="20"/>
                <w:color w:val="auto"/>
              </w:rPr>
            </w:pPr>
            <w:r>
              <w:rPr>
                <w:rFonts w:ascii="Arial" w:cs="Arial" w:eastAsia="Arial" w:hAnsi="Arial"/>
                <w:sz w:val="14"/>
                <w:szCs w:val="14"/>
                <w:b w:val="1"/>
                <w:bCs w:val="1"/>
                <w:color w:val="auto"/>
              </w:rPr>
              <w:t>September 30,</w:t>
            </w:r>
          </w:p>
        </w:tc>
        <w:tc>
          <w:tcPr>
            <w:tcW w:w="1080" w:type="dxa"/>
            <w:vAlign w:val="bottom"/>
            <w:tcBorders>
              <w:top w:val="single" w:sz="8" w:color="auto"/>
            </w:tcBorders>
            <w:gridSpan w:val="2"/>
          </w:tcPr>
          <w:p>
            <w:pPr>
              <w:jc w:val="right"/>
              <w:ind w:right="11"/>
              <w:spacing w:after="0" w:line="133" w:lineRule="exact"/>
              <w:rPr>
                <w:sz w:val="20"/>
                <w:szCs w:val="20"/>
                <w:color w:val="auto"/>
              </w:rPr>
            </w:pPr>
            <w:r>
              <w:rPr>
                <w:rFonts w:ascii="Arial" w:cs="Arial" w:eastAsia="Arial" w:hAnsi="Arial"/>
                <w:sz w:val="14"/>
                <w:szCs w:val="14"/>
                <w:b w:val="1"/>
                <w:bCs w:val="1"/>
                <w:color w:val="auto"/>
              </w:rPr>
              <w:t>September 24,</w:t>
            </w:r>
          </w:p>
        </w:tc>
        <w:tc>
          <w:tcPr>
            <w:tcW w:w="200" w:type="dxa"/>
            <w:vAlign w:val="bottom"/>
          </w:tcPr>
          <w:p>
            <w:pPr>
              <w:spacing w:after="0"/>
              <w:rPr>
                <w:sz w:val="11"/>
                <w:szCs w:val="11"/>
                <w:color w:val="auto"/>
              </w:rPr>
            </w:pPr>
          </w:p>
        </w:tc>
        <w:tc>
          <w:tcPr>
            <w:tcW w:w="1300" w:type="dxa"/>
            <w:vAlign w:val="bottom"/>
            <w:tcBorders>
              <w:top w:val="single" w:sz="8" w:color="auto"/>
            </w:tcBorders>
            <w:gridSpan w:val="3"/>
          </w:tcPr>
          <w:p>
            <w:pPr>
              <w:ind w:left="100"/>
              <w:spacing w:after="0" w:line="133" w:lineRule="exact"/>
              <w:rPr>
                <w:sz w:val="20"/>
                <w:szCs w:val="20"/>
                <w:color w:val="auto"/>
              </w:rPr>
            </w:pPr>
            <w:r>
              <w:rPr>
                <w:rFonts w:ascii="Arial" w:cs="Arial" w:eastAsia="Arial" w:hAnsi="Arial"/>
                <w:sz w:val="14"/>
                <w:szCs w:val="14"/>
                <w:b w:val="1"/>
                <w:bCs w:val="1"/>
                <w:color w:val="auto"/>
              </w:rPr>
              <w:t>September 30,</w:t>
            </w: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1"/>
              <w:spacing w:after="0" w:line="133" w:lineRule="exact"/>
              <w:rPr>
                <w:sz w:val="20"/>
                <w:szCs w:val="20"/>
                <w:color w:val="auto"/>
              </w:rPr>
            </w:pPr>
            <w:r>
              <w:rPr>
                <w:rFonts w:ascii="Arial" w:cs="Arial" w:eastAsia="Arial" w:hAnsi="Arial"/>
                <w:sz w:val="14"/>
                <w:szCs w:val="14"/>
                <w:b w:val="1"/>
                <w:bCs w:val="1"/>
                <w:color w:val="auto"/>
                <w:w w:val="91"/>
              </w:rPr>
              <w:t>September 24,</w:t>
            </w:r>
          </w:p>
        </w:tc>
        <w:tc>
          <w:tcPr>
            <w:tcW w:w="120" w:type="dxa"/>
            <w:vAlign w:val="bottom"/>
          </w:tcPr>
          <w:p>
            <w:pPr>
              <w:spacing w:after="0"/>
              <w:rPr>
                <w:sz w:val="11"/>
                <w:szCs w:val="11"/>
                <w:color w:val="auto"/>
              </w:rPr>
            </w:pPr>
          </w:p>
        </w:tc>
      </w:tr>
      <w:tr>
        <w:trPr>
          <w:trHeight w:val="171"/>
        </w:trPr>
        <w:tc>
          <w:tcPr>
            <w:tcW w:w="6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r>
      <w:tr>
        <w:trPr>
          <w:trHeight w:val="237"/>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Company-operated restaurant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82,986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80,861</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251,295</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238,432</w:t>
            </w:r>
          </w:p>
        </w:tc>
        <w:tc>
          <w:tcPr>
            <w:tcW w:w="12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Franchise revenue</w:t>
            </w: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5,884</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5,696</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17,456</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16,456</w:t>
            </w:r>
          </w:p>
        </w:tc>
        <w:tc>
          <w:tcPr>
            <w:tcW w:w="120" w:type="dxa"/>
            <w:vAlign w:val="bottom"/>
            <w:shd w:val="clear" w:color="auto" w:fill="CFF0FC"/>
          </w:tcPr>
          <w:p>
            <w:pPr>
              <w:spacing w:after="0"/>
              <w:rPr>
                <w:sz w:val="19"/>
                <w:szCs w:val="19"/>
                <w:color w:val="auto"/>
              </w:rPr>
            </w:pPr>
          </w:p>
        </w:tc>
      </w:tr>
      <w:tr>
        <w:trPr>
          <w:trHeight w:val="223"/>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88,870</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86,557</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268,751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254,888</w:t>
            </w:r>
          </w:p>
        </w:tc>
        <w:tc>
          <w:tcPr>
            <w:tcW w:w="120" w:type="dxa"/>
            <w:vAlign w:val="bottom"/>
            <w:tcBorders>
              <w:bottom w:val="single" w:sz="8" w:color="CFF0FC"/>
            </w:tcBorders>
          </w:tcPr>
          <w:p>
            <w:pPr>
              <w:spacing w:after="0"/>
              <w:rPr>
                <w:sz w:val="19"/>
                <w:szCs w:val="19"/>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operations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Food and paper cost</w:t>
            </w:r>
          </w:p>
        </w:tc>
        <w:tc>
          <w:tcPr>
            <w:tcW w:w="1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25,881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80,549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75,834</w:t>
            </w:r>
          </w:p>
        </w:tc>
        <w:tc>
          <w:tcPr>
            <w:tcW w:w="12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Labor and related expenses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20,822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63,493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59,552</w:t>
            </w:r>
          </w:p>
        </w:tc>
        <w:tc>
          <w:tcPr>
            <w:tcW w:w="120" w:type="dxa"/>
            <w:vAlign w:val="bottom"/>
            <w:shd w:val="clear" w:color="auto" w:fill="CFF0FC"/>
          </w:tcPr>
          <w:p>
            <w:pPr>
              <w:spacing w:after="0"/>
              <w:rPr>
                <w:sz w:val="19"/>
                <w:szCs w:val="19"/>
                <w:color w:val="auto"/>
              </w:rPr>
            </w:pPr>
          </w:p>
        </w:tc>
      </w:tr>
      <w:tr>
        <w:trPr>
          <w:trHeight w:val="230"/>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Occupancy and other operating expenses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18,207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18,102</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52,732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51,091</w:t>
            </w:r>
          </w:p>
        </w:tc>
        <w:tc>
          <w:tcPr>
            <w:tcW w:w="120" w:type="dxa"/>
            <w:vAlign w:val="bottom"/>
            <w:tcBorders>
              <w:bottom w:val="single" w:sz="8" w:color="CFF0FC"/>
            </w:tcBorders>
          </w:tcPr>
          <w:p>
            <w:pPr>
              <w:spacing w:after="0"/>
              <w:rPr>
                <w:sz w:val="19"/>
                <w:szCs w:val="19"/>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Company restaurant expenses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65,400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64,120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196,774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186,477</w:t>
            </w:r>
          </w:p>
        </w:tc>
        <w:tc>
          <w:tcPr>
            <w:tcW w:w="120" w:type="dxa"/>
            <w:vAlign w:val="bottom"/>
            <w:shd w:val="clear" w:color="auto" w:fill="CFF0FC"/>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6,316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20,206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20,974</w:t>
            </w:r>
          </w:p>
        </w:tc>
        <w:tc>
          <w:tcPr>
            <w:tcW w:w="12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Franchise expenses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120" w:type="dxa"/>
            <w:vAlign w:val="bottom"/>
            <w:shd w:val="clear" w:color="auto" w:fill="CFF0FC"/>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9,624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8,271</w:t>
            </w:r>
          </w:p>
        </w:tc>
        <w:tc>
          <w:tcPr>
            <w:tcW w:w="12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FF0FC"/>
          </w:tcPr>
          <w:p>
            <w:pPr>
              <w:spacing w:after="0"/>
              <w:rPr>
                <w:sz w:val="19"/>
                <w:szCs w:val="19"/>
                <w:color w:val="auto"/>
              </w:rPr>
            </w:pPr>
          </w:p>
        </w:tc>
      </w:tr>
      <w:tr>
        <w:trPr>
          <w:trHeight w:val="230"/>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 impairment and closed-store reserves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FF0FC"/>
            </w:tcBorders>
          </w:tcPr>
          <w:p>
            <w:pPr>
              <w:spacing w:after="0"/>
              <w:rPr>
                <w:sz w:val="19"/>
                <w:szCs w:val="19"/>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76,343</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75,594</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229,675</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219,573</w:t>
            </w:r>
          </w:p>
        </w:tc>
        <w:tc>
          <w:tcPr>
            <w:tcW w:w="120" w:type="dxa"/>
            <w:vAlign w:val="bottom"/>
            <w:shd w:val="clear" w:color="auto" w:fill="CFF0FC"/>
          </w:tcPr>
          <w:p>
            <w:pPr>
              <w:spacing w:after="0"/>
              <w:rPr>
                <w:sz w:val="19"/>
                <w:szCs w:val="19"/>
                <w:color w:val="auto"/>
              </w:rPr>
            </w:pPr>
          </w:p>
        </w:tc>
      </w:tr>
      <w:tr>
        <w:trPr>
          <w:trHeight w:val="223"/>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sale of restaurants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Borders>
              <w:bottom w:val="single" w:sz="8" w:color="CFF0FC"/>
            </w:tcBorders>
          </w:tcPr>
          <w:p>
            <w:pPr>
              <w:spacing w:after="0"/>
              <w:rPr>
                <w:sz w:val="19"/>
                <w:szCs w:val="19"/>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12,527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39,076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37,973</w:t>
            </w:r>
          </w:p>
        </w:tc>
        <w:tc>
          <w:tcPr>
            <w:tcW w:w="120" w:type="dxa"/>
            <w:vAlign w:val="bottom"/>
            <w:shd w:val="clear" w:color="auto" w:fill="CFF0FC"/>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15,286</w:t>
            </w:r>
          </w:p>
        </w:tc>
        <w:tc>
          <w:tcPr>
            <w:tcW w:w="12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Early extinguishment of debt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w:t>
            </w:r>
          </w:p>
        </w:tc>
        <w:tc>
          <w:tcPr>
            <w:tcW w:w="120" w:type="dxa"/>
            <w:vAlign w:val="bottom"/>
            <w:shd w:val="clear" w:color="auto" w:fill="CFF0FC"/>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Expenses related to selling shareholders</w:t>
            </w:r>
          </w:p>
        </w:tc>
        <w:tc>
          <w:tcPr>
            <w:tcW w:w="1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 agreement expense</w:t>
            </w: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40,119</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40,119</w:t>
            </w:r>
          </w:p>
        </w:tc>
        <w:tc>
          <w:tcPr>
            <w:tcW w:w="120" w:type="dxa"/>
            <w:vAlign w:val="bottom"/>
            <w:shd w:val="clear" w:color="auto" w:fill="CFF0FC"/>
          </w:tcPr>
          <w:p>
            <w:pPr>
              <w:spacing w:after="0"/>
              <w:rPr>
                <w:sz w:val="19"/>
                <w:szCs w:val="19"/>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Income (loss) before provision (benefit) for income taxes</w:t>
            </w:r>
          </w:p>
        </w:tc>
        <w:tc>
          <w:tcPr>
            <w:tcW w:w="1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(35,540)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34,969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(22,514)</w:t>
            </w:r>
          </w:p>
        </w:tc>
        <w:tc>
          <w:tcPr>
            <w:tcW w:w="12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6,505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(61,389)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(60,402)</w:t>
            </w:r>
          </w:p>
        </w:tc>
      </w:tr>
      <w:tr>
        <w:trPr>
          <w:trHeight w:val="263"/>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4,666</w:t>
            </w: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25,849</w:t>
            </w:r>
          </w:p>
        </w:tc>
        <w:tc>
          <w:tcPr>
            <w:tcW w:w="2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18,688</w:t>
            </w:r>
          </w:p>
        </w:tc>
        <w:tc>
          <w:tcPr>
            <w:tcW w:w="1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37,888</w:t>
            </w:r>
          </w:p>
        </w:tc>
        <w:tc>
          <w:tcPr>
            <w:tcW w:w="120" w:type="dxa"/>
            <w:vAlign w:val="bottom"/>
            <w:tcBorders>
              <w:bottom w:val="single" w:sz="8" w:color="CFF0FC"/>
            </w:tcBorders>
          </w:tcPr>
          <w:p>
            <w:pPr>
              <w:spacing w:after="0"/>
              <w:rPr>
                <w:sz w:val="22"/>
                <w:szCs w:val="22"/>
                <w:color w:val="auto"/>
              </w:rPr>
            </w:pPr>
          </w:p>
        </w:tc>
      </w:tr>
      <w:tr>
        <w:trPr>
          <w:trHeight w:val="224"/>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per share</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636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0.76</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r>
      <w:tr>
        <w:trPr>
          <w:trHeight w:val="24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21"/>
                <w:szCs w:val="21"/>
                <w:color w:val="auto"/>
              </w:rPr>
            </w:pPr>
          </w:p>
        </w:tc>
      </w:tr>
      <w:tr>
        <w:trPr>
          <w:trHeight w:val="243"/>
        </w:trPr>
        <w:tc>
          <w:tcPr>
            <w:tcW w:w="6360" w:type="dxa"/>
            <w:vAlign w:val="bottom"/>
          </w:tcPr>
          <w:p>
            <w:pPr>
              <w:spacing w:after="0"/>
              <w:rPr>
                <w:sz w:val="20"/>
                <w:szCs w:val="20"/>
                <w:color w:val="auto"/>
              </w:rPr>
            </w:pPr>
            <w:r>
              <w:rPr>
                <w:rFonts w:ascii="Arial" w:cs="Arial" w:eastAsia="Arial" w:hAnsi="Arial"/>
                <w:sz w:val="18"/>
                <w:szCs w:val="18"/>
                <w:b w:val="1"/>
                <w:bCs w:val="1"/>
                <w:color w:val="auto"/>
              </w:rPr>
              <w:t>Weighted-average shares used in computing net income per share</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5"/>
              </w:rPr>
              <w:t>38,275,317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34,221,829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5"/>
              </w:rPr>
              <w:t>37,837,610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30,549,979</w:t>
            </w:r>
          </w:p>
        </w:tc>
        <w:tc>
          <w:tcPr>
            <w:tcW w:w="120" w:type="dxa"/>
            <w:vAlign w:val="bottom"/>
            <w:shd w:val="clear" w:color="auto" w:fill="CFF0FC"/>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5"/>
              </w:rPr>
              <w:t>39,107,241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36,821,095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5"/>
              </w:rPr>
              <w:t>39,044,388</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32,450,231</w:t>
            </w:r>
          </w:p>
        </w:tc>
        <w:tc>
          <w:tcPr>
            <w:tcW w:w="12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8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191"/>
              <w:spacing w:after="0" w:line="133" w:lineRule="exact"/>
              <w:rPr>
                <w:sz w:val="20"/>
                <w:szCs w:val="20"/>
                <w:color w:val="auto"/>
              </w:rPr>
            </w:pPr>
            <w:r>
              <w:rPr>
                <w:rFonts w:ascii="Arial" w:cs="Arial" w:eastAsia="Arial" w:hAnsi="Arial"/>
                <w:sz w:val="14"/>
                <w:szCs w:val="14"/>
                <w:b w:val="1"/>
                <w:bCs w:val="1"/>
                <w:color w:val="auto"/>
                <w:w w:val="98"/>
              </w:rPr>
              <w:t>September 24,</w:t>
            </w:r>
          </w:p>
        </w:tc>
        <w:tc>
          <w:tcPr>
            <w:tcW w:w="120" w:type="dxa"/>
            <w:vAlign w:val="bottom"/>
          </w:tcPr>
          <w:p>
            <w:pPr>
              <w:spacing w:after="0"/>
              <w:rPr>
                <w:sz w:val="11"/>
                <w:szCs w:val="11"/>
                <w:color w:val="auto"/>
              </w:rPr>
            </w:pPr>
          </w:p>
        </w:tc>
      </w:tr>
      <w:tr>
        <w:trPr>
          <w:trHeight w:val="171"/>
        </w:trPr>
        <w:tc>
          <w:tcPr>
            <w:tcW w:w="84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r>
      <w:tr>
        <w:trPr>
          <w:trHeight w:val="223"/>
        </w:trPr>
        <w:tc>
          <w:tcPr>
            <w:tcW w:w="8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18,688</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37,888</w:t>
            </w:r>
          </w:p>
        </w:tc>
        <w:tc>
          <w:tcPr>
            <w:tcW w:w="120" w:type="dxa"/>
            <w:vAlign w:val="bottom"/>
          </w:tcPr>
          <w:p>
            <w:pPr>
              <w:spacing w:after="0"/>
              <w:rPr>
                <w:sz w:val="19"/>
                <w:szCs w:val="19"/>
                <w:color w:val="auto"/>
              </w:rPr>
            </w:pPr>
          </w:p>
        </w:tc>
      </w:tr>
      <w:tr>
        <w:trPr>
          <w:trHeight w:val="215"/>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flows provided by operating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8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8,271</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Interest accretion</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 agreement expense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40,119</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Gain on sale of restaurants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(2,658)</w:t>
            </w: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assets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5,082</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Closed-store reserve</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Amortization of favorable and unfavorable leases, net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Excess income tax benefit related to share-based compensation plans</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(5,700)</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(60,536)</w:t>
            </w: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8"/>
                <w:szCs w:val="18"/>
                <w:color w:val="auto"/>
              </w:rPr>
              <w:t>Accounts and other receivables, net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(1,215)</w:t>
            </w:r>
          </w:p>
        </w:tc>
      </w:tr>
      <w:tr>
        <w:trPr>
          <w:trHeight w:val="230"/>
        </w:trPr>
        <w:tc>
          <w:tcPr>
            <w:tcW w:w="8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receivable/payable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r>
      <w:tr>
        <w:trPr>
          <w:trHeight w:val="230"/>
        </w:trPr>
        <w:tc>
          <w:tcPr>
            <w:tcW w:w="848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(457)</w:t>
            </w:r>
          </w:p>
        </w:tc>
      </w:tr>
      <w:tr>
        <w:trPr>
          <w:trHeight w:val="230"/>
        </w:trPr>
        <w:tc>
          <w:tcPr>
            <w:tcW w:w="8480" w:type="dxa"/>
            <w:vAlign w:val="bottom"/>
          </w:tcPr>
          <w:p>
            <w:pPr>
              <w:ind w:left="260"/>
              <w:spacing w:after="0"/>
              <w:rPr>
                <w:sz w:val="20"/>
                <w:szCs w:val="20"/>
                <w:color w:val="auto"/>
              </w:rPr>
            </w:pPr>
            <w:r>
              <w:rPr>
                <w:rFonts w:ascii="Arial" w:cs="Arial" w:eastAsia="Arial" w:hAnsi="Arial"/>
                <w:sz w:val="18"/>
                <w:szCs w:val="18"/>
                <w:color w:val="auto"/>
              </w:rPr>
              <w:t>Accrued salaries and vacation</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(1,202)</w:t>
            </w:r>
          </w:p>
        </w:tc>
      </w:tr>
      <w:tr>
        <w:trPr>
          <w:trHeight w:val="230"/>
        </w:trPr>
        <w:tc>
          <w:tcPr>
            <w:tcW w:w="8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insurance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8"/>
                <w:szCs w:val="18"/>
                <w:color w:val="auto"/>
              </w:rPr>
              <w:t>Other accrued expenses and liabilities</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r>
      <w:tr>
        <w:trPr>
          <w:trHeight w:val="223"/>
        </w:trPr>
        <w:tc>
          <w:tcPr>
            <w:tcW w:w="8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flows provided by operating activities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43,421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restaurants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5,435</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(16,512)</w:t>
            </w: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(19,414)</w:t>
            </w:r>
          </w:p>
        </w:tc>
      </w:tr>
      <w:tr>
        <w:trPr>
          <w:trHeight w:val="223"/>
        </w:trPr>
        <w:tc>
          <w:tcPr>
            <w:tcW w:w="8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flows used in investing activities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Payments on senior secured loan</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(101,425)</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Proceeds from issuance of common stock, net of expenses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112,300</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Payments of call premium on notes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(1,512)</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Payments on revolver loan</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Payments on obligations under capital leases</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Amendment fee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(215)</w:t>
            </w:r>
          </w:p>
        </w:tc>
      </w:tr>
      <w:tr>
        <w:trPr>
          <w:trHeight w:val="230"/>
        </w:trPr>
        <w:tc>
          <w:tcPr>
            <w:tcW w:w="8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Excess income tax benefit related to share-based compensation plans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(used in) provided by financing activities</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8,947</w:t>
            </w:r>
          </w:p>
        </w:tc>
        <w:tc>
          <w:tcPr>
            <w:tcW w:w="120" w:type="dxa"/>
            <w:vAlign w:val="bottom"/>
            <w:shd w:val="clear" w:color="auto" w:fill="CFF0FC"/>
          </w:tcPr>
          <w:p>
            <w:pPr>
              <w:spacing w:after="0"/>
              <w:rPr>
                <w:sz w:val="19"/>
                <w:szCs w:val="19"/>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24,810</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17,015</w:t>
            </w:r>
          </w:p>
        </w:tc>
        <w:tc>
          <w:tcPr>
            <w:tcW w:w="120" w:type="dxa"/>
            <w:vAlign w:val="bottom"/>
            <w:shd w:val="clear" w:color="auto" w:fill="CFF0FC"/>
          </w:tcPr>
          <w:p>
            <w:pPr>
              <w:spacing w:after="0"/>
              <w:rPr>
                <w:sz w:val="19"/>
                <w:szCs w:val="19"/>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41,825</w:t>
            </w:r>
          </w:p>
        </w:tc>
        <w:tc>
          <w:tcPr>
            <w:tcW w:w="12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5"/>
          </w:tcPr>
          <w:p>
            <w:pPr>
              <w:ind w:left="6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2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56"/>
              <w:spacing w:after="0" w:line="133" w:lineRule="exact"/>
              <w:rPr>
                <w:sz w:val="20"/>
                <w:szCs w:val="20"/>
                <w:color w:val="auto"/>
              </w:rPr>
            </w:pPr>
            <w:r>
              <w:rPr>
                <w:rFonts w:ascii="Arial" w:cs="Arial" w:eastAsia="Arial" w:hAnsi="Arial"/>
                <w:sz w:val="14"/>
                <w:szCs w:val="14"/>
                <w:b w:val="1"/>
                <w:bCs w:val="1"/>
                <w:color w:val="auto"/>
              </w:rPr>
              <w:t>September 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80" w:type="dxa"/>
            <w:vAlign w:val="bottom"/>
            <w:tcBorders>
              <w:bottom w:val="single" w:sz="8" w:color="CFF0FC"/>
            </w:tcBorders>
            <w:vMerge w:val="continue"/>
          </w:tcPr>
          <w:p>
            <w:pPr>
              <w:spacing w:after="0"/>
              <w:rPr>
                <w:sz w:val="14"/>
                <w:szCs w:val="14"/>
                <w:color w:val="auto"/>
              </w:rPr>
            </w:pPr>
          </w:p>
        </w:tc>
        <w:tc>
          <w:tcPr>
            <w:tcW w:w="2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during the period for interest</w:t>
            </w:r>
          </w:p>
        </w:tc>
        <w:tc>
          <w:tcPr>
            <w:tcW w:w="2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Cash paid during the period for income taxes, net</w:t>
            </w:r>
          </w:p>
        </w:tc>
        <w:tc>
          <w:tcPr>
            <w:tcW w:w="2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FF0FC"/>
            </w:tcBorders>
            <w:vMerge w:val="continue"/>
          </w:tcPr>
          <w:p>
            <w:pPr>
              <w:spacing w:after="0"/>
              <w:rPr>
                <w:sz w:val="21"/>
                <w:szCs w:val="21"/>
                <w:color w:val="auto"/>
              </w:rPr>
            </w:pPr>
          </w:p>
        </w:tc>
        <w:tc>
          <w:tcPr>
            <w:tcW w:w="22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Unpaid purchases of property and equipment</w:t>
            </w:r>
          </w:p>
        </w:tc>
        <w:tc>
          <w:tcPr>
            <w:tcW w:w="2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Cashless stock option exercise</w:t>
            </w:r>
          </w:p>
        </w:tc>
        <w:tc>
          <w:tcPr>
            <w:tcW w:w="24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ind w:right="378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right="120"/>
        <w:spacing w:after="0" w:line="279" w:lineRule="auto"/>
        <w:rPr>
          <w:sz w:val="20"/>
          <w:szCs w:val="20"/>
          <w:color w:val="auto"/>
        </w:rPr>
      </w:pPr>
      <w:r>
        <w:rPr>
          <w:rFonts w:ascii="Arial" w:cs="Arial" w:eastAsia="Arial" w:hAnsi="Arial"/>
          <w:sz w:val="17"/>
          <w:szCs w:val="17"/>
          <w:color w:val="auto"/>
        </w:rPr>
        <w:t>El Pollo Loco Holdings, Inc. (“Holdings”) is a Delaware corporation headquartered in Costa Mesa, California. Holdings and its direct and indirect subsidiaries are collectively known as “we,” “us” or the “Company.” Our activities are conducted principally through our indirect wholly-owned subsidiary, El Pollo Loco, Inc. (“EPL”), which develops, franchises, licenses, and operates quick-service restaurants under the name El Pollo Loco® and operates under one operating segment. At September 30, 2015, we operated 175 and franchised 245 El Pollo Loco restaurants.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In the opinion of management, the accompanying unaudited condensed consolidated financial statements reflect all adjustments consisting of normal recurring adjustments necessary for a fair presentation of its financial position and results of operations and cash flows for the periods presented. Interim results of operations are not necessarily indicative of the results that may be achieved for the full year. The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31, 2014.</w:t>
      </w:r>
    </w:p>
    <w:p>
      <w:pPr>
        <w:spacing w:after="0" w:line="17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2014, which was a 53-week year, ended on December 31, 2014. Fiscal 2015, which is a 52-week year, will end on December 30, 2015. Because fiscal 2014 was a 53-week year, both revenues and expenses, and other financial and operational figures, may be on an elevated scale compared with 52-week periods both before and after.</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April 22, 2014, Chicken Acquisition Corp. (“CAC”), which was a predecessor of Holdings, as well as its wholly owned subsidiary, Chicken Subsidiary Corp (“CSC”) and CSC’s wholly owned subsidiary, the former El Pollo Loco Holdings, Inc. (“Old Holdings”) entered into the following reorganization transactions: (i) Old Holdings merged with and into CSC with CSC continuing as the surviving corporation; (ii) CSC merged with and into CAC with CAC continuing as the surviving corporation and (iii) CAC renamed itself El Pollo Loco Holdings, Inc.</w:t>
      </w:r>
    </w:p>
    <w:p>
      <w:pPr>
        <w:spacing w:after="0" w:line="18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Holdings has no material assets or operations. Holdings and Holdings’ direct subsidiary, EPL Intermediate, Inc. (“Intermediate”), guarantee EPL’s 2014 Revolver (see Note 4)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July 14, 2014, we amended our certificate of incorporation to increase our authorized share count to 200,000,000 shares of common stock, par value $0.01 per share, and split our stock 8.56381:1. On July 24, 2014, we amended and restated our certificate of incorporation to, among other things, increase our authorized share count to 300,000,000 shares of stock, including 200,000,000 shares of common stock and 100,000,000 shares of preferred stock, each par value $0.01 per share. On July 30, 2014, we completed our initial public offering of 8,214,286 shares of common stock at a price to the public of $15.00 per share (the “IPO”), including 1,071,429 shares sold to the underwriters pursuant to their option to purchase additional shares. After underwriting discounts, commissions, and fees and expenses of IPO offering and distribution, as set forth in our registration statement for the IPO on Form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ind w:right="20"/>
        <w:spacing w:after="0" w:line="221"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 we received net IPO proceeds of approximately $112.3 million. We used these proceeds primarily to repay in whole a $100 million second lien term loan (the “Second Lien Term Loan”). All share and per-share data herein have been adjusted to reflect the 8.56381 for 1 common stock split effected on July 14, 2014 as though it had occurred prior to the earliest data presented.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termination liabilities, closed store reserves, stock-based compensation, income tax receivable agreement liability, and income tax valuation allowances.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highly-liquid instruments with a maturity of three months or less at the date of purchase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restricted cash represents cash collateral to one commercial bank for Company credit cards.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Certain comparative prior year amounts in the condensed consolidated financial statements and accompanying notes have been reclassified to conform to the current year presentation. These reclassifications have no effect on previously-reported working capital, net income, earnings per share, stockholders’ equity,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Company’s principal liquidity requirements are to service our debt and to meet capital expenditure needs. At September 30, 2015, the Company’s total debt (including capital lease liabilities) was $125.7 million. The Company’s ability to make payments on its indebtedness and to fund planned capital expenditures depends on available cash and on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$8.2 million at September 30, 2015, and available borrowings under the 2014 Revolver (which availability was approximately $68 million at September 30, 2015) will be adequate to meet the Company’s liquidity needs for the next 12 months.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July 2015, the Financial Accounting Standard Board (“FASB”) issued Accounting Standards Update (“ASU”) No. 2015-11, "Simplifying the Measurement of Inventory."-ASU No. 2015-11 requires inventory that is recorded using the first-in, first-out method to be measured at the lower of cost or net realizable value. ASU No. 2015-11 will be effective retrospectively for the Company for the quarter ending December 31, 2017, with early adoption permitted. The adoption of this guidance is not expected to have a significant impact on the Company's consolidated financial statements.</w:t>
      </w:r>
    </w:p>
    <w:p>
      <w:pPr>
        <w:spacing w:after="0" w:line="17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April 2015, the FASB issued ASU No. 2015-03, Simplifying the Presentation of Debt Issuance Costs. To simplify presentation of debt issuance costs, the standard requires that debt issuance costs be presented in the balance sheet as a direct deduction from the carrying amount of debt liability, consistent with debt discounts or premiums. The recognition and measurement guidance for debt issuance costs would not be affected by the amendments in this</w:t>
      </w:r>
    </w:p>
    <w:p>
      <w:pPr>
        <w:ind w:right="300"/>
        <w:spacing w:after="0" w:line="255" w:lineRule="auto"/>
        <w:rPr>
          <w:sz w:val="20"/>
          <w:szCs w:val="20"/>
          <w:color w:val="auto"/>
        </w:rPr>
      </w:pPr>
      <w:r>
        <w:rPr>
          <w:rFonts w:ascii="Arial" w:cs="Arial" w:eastAsia="Arial" w:hAnsi="Arial"/>
          <w:sz w:val="18"/>
          <w:szCs w:val="18"/>
          <w:color w:val="auto"/>
        </w:rPr>
        <w:t>Update. ASU 2015-03 applies to all entities and is effective for annual reporting periods beginning after December 15, 2015, with early adoption permitted. The standard is to be applied retrospectively. The Company does not expect that the adoption of this standard will have a material effect on its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right="100"/>
        <w:spacing w:after="0" w:line="255" w:lineRule="auto"/>
        <w:rPr>
          <w:sz w:val="20"/>
          <w:szCs w:val="20"/>
          <w:color w:val="auto"/>
        </w:rPr>
      </w:pPr>
      <w:r>
        <w:rPr>
          <w:rFonts w:ascii="Arial" w:cs="Arial" w:eastAsia="Arial" w:hAnsi="Arial"/>
          <w:sz w:val="18"/>
          <w:szCs w:val="18"/>
          <w:color w:val="auto"/>
        </w:rPr>
        <w:t>In May 2014, the FASB issued ASU No. 2014-09, "Revenue from Contracts with Customers (Topic 606)." ASU No. 2014-09 clarifies the principles for recognizing revenue when an entity either enters into a contract with customers to transfer goods or services or enters into a contract for the transfer of non-financial assets. The original standard was effective retrospectively for the Company for the quarter ending December 31, 2017; however in July 2015, the FASB approved a one-year deferral of the standard. The new standard will become effective retrospectively for the Company for the quarter ending December 31, 2018, with early adoption permitted, but not before the original effective date. The Company does not expect that the adoption of this standard will have a material effect on its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Subsequent to September 30, 2015, the Company has completed four new store openings. Also subsequent to quarter end, the Company increased the letters of credit balance to $7.2M for changes in agreements with certain vendors.</w:t>
      </w:r>
    </w:p>
    <w:p>
      <w:pPr>
        <w:spacing w:after="0" w:line="200" w:lineRule="exact"/>
        <w:rPr>
          <w:sz w:val="20"/>
          <w:szCs w:val="20"/>
          <w:color w:val="auto"/>
        </w:rPr>
      </w:pPr>
    </w:p>
    <w:p>
      <w:pPr>
        <w:spacing w:after="0" w:line="29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evaluated subsequent events that have occurred after September 30, 2015, and determined that there were no other events or transactions occurring during this reporting period that require recognition or disclosure in the condensed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had two suppliers for which amounts due at September 30, 2015 totaled 19% and 9% of the Company’s accounts payable. As of December 31, 2014, the Company had two different suppliers for which amounts totaled 6% and 5% of the Company’s accounts payable. For the thirteen weeks ended September 30, 2015 and September 24, 2014, purchases from the Company’s two largest suppliers totaled 37% and 2% and 36% and 3% of the Company’s purchases. For the thirty-nine weeks ended September 30, 2015 and September 24, 2014, purchases from the Company’s two largest suppliers totaled 37% and 3% and 36% and 3%, respectively, of the Company’s purchases. Company-operated and franchised restaurants in the greater Los Angeles area generated, in the aggregate, approximately 78% and 80% of total revenue for both the thirteen weeks ended September 30, 2015 and September 24, 2014.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indefinite lived intangible assets consist of trademarks. Goodwill represents the excess of cost over fair value of net identified assets acquired in business combinations accounted for under the purchase method. The Company does not amortize its goodwill and indefinite lived intangible assets. Goodwill resulted from historical acquisitions.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Upon the sale of a restaurant, we decrement goodwill. The amount of goodwill included in the cost basis of the asset sold is determined based on the relative fair value of the portion of the reporting unit disposed compared to the fair value of the reporting unit retained.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performs annual impairment tests for goodwill during the fourth fiscal quarter of each year, or more frequently if impairment indicators arise.</w:t>
      </w:r>
    </w:p>
    <w:p>
      <w:pPr>
        <w:spacing w:after="0" w:line="2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reviews goodwill for impairment utilizing either a qualitative assessment or a two-step process. If the Company decides that it is appropriate to perform a qualitative assessment and concludes that the fair value of a reporting unit more likely than not exceeds its carrying value, no further evaluation is necessary. If the Company performs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16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performs annual impairment tests for indefinite 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right="48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did not identify any indicators of potential impairment during the thirteen and thirty-nine weeks ended September 30, 2015, and therefore did not perform any impairment review, nor did the Company record any impairment.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 to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The Company had no accrual for interest or penalties at September 30, 2015, or at December 31, 2014, and did not recognize interest or penalties during the thirteen or thirty-nine weeks ended September 30, 2015, or September 24, 2014, since there were no material unrecognized tax benefits. Management believes no material changes to the amount of unrecognized tax benefits will occur within the next twelve months.</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On July 30, 2014, the Company entered into the TRA. The TRA calls for the Company to pay to its pre-IPO stockholders 85% of the savings in cash that the Company realizes in its taxes as a result of utilizing its net operating losses and other tax attributes attributable to preceding periods.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14"/>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720" w:type="dxa"/>
            <w:vAlign w:val="bottom"/>
            <w:tcBorders>
              <w:bottom w:val="single" w:sz="8" w:color="CFF0FC"/>
            </w:tcBorders>
          </w:tcPr>
          <w:p>
            <w:pPr>
              <w:spacing w:after="0"/>
              <w:rPr>
                <w:sz w:val="14"/>
                <w:szCs w:val="14"/>
                <w:color w:val="auto"/>
              </w:rPr>
            </w:pPr>
          </w:p>
        </w:tc>
        <w:tc>
          <w:tcPr>
            <w:tcW w:w="18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12,323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99,150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92,834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Other property and equipment</w:t>
            </w: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53,342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49,890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8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10,080</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174,895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157,400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4"/>
              </w:rPr>
              <w:t>Less: accumulated depreciation and amortization</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(81,884)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(75,310)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18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93,011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20" w:type="dxa"/>
            <w:vAlign w:val="bottom"/>
            <w:vMerge w:val="restart"/>
          </w:tcPr>
          <w:p>
            <w:pPr>
              <w:jc w:val="right"/>
              <w:ind w:right="13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17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0" w:name="page11"/>
    <w:bookmarkEnd w:id="10"/>
    <w:p>
      <w:pPr>
        <w:ind w:right="180"/>
        <w:spacing w:after="0" w:line="293" w:lineRule="auto"/>
        <w:rPr>
          <w:sz w:val="20"/>
          <w:szCs w:val="20"/>
          <w:color w:val="auto"/>
        </w:rPr>
      </w:pPr>
      <w:r>
        <w:rPr>
          <w:rFonts w:ascii="Arial" w:cs="Arial" w:eastAsia="Arial" w:hAnsi="Arial"/>
          <w:sz w:val="16"/>
          <w:szCs w:val="16"/>
          <w:color w:val="auto"/>
        </w:rPr>
        <w:t>Depreciation expense was $3.3 million and $2.9 million and $9.6 million and $8.3 million for the thirteen and thirty-nine weeks ended September 30, 2015, and September 24, 2014, respectively. The gross value of assets under capital leases for buildings and improvements was $1,559,200 and $1,800,800 at September 30, 2015 and December 31, 2014, respectively. Accumulated depreciation for assets under capital leases was $1,461,000 and $1,673,000 as of September 30, 2015 and December 31, 2014, respectively. For the thirteen weeks ended September 30, 2015, capital expenditures totaled $10.8 million, including $1.7 million for restaurant remodeling and $6.9 million for new restaurant expenditures. For the thirty-nine weeks ended September 30, 2015, capital expenditures totaled $21.1 million, including $5.9 million for restaurant remodeling and $10.6 million for new restaurant expenditures.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 September 30, 2015, options to purchase 2,175,454 shares of common stock were outstanding, including 1,628,609 vested and 546,845 unvested. Unvested options vest over time, or upon our achieving annual financial goals. However, upon a change in control, the board may accelerate vesting. At September 30, 2015, 1,739,367 premium options remained outstanding. For the thirteen and thirty-nine weeks ended September 30, 2015, there were exercises of stock options for 18,340 and 863,247 shares, respectively. For the thirty-nine weeks ended September 24, 2014, there was one exercise of stock options for 739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2015, there were 12,352 restricted shares outstanding. Restricted shares vest over time.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September 30, 2015, we had total unrecognized compensation expense of $1.1 million, related to unvested stock options and restricted shares, which we expect to recognize over a weighted-average period of 2.2 years.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stock-based compensation expense was $165,000 and $608,000 for the thirteen and thirty-nine weeks ended September 30, 2015, respectively, and was $297,000 and $635,000 for the thirteen and thirty-nine weeks ended September 24, 2014,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CREDIT AGREEMENTS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provides for a $200 million five-year senior secured revolving facility (the “2014 Revolver”). The 2014 Revolver includes a sub limit of $15 million for letters of credit and a sub limit of $15 million for swingline loans. At September 30, 2015, $7.0 million of letters of credit were outstanding and $68.0 million was available to borrow under the revolving line of credit. The 2014 Revolver will mature on or about December 11, 2019.</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was initially set at 2.00% for LIBOR loans and at 1.00% for base rate loans until the delivery of financial statements and a compliance certificate for the first quarter of 2015. The interest rate range was 1.94% to 1.95% and 1.93% to 2.63% for the thirteen and thirty-nine weeks ended September 30, 2015, respectively.</w:t>
      </w:r>
    </w:p>
    <w:p>
      <w:pPr>
        <w:spacing w:after="0" w:line="17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The Company was in compliance with all such covenants at September 30, 2015. See Note 1 for restrictions on the payment of dividends under the 2014 Revolver.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Extinguishment of Debt</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proceeds from our IPO in July 2014 were primarily used to repay the 2013 Second Lien Term Loan. In conjunction with this repayment, we incurred an extinguishment of debt charge of $5.1 million, consisting of $1.5 million in call premium, $2.7 million related to the write-off of remaining unamortized deferred finance costs, and $0.9 million relating to the write-off of unamortized discount.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Transaction Costs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Transaction costs of $1.5 million were incurred in connection with the December 11, 2014 refinancing and were capitalized and are included in other assets in the accompanying condensed consolidated balance sheets and the related amortization is reflected as a component of interest expense, net, in the accompanying condensed consolidated statements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There are no required principal payments prior to maturity for the 2014 Revolver. During the thirty-nine weeks ended September 30, 2015, the Company elected to pay down $40.0 million of outstanding borrowing on our 2014 Revolver, primarily from our cash flow from operations and available cash.</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Accrued sales and property taxes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4,123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receivable agreement payable</w:t>
            </w:r>
          </w:p>
        </w:tc>
        <w:tc>
          <w:tcPr>
            <w:tcW w:w="1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7,609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Gift card liability</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accrued expenses and current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16,166</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OTHER NONCURRENT LIABILITIES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60" w:type="dxa"/>
            <w:vAlign w:val="bottom"/>
            <w:gridSpan w:val="2"/>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6,865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receivable agreement payable</w:t>
            </w:r>
          </w:p>
        </w:tc>
        <w:tc>
          <w:tcPr>
            <w:tcW w:w="1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34,796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2,813</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ind w:left="1720"/>
              <w:spacing w:after="0"/>
              <w:rPr>
                <w:sz w:val="20"/>
                <w:szCs w:val="20"/>
                <w:color w:val="auto"/>
              </w:rPr>
            </w:pPr>
            <w:r>
              <w:rPr>
                <w:rFonts w:ascii="Arial" w:cs="Arial" w:eastAsia="Arial" w:hAnsi="Arial"/>
                <w:sz w:val="18"/>
                <w:szCs w:val="18"/>
                <w:color w:val="auto"/>
              </w:rPr>
              <w:t>Total other noncurrent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44,474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right="776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160"/>
        <w:spacing w:after="0" w:line="271" w:lineRule="auto"/>
        <w:rPr>
          <w:sz w:val="20"/>
          <w:szCs w:val="20"/>
          <w:color w:val="auto"/>
        </w:rPr>
      </w:pPr>
      <w:r>
        <w:rPr>
          <w:rFonts w:ascii="Arial" w:cs="Arial" w:eastAsia="Arial" w:hAnsi="Arial"/>
          <w:sz w:val="17"/>
          <w:szCs w:val="17"/>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While the Company is vigorously defending against this action, including its class certification, the ultimate outcome of the case is presently not determinable as it is in a preliminary phase. Thus, the Company cannot at this time determine the likelihood of an adverse judgment nor a likely range of damages in the event of an adverse judgment. Any settlement of, or judgment with a negative outcome arising from, this lawsuit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2" w:name="page13"/>
    <w:bookmarkEnd w:id="12"/>
    <w:p>
      <w:pPr>
        <w:ind w:right="60"/>
        <w:spacing w:after="0" w:line="285" w:lineRule="auto"/>
        <w:rPr>
          <w:sz w:val="20"/>
          <w:szCs w:val="20"/>
          <w:color w:val="auto"/>
        </w:rPr>
      </w:pPr>
      <w:r>
        <w:rPr>
          <w:rFonts w:ascii="Arial" w:cs="Arial" w:eastAsia="Arial" w:hAnsi="Arial"/>
          <w:sz w:val="16"/>
          <w:szCs w:val="16"/>
          <w:u w:val="single" w:color="auto"/>
          <w:color w:val="auto"/>
        </w:rPr>
        <w:t>Daniel Turocy, et al. v. El Pollo Loco Holdings, Inc., et al.</w:t>
      </w:r>
      <w:r>
        <w:rPr>
          <w:rFonts w:ascii="Arial" w:cs="Arial" w:eastAsia="Arial" w:hAnsi="Arial"/>
          <w:sz w:val="16"/>
          <w:szCs w:val="16"/>
          <w:color w:val="auto"/>
        </w:rPr>
        <w:t xml:space="preserve"> (Case No. 8:15-cv-01343) was filed in the United States District Court for the Central District of California on August 24, 2015, and </w:t>
      </w:r>
      <w:r>
        <w:rPr>
          <w:rFonts w:ascii="Arial" w:cs="Arial" w:eastAsia="Arial" w:hAnsi="Arial"/>
          <w:sz w:val="16"/>
          <w:szCs w:val="16"/>
          <w:u w:val="single" w:color="auto"/>
          <w:color w:val="auto"/>
        </w:rPr>
        <w:t>Ron Huston, et al. v. El Pollo Loco Holdings, Inc., et al.</w:t>
      </w:r>
      <w:r>
        <w:rPr>
          <w:rFonts w:ascii="Arial" w:cs="Arial" w:eastAsia="Arial" w:hAnsi="Arial"/>
          <w:sz w:val="16"/>
          <w:szCs w:val="16"/>
          <w:color w:val="auto"/>
        </w:rPr>
        <w:t xml:space="preserve"> (Case No. 8:15-cv-01710) was filed in the United States District Court for the Central District of California on October 22, 2015. Plaintiff Daniel Turocy, on behalf of himself and others similarly situated, and Plaintiff Ron Huston, on behalf of himself and others similarly situated, each filed separate putative class action complaints, alleging violations of federal securities laws in connection with Holdings common stock purchased or otherwise acquired and, in the </w:t>
      </w:r>
      <w:r>
        <w:rPr>
          <w:rFonts w:ascii="Arial" w:cs="Arial" w:eastAsia="Arial" w:hAnsi="Arial"/>
          <w:sz w:val="16"/>
          <w:szCs w:val="16"/>
          <w:u w:val="single" w:color="auto"/>
          <w:color w:val="auto"/>
        </w:rPr>
        <w:t>Ron Huston</w:t>
      </w:r>
      <w:r>
        <w:rPr>
          <w:rFonts w:ascii="Arial" w:cs="Arial" w:eastAsia="Arial" w:hAnsi="Arial"/>
          <w:sz w:val="16"/>
          <w:szCs w:val="16"/>
          <w:color w:val="auto"/>
        </w:rPr>
        <w:t xml:space="preserve"> case, the purchase of call options or the sale of put options, between May 1, 2015 and August 13, 2015 (the “Class Period”). In both cases,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value-conscious store traffic.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 Defendants intend to vigorously defend against the claims asserted. In addition, on September 16, 2015, the Company and certain of its officers and directors received an informal, non-public inquiry from the SEC requesting voluntary production of documents and information. All parties are cooperating fully with the SEC's request.</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or about November 5, 2015, a purported EPL shareholder filed a derivative complaint on behalf of the Company in the Court of Chancery of the State of Delaware against certain EPL officers, directors and Trimaran Pollo Partners, L.L.C. The derivative complaint alleges that these defendants breached their fiduciary duties to EPL and were unjustly enriched when they sold shares of EPL at artificially inflated prices due to alleged misrepresentations and omissions regarding EPL’s comparable store sales in the second quarter of 2015. The EPL shareholder’s requested remedies include an award of compensatory damages to EPL, as well as a court order to improve corporate governance by putting forward for stockholder vote certain resolutions for amendments to EPL’s Bylaws or Certificate of Incorporation.</w:t>
      </w:r>
    </w:p>
    <w:p>
      <w:pPr>
        <w:spacing w:after="0" w:line="2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the Company’s financial position, results of operations, liquidity, or capital resources. A significant increase in the number of claims, or an increase in amounts owing under successful claims, could materially and adversely affect the Company’s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into 2017 with an estimated Company obligation totaling $15.2 million as of September 30,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2015, the Company’s total estimated commitment to purchase chicken was $12.6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a result of assigning the Company’s interest in obligations under real estate leases in connection with the sale of Company-operated restaurants to some of the Company’s franchisees, the Company is contingently liable on four lease agreements. These leases have various terms, the latest of which expires in 2022. As of September 30, 2015, the potential amount of undiscounted payments the Company could be required to make in the event of non-payment by the primary lessee was $1,431,000. The present value of these potential payments discounted at the Company’s estimated pre-tax cost of debt at September 30, 2015 was $1,308,000.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condensed consolidated financial statements related to these contingent liabilities.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has employment agreements with four of the officers of the Company on an at will basis. These agreements provide for minimum salary levels, possible annual adjustments for cost-of-living changes, and incentive bonuses that are payable under certain business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executive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executive officers.</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8. NET INCOME PER SHARE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Basic net income per share is calculated using the weighted-average number of shares of common stock outstanding during the thirteen and thirty-nine weeks ended September 30, 2015, and September 24, 2014. Diluted net income per share is calculated using the weighted-average number of shares of common stock outstanding and potentially dilutive during the period, using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net income per share data for the periods indicated, which are in thousands except for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7"/>
          </w:tcPr>
          <w:p>
            <w:pPr>
              <w:ind w:left="44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5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76"/>
              <w:spacing w:after="0" w:line="133" w:lineRule="exact"/>
              <w:rPr>
                <w:sz w:val="20"/>
                <w:szCs w:val="20"/>
                <w:color w:val="auto"/>
              </w:rPr>
            </w:pPr>
            <w:r>
              <w:rPr>
                <w:rFonts w:ascii="Arial" w:cs="Arial" w:eastAsia="Arial" w:hAnsi="Arial"/>
                <w:sz w:val="14"/>
                <w:szCs w:val="14"/>
                <w:b w:val="1"/>
                <w:bCs w:val="1"/>
                <w:color w:val="auto"/>
                <w:w w:val="91"/>
              </w:rPr>
              <w:t>September 24,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6"/>
              <w:spacing w:after="0" w:line="133" w:lineRule="exact"/>
              <w:rPr>
                <w:sz w:val="20"/>
                <w:szCs w:val="20"/>
                <w:color w:val="auto"/>
              </w:rPr>
            </w:pPr>
            <w:r>
              <w:rPr>
                <w:rFonts w:ascii="Arial" w:cs="Arial" w:eastAsia="Arial" w:hAnsi="Arial"/>
                <w:sz w:val="14"/>
                <w:szCs w:val="14"/>
                <w:b w:val="1"/>
                <w:bCs w:val="1"/>
                <w:color w:val="auto"/>
                <w:w w:val="89"/>
              </w:rPr>
              <w:t>September 24,</w:t>
            </w:r>
          </w:p>
        </w:tc>
        <w:tc>
          <w:tcPr>
            <w:tcW w:w="120" w:type="dxa"/>
            <w:vAlign w:val="bottom"/>
          </w:tcPr>
          <w:p>
            <w:pPr>
              <w:spacing w:after="0"/>
              <w:rPr>
                <w:sz w:val="11"/>
                <w:szCs w:val="11"/>
                <w:color w:val="auto"/>
              </w:rPr>
            </w:pPr>
          </w:p>
        </w:tc>
      </w:tr>
      <w:tr>
        <w:trPr>
          <w:trHeight w:val="171"/>
        </w:trPr>
        <w:tc>
          <w:tcPr>
            <w:tcW w:w="580" w:type="dxa"/>
            <w:vAlign w:val="bottom"/>
          </w:tcPr>
          <w:p>
            <w:pPr>
              <w:spacing w:after="0"/>
              <w:rPr>
                <w:sz w:val="14"/>
                <w:szCs w:val="14"/>
                <w:color w:val="auto"/>
              </w:rPr>
            </w:pPr>
          </w:p>
        </w:tc>
        <w:tc>
          <w:tcPr>
            <w:tcW w:w="416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FF0FC"/>
            </w:tcBorders>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25,849</w:t>
            </w:r>
          </w:p>
        </w:tc>
        <w:tc>
          <w:tcPr>
            <w:tcW w:w="40" w:type="dxa"/>
            <w:vAlign w:val="bottom"/>
          </w:tcPr>
          <w:p>
            <w:pPr>
              <w:spacing w:after="0"/>
              <w:rPr>
                <w:sz w:val="19"/>
                <w:szCs w:val="19"/>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18,688</w:t>
            </w:r>
          </w:p>
        </w:tc>
        <w:tc>
          <w:tcPr>
            <w:tcW w:w="3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37,888</w:t>
            </w: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Weighted-average shares outstanding—basic</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38,275,317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34,221,829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37,837,610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30,549,979</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outstanding—diluted</w:t>
            </w:r>
          </w:p>
        </w:tc>
        <w:tc>
          <w:tcPr>
            <w:tcW w:w="3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39,107,241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36,821,095</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39,044,388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32,450,231</w:t>
            </w:r>
          </w:p>
        </w:tc>
        <w:tc>
          <w:tcPr>
            <w:tcW w:w="120" w:type="dxa"/>
            <w:vAlign w:val="bottom"/>
            <w:shd w:val="clear" w:color="auto" w:fill="CFF0FC"/>
          </w:tcPr>
          <w:p>
            <w:pPr>
              <w:spacing w:after="0"/>
              <w:rPr>
                <w:sz w:val="19"/>
                <w:szCs w:val="19"/>
                <w:color w:val="auto"/>
              </w:rPr>
            </w:pPr>
          </w:p>
        </w:tc>
      </w:tr>
      <w:tr>
        <w:trPr>
          <w:trHeight w:val="223"/>
        </w:trPr>
        <w:tc>
          <w:tcPr>
            <w:tcW w:w="4740" w:type="dxa"/>
            <w:vAlign w:val="bottom"/>
            <w:gridSpan w:val="2"/>
          </w:tcPr>
          <w:p>
            <w:pPr>
              <w:ind w:left="580"/>
              <w:spacing w:after="0"/>
              <w:rPr>
                <w:sz w:val="20"/>
                <w:szCs w:val="20"/>
                <w:color w:val="auto"/>
              </w:rPr>
            </w:pPr>
            <w:r>
              <w:rPr>
                <w:rFonts w:ascii="Arial" w:cs="Arial" w:eastAsia="Arial" w:hAnsi="Arial"/>
                <w:sz w:val="18"/>
                <w:szCs w:val="18"/>
                <w:color w:val="auto"/>
              </w:rPr>
              <w:t>Net income per share—basic</w:t>
            </w:r>
          </w:p>
        </w:tc>
        <w:tc>
          <w:tcPr>
            <w:tcW w:w="30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share—diluted</w:t>
            </w:r>
          </w:p>
        </w:tc>
        <w:tc>
          <w:tcPr>
            <w:tcW w:w="4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4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3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r>
      <w:tr>
        <w:trPr>
          <w:trHeight w:val="209"/>
        </w:trPr>
        <w:tc>
          <w:tcPr>
            <w:tcW w:w="4740" w:type="dxa"/>
            <w:vAlign w:val="bottom"/>
            <w:gridSpan w:val="2"/>
          </w:tcPr>
          <w:p>
            <w:pPr>
              <w:ind w:left="580"/>
              <w:spacing w:after="0"/>
              <w:rPr>
                <w:sz w:val="20"/>
                <w:szCs w:val="20"/>
                <w:color w:val="auto"/>
              </w:rPr>
            </w:pPr>
            <w:r>
              <w:rPr>
                <w:rFonts w:ascii="Arial" w:cs="Arial" w:eastAsia="Arial" w:hAnsi="Arial"/>
                <w:sz w:val="18"/>
                <w:szCs w:val="18"/>
                <w:color w:val="auto"/>
                <w:w w:val="99"/>
              </w:rPr>
              <w:t>Anti-dilutive securities not considered in diluted EPS</w:t>
            </w:r>
          </w:p>
        </w:tc>
        <w:tc>
          <w:tcPr>
            <w:tcW w:w="3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calculation</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426"/>
        </w:trPr>
        <w:tc>
          <w:tcPr>
            <w:tcW w:w="4740" w:type="dxa"/>
            <w:vAlign w:val="bottom"/>
            <w:gridSpan w:val="2"/>
          </w:tcPr>
          <w:p>
            <w:pPr>
              <w:spacing w:after="0"/>
              <w:rPr>
                <w:sz w:val="20"/>
                <w:szCs w:val="20"/>
                <w:color w:val="auto"/>
              </w:rPr>
            </w:pPr>
            <w:r>
              <w:rPr>
                <w:rFonts w:ascii="Arial" w:cs="Arial" w:eastAsia="Arial" w:hAnsi="Arial"/>
                <w:sz w:val="18"/>
                <w:szCs w:val="18"/>
                <w:color w:val="auto"/>
              </w:rPr>
              <w:t>Below is a reconciliation of basic and diluted share counts.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7"/>
          </w:tcPr>
          <w:p>
            <w:pPr>
              <w:ind w:left="46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5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1"/>
              </w:rPr>
              <w:t>September 24,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7"/>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56"/>
              <w:spacing w:after="0" w:line="133" w:lineRule="exact"/>
              <w:rPr>
                <w:sz w:val="20"/>
                <w:szCs w:val="20"/>
                <w:color w:val="auto"/>
              </w:rPr>
            </w:pPr>
            <w:r>
              <w:rPr>
                <w:rFonts w:ascii="Arial" w:cs="Arial" w:eastAsia="Arial" w:hAnsi="Arial"/>
                <w:sz w:val="14"/>
                <w:szCs w:val="14"/>
                <w:b w:val="1"/>
                <w:bCs w:val="1"/>
                <w:color w:val="auto"/>
                <w:w w:val="91"/>
              </w:rPr>
              <w:t>September 24,</w:t>
            </w:r>
          </w:p>
        </w:tc>
        <w:tc>
          <w:tcPr>
            <w:tcW w:w="120" w:type="dxa"/>
            <w:vAlign w:val="bottom"/>
          </w:tcPr>
          <w:p>
            <w:pPr>
              <w:spacing w:after="0"/>
              <w:rPr>
                <w:sz w:val="11"/>
                <w:szCs w:val="11"/>
                <w:color w:val="auto"/>
              </w:rPr>
            </w:pPr>
          </w:p>
        </w:tc>
      </w:tr>
      <w:tr>
        <w:trPr>
          <w:trHeight w:val="171"/>
        </w:trPr>
        <w:tc>
          <w:tcPr>
            <w:tcW w:w="580" w:type="dxa"/>
            <w:vAlign w:val="bottom"/>
          </w:tcPr>
          <w:p>
            <w:pPr>
              <w:spacing w:after="0"/>
              <w:rPr>
                <w:sz w:val="14"/>
                <w:szCs w:val="14"/>
                <w:color w:val="auto"/>
              </w:rPr>
            </w:pPr>
          </w:p>
        </w:tc>
        <w:tc>
          <w:tcPr>
            <w:tcW w:w="416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FF0FC"/>
            </w:tcBorders>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outstanding—basic</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38,275,317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34,221,829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37,837,610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30,549,979</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Dilutive effect of stock options and restricted shares</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831,924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2,599,266</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1,206,778</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1,900,252</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outstanding—diluted</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39,107,241</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36,821,095</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39,044,388</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32,450,231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Trimaran Pollo Partners, L.L.C. (“LLC”), owns approximately 43.7%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w:t>
      </w:r>
    </w:p>
    <w:p>
      <w:pPr>
        <w:spacing w:after="0" w:line="2"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member of the board of directors may be removed at any time without cause by affirmative vote of a majority of the Company’s common stock,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stockholders representing 40% or greater ownership may cause special stockholder meetings to be called.</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4" w:name="page15"/>
    <w:bookmarkEnd w:id="14"/>
    <w:p>
      <w:pPr>
        <w:spacing w:after="0" w:line="255" w:lineRule="auto"/>
        <w:rPr>
          <w:sz w:val="20"/>
          <w:szCs w:val="20"/>
          <w:color w:val="auto"/>
        </w:rPr>
      </w:pPr>
      <w:r>
        <w:rPr>
          <w:rFonts w:ascii="Arial" w:cs="Arial" w:eastAsia="Arial" w:hAnsi="Arial"/>
          <w:sz w:val="18"/>
          <w:szCs w:val="18"/>
          <w:color w:val="auto"/>
        </w:rPr>
        <w:t>On November 18, 2005, the Company entered into a Monitoring and Management Services Agreement (the “Agreement”) with Trimaran Fund Management, L.L.C. (“Fund Management”), an affiliate of Trimaran and of certain directors, which provided for annual fees of $500,000 and reasonable expenses. This Agreement was amended on December 26, 2007 to add an affiliate of Freeman Spogli, Freeman Spogli &amp; Co. V, L.P., as a party sharing in the fees payable under the Agreement. During the thirteen and thirty-nine weeks ended September 24, 2014, $50,500 and $342,900, respectively, was paid pursuant to this Agreement. This amount was included in general and administrative expenses in the accompanying condensed consolidated statements of operations. The Agreement terminated as of the Company’s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discussion and analysis should be read in conjunction with Item 1 above and with the financial statements contained in our annual report on Form 10-K for the year ended December 31, 2014. This discussion and analysis contains forward-looking statements that involve risks, uncertainties and assumptions. Outcomes may differ materially from our expectations. For more information, we direct you to the sections “Risk Factors” and “Forward-Looking Statements” in our annual report. We make no guarantees regarding outcomes, and assume no obligations to update the forward-looking statements herein, except pursuant to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El Pollo Loco is a differentiated and growing restaurant concept that specializes in fire-grilling citrus-marinated chicken in front of our customers, operating in the limited service restaurant (“LSR”) segment. We believe that we offer the quality of food and dining experience typical of fast casual restaurants while providing the speed, convenience, and value typical of traditional quick service restaurants (“QSRs”), a combination that we call “QSR+” and that provides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engaging team members in a colorful, bright, and contemporary restaurant environment. We serve individual and family-sized chicken meals, a variety of Mexican-inspired entrees and sides, and, throughout the year, on a limited-time basis, alternative proteins like shrimp, carnitas, and beef. Our entrees include favorites such as our Poblano Avocado Burrito, Under 500 Calorie Mango Grilled Tostada, Ultimate Pollo Bowl and Baja Shrimp Tacos. Our freshly-prepared salsas and dressings are prepared daily, allowing our customers to create their favorite flavor profiles to enhance their culinary experience. Our distinctive menu with healthier alternatives appeals to consumers across a wide variety of socio-economic backgrounds and drives our balanced day-part mix.</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on the following strategies:</w:t>
      </w:r>
    </w:p>
    <w:p>
      <w:pPr>
        <w:spacing w:after="0" w:line="140" w:lineRule="exact"/>
        <w:rPr>
          <w:sz w:val="20"/>
          <w:szCs w:val="20"/>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September 30, 2015, we had 420 locations in five states. In fiscal 2014, we opened eleven new company-operated and five new franchised restaurants across Arizona, California, Nevada, and Texas. For the quarter ended September 30, 2015, we opened one new company-operated restaurant in California and one franchised restaurant in Texas. Year to date, we have opened three new company-operated restaurants (two in Texas and one in California) and two franchised restaurants (one in California and one in Texas). For the remainder of 2015, we intend to open eleven to thirteen new company-operated and three new franchised restaurants in Arizona, California, and Texas. Over the long term, we plan to grow the number of El Pollo Loco restaurants by 8% to 10% annually. To increase comparable restaurant sales, we plan to increase customer frequency, attract new customers, and improve per-person spend. We believe that we are well-positioned for future growth, with a developed corporate infrastructure capable of supporting a future restaurant base that is greater than our existing one. Additionally, we believe that we have an opportunity to optimize costs and enhance our profitability as we benefit from economies of scale. These growth rates are not guaranteed.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System-wide, for the quarter and year-to-date periods ended September 30, 2015, comparable restaurant sales increased 0.6% and 2.3%, respectively. For company-operated restaurants, comparable restaurant sales remained flat with the same quarter prior year and increased 1.0% year to date, respectively. For company-operated restaurants, the quarter’s comparable restaurant sales consisted of a 1.9% decrease in traffic, offset by a 1.9% increase in average check size year over year. For franchised restaurants, comparable restaurant sales increased 1.1% and 3.3%, respectively.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restaurant counts at the beginning and end of each of the last three fiscal years and the thirty-nine weeks ended September 30, 2015, were as follows.</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Thirty-Nine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Weeks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Fiscal Year Ended</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1"/>
                <w:szCs w:val="11"/>
                <w:color w:val="auto"/>
              </w:rPr>
            </w:pPr>
          </w:p>
        </w:tc>
        <w:tc>
          <w:tcPr>
            <w:tcW w:w="104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Company-operated restaurant activity:</w:t>
            </w: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Restaurant sale to franchisee</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Closures</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13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Restaurants at end of period</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Franchised restaurant activity:</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Restaurant sale to franchisee</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Closures</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13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Restaurants at end of period</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System-wide restaurant activity:</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40" w:type="dxa"/>
            <w:vAlign w:val="bottom"/>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Openings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Closures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Restaurants at end of period</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and our franchisees commenced our remodeling program in 2011 and, as of September 30, 2015, together we had remodeled 104 company-operated and 154 franchised restaurants, or 258 system-wide, over 60% of our restaurant system. Remodeling is a use of cash and has implications for our net property and depreciation line items on our condensed consolidated balance sheets and statements of operations, among others. The cost of our restaurant remodels varies depending on the scope of work required, but on average the investment is $270,000 per restaurant. We believe that our remodeling program will result in higher restaurant revenue and a strengthened brand.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Refinancing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2014, we refinanced a $15 million first lien revolving credit facility (the “2013 Revolver”) and a $190 million first lien term loan facility (the “2013 First Lien Term Loan”) by entering into the 2014 Revolver (the “2014 Refinancing”). The 2014 Revolver carries a longer maturity and a lower interest rate than the indebtedness that it replaced. Following the completion of the 2014 Refinancing, our interest expense declined by approximately $6 million on an annualized basis.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7" w:name="page18"/>
    <w:bookmarkEnd w:id="17"/>
    <w:p>
      <w:pPr>
        <w:spacing w:after="0" w:line="272" w:lineRule="auto"/>
        <w:rPr>
          <w:sz w:val="20"/>
          <w:szCs w:val="20"/>
          <w:color w:val="auto"/>
        </w:rPr>
      </w:pPr>
      <w:r>
        <w:rPr>
          <w:rFonts w:ascii="Arial" w:cs="Arial" w:eastAsia="Arial" w:hAnsi="Arial"/>
          <w:sz w:val="17"/>
          <w:szCs w:val="17"/>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31, 2014, and Note 2, “Summary of Significant Accounting Policies,” to Item 8, “Financial Statements and Supplementary Data,” in our annual report. For a summary of our significant accounting policies and a discussion of our use of estimates, see also Note 1 to Item 1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July 2015, the FASB issued Accounting Standards Update (ASU) No. 2015-11, "Simplifying the Measurement of Inventory." ASU No. 2015-11 requires inventory that is recorded using the first-in, first-out method to be measured at the lower of cost or net realizable value. ASU No. 2015-11 will be effective retrospectively for the Company for the quarter ending December 31, 2017, with early adoption permitted. The adoption of this guidance is not expected to have a significant impact on the Company's consolidated financial statements.</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April 2015, the FASB issued ASU No. 2015-03, Simplifying the Presentation of Debt Issuance Costs. To simplify presentation of debt issuance costs, the standard requires that debt issuance costs be presented in the balance sheet as a direct deduction from the carrying amount of debt liability, consistent with debt discounts or premiums. The recognition and measurement guidance for debt issuance costs would not be affected by the amendments in this</w:t>
      </w:r>
    </w:p>
    <w:p>
      <w:pPr>
        <w:ind w:right="220"/>
        <w:spacing w:after="0" w:line="255" w:lineRule="auto"/>
        <w:rPr>
          <w:sz w:val="20"/>
          <w:szCs w:val="20"/>
          <w:color w:val="auto"/>
        </w:rPr>
      </w:pPr>
      <w:r>
        <w:rPr>
          <w:rFonts w:ascii="Arial" w:cs="Arial" w:eastAsia="Arial" w:hAnsi="Arial"/>
          <w:sz w:val="18"/>
          <w:szCs w:val="18"/>
          <w:color w:val="auto"/>
        </w:rPr>
        <w:t>Update. ASU 2015-03 applies to all entities and is effective for annual reporting periods beginning after December 15, 2015, with early adoption permitted. The standard is to be applied retrospectively. The Company does not expect that the adoption of this standard will have a material effect on its consolidated financial statements.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2014, the FASB issued ASU No. 2014-09, "Revenue from Contracts with Customers (Topic 606)." ASU No. 2014-09 clarifies the principles for recognizing revenue when an entity either enters into a contract with customers to transfer goods or services or enters into a contract for the transfer of non-financial assets. The original standard was effective retrospectively for the Company for the quarter ending December 31, 2017; however in July 2015, the FASB approved a one-year deferral of the standard. The new standard will become effective retrospectively for the Company for the quarter ending December 31, 2018, with early adoption permitted, but not before the original effective date. The Company does not expect that the adoption of this standard will have a material effect on its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9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will cease to be an EGC following the earliest of (i) five years after our IPO, (ii) $1.0 billion in annual revenue, (iii) $700.0 million in common stock market capitalization held by non-affiliates, or (iv) $1.0 billion in non-convertible debt security issuance on a three-year rolling basis. Please refer to our annual report on Form 10-K for more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revenue is derived from two primary sources: company-operated restaurant revenue and franchise revenue, the latter of which is comprised primarily of franchise royalties and, to a lesser extent, franchise fees and sublease rental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review long-lived assets such as property, equipment, and intangibles on a unit-by-unit basis for impairment when events or circumstances indicate a carrying value of the assets that may not be recoverable, and record an impairment charge when appropriate. Closure costs include non-cash restaurant charges such as up-front expensing of unpaid rent remaining on the life of a lease offset by assumed sublease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net, consists primarily of interest on our outstanding debt. Deferred financing costs are amortized using the straight-line method at cost over the life of the related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consists of federal and state taxes on our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that period, the number of open restaurants, and comparable restaurant sales.</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 -operated restaurant revenue and comparable restaurant sales may fluctuate.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At September 30, 2015 and September 24, 2014, there were 397 and 393 such restaurants, 160 and 164 company-operated and 237 and 229 franchised, respectively. Comparable restaurant sales indicate the performance of existing restaurants, since new restaurants are excluded.</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Thirty-Nine Weeks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(Dollar amounts in thousands)</w:t>
            </w:r>
          </w:p>
        </w:tc>
        <w:tc>
          <w:tcPr>
            <w:tcW w:w="1160" w:type="dxa"/>
            <w:vAlign w:val="bottom"/>
          </w:tcPr>
          <w:p>
            <w:pPr>
              <w:spacing w:after="0"/>
              <w:rPr>
                <w:sz w:val="11"/>
                <w:szCs w:val="11"/>
                <w:color w:val="auto"/>
              </w:rPr>
            </w:pPr>
          </w:p>
        </w:tc>
        <w:tc>
          <w:tcPr>
            <w:tcW w:w="1240" w:type="dxa"/>
            <w:vAlign w:val="bottom"/>
            <w:tcBorders>
              <w:top w:val="single" w:sz="8" w:color="auto"/>
            </w:tcBorders>
            <w:gridSpan w:val="3"/>
          </w:tcPr>
          <w:p>
            <w:pPr>
              <w:jc w:val="right"/>
              <w:ind w:right="30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24,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Borders>
              <w:top w:val="single" w:sz="8" w:color="auto"/>
            </w:tcBorders>
            <w:gridSpan w:val="3"/>
          </w:tcPr>
          <w:p>
            <w:pPr>
              <w:jc w:val="right"/>
              <w:ind w:right="28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24,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Company-operated restaurant revenue</w:t>
            </w:r>
          </w:p>
        </w:tc>
        <w:tc>
          <w:tcPr>
            <w:tcW w:w="1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82,986</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80,861</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251,295</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238,432</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Company restaurant expenses</w:t>
            </w: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64,120</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196,774</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186,477</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Restaurant contribution</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54,521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51,955</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Restaurant contribution margin (%)</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80" w:type="dxa"/>
            <w:vAlign w:val="bottom"/>
            <w:gridSpan w:val="2"/>
          </w:tcPr>
          <w:p>
            <w:pPr>
              <w:jc w:val="right"/>
              <w:ind w:right="106"/>
              <w:spacing w:after="0"/>
              <w:rPr>
                <w:sz w:val="20"/>
                <w:szCs w:val="20"/>
                <w:color w:val="auto"/>
              </w:rPr>
            </w:pPr>
            <w:r>
              <w:rPr>
                <w:rFonts w:ascii="Arial" w:cs="Arial" w:eastAsia="Arial" w:hAnsi="Arial"/>
                <w:sz w:val="18"/>
                <w:szCs w:val="18"/>
                <w:color w:val="auto"/>
              </w:rPr>
              <w:t>20</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ten to sixteen weeks. When we enter new markets, we may be exposed to start-up times and restaurant contribution margins that are longer and lower than reflected in our average historical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as benchmarks to compare our performance to that of our competitors.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20" w:type="dxa"/>
            <w:vAlign w:val="bottom"/>
          </w:tcPr>
          <w:p>
            <w:pPr>
              <w:spacing w:after="0"/>
              <w:rPr>
                <w:sz w:val="11"/>
                <w:szCs w:val="11"/>
                <w:color w:val="auto"/>
              </w:rPr>
            </w:pP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11"/>
              <w:spacing w:after="0" w:line="133" w:lineRule="exact"/>
              <w:rPr>
                <w:sz w:val="20"/>
                <w:szCs w:val="20"/>
                <w:color w:val="auto"/>
              </w:rPr>
            </w:pPr>
            <w:r>
              <w:rPr>
                <w:rFonts w:ascii="Arial" w:cs="Arial" w:eastAsia="Arial" w:hAnsi="Arial"/>
                <w:sz w:val="14"/>
                <w:szCs w:val="14"/>
                <w:b w:val="1"/>
                <w:bCs w:val="1"/>
                <w:color w:val="auto"/>
                <w:w w:val="98"/>
              </w:rPr>
              <w:t>September 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12"/>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11"/>
              <w:spacing w:after="0" w:line="133" w:lineRule="exact"/>
              <w:rPr>
                <w:sz w:val="20"/>
                <w:szCs w:val="20"/>
                <w:color w:val="auto"/>
              </w:rPr>
            </w:pPr>
            <w:r>
              <w:rPr>
                <w:rFonts w:ascii="Arial" w:cs="Arial" w:eastAsia="Arial" w:hAnsi="Arial"/>
                <w:sz w:val="14"/>
                <w:szCs w:val="14"/>
                <w:b w:val="1"/>
                <w:bCs w:val="1"/>
                <w:color w:val="auto"/>
                <w:w w:val="98"/>
              </w:rPr>
              <w:t>September 24,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20" w:type="dxa"/>
            <w:vAlign w:val="bottom"/>
            <w:tcBorders>
              <w:bottom w:val="single" w:sz="8" w:color="CFF0FC"/>
            </w:tcBorders>
            <w:vMerge w:val="continue"/>
          </w:tcPr>
          <w:p>
            <w:pPr>
              <w:spacing w:after="0"/>
              <w:rPr>
                <w:sz w:val="14"/>
                <w:szCs w:val="14"/>
                <w:color w:val="auto"/>
              </w:rPr>
            </w:pPr>
          </w:p>
        </w:tc>
        <w:tc>
          <w:tcPr>
            <w:tcW w:w="10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2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4,666</w:t>
            </w:r>
          </w:p>
        </w:tc>
        <w:tc>
          <w:tcPr>
            <w:tcW w:w="4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25,849</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18,688</w:t>
            </w:r>
          </w:p>
        </w:tc>
        <w:tc>
          <w:tcPr>
            <w:tcW w:w="4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37,888</w:t>
            </w: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Non-GAAP adjustments:</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6,505</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(61,389)</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16,281</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(60,402)</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Interest expense, net</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15,286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2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9,624</w:t>
            </w:r>
          </w:p>
        </w:tc>
        <w:tc>
          <w:tcPr>
            <w:tcW w:w="1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8,271</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26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15,259</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(28,656)</w:t>
            </w:r>
          </w:p>
        </w:tc>
        <w:tc>
          <w:tcPr>
            <w:tcW w:w="30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47,628</w:t>
            </w:r>
          </w:p>
        </w:tc>
        <w:tc>
          <w:tcPr>
            <w:tcW w:w="42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1,043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15"/>
                <w:szCs w:val="15"/>
                <w:color w:val="auto"/>
              </w:rPr>
              <w:t>(a)</w:t>
            </w: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(b)</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assets</w:t>
            </w:r>
            <w:r>
              <w:rPr>
                <w:rFonts w:ascii="Arial" w:cs="Arial" w:eastAsia="Arial" w:hAnsi="Arial"/>
                <w:sz w:val="15"/>
                <w:szCs w:val="15"/>
                <w:color w:val="auto"/>
              </w:rPr>
              <w:t>(c)</w:t>
            </w: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Gain on sale of restaurants</w:t>
            </w:r>
            <w:r>
              <w:rPr>
                <w:rFonts w:ascii="Arial" w:cs="Arial" w:eastAsia="Arial" w:hAnsi="Arial"/>
                <w:sz w:val="15"/>
                <w:szCs w:val="15"/>
                <w:color w:val="auto"/>
              </w:rPr>
              <w:t>(d)</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(2,658)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Impairment and closures</w:t>
            </w:r>
            <w:r>
              <w:rPr>
                <w:rFonts w:ascii="Arial" w:cs="Arial" w:eastAsia="Arial" w:hAnsi="Arial"/>
                <w:sz w:val="15"/>
                <w:szCs w:val="15"/>
                <w:color w:val="auto"/>
              </w:rPr>
              <w:t>(e)</w:t>
            </w: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Expenses related to selling shareholders</w:t>
            </w:r>
            <w:r>
              <w:rPr>
                <w:rFonts w:ascii="Arial" w:cs="Arial" w:eastAsia="Arial" w:hAnsi="Arial"/>
                <w:sz w:val="15"/>
                <w:szCs w:val="15"/>
                <w:color w:val="auto"/>
              </w:rPr>
              <w:t>(f)</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 agreement expense</w:t>
            </w:r>
            <w:r>
              <w:rPr>
                <w:rFonts w:ascii="Arial" w:cs="Arial" w:eastAsia="Arial" w:hAnsi="Arial"/>
                <w:sz w:val="15"/>
                <w:szCs w:val="15"/>
                <w:color w:val="auto"/>
              </w:rPr>
              <w:t>(g)</w:t>
            </w: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40,119</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40,119</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Tax credit expense</w:t>
            </w:r>
            <w:r>
              <w:rPr>
                <w:rFonts w:ascii="Arial" w:cs="Arial" w:eastAsia="Arial" w:hAnsi="Arial"/>
                <w:sz w:val="15"/>
                <w:szCs w:val="15"/>
                <w:color w:val="auto"/>
              </w:rPr>
              <w:t>(h)</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Early extinguishment of debt</w:t>
            </w:r>
            <w:r>
              <w:rPr>
                <w:rFonts w:ascii="Arial" w:cs="Arial" w:eastAsia="Arial" w:hAnsi="Arial"/>
                <w:sz w:val="15"/>
                <w:szCs w:val="15"/>
                <w:color w:val="auto"/>
              </w:rPr>
              <w:t>(i)</w:t>
            </w: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Pre-opening costs</w:t>
            </w:r>
            <w:r>
              <w:rPr>
                <w:rFonts w:ascii="Arial" w:cs="Arial" w:eastAsia="Arial" w:hAnsi="Arial"/>
                <w:sz w:val="15"/>
                <w:szCs w:val="15"/>
                <w:color w:val="auto"/>
              </w:rPr>
              <w:t>(j)</w:t>
            </w:r>
          </w:p>
        </w:tc>
        <w:tc>
          <w:tcPr>
            <w:tcW w:w="10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12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16,646</w:t>
            </w:r>
          </w:p>
        </w:tc>
        <w:tc>
          <w:tcPr>
            <w:tcW w:w="4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15,153</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50,230</w:t>
            </w:r>
          </w:p>
        </w:tc>
        <w:tc>
          <w:tcPr>
            <w:tcW w:w="4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46,577</w:t>
            </w: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management fees and other out-of-pocket costs paid to affiliates of Trimaran and Freeman Spogli up through our IPO.</w:t>
      </w:r>
    </w:p>
    <w:p>
      <w:pPr>
        <w:spacing w:after="0" w:line="117" w:lineRule="exact"/>
        <w:rPr>
          <w:rFonts w:ascii="Arial" w:cs="Arial" w:eastAsia="Arial" w:hAnsi="Arial"/>
          <w:sz w:val="18"/>
          <w:szCs w:val="18"/>
          <w:color w:val="auto"/>
        </w:rPr>
      </w:pPr>
    </w:p>
    <w:p>
      <w:pPr>
        <w:ind w:left="520" w:right="38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62" w:lineRule="exact"/>
        <w:rPr>
          <w:rFonts w:ascii="Arial" w:cs="Arial" w:eastAsia="Arial" w:hAnsi="Arial"/>
          <w:sz w:val="18"/>
          <w:szCs w:val="18"/>
          <w:color w:val="auto"/>
        </w:rPr>
      </w:pPr>
    </w:p>
    <w:p>
      <w:pPr>
        <w:jc w:val="both"/>
        <w:ind w:left="520" w:right="280" w:hanging="51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September 24, 2014, we completed an agreement to sell six company-operated restaurants in the greater San Antonio area. This sale resulted in cash proceeds of $5.4 million, a decrement to goodwill of $650,000 and a net gain of $2.7 million. As of September 24, 2014, these six restaurants became franchised.</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costs related to impairment of long-lived assets and closing restaurants.</w:t>
      </w:r>
    </w:p>
    <w:p>
      <w:pPr>
        <w:spacing w:after="0" w:line="117" w:lineRule="exact"/>
        <w:rPr>
          <w:rFonts w:ascii="Arial" w:cs="Arial" w:eastAsia="Arial" w:hAnsi="Arial"/>
          <w:sz w:val="18"/>
          <w:szCs w:val="18"/>
          <w:color w:val="auto"/>
        </w:rPr>
      </w:pPr>
    </w:p>
    <w:p>
      <w:pPr>
        <w:ind w:left="520" w:right="740" w:hanging="512"/>
        <w:spacing w:after="0" w:line="286"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second quarter of 2015, LLC, our largest shareholder, which was at that time our majority shareholder, and which possesses under our stockholders agreement registration rights for which we bear the costs, sold 5.4 million shares of common stock in a block trade to various investors. As a result of this transaction, the company incurred various professional fees and expenses.</w:t>
      </w:r>
    </w:p>
    <w:p>
      <w:pPr>
        <w:spacing w:after="0" w:line="57" w:lineRule="exact"/>
        <w:rPr>
          <w:rFonts w:ascii="Arial" w:cs="Arial" w:eastAsia="Arial" w:hAnsi="Arial"/>
          <w:sz w:val="17"/>
          <w:szCs w:val="17"/>
          <w:color w:val="auto"/>
        </w:rPr>
      </w:pPr>
    </w:p>
    <w:p>
      <w:pPr>
        <w:ind w:left="520" w:hanging="512"/>
        <w:spacing w:after="0" w:line="25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and thirty-nine weeks ended September 30, 2015, income tax receivable agreement expense consisted of the amortization of interest expense and changes in estimates for actual tax returns filed, related to our total expected TRA payments.</w:t>
      </w:r>
    </w:p>
    <w:p>
      <w:pPr>
        <w:spacing w:after="0" w:line="78" w:lineRule="exact"/>
        <w:rPr>
          <w:rFonts w:ascii="Arial" w:cs="Arial" w:eastAsia="Arial" w:hAnsi="Arial"/>
          <w:sz w:val="18"/>
          <w:szCs w:val="18"/>
          <w:color w:val="auto"/>
        </w:rPr>
      </w:pPr>
    </w:p>
    <w:p>
      <w:pPr>
        <w:ind w:left="520" w:right="4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the cost to obtain the tax credits recorded in the third and fourth quarters of 2014. In the third and fourth quarters of 2014 a combined total of $6.7 million of tax benefits were recorded to the tax provision.</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costs associated with the repayment of our 2013 Second Lien Term Loan with a portion of the proceeds of our IPO in July 2014.</w:t>
      </w:r>
    </w:p>
    <w:p>
      <w:pPr>
        <w:spacing w:after="0" w:line="128" w:lineRule="exact"/>
        <w:rPr>
          <w:rFonts w:ascii="Arial" w:cs="Arial" w:eastAsia="Arial" w:hAnsi="Arial"/>
          <w:sz w:val="17"/>
          <w:szCs w:val="17"/>
          <w:color w:val="auto"/>
        </w:rPr>
      </w:pPr>
    </w:p>
    <w:p>
      <w:pPr>
        <w:ind w:left="520" w:hanging="512"/>
        <w:spacing w:after="0" w:line="279"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p>
      <w:pPr>
        <w:ind w:left="40"/>
        <w:spacing w:after="0"/>
        <w:rPr>
          <w:sz w:val="20"/>
          <w:szCs w:val="20"/>
          <w:color w:val="auto"/>
        </w:rPr>
      </w:pPr>
      <w:r>
        <w:rPr>
          <w:rFonts w:ascii="Arial" w:cs="Arial" w:eastAsia="Arial" w:hAnsi="Arial"/>
          <w:sz w:val="18"/>
          <w:szCs w:val="18"/>
          <w:b w:val="1"/>
          <w:bCs w:val="1"/>
          <w:color w:val="auto"/>
        </w:rPr>
        <w:t>Comparison of Results of Operations for the Thirteen and Thirty-Nine Weeks Ended September 30, 2015 and September 24, 2014</w:t>
      </w:r>
    </w:p>
    <w:p>
      <w:pPr>
        <w:spacing w:after="0" w:line="12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operating results for the thirteen weeks ended September 30, 2015, and September 24, 2014, in absolute terms, and expressed as percentages of total revenue, with the exception of cost of operations and company restaurant expenses, which are expressed as a percentage of company-operated restaurant revenue, are compared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September 24, 2014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jc w:val="center"/>
              <w:ind w:left="372"/>
              <w:spacing w:after="0" w:line="133" w:lineRule="exact"/>
              <w:rPr>
                <w:sz w:val="20"/>
                <w:szCs w:val="20"/>
                <w:color w:val="auto"/>
              </w:rPr>
            </w:pPr>
            <w:r>
              <w:rPr>
                <w:rFonts w:ascii="Arial" w:cs="Arial" w:eastAsia="Arial" w:hAnsi="Arial"/>
                <w:sz w:val="14"/>
                <w:szCs w:val="14"/>
                <w:b w:val="1"/>
                <w:bCs w:val="1"/>
                <w:color w:val="auto"/>
                <w:w w:val="89"/>
              </w:rPr>
              <w:t>Increase /</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30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9"/>
              </w:rPr>
              <w:t>(Decrease)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,000)</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9"/>
              </w:rPr>
              <w:t>($ ,000)</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 ,000)</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FF0FC"/>
            </w:tcBorders>
            <w:shd w:val="clear" w:color="auto" w:fill="000000"/>
          </w:tcPr>
          <w:p>
            <w:pPr>
              <w:spacing w:after="0" w:line="20" w:lineRule="exact"/>
              <w:rPr>
                <w:sz w:val="1"/>
                <w:szCs w:val="1"/>
                <w:color w:val="auto"/>
              </w:rPr>
            </w:pPr>
          </w:p>
        </w:tc>
        <w:tc>
          <w:tcPr>
            <w:tcW w:w="32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Company-operated restaurant revenue</w:t>
            </w: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82,986</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80,861</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Franchise revenue</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88,870</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86,557</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2,313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Cost of operations</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5"/>
                <w:szCs w:val="15"/>
                <w:color w:val="auto"/>
              </w:rPr>
              <w:t>(1)</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26,371</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25,881</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5"/>
                <w:szCs w:val="15"/>
                <w:color w:val="auto"/>
              </w:rPr>
              <w:t>(1)</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20,822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20,137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5"/>
                <w:szCs w:val="15"/>
                <w:color w:val="auto"/>
              </w:rPr>
              <w:t>(1)</w:t>
            </w: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18,207</w:t>
            </w: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18,102</w:t>
            </w:r>
          </w:p>
        </w:tc>
        <w:tc>
          <w:tcPr>
            <w:tcW w:w="2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5"/>
                <w:szCs w:val="15"/>
                <w:b w:val="1"/>
                <w:bCs w:val="1"/>
                <w:color w:val="auto"/>
              </w:rPr>
              <w:t>(1)</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65,400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64,120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1,280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6,316</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7,509</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(1,193)</w:t>
            </w: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Franchise expenses</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Loss on disposal of assets</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 impairment and close-store reserves</w:t>
            </w: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expenses</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76,343</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75,594</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sale of restaurants</w:t>
            </w: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w:t>
            </w:r>
          </w:p>
        </w:tc>
        <w:tc>
          <w:tcPr>
            <w:tcW w:w="2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12,527</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13,621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(1,094)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(3,150)</w:t>
            </w: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related to selling shareholders</w:t>
            </w: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Income tax receivable agreement expense</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40,119</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(39,573)</w:t>
            </w: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05"/>
        </w:trPr>
        <w:tc>
          <w:tcPr>
            <w:tcW w:w="504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Income (loss) before provision (benefit) for</w:t>
            </w:r>
          </w:p>
        </w:tc>
        <w:tc>
          <w:tcPr>
            <w:tcW w:w="3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income taxes</w:t>
            </w:r>
          </w:p>
        </w:tc>
        <w:tc>
          <w:tcPr>
            <w:tcW w:w="3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11,171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(35,540)</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(41.1)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46,711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(131.4)</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6,505</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(61,389)</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67,894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0"/>
        </w:trPr>
        <w:tc>
          <w:tcPr>
            <w:tcW w:w="50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gridSpan w:val="2"/>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4,666</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w:t>
            </w:r>
          </w:p>
        </w:tc>
        <w:tc>
          <w:tcPr>
            <w:tcW w:w="2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25,849</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29.9</w:t>
            </w:r>
          </w:p>
        </w:tc>
        <w:tc>
          <w:tcPr>
            <w:tcW w:w="14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(21,183</w:t>
            </w:r>
          </w:p>
        </w:tc>
        <w:tc>
          <w:tcPr>
            <w:tcW w:w="2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(81.9)</w:t>
            </w:r>
          </w:p>
        </w:tc>
        <w:tc>
          <w:tcPr>
            <w:tcW w:w="0" w:type="dxa"/>
            <w:vAlign w:val="bottom"/>
          </w:tcPr>
          <w:p>
            <w:pPr>
              <w:spacing w:after="0"/>
              <w:rPr>
                <w:sz w:val="1"/>
                <w:szCs w:val="1"/>
                <w:color w:val="auto"/>
              </w:rPr>
            </w:pPr>
          </w:p>
        </w:tc>
      </w:tr>
      <w:tr>
        <w:trPr>
          <w:trHeight w:val="20"/>
        </w:trPr>
        <w:tc>
          <w:tcPr>
            <w:tcW w:w="1840" w:type="dxa"/>
            <w:vAlign w:val="bottom"/>
            <w:tcBorders>
              <w:top w:val="single" w:sz="8" w:color="CFF0FC"/>
            </w:tcBorders>
          </w:tcPr>
          <w:p>
            <w:pPr>
              <w:spacing w:after="0" w:line="20" w:lineRule="exact"/>
              <w:rPr>
                <w:sz w:val="1"/>
                <w:szCs w:val="1"/>
                <w:color w:val="auto"/>
              </w:rPr>
            </w:pPr>
          </w:p>
        </w:tc>
        <w:tc>
          <w:tcPr>
            <w:tcW w:w="3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120" w:hanging="512"/>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3" w:name="page24"/>
    <w:bookmarkEnd w:id="23"/>
    <w:p>
      <w:pPr>
        <w:ind w:right="200"/>
        <w:spacing w:after="0" w:line="264" w:lineRule="auto"/>
        <w:rPr>
          <w:sz w:val="20"/>
          <w:szCs w:val="20"/>
          <w:color w:val="auto"/>
        </w:rPr>
      </w:pPr>
      <w:r>
        <w:rPr>
          <w:rFonts w:ascii="Arial" w:cs="Arial" w:eastAsia="Arial" w:hAnsi="Arial"/>
          <w:sz w:val="18"/>
          <w:szCs w:val="18"/>
          <w:color w:val="auto"/>
        </w:rPr>
        <w:t>Our operating results for the thirty-nine weeks ended September 30, 2015, and September 24, 2014, in absolute terms, and expressed as percentages of total revenue, with the exception of cost of operations and company restaurant expenses, which are expressed as a percentage of company-operated restaurant revenue, are compared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8"/>
              </w:rPr>
              <w:t>Thirty-Nine Weeks Ended</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3"/>
            <w:vMerge w:val="restart"/>
          </w:tcPr>
          <w:p>
            <w:pPr>
              <w:jc w:val="right"/>
              <w:ind w:right="251"/>
              <w:spacing w:after="0"/>
              <w:rPr>
                <w:sz w:val="20"/>
                <w:szCs w:val="20"/>
                <w:color w:val="auto"/>
              </w:rPr>
            </w:pPr>
            <w:r>
              <w:rPr>
                <w:rFonts w:ascii="Arial" w:cs="Arial" w:eastAsia="Arial" w:hAnsi="Arial"/>
                <w:sz w:val="14"/>
                <w:szCs w:val="14"/>
                <w:b w:val="1"/>
                <w:bCs w:val="1"/>
                <w:color w:val="auto"/>
              </w:rPr>
              <w:t>September 30, 2015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September 24, 2014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jc w:val="center"/>
              <w:ind w:left="372"/>
              <w:spacing w:after="0" w:line="133" w:lineRule="exact"/>
              <w:rPr>
                <w:sz w:val="20"/>
                <w:szCs w:val="20"/>
                <w:color w:val="auto"/>
              </w:rPr>
            </w:pPr>
            <w:r>
              <w:rPr>
                <w:rFonts w:ascii="Arial" w:cs="Arial" w:eastAsia="Arial" w:hAnsi="Arial"/>
                <w:sz w:val="14"/>
                <w:szCs w:val="14"/>
                <w:b w:val="1"/>
                <w:bCs w:val="1"/>
                <w:color w:val="auto"/>
                <w:w w:val="89"/>
              </w:rPr>
              <w:t>Increase /</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2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9"/>
              </w:rPr>
              <w:t>(Decrease)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 ,000)</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9"/>
              </w:rPr>
              <w:t>($ ,000)</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 ,000)</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FF0FC"/>
            </w:tcBorders>
            <w:shd w:val="clear" w:color="auto" w:fill="000000"/>
          </w:tcPr>
          <w:p>
            <w:pPr>
              <w:spacing w:after="0" w:line="20" w:lineRule="exact"/>
              <w:rPr>
                <w:sz w:val="1"/>
                <w:szCs w:val="1"/>
                <w:color w:val="auto"/>
              </w:rPr>
            </w:pPr>
          </w:p>
        </w:tc>
        <w:tc>
          <w:tcPr>
            <w:tcW w:w="32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Company-operated restaurant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251,295</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238,432</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Franchise revenue</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17,456</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16,456</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268,751</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254,888</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13,863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80,549</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75,834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63,493</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59,552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3,941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5"/>
                <w:szCs w:val="15"/>
                <w:color w:val="auto"/>
              </w:rPr>
              <w:t>(1)</w:t>
            </w: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52,732</w:t>
            </w: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51,091</w:t>
            </w:r>
          </w:p>
        </w:tc>
        <w:tc>
          <w:tcPr>
            <w:tcW w:w="2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5"/>
                <w:szCs w:val="15"/>
                <w:b w:val="1"/>
                <w:bCs w:val="1"/>
                <w:color w:val="auto"/>
              </w:rPr>
              <w:t>(1)</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196,774</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78.3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186,477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10,297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20,206</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(768)</w:t>
            </w: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Franchise expenses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9,624</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8,271</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Loss on disposal of assets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 impairment and close-store reserves</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(391)</w:t>
            </w: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229,675</w:t>
            </w:r>
          </w:p>
        </w:tc>
        <w:tc>
          <w:tcPr>
            <w:tcW w:w="2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219,573</w:t>
            </w:r>
          </w:p>
        </w:tc>
        <w:tc>
          <w:tcPr>
            <w:tcW w:w="2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10,102</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sale of restaurants</w:t>
            </w: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w:t>
            </w:r>
          </w:p>
        </w:tc>
        <w:tc>
          <w:tcPr>
            <w:tcW w:w="2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39,076</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37,973</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15,286</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(12,251)</w:t>
            </w: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Early extinguishment of debt</w:t>
            </w: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related to selling shareholders</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Income tax receivable agreement expense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40,119</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(39,097)</w:t>
            </w: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5"/>
        </w:trPr>
        <w:tc>
          <w:tcPr>
            <w:tcW w:w="504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Income (loss) before provision(benefit) for income</w:t>
            </w: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taxes</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34,969</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(22,514)</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57,483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(255.3)</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Provision(benefit) for income taxes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16,281</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(60,402)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76,683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0"/>
        </w:trPr>
        <w:tc>
          <w:tcPr>
            <w:tcW w:w="50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18,688</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w:t>
            </w:r>
          </w:p>
        </w:tc>
        <w:tc>
          <w:tcPr>
            <w:tcW w:w="2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37,888</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w:t>
            </w:r>
          </w:p>
        </w:tc>
        <w:tc>
          <w:tcPr>
            <w:tcW w:w="14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(19,200</w:t>
            </w:r>
          </w:p>
        </w:tc>
        <w:tc>
          <w:tcPr>
            <w:tcW w:w="2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(50.7)</w:t>
            </w:r>
          </w:p>
        </w:tc>
        <w:tc>
          <w:tcPr>
            <w:tcW w:w="0" w:type="dxa"/>
            <w:vAlign w:val="bottom"/>
          </w:tcPr>
          <w:p>
            <w:pPr>
              <w:spacing w:after="0"/>
              <w:rPr>
                <w:sz w:val="1"/>
                <w:szCs w:val="1"/>
                <w:color w:val="auto"/>
              </w:rPr>
            </w:pPr>
          </w:p>
        </w:tc>
      </w:tr>
      <w:tr>
        <w:trPr>
          <w:trHeight w:val="20"/>
        </w:trPr>
        <w:tc>
          <w:tcPr>
            <w:tcW w:w="1840" w:type="dxa"/>
            <w:vAlign w:val="bottom"/>
            <w:tcBorders>
              <w:top w:val="single" w:sz="8" w:color="CFF0FC"/>
            </w:tcBorders>
          </w:tcPr>
          <w:p>
            <w:pPr>
              <w:spacing w:after="0" w:line="20" w:lineRule="exact"/>
              <w:rPr>
                <w:sz w:val="1"/>
                <w:szCs w:val="1"/>
                <w:color w:val="auto"/>
              </w:rPr>
            </w:pPr>
          </w:p>
        </w:tc>
        <w:tc>
          <w:tcPr>
            <w:tcW w:w="3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12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the quarter, company-operated restaurant revenue increased $2.1 million, or 2.6%, from the comparable period in the prior year. The growth in company-operated restaurant sales was due to $3.8 million of additional non-comparable restaurant sales primarily from eleven new restaurants opened in fiscal 2014 and three new restaurants opened during the thirty-nine weeks ended September 30, 2015. These increases were partially offset by $1.7 million of lost sales from six units sold to a franchisee and one unit closed in fiscal 2014. Company-operated comparable restaurant sales for the quarter were flat to the prior year and consisted of a decrease in traffic of 1.9%, offset by an increase in average check size of 1.9%.</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Year-to-date, company-operated restaurant revenue increased $12.9 million, or 5.4%, from the comparable period in the prior year. The growth in company-operated restaurant sales was due to $16.2 million of additional non-comparable restaurant sales primarily from eleven new restaurants opened in fiscal 2014 and three new restaurants opened during the thirty-nine weeks ended September 30, 2015. Company-operated comparable restaurant sales grew $2.2 million, or 1.0%. The growth in company-operated comparable restaurant sales was due to an increase in average check size of 3.0%, partially offset by a decrease in traffic of 2.0% year-over-year. These increases were partially offset by $5.5 million of lost sales from six units sold to a franchisee and one unit closed in fiscal 2014.</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 the quarter, franchise revenue increased $0.2 million, or 3.3%, from the comparable period in the prior year. This increase was due to a $0.3 million increase in royalties from franchised comparable restaurant sales growth of 1.1%, the six units sold to a franchisee in 2014, five new franchised restaurants opened in fiscal 2014, and $0.3 million in higher point of sale fees. This increase was partially offset by $0.3 million in lost franchise sublease income as a result of franchisees establishing direct lease agreements with their landlords in fiscal 2014.</w:t>
      </w:r>
    </w:p>
    <w:p>
      <w:pPr>
        <w:sectPr>
          <w:pgSz w:w="11900" w:h="16838" w:orient="portrait"/>
          <w:cols w:equalWidth="0" w:num="1">
            <w:col w:w="11420"/>
          </w:cols>
          <w:pgMar w:left="240" w:top="449"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24" w:name="page25"/>
    <w:bookmarkEnd w:id="24"/>
    <w:p>
      <w:pPr>
        <w:spacing w:after="0" w:line="257" w:lineRule="auto"/>
        <w:rPr>
          <w:sz w:val="20"/>
          <w:szCs w:val="20"/>
          <w:color w:val="auto"/>
        </w:rPr>
      </w:pPr>
      <w:r>
        <w:rPr>
          <w:rFonts w:ascii="Arial" w:cs="Arial" w:eastAsia="Arial" w:hAnsi="Arial"/>
          <w:sz w:val="18"/>
          <w:szCs w:val="18"/>
          <w:color w:val="auto"/>
        </w:rPr>
        <w:t>Year-to-date, franchise revenue increased $1.0 million, or 6.1%, from the comparable period in the prior year. This increase was due to a $1.0 million increase in royalties from franchised comparable restaurant sales growth of 3.3%, the six units sold to a franchisee in 2014, five new franchised restaurants opened in fiscal 2014 and two opened in fiscal 2015, $0.4 million in higher franchise renewal fees, and $0.4 million in higher point of sale fees. This increase was partially offset by $0.8 million in lost franchise sublease income as a result of franchisees establishing direct lease agreements with their landlords in fiscal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For the quarter, food and paper costs increased $0.5 million, or 1.9%, from the comparable period in the prior year, due to a $0.6 million increase in food costs and a $0.1 million decrease in paper costs. Year-to-date, food and paper costs increased $4.7 million, or 6.2%, from the comparable period in the prior year, due to a $4.7 million increase in food costs. These increases were due primarily to higher revenue and to higher commodity costs, with the exception of paper costs for the quarter. Paper costs for the quarter decreased primarily due to lower commodity costs, partially offset by higher revenue.</w:t>
      </w:r>
    </w:p>
    <w:p>
      <w:pPr>
        <w:spacing w:after="0" w:line="15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For the quarter, food and paper costs as a percentage of company-operated restaurant revenue were 31.8%, from 32.0% in the comparable period of the prior year. Year-to-date, food and paper costs as a percentage of company-operated restaurant revenue were 32.1%, from 31.8% in the comparable period of the prior year. The year-to-date increase was due primarily to increased food costs associated with our featured promotions in the first and second quarter of shrimp and carne asada and higher commodity costs, but was partially offset by increases in average check size, due primarily to menu price increases in the third and fourth quarters of 2014 and in the first quarter of 2015. The decrease for the quarter was due to the increase in average check size, due primarily to menu price increases, partially offset by the increase in commodity costs.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For the quarter, payroll and benefit expenses increased $0.7 million, or 3.4%, from the comparable period in the prior year. Year-to-date, payroll and benefit expenses increased $3.9 million, or 6.6%, from the comparable period in the prior year. These increases were due primarily to increased labor costs resulting from additional labor needs arising from the opening of eleven new restaurants in fiscal 2014 and three new restaurant during the thirty-nine weeks ended September 30, 2015, and higher worker’s compensation and medical insurance due to the increase in new restaurants and higher claims activity.</w:t>
      </w:r>
    </w:p>
    <w:p>
      <w:pPr>
        <w:spacing w:after="0" w:line="15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 the quarter, payroll and benefit expenses as a percentage of company-operated restaurant revenue were 25.1%, from 24.9% in the comparable period in the prior year. Year-to-date, payroll and benefit expenses as a percentage of company-operated restaurant revenue were 25.3%, from 25.0% in the comparable period in the prior year. These increases were due primarily to higher worker’s compensation and medical insurance claims activity.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quarter, occupancy and other operating expenses increased $0.1 million, or 0.6%, from the comparable period of the prior year. Year-to-date, occupancy and other operating expenses increased $1.6 million, or 3.2%, from the comparable period of the prior year. These increases for the quarter and year-to-date, were due primarily to (i) $0.5 million and $1.0 million, respective increase in occupancy costs, due primarily to increased rent, as a result of new restaurants opened in fiscal 2014 and the thirty-nine weeks ended September 30, 2015, (ii) a $0.7 million year-to-date increase in advertising costs, due primarily to higher sales and to additional advertising contributions in the Houston market in the first and second quarters of 2015, and (iii) $0.1 million and $0.3 million respective increases in credit card fees, due primarily to higher credit card receipts. The quarter and year-to-date increases were partially offset by lower utility costs due primarily to favorable gas rates and lower repair and maintenance costs.</w:t>
      </w:r>
    </w:p>
    <w:p>
      <w:pPr>
        <w:spacing w:after="0" w:line="17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For the quarter, occupancy and other operating expenses as a percentage of company-operated restaurant revenue were 21.9%, from 22.4% in the comparable period of the prior year. Year-to-date, occupancy and other operating expenses as a percentage of company-operated restaurant revenue were 21.0%, from 21.4% in the comparable period of the prior year. These decreases resulted primarily from lower utility and repair and maintenance costs, noted above.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For the quarter, general and administrative expenses decreased $1.2 million, or 15.9%, from the comparable period in the prior year. The decrease for the quarter was due primarily to (i) a $0.3 million capitalization of internal costs related to site selection and construction activities (ii) a $0.4 million decrease in payroll expense, due primarily to a reduction in the accrual for the expected payments related to the Company’s annual bonus program, partially offset by an increase in corporate employees and (iii) a $0.3 million decrease in professional fees primarily related to costs incurred in the prior year to secure tax credits. These decreases for the quarter were partially offset by higher legal fees. Year-to-date, general and administrative expenses decreased $0.8 million, or 3.7%,</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right="140"/>
        <w:spacing w:after="0" w:line="259" w:lineRule="auto"/>
        <w:rPr>
          <w:sz w:val="20"/>
          <w:szCs w:val="20"/>
          <w:color w:val="auto"/>
        </w:rPr>
      </w:pPr>
      <w:r>
        <w:rPr>
          <w:rFonts w:ascii="Arial" w:cs="Arial" w:eastAsia="Arial" w:hAnsi="Arial"/>
          <w:sz w:val="18"/>
          <w:szCs w:val="18"/>
          <w:color w:val="auto"/>
        </w:rPr>
        <w:t>from the comparable period in the prior year. This decrease was due primarily to (i) a $0.7 million capitalization of internal costs related to site selection and construction activities and (ii) a $0.3 million decrease in professional fees primarily related to costs incurred in the prior year to secure tax credits. These decreases were partially offset by a $0.2 million increase in payroll expense, due primarily to an increase in corporate employees, partially offset by the annual bonus adjustment mentioned above.</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quarter, general and administrative expenses as a percentage of total revenue were 7.1%, from 8.7% in the comparable period of the prior year. Year-to-date, general and administrative expenses as a percentage of total revenue were 7.5%, from 8.2% in the comparable period of the prior year. These decreases were due primarily to the capitalization of internal development costs, and the annual bonus adjustment each noted above, and to increased total revenue.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Restaurants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September 24, 2014, we completed an agreement to sell six company-operated restaurants in the greater San Antonio area to AA Pollo, Inc., resulting cash proceeds of $5.4 million. Goodwill was decremented by $650,000, based on a calculation of the fair value of the restaurants sold relative to the fair value of the reporting unit retained. We recognized a net gain of $2.7 million on this transaction, which is recorded as a gain on sale of restaurants in the accompanying statement of operations. As of September 24, 2014, these six restaurants became franchised units.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quarter, interest expense, net, decreased $3.1 million from the comparable period of the prior year. Year-to-date, interest expense, net, decreased $12.3 million from the comparable period of the prior year. These decreases were due primarily to (i) the payoff of the Second Lien Term Loan with IPO proceeds in fiscal 2014, (ii) the 2014 Refinancing, which reduced the interest rates on our debt, and (iii) $40.0 million of pre-payments on the 2014 Revolver in the thirty-nine weeks ended September 30,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Extinguishment of Debt</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proceeds from our IPO in July 2014 were primarily used to repay the 2013 Second Lien Term Loan. In conjunction with this repayment, we incurred an extinguishment of debt charge of $5.1 million, consisting of $1.5 million in call premium, $2.7 million related to the write-off of remaining unamortized deferred finance costs, and $0.9 million relating to the write-off of unamortized discount.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quarter and year-to-date, respectively, we recorded income tax receivable agreement expense of $0.5 million and $1.0 million, for the amortization of interest expense related to our total expected TRA payments and changes in estimates for actual tax returns filed.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Related to Selling Shareholders</w:t>
      </w:r>
    </w:p>
    <w:p>
      <w:pPr>
        <w:spacing w:after="0" w:line="11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the second quarter of 2015, LLC, our largest shareholder, which was at that time our majority shareholder, and which possesses under our stockholders agreement registration rights for which we bear the costs, sold 5.4 million shares of common stock in a block trade to various investors. As a result of this transaction, we incurred $0.1 million in professional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the quarter and year-to-date, we recorded income tax provisions of $6.5 million and $16.3 million, respectively. The quarter and year-to-date tax provisions include a $1.9 million valuation allowance against our deferred tax asset resulting from certain tax credits that may not be realizable prior to the time the credits expire. For the quarter and year-to-date, of the comparable periods of the prior year, we recorded income tax benefits of $61.4 million and $60.4 million, respectively. During the quarter ended September 24, 2014, after evaluating all of the positive and negative evidence, including our continued profitability and the reduction in interest expense resulting from the 2013 Refinancing and from our completed IPO and the resultant payoff of the Second Lien Term Loan, we concluded that it was more likely than not that our net deferred tax assets would be realized. As a result, in the third quarter of 2014, we released our valuation allowance of approximately $65 million. In addition, in the third quarter of 2014, we applied for various tax credits that resulted in $5.4 million of additional deferred tax assets and tax benefits.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12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On July 30, 2014, we closed our IPO, the majority of the proceeds of which were used to repay our Second Lien Term Loan.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December 2014, we refinanced the 2013 Revolver and the 2013 First Lien Term Loan by entering into the 2014 Revolver, which carries a longer maturity and a lower interest rate than the indebtedness that it replaced.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2200" w:type="dxa"/>
            <w:vAlign w:val="bottom"/>
            <w:vMerge w:val="restart"/>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Borders>
              <w:bottom w:val="single" w:sz="8" w:color="auto"/>
            </w:tcBorders>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 2015</w:t>
            </w:r>
          </w:p>
        </w:tc>
        <w:tc>
          <w:tcPr>
            <w:tcW w:w="80" w:type="dxa"/>
            <w:vAlign w:val="bottom"/>
          </w:tcPr>
          <w:p>
            <w:pPr>
              <w:spacing w:after="0"/>
              <w:rPr>
                <w:sz w:val="14"/>
                <w:szCs w:val="14"/>
                <w:color w:val="auto"/>
              </w:rPr>
            </w:pPr>
          </w:p>
        </w:tc>
        <w:tc>
          <w:tcPr>
            <w:tcW w:w="12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September 24, 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(used) by</w:t>
            </w:r>
          </w:p>
        </w:tc>
        <w:tc>
          <w:tcPr>
            <w:tcW w:w="14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17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43,421</w:t>
            </w:r>
          </w:p>
        </w:tc>
        <w:tc>
          <w:tcPr>
            <w:tcW w:w="120" w:type="dxa"/>
            <w:vAlign w:val="bottom"/>
          </w:tcPr>
          <w:p>
            <w:pPr>
              <w:spacing w:after="0"/>
              <w:rPr>
                <w:sz w:val="19"/>
                <w:szCs w:val="19"/>
                <w:color w:val="auto"/>
              </w:rPr>
            </w:pPr>
          </w:p>
        </w:tc>
        <w:tc>
          <w:tcPr>
            <w:tcW w:w="8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(16,512)</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89"/>
              </w:rPr>
              <w:t>(13,979)</w:t>
            </w:r>
          </w:p>
        </w:tc>
        <w:tc>
          <w:tcPr>
            <w:tcW w:w="0" w:type="dxa"/>
            <w:vAlign w:val="bottom"/>
          </w:tcPr>
          <w:p>
            <w:pPr>
              <w:spacing w:after="0"/>
              <w:rPr>
                <w:sz w:val="1"/>
                <w:szCs w:val="1"/>
                <w:color w:val="auto"/>
              </w:rPr>
            </w:pPr>
          </w:p>
        </w:tc>
      </w:tr>
      <w:tr>
        <w:trPr>
          <w:trHeight w:val="230"/>
        </w:trPr>
        <w:tc>
          <w:tcPr>
            <w:tcW w:w="368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(30,201)</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24,810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thirty-nine weeks ended September 30, 2015, net cash provided by operating activities increased by $13.6 million from the comparable period of the prior year. This was due primarily to lower interest payments, resulting primarily from lower interest rates and lower debt balances, and increased revenue, resulting primarily from additional sales contribution from eleven new restaurants opened in fiscal 2014 and three new restaurants opened during the thirty-nine weeks ended September 30,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thirty-nine weeks ended September 30, 2015, net cash used by investing activities increased by $2.5 million from the comparable period of the prior year. This was due primarily to the receipt in the third quarter of 2014 of $5.4 million related to the sale of six restaurants to a franchisee, the timing of capital expenditures related to new restaurants, and the remodeling of existing restaurants.</w:t>
      </w:r>
    </w:p>
    <w:p>
      <w:pPr>
        <w:spacing w:after="0" w:line="181"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For the year ending December 30, 2015, we expect to incur capital expenditures of approximately $31 million, consisting of $17 million related to new restaurants, $6 million related to the remodeling of existing restaurants, and $8 million related to maintenance and other corporate capital expenditures.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For the thirty-nine weeks ended September 30, 2015, net cash used by financing activities increased by $39.1 million from the comparable period of the prior year. This was due primarily to the pre-payment of $40.0 million on the 2014 Revolver during the thirty-nine weeks ended September 30, 2015, and to the proceeds received from our IPO, net of the payoff of our Second Lien Term Loan, during the thirty-nine weeks ended September 24, 2014.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 million for letters of credit and a sub limit of $15 million for swingline loans. At September 30, 2015, $7.0 million of letters of credit were outstanding and $68.0 million was available to borrow under the revolving line of credit. The 2014 Revolver will mature on or about December 11, 2019.</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line="273" w:lineRule="auto"/>
        <w:rPr>
          <w:sz w:val="20"/>
          <w:szCs w:val="20"/>
          <w:color w:val="auto"/>
        </w:rPr>
      </w:pPr>
      <w:r>
        <w:rPr>
          <w:rFonts w:ascii="Arial" w:cs="Arial" w:eastAsia="Arial" w:hAnsi="Arial"/>
          <w:sz w:val="17"/>
          <w:szCs w:val="17"/>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was initially set at 2.00% for LIBOR loans and at 1.00% for base rate loans until the delivery of financial statements and a compliance certificate for the first quarter of 2015.The interest rate range was 1.94% to 1.95% and 1.93% to 2.63% for the thirteen and thirty-nine weeks ended September 30, 2015, respectively.</w:t>
      </w:r>
    </w:p>
    <w:p>
      <w:pPr>
        <w:spacing w:after="0" w:line="17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September 30, 2015.</w:t>
      </w:r>
    </w:p>
    <w:p>
      <w:pPr>
        <w:spacing w:after="0" w:line="154"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the TRA, and, (iii) so long as no default or event of default has occurred and is continuing,</w:t>
      </w:r>
    </w:p>
    <w:p>
      <w:pPr>
        <w:ind w:firstLine="8"/>
        <w:spacing w:after="0" w:line="281" w:lineRule="auto"/>
        <w:tabs>
          <w:tab w:leader="none" w:pos="2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its consolidated fixed charge coverage ratio to be less than 1.75 times.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Arrangements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our credit agreements, we entered into two interest rate caps with Wells Fargo Bank, N.A. The first interest rate cap is for a notional amount of $30 million, with a cap rate of 3.00% based on 1 month USD LIBOR, terminating on December 1, 2015. The second interest rate cap is for a notional amount of $120 million, with a cap rate of 3.00% based on 1-month USD LIBOR, terminating on December 1, 2016. As of September 30, 2015 and December 31, 2014, the amounts included in other assets in our condensed consolidated balance sheets, related to these interest rate caps, were not material to our financial position 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entered into new chicken purchasing contracts in the first quarter of 2015 with twelve-month terms resulting in an estimated commitment to purchase chicken of $12.6 million at September 30, 2015.</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 the exception noted above, our contractual commitments outstanding on September 30, 2015, have not changed materially since our annual report on Form 10-K for the year ended December 31, 2014. These relate to future (i) debt payments, including expected interest expense, calculated based on current interest rates, (ii) restaurant operating lease payments, (iii) income tax receivable agreement payments, and (iv) purchasing commitments for chicken and beverage.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2015, we were using $7.0 million of borrowing capacity on the 2014 Revolver for letters of credit in support of our insurance programs.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exposed to market risk from changes in the interest rate on our debt, which bears interest at USD LIBOR plus a margin between 1.75% and 2.50%. As of September 30, 2015, we had outstanding borrowings of $125.7 million and another $7.0 million of letters of credit in support of our insurance programs. A 1.00% increase in the effective interest rate applied to these borrowings would result in a pre-tax interest expense increase of $1.3 million on an annualized basis.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right="20"/>
        <w:spacing w:after="0" w:line="308" w:lineRule="auto"/>
        <w:rPr>
          <w:sz w:val="20"/>
          <w:szCs w:val="20"/>
          <w:color w:val="auto"/>
        </w:rPr>
      </w:pPr>
      <w:r>
        <w:rPr>
          <w:rFonts w:ascii="Arial" w:cs="Arial" w:eastAsia="Arial" w:hAnsi="Arial"/>
          <w:sz w:val="17"/>
          <w:szCs w:val="17"/>
          <w:color w:val="auto"/>
        </w:rPr>
        <w:t>To mitigate exposure to fluctuations in interest rates, we entered into two interest rate caps as discussed above under “Management’s Discussion and Analysis of Financial Condition and Results of Operations—Liquidity and Capital Resources—Debt and Other Obligations—Hedging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Since July 1, 2014, the State of California (where most of our restaurants are located) has had a minimum wage of $9.00 per hour. From January 1, 2008, to June 30, 2014, it had been $8.00 per hour. It is scheduled to rise to $10.00 per hour on January 1, 2016. On June 10, 2015, the Council of the City of Los Angeles passed an ordinance, which on June 13, 2015, was approved by the mayor, raising the minimum wage on the following schedule: (i) from July 1, 2016, $10.50, (ii) from July 1, 2017, $12.00, (iii) from July 1, 2018, $13.25, (iv) from July 1, 2019, $14.25, (v) from July 1, 2020, $15.00, and (vi) from July 1, 2022, indexed to inflation. In September 2015, the Board of Supervisors of the County of Los Angeles adopted an ordinance amending the Los Angeles County Code and establishing a countywide minimum wage covering unincorporated areas of the county following the same schedule. In general, we have been able to substantially offset cost increases resulting from inflation by increasing menu prices, managing menu mix, improving productivity, or making other adjustments. We may or may not be able to offset cost increases in the future.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where the prices of commodities drop, we may pay a higher price under our purchasing commitments. In a rapidly-fluctuating commodities market,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management establishes and maintains disclosure controls and procedures (as defined in Exchange Act Rules 13a–15(e) and 15d–15(e)) to ensure that the information we disclose under the Exchange Act is properly and timely reported. We provide this information to our chief executive and chief financial officers as appropriate to allow for timely decisions.</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Our controls and procedures are based on assumptions. Additionally, even effective controls and procedures only provide reasonable assurance of achieving their objectives. Accordingly, we cannot guarantee that our controls and procedures will succeed or be adhered to in all circumstances.</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evaluated our disclosure controls and procedures, with the participation, and under the supervision, of our management, including our chief executive and chief financial officers. Based on this evaluation, our chief executive and chief financial officers have concluded that our disclosure controls and procedures were effective as of the end of the period covered by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 change in our internal control over financial reporting (as defined in Exchange Act Rules 13a–15(f) and 15d–15(f)) occurred during the period covered by this report that has affected or is reasonably likely to affect materially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While we are vigorously defending against this action, including its class certification, the ultimate outcome of the case is presently not determinable as it is in a preliminary phase. Thus, we cannot at this time determine the likelihood of an adverse judgment nor a likely range of damages in the event of an adverse judgment. Any settlement of, or judgment with a negative outcome arising from, this lawsuit could have a material adverse effect.</w:t>
      </w:r>
    </w:p>
    <w:p>
      <w:pPr>
        <w:spacing w:after="0" w:line="20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u w:val="single" w:color="auto"/>
          <w:color w:val="auto"/>
        </w:rPr>
        <w:t>Daniel Turocy, et al. v. El Pollo Loco Holdings, Inc., et al.</w:t>
      </w:r>
      <w:r>
        <w:rPr>
          <w:rFonts w:ascii="Arial" w:cs="Arial" w:eastAsia="Arial" w:hAnsi="Arial"/>
          <w:sz w:val="16"/>
          <w:szCs w:val="16"/>
          <w:color w:val="auto"/>
        </w:rPr>
        <w:t xml:space="preserve"> (Case No. 8:15-cv-01343) was filed in the United States District Court for the Central District of California on August 24, 2015, and </w:t>
      </w:r>
      <w:r>
        <w:rPr>
          <w:rFonts w:ascii="Arial" w:cs="Arial" w:eastAsia="Arial" w:hAnsi="Arial"/>
          <w:sz w:val="16"/>
          <w:szCs w:val="16"/>
          <w:u w:val="single" w:color="auto"/>
          <w:color w:val="auto"/>
        </w:rPr>
        <w:t>Ron Huston, et al. v. El Pollo Loco Holdings, Inc., et al.</w:t>
      </w:r>
      <w:r>
        <w:rPr>
          <w:rFonts w:ascii="Arial" w:cs="Arial" w:eastAsia="Arial" w:hAnsi="Arial"/>
          <w:sz w:val="16"/>
          <w:szCs w:val="16"/>
          <w:color w:val="auto"/>
        </w:rPr>
        <w:t xml:space="preserve"> (Case No. 8:15-cv-01710) was filed in the United States District Court for the Central District of California on October 22, 2015. Plaintiff Daniel Turocy, on behalf of himself and others similarly situated, and Plaintiff Ron Huston, on behalf of himself and others similarly situated, each filed separate putative class action complaints, alleging violations of federal securities laws in connection with Holdings common stock purchased or otherwise acquired and, in the </w:t>
      </w:r>
      <w:r>
        <w:rPr>
          <w:rFonts w:ascii="Arial" w:cs="Arial" w:eastAsia="Arial" w:hAnsi="Arial"/>
          <w:sz w:val="16"/>
          <w:szCs w:val="16"/>
          <w:u w:val="single" w:color="auto"/>
          <w:color w:val="auto"/>
        </w:rPr>
        <w:t>Ron Huston</w:t>
      </w:r>
      <w:r>
        <w:rPr>
          <w:rFonts w:ascii="Arial" w:cs="Arial" w:eastAsia="Arial" w:hAnsi="Arial"/>
          <w:sz w:val="16"/>
          <w:szCs w:val="16"/>
          <w:color w:val="auto"/>
        </w:rPr>
        <w:t xml:space="preserve"> case, the purchase of call options or the sale of put options, between May 1, 2015 and August 13, 2015 (the “Class Period”). In both cases,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value-conscious store traffic.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 Defendants intend to vigorously defend against the claims asserted. In addition, on September 16, 2015, the Company and certain of its officers and directors received an informal, non-public inquiry from the SEC requesting voluntary production of documents and information. All parties are cooperating fully with the SEC's request.</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or about November 5, 2015, a purported EPL shareholder filed a derivative complaint on behalf of the Company in the Court of Chancery of the State of Delaware against certain EPL officers, directors and Trimaran Pollo Partners, L.L.C. The derivative complaint alleges that these defendants breached their fiduciary duties to EPL and were unjustly enriched when they sold shares of EPL at artificially inflated prices due to alleged misrepresentations and omissions regarding EPL’s comparable store sales in the second quarter of 2015. The EPL shareholder’s requested remedies include an award of compensatory damages to EPL, as well as a court order to improve corporate governance by putting forward for stockholder vote certain resolutions for amendments to EPL’s Bylaws or Certificate of Incorporation.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2014, except for the risk factors that follow, which are revised and restated in their entirety.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If we or our franchisees face labor shortages or increased labor costs, our results of operations and growth could be adversely affected.</w:t>
      </w:r>
    </w:p>
    <w:p>
      <w:pPr>
        <w:spacing w:after="0" w:line="23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Labor is a primary component in the cost of operating our company-operated and franchised restaurants. If we or our franchisees face labor shortages or increased labor costs, because of increased competition for employees, higher employee-turnover rates, unionization of restaurant workers, or increases in federal, state, or local minimum wages or in other employee benefits costs (including costs associated with health insurance coverage or workers’ compensation insurance), our and our franchisees’ operating expenses could increase, and our growth could be adversely affected.</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 substantial number of hourly employees who are paid wage rates at or based on the applicable federal, state, or local minimum wage, and increases in the minimum wage will increase our labor costs and the labor costs of our franchisees. Since July 1, 2014, the State of California (where most of our restaurants are located) has had a minimum wage of $9.00 per hour. From January 1, 2008, to June 30, 2014, it had been $8.00 per hour. It is scheduled to rise to $10.00 per hour on January 1, 2016. The federal minimum wage has been $7.25 per hour since July 24, 2009.</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June 10, 2015, the Council of the City of Los Angeles passed an ordinance, which on June 13, 2015, was approved by the mayor, raising the minimum wage on the following schedule: (i) from July 1, 2016, $10.50, (ii) from July 1, 2017, $12.00, (iii) from July 1, 2018, $13.25, (iv) from July 1, 2019, $14.25,</w:t>
      </w:r>
    </w:p>
    <w:p>
      <w:pPr>
        <w:ind w:right="80" w:firstLine="8"/>
        <w:spacing w:after="0" w:line="252"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from July 1, 2020, $15.00, and (vi) from July 1, 2022, indexed to inflation. On July 21, 2015, the Board of Supervisors of the County of Los Angeles voted to direct counsel to prepare an ordinance that would establish a countywide minimum wage covering unincorporated areas of the county following the same schedule. Other cities in the County of Los Angeles may follow. In 2014, approximately 80% of our revenue came from company-operated and franchised restaurants in the greater Los Angeles area, including 21% from the City of Los Angeles, 29% from other incorporated cities in the County of Los Angeles, and 5% from unincorporated areas of the County of Los Angeles. Those restaurants that are not directly covered by these ordinances may be covered by future ordinances, may face competitive or political pressures to match these wage levels, or may suffer from any regional economic distress caused by these ordinances.</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Federally-mandated, state-mandated, or locally-mandated minimum wages may be further raised in the future. We may be unable to increase our menu prices in order to pass future increased labor costs on to our customers, in which case our margins would be negatively affected. Also, reduced margins of franchisees could make it more difficult to sell franchises. And if menu prices were increased by us and our franchisees to cover increased labor costs, the higher prices could adversely affect sales and thereby reduce our margins and the royalties that we receive from franchisees.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our success depends in part upon our and our franchisees’ ability to attract, motivate, and retain a sufficient number of well-qualified restaurant operators, management personnel, and other employees. Qualified individuals needed to fill these positions can be in short supply in some geographic areas. In addition, limited service restaurants have traditionally experienced relatively high employee turnover rates. Although we have not yet experienced any significant problems in recruiting or retaining employees, our and our franchisees’ inability to recruit and retain qualified individuals could delay planned openings of new restaurants or result in higher employee turnover in existing restaurants, which could increase our and our franchisees’ labor costs and have a material adverse effect on our business, financial condition, results of operations, and cash flows. If we or our franchisees are unable to recruit and retain sufficiently qualified individuals, our business and our growth could be adversely affected. Competition for qualified employees could require us or our franchisees to pay higher wages, which could also result in higher labor costs.</w:t>
      </w:r>
    </w:p>
    <w:p>
      <w:pPr>
        <w:spacing w:after="0" w:line="17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Trimaran Pollo Partners, L.L.C. (“LLC”), owns approximately 43.7% of our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our assets, decisions affecting our capital structure, amendments to our certificate of incorporation or our by-laws, and our winding up and dissolution. So long as LLC maintains at least 40% ownership, (i) any member of the board of directors may be removed at any time without cause by affirmative vote of a majority of our common stock, and (ii) stockholders representing 40% or greater ownership may cause special stockholder meetings to be called.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ind w:right="100"/>
        <w:spacing w:after="0" w:line="272" w:lineRule="auto"/>
        <w:rPr>
          <w:sz w:val="20"/>
          <w:szCs w:val="20"/>
          <w:color w:val="auto"/>
        </w:rPr>
      </w:pPr>
      <w:r>
        <w:rPr>
          <w:rFonts w:ascii="Arial" w:cs="Arial" w:eastAsia="Arial" w:hAnsi="Arial"/>
          <w:sz w:val="17"/>
          <w:szCs w:val="17"/>
          <w:color w:val="auto"/>
        </w:rPr>
        <w:t>This concentration of ownership may delay, deter, or prevent acts that would be favored by our other stockholders. The interests of Trimaran and Freeman Spogli may not always coincide with our interests or the interests of our other stockholders. This concentration of ownership may also have the effect of delaying, deterring, or preventing a change in control of us. Also, Trimaran and Freeman Spogli may seek to cause us to take courses of action that, in their judgments, could enhance their investments in us, but that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ownership may adversely affect the trading price of our common stock, because investors may perceive disadvantages in owning shares of a company with significant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yet subject to all of the corporate governance rules of the NASDAQ Global Select Market (the “NASDAQ”).</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(Formerly: As a controlled company, we are not subject to all of the corporate governance rules of the NASDAQ Global Select Market (the “NASDAQ”).)</w:t>
      </w:r>
    </w:p>
    <w:p>
      <w:pPr>
        <w:spacing w:after="0" w:line="23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At the time of our initial public offering, we were majority-owned by LLC, classifying us as a controlled company under NASDAQ rules. NASDAQ rules exempt controlled companies from rules that require (i) the majority of the members of their boards of directors to be independent and (ii) compensation committees, and nominating and corporate governance committees, to be comprised entirely of independent directors.</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May 19, 2015, LLC sold enough stock to drop below 50% but remain above 40% ownership of our common stock. Accordingly, we are no longer a controlled company under NASDAQ rules. A company that has ceased to be a controlled company is permitted to phase in its independent nomination and compensation committees and majority independent board on the same schedule as if the Company were newly listed in conjunction with their initial public offerings. Accordingly, (i) at the time of the sale, one member of each committee was required to be independent, (ii) within 90 days of the sale (i.e., by August 17, 2015), a majority of each committee is required to be independent, (iii) within one year of the sale (i.e., by May 19, 2016), all committee members must be independent, and (iv) within one year of the sale, a majority of our board must be independent.</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controlled company status did not modify the independence requirements for our audit committee, and we comply with the requirements of the Sarbanes– Oxley Act of 2002 and the NASDAQ by having an audit committee comprised entirely of independent directors.</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Currently, three of our directors are independent. All audit committee members are independent. Two of three compensation committee members are independent. One of three nominating and corporate governance committee members are independent.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During our phase-in period, we may not have the majority-independent board and the fully independent committees contemplated by the NASDAQ rules.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you may not receive the benefits to corporate governance that these would bestow.</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2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market price of our common stock could decline as a result of sales of a large number of shares of our common stock in the market, and the perception that these sales could occur could also depress the market price of our common stock or impede our ability to raise equity capital. No lock-up agreements presently are in effect. LLC presently owns approximately 43.8% of our outstanding common stock, and could sell stock publicly either if the stock were registered or if the exemption requirements of Rule 144 were satisfied.</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Pursuant to our stockholders agreement, LLC and, in certain instances, Freeman Spogli, may require us to file registration statements under the Securities Act at our expense, covering resales of our common stock held by them or LLC or piggyback on a registration statement in certain circumstances. Any such sales, or the prospect of any such sales, could materially impact the market price of our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Number</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9400" w:type="dxa"/>
            <w:vAlign w:val="bottom"/>
          </w:tcPr>
          <w:p>
            <w:pPr>
              <w:spacing w:after="0"/>
              <w:rPr>
                <w:sz w:val="14"/>
                <w:szCs w:val="14"/>
                <w:color w:val="auto"/>
              </w:rPr>
            </w:pPr>
          </w:p>
        </w:tc>
      </w:tr>
      <w:tr>
        <w:trPr>
          <w:trHeight w:val="331"/>
        </w:trPr>
        <w:tc>
          <w:tcPr>
            <w:tcW w:w="48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Certification of Principal Executive Officer under section 302 of the Sarbanes–Oxley Act of 2002</w:t>
            </w: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Certification of Principal Financial Officer under section 302 of the Sarbanes–Oxley Act of 2002</w:t>
            </w:r>
          </w:p>
        </w:tc>
      </w:tr>
      <w:tr>
        <w:trPr>
          <w:trHeight w:val="323"/>
        </w:trPr>
        <w:tc>
          <w:tcPr>
            <w:tcW w:w="48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w w:val="91"/>
              </w:rPr>
              <w:t>Certification of Chief Executive Officer and Chief Financial Officer under 18 U.S.C. section 1350, adopted by section 906 of the Sarbanes–</w:t>
            </w: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Oxley Act of 2002</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Instance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sz w:val="20"/>
          <w:szCs w:val="20"/>
          <w:color w:val="auto"/>
        </w:rPr>
      </w:pPr>
    </w:p>
    <w:p>
      <w:pPr>
        <w:ind w:left="520" w:hanging="512"/>
        <w:spacing w:after="0" w:line="286"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 Pollo Loco Holdings, Inc.</w:t>
            </w:r>
          </w:p>
        </w:tc>
      </w:tr>
      <w:tr>
        <w:trPr>
          <w:trHeight w:val="224"/>
        </w:trPr>
        <w:tc>
          <w:tcPr>
            <w:tcW w:w="63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45"/>
        </w:trPr>
        <w:tc>
          <w:tcPr>
            <w:tcW w:w="6320" w:type="dxa"/>
            <w:vAlign w:val="bottom"/>
          </w:tcPr>
          <w:p>
            <w:pPr>
              <w:jc w:val="center"/>
              <w:ind w:right="4790"/>
              <w:spacing w:after="0"/>
              <w:rPr>
                <w:sz w:val="20"/>
                <w:szCs w:val="20"/>
                <w:color w:val="auto"/>
              </w:rPr>
            </w:pPr>
            <w:r>
              <w:rPr>
                <w:rFonts w:ascii="Arial" w:cs="Arial" w:eastAsia="Arial" w:hAnsi="Arial"/>
                <w:sz w:val="18"/>
                <w:szCs w:val="18"/>
                <w:color w:val="auto"/>
                <w:w w:val="91"/>
              </w:rPr>
              <w:t>November 12, 2015</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J. Sather</w:t>
            </w:r>
          </w:p>
        </w:tc>
      </w:tr>
      <w:tr>
        <w:trPr>
          <w:trHeight w:val="195"/>
        </w:trPr>
        <w:tc>
          <w:tcPr>
            <w:tcW w:w="6320" w:type="dxa"/>
            <w:vAlign w:val="bottom"/>
          </w:tcPr>
          <w:p>
            <w:pPr>
              <w:jc w:val="center"/>
              <w:ind w:right="4810"/>
              <w:spacing w:after="0" w:line="195" w:lineRule="exact"/>
              <w:rPr>
                <w:sz w:val="20"/>
                <w:szCs w:val="20"/>
                <w:color w:val="auto"/>
              </w:rPr>
            </w:pPr>
            <w:r>
              <w:rPr>
                <w:rFonts w:ascii="Arial" w:cs="Arial" w:eastAsia="Arial" w:hAnsi="Arial"/>
                <w:sz w:val="18"/>
                <w:szCs w:val="18"/>
                <w:color w:val="auto"/>
                <w:w w:val="89"/>
              </w:rPr>
              <w:t>Date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Stephen J. Sather</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6320" w:type="dxa"/>
            <w:vAlign w:val="bottom"/>
          </w:tcPr>
          <w:p>
            <w:pPr>
              <w:jc w:val="center"/>
              <w:ind w:right="4790"/>
              <w:spacing w:after="0"/>
              <w:rPr>
                <w:sz w:val="20"/>
                <w:szCs w:val="20"/>
                <w:color w:val="auto"/>
              </w:rPr>
            </w:pPr>
            <w:r>
              <w:rPr>
                <w:rFonts w:ascii="Arial" w:cs="Arial" w:eastAsia="Arial" w:hAnsi="Arial"/>
                <w:sz w:val="18"/>
                <w:szCs w:val="18"/>
                <w:color w:val="auto"/>
                <w:w w:val="91"/>
              </w:rPr>
              <w:t>November 12, 2015</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Laurance Roberts</w:t>
            </w:r>
          </w:p>
        </w:tc>
      </w:tr>
      <w:tr>
        <w:trPr>
          <w:trHeight w:val="195"/>
        </w:trPr>
        <w:tc>
          <w:tcPr>
            <w:tcW w:w="6320" w:type="dxa"/>
            <w:vAlign w:val="bottom"/>
          </w:tcPr>
          <w:p>
            <w:pPr>
              <w:jc w:val="center"/>
              <w:ind w:right="4810"/>
              <w:spacing w:after="0" w:line="195" w:lineRule="exact"/>
              <w:rPr>
                <w:sz w:val="20"/>
                <w:szCs w:val="20"/>
                <w:color w:val="auto"/>
              </w:rPr>
            </w:pPr>
            <w:r>
              <w:rPr>
                <w:rFonts w:ascii="Arial" w:cs="Arial" w:eastAsia="Arial" w:hAnsi="Arial"/>
                <w:sz w:val="18"/>
                <w:szCs w:val="18"/>
                <w:color w:val="auto"/>
                <w:w w:val="89"/>
              </w:rPr>
              <w:t>Date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Laurance Roberts</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J. Sather,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[reserved] for the registrant and have:</w:t>
      </w:r>
    </w:p>
    <w:p>
      <w:pPr>
        <w:spacing w:after="0" w:line="170" w:lineRule="exact"/>
        <w:rPr>
          <w:sz w:val="20"/>
          <w:szCs w:val="20"/>
          <w:color w:val="auto"/>
        </w:rPr>
      </w:pPr>
    </w:p>
    <w:p>
      <w:pPr>
        <w:jc w:val="both"/>
        <w:ind w:right="120" w:firstLine="8"/>
        <w:spacing w:after="0" w:line="264"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[reserved] for the registrant and have:</w:t>
      </w:r>
    </w:p>
    <w:p>
      <w:pPr>
        <w:spacing w:after="0" w:line="170" w:lineRule="exact"/>
        <w:rPr>
          <w:sz w:val="20"/>
          <w:szCs w:val="20"/>
          <w:color w:val="auto"/>
        </w:rPr>
      </w:pPr>
    </w:p>
    <w:p>
      <w:pPr>
        <w:jc w:val="both"/>
        <w:ind w:right="120" w:firstLine="8"/>
        <w:spacing w:after="0" w:line="264"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7"/>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25"/>
    </w:lvl>
  </w:abstractNum>
  <w:abstractNum w:abstractNumId="11">
    <w:nsid w:val="4E6AFB66"/>
    <w:multiLevelType w:val="hybridMultilevel"/>
    <w:lvl w:ilvl="0">
      <w:lvlJc w:val="left"/>
      <w:lvlText w:val="(%1)"/>
      <w:numFmt w:val="lowerRoman"/>
      <w:start w:val="5"/>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5"/>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5"/>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2019-12-29T15:01:38Z</dcterms:created>
  <dcterms:modified xsi:type="dcterms:W3CDTF">2019-12-29T15:01:38Z</dcterms:modified>
</cp:coreProperties>
</file>