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co-20260401x10q.htm"/>
        <w:bookmarkStart w:id="1" w:name="ksloco2026040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4bd1bdb1_9545_4513_9115_f2c17d36e198"/>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Ej-uUL1km0Wr6RpiCH-MnA_1_1"/>
      <w:bookmarkStart w:id="4" w:name="_ef14052a_5c29_4ef4_8825_0f6a0c08e1c6"/>
      <w:bookmarkStart w:id="5" w:name="Tc_Ej-uUL1km0Wr6RpiCH-MnA_1_1"/>
      <w:bookmarkStart w:id="6" w:name="_ef14052a_5c29_4ef4_8825_0f6a0c08e1c6"/>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April 1, 2026</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 w:name="Tc_6TNwmAMBcE27zA853VaNoQ_1_1"/>
      <w:bookmarkStart w:id="8" w:name="_a400526e_2f46_49c8_9539_be94fc5aba59"/>
      <w:bookmarkStart w:id="9" w:name="Tc_6TNwmAMBcE27zA853VaNoQ_1_1"/>
      <w:bookmarkStart w:id="10" w:name="_a400526e_2f46_49c8_9539_be94fc5aba5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001-36556</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EL POLLO LOCO HOLDINGS, INC.</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1" w:name="Tc_G1tpio11y0CzJTPsZ4290w_2_2"/>
      <w:bookmarkStart w:id="12" w:name="Tc_J66VlvtJiUaIwgXRZFg5yw_2_0"/>
      <w:bookmarkStart w:id="13" w:name="_84d322b7_2ffc_414d_8ff1_aa534fb0db0b"/>
      <w:bookmarkStart w:id="14" w:name="Tc_G1tpio11y0CzJTPsZ4290w_2_2"/>
      <w:bookmarkStart w:id="15" w:name="Tc_J66VlvtJiUaIwgXRZFg5yw_2_0"/>
      <w:bookmarkStart w:id="16" w:name="_84d322b7_2ffc_414d_8ff1_aa534fb0db0b"/>
      <w:bookmarkEnd w:id="14"/>
      <w:bookmarkEnd w:id="15"/>
      <w:bookmarkEnd w:id="16"/>
    </w:p>
    <w:tbl>
      <w:tblPr>
        <w:tblW w:w="6111" w:type="dxa"/>
        <w:jc w:val="left"/>
        <w:tblInd w:w="0" w:type="dxa"/>
        <w:tblLayout w:type="fixed"/>
        <w:tblCellMar>
          <w:top w:w="0" w:type="dxa"/>
          <w:left w:w="0" w:type="dxa"/>
          <w:bottom w:w="0" w:type="dxa"/>
          <w:right w:w="0" w:type="dxa"/>
        </w:tblCellMar>
      </w:tblPr>
      <w:tblGrid>
        <w:gridCol w:w="3751"/>
        <w:gridCol w:w="109"/>
        <w:gridCol w:w="2251"/>
      </w:tblGrid>
      <w:tr>
        <w:trPr/>
        <w:tc>
          <w:tcPr>
            <w:tcW w:w="3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20-3563182</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 incorporation or organization)</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 Identification No.)</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QZ6BGWatQ06bC-oD0PPnew_2_2"/>
      <w:bookmarkStart w:id="18" w:name="Tc_5E_R_uLfjkSRTzfQEKb70w_2_0"/>
      <w:bookmarkStart w:id="19" w:name="Tc_pP0UsPmlEEKXR3eaWCaZtA_1_0"/>
      <w:bookmarkStart w:id="20" w:name="_0663e90b_dd0e_41b9_933b_f1d3da5820c0"/>
      <w:bookmarkStart w:id="21" w:name="Tc_QZ6BGWatQ06bC-oD0PPnew_2_2"/>
      <w:bookmarkStart w:id="22" w:name="Tc_5E_R_uLfjkSRTzfQEKb70w_2_0"/>
      <w:bookmarkStart w:id="23" w:name="Tc_pP0UsPmlEEKXR3eaWCaZtA_1_0"/>
      <w:bookmarkStart w:id="24" w:name="_0663e90b_dd0e_41b9_933b_f1d3da5820c0"/>
      <w:bookmarkEnd w:id="21"/>
      <w:bookmarkEnd w:id="22"/>
      <w:bookmarkEnd w:id="23"/>
      <w:bookmarkEnd w:id="24"/>
    </w:p>
    <w:tbl>
      <w:tblPr>
        <w:tblW w:w="5016" w:type="dxa"/>
        <w:jc w:val="left"/>
        <w:tblInd w:w="0" w:type="dxa"/>
        <w:tblLayout w:type="fixed"/>
        <w:tblCellMar>
          <w:top w:w="0" w:type="dxa"/>
          <w:left w:w="0" w:type="dxa"/>
          <w:bottom w:w="0" w:type="dxa"/>
          <w:right w:w="0" w:type="dxa"/>
        </w:tblCellMar>
      </w:tblPr>
      <w:tblGrid>
        <w:gridCol w:w="4126"/>
        <w:gridCol w:w="109"/>
        <w:gridCol w:w="781"/>
      </w:tblGrid>
      <w:tr>
        <w:trPr/>
        <w:tc>
          <w:tcPr>
            <w:tcW w:w="4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1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575 Anton Blvd., Suite 1100, Costa Mesa, California</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92626</w:t>
            </w:r>
          </w:p>
        </w:tc>
      </w:tr>
      <w:tr>
        <w:trPr/>
        <w:tc>
          <w:tcPr>
            <w:tcW w:w="41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(714) 599-5000</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ewaUKIQrOU22oeHKRKHD3w_1_2"/>
      <w:bookmarkStart w:id="26" w:name="Tc_fuUuL_dHGkGemLQZw25I0g_1_1"/>
      <w:bookmarkStart w:id="27" w:name="Tc_9DLKOzcFdkCGS0foNlsjcQ_1_0"/>
      <w:bookmarkStart w:id="28" w:name="_aa1cc2db_a0ce_484d_8019_ca04bd10e824"/>
      <w:bookmarkStart w:id="29" w:name="Tc_ewaUKIQrOU22oeHKRKHD3w_1_2"/>
      <w:bookmarkStart w:id="30" w:name="Tc_fuUuL_dHGkGemLQZw25I0g_1_1"/>
      <w:bookmarkStart w:id="31" w:name="Tc_9DLKOzcFdkCGS0foNlsjcQ_1_0"/>
      <w:bookmarkStart w:id="32" w:name="_aa1cc2db_a0ce_484d_8019_ca04bd10e824"/>
      <w:bookmarkEnd w:id="29"/>
      <w:bookmarkEnd w:id="30"/>
      <w:bookmarkEnd w:id="31"/>
      <w:bookmarkEnd w:id="32"/>
    </w:p>
    <w:tbl>
      <w:tblPr>
        <w:tblW w:w="9873" w:type="dxa"/>
        <w:jc w:val="left"/>
        <w:tblInd w:w="0" w:type="dxa"/>
        <w:tblLayout w:type="fixed"/>
        <w:tblCellMar>
          <w:top w:w="0" w:type="dxa"/>
          <w:left w:w="0" w:type="dxa"/>
          <w:bottom w:w="0" w:type="dxa"/>
          <w:right w:w="0" w:type="dxa"/>
        </w:tblCellMar>
      </w:tblPr>
      <w:tblGrid>
        <w:gridCol w:w="5146"/>
        <w:gridCol w:w="1456"/>
        <w:gridCol w:w="3271"/>
      </w:tblGrid>
      <w:tr>
        <w:trPr/>
        <w:tc>
          <w:tcPr>
            <w:tcW w:w="51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pPr>
            <w:r>
              <w:rPr/>
              <w:t>​</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LOCO</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Rights to Purchase Series A Preferred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40"/>
              <w:ind w:left="0" w:right="0" w:hanging="0"/>
              <w:jc w:val="center"/>
              <w:rPr/>
            </w:pPr>
            <w:r>
              <w:rPr/>
              <w:t>​</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firstLine="562"/>
        <w:jc w:val="left"/>
        <w:rPr/>
      </w:pPr>
      <w:r>
        <w:rPr/>
        <w:t>​</w:t>
      </w:r>
    </w:p>
    <w:p>
      <w:pPr>
        <w:pStyle w:val="Normal"/>
        <w:bidi w:val="0"/>
        <w:spacing w:before="0" w:after="0"/>
        <w:jc w:val="left"/>
        <w:rPr>
          <w:sz w:val="4"/>
          <w:szCs w:val="4"/>
        </w:rPr>
      </w:pPr>
      <w:r>
        <w:rPr>
          <w:sz w:val="4"/>
          <w:szCs w:val="4"/>
        </w:rPr>
      </w:r>
      <w:bookmarkStart w:id="33" w:name="Tc_I226z9iFoUKYXQPj4EUbcg_5_2"/>
      <w:bookmarkStart w:id="34" w:name="Tc_FF6t9Zsu5EiUkFQExGhK6A_3_2"/>
      <w:bookmarkStart w:id="35" w:name="Tc_E9x5YaHbMU2sawZA2MM9ZA_3_1"/>
      <w:bookmarkStart w:id="36" w:name="Tc_5R68V9SA3UuMyXYIVKczxg_3_0"/>
      <w:bookmarkStart w:id="37" w:name="Tc_Y2og2yLLI0KEl_0_nk9pXg_1_3"/>
      <w:bookmarkStart w:id="38" w:name="Tc_fgwIVChk8EG8PKRcum3Pzw_1_1"/>
      <w:bookmarkStart w:id="39" w:name="Tc_W2sH3OAvy0Kea2VqwOEOXg_1_0"/>
      <w:bookmarkStart w:id="40" w:name="_1e36b7ef_5ef7_4a0f_afaf_eb5a0bfe0b7d"/>
      <w:bookmarkStart w:id="41" w:name="Tc_I226z9iFoUKYXQPj4EUbcg_5_2"/>
      <w:bookmarkStart w:id="42" w:name="Tc_FF6t9Zsu5EiUkFQExGhK6A_3_2"/>
      <w:bookmarkStart w:id="43" w:name="Tc_E9x5YaHbMU2sawZA2MM9ZA_3_1"/>
      <w:bookmarkStart w:id="44" w:name="Tc_5R68V9SA3UuMyXYIVKczxg_3_0"/>
      <w:bookmarkStart w:id="45" w:name="Tc_Y2og2yLLI0KEl_0_nk9pXg_1_3"/>
      <w:bookmarkStart w:id="46" w:name="Tc_fgwIVChk8EG8PKRcum3Pzw_1_1"/>
      <w:bookmarkStart w:id="47" w:name="Tc_W2sH3OAvy0Kea2VqwOEOXg_1_0"/>
      <w:bookmarkStart w:id="48" w:name="_1e36b7ef_5ef7_4a0f_afaf_eb5a0bfe0b7d"/>
      <w:bookmarkEnd w:id="41"/>
      <w:bookmarkEnd w:id="42"/>
      <w:bookmarkEnd w:id="43"/>
      <w:bookmarkEnd w:id="44"/>
      <w:bookmarkEnd w:id="45"/>
      <w:bookmarkEnd w:id="46"/>
      <w:bookmarkEnd w:id="47"/>
      <w:bookmarkEnd w:id="48"/>
    </w:p>
    <w:tbl>
      <w:tblPr>
        <w:tblW w:w="4579" w:type="dxa"/>
        <w:jc w:val="left"/>
        <w:tblInd w:w="0" w:type="dxa"/>
        <w:tblLayout w:type="fixed"/>
        <w:tblCellMar>
          <w:top w:w="0" w:type="dxa"/>
          <w:left w:w="0" w:type="dxa"/>
          <w:bottom w:w="0" w:type="dxa"/>
          <w:right w:w="0" w:type="dxa"/>
        </w:tblCellMar>
      </w:tblPr>
      <w:tblGrid>
        <w:gridCol w:w="1771"/>
        <w:gridCol w:w="316"/>
        <w:gridCol w:w="2131"/>
        <w:gridCol w:w="36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24585" cy="175260"/>
                      <wp:effectExtent l="0" t="0" r="0" b="0"/>
                      <wp:wrapNone/>
                      <wp:docPr id="1" name="Frame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53185" cy="175260"/>
                      <wp:effectExtent l="0" t="0" r="0" b="0"/>
                      <wp:wrapNone/>
                      <wp:docPr id="3" name="Frame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62"/>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As of May 1, 2026, there were 30,455,298 shares of the issuer’s common stock outstanding.</w:t>
      </w:r>
    </w:p>
    <w:p>
      <w:pPr>
        <w:pStyle w:val="TextBody"/>
        <w:bidi w:val="0"/>
        <w:spacing w:before="0" w:after="240"/>
        <w:ind w:left="0" w:right="0" w:firstLine="562"/>
        <w:jc w:val="left"/>
        <w:rPr/>
      </w:pPr>
      <w:r>
        <w:rPr/>
        <w:t>​</w:t>
      </w:r>
    </w:p>
    <w:p>
      <w:pPr>
        <w:pStyle w:val="TextBody"/>
        <w:pBdr>
          <w:top w:val="single" w:sz="8" w:space="1" w:color="000000"/>
          <w:bottom w:val="single" w:sz="24" w:space="1" w:color="000000"/>
        </w:pBdr>
        <w:bidi w:val="0"/>
        <w:spacing w:before="0" w:after="240"/>
        <w:ind w:left="0" w:right="0" w:firstLine="562"/>
        <w:jc w:val="left"/>
        <w:rPr/>
      </w:pPr>
      <w:r>
        <w:rPr/>
        <w:t>​</w:t>
      </w:r>
    </w:p>
    <w:p>
      <w:pPr>
        <w:pStyle w:val="TextBody"/>
        <w:bidi w:val="0"/>
        <w:spacing w:before="0" w:after="240"/>
        <w:ind w:left="0" w:right="0" w:firstLine="562"/>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 w:name="_35666cfb_ac60_4b51_9fdc_f6f9c9ffa66b"/>
      <w:bookmarkStart w:id="50" w:name="TOC"/>
      <w:bookmarkEnd w:id="49"/>
      <w:bookmarkEnd w:id="50"/>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9731" w:type="dxa"/>
        <w:jc w:val="left"/>
        <w:tblInd w:w="0" w:type="dxa"/>
        <w:tblLayout w:type="fixed"/>
        <w:tblCellMar>
          <w:top w:w="0" w:type="dxa"/>
          <w:left w:w="0" w:type="dxa"/>
          <w:bottom w:w="0" w:type="dxa"/>
          <w:right w:w="0" w:type="dxa"/>
        </w:tblCellMar>
      </w:tblPr>
      <w:tblGrid>
        <w:gridCol w:w="841"/>
        <w:gridCol w:w="109"/>
        <w:gridCol w:w="7366"/>
        <w:gridCol w:w="109"/>
        <w:gridCol w:w="1306"/>
      </w:tblGrid>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77410" cy="175260"/>
                      <wp:effectExtent l="0" t="0" r="0" b="0"/>
                      <wp:wrapNone/>
                      <wp:docPr id="5" name="Frame5"/>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829310" cy="175260"/>
                      <wp:effectExtent l="0" t="0" r="0" b="0"/>
                      <wp:wrapNone/>
                      <wp:docPr id="6" name="Frame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Number</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pPr>
            <w:hyperlink w:anchor="PARTIFINANCIALINFORMATION_255169">
              <w:r>
                <w:rPr>
                  <w:rStyle w:val="InternetLink"/>
                  <w:rFonts w:ascii="Times New Roman;Times;serif" w:hAnsi="Times New Roman;Times;serif"/>
                  <w:b/>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8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_Item_1._Financial">
              <w:r>
                <w:rPr>
                  <w:rStyle w:val="InternetLink"/>
                  <w:rFonts w:ascii="Times New Roman;Times;serif" w:hAnsi="Times New Roman;Times;serif"/>
                  <w:b w:val="false"/>
                  <w:i w:val="false"/>
                  <w:caps w:val="false"/>
                  <w:smallCaps w:val="false"/>
                  <w:color w:val="0000FF"/>
                  <w:sz w:val="20"/>
                </w:rPr>
                <w:t>Financial Statements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CONDENSEDCONSOLIDATEDBALANCESHEETSUNAUDI">
              <w:r>
                <w:rPr>
                  <w:rStyle w:val="InternetLink"/>
                  <w:rFonts w:ascii="Times New Roman;Times;serif" w:hAnsi="Times New Roman;Times;serif"/>
                  <w:b w:val="false"/>
                  <w:i w:val="false"/>
                  <w:caps w:val="false"/>
                  <w:smallCaps w:val="false"/>
                  <w:color w:val="0000FF"/>
                  <w:sz w:val="20"/>
                </w:rPr>
                <w:t>Condensed Consolidated Balance Sheets (Unaudited)</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CONDENSEDCONSOLIDATEDSTATEMENTSOFINCOMEU">
              <w:r>
                <w:rPr>
                  <w:rStyle w:val="InternetLink"/>
                  <w:rFonts w:ascii="Times New Roman;Times;serif" w:hAnsi="Times New Roman;Times;serif"/>
                  <w:b w:val="false"/>
                  <w:i w:val="false"/>
                  <w:caps w:val="false"/>
                  <w:smallCaps w:val="false"/>
                  <w:color w:val="0000FF"/>
                  <w:sz w:val="20"/>
                </w:rPr>
                <w:t>Condensed Consolidated Statements of Income (Unaudited)</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color w:val="0000FF"/>
                  <w:sz w:val="20"/>
                </w:rPr>
                <w:t>Condensed Consolidated Statements of Changes in Stockholders’ Equity (Unaudited)</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color w:val="0000FF"/>
                  <w:sz w:val="20"/>
                </w:rPr>
                <w:t>Condensed Consolidated Statements of Cash Flows (Unaudited)</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color w:val="0000FF"/>
                  <w:sz w:val="20"/>
                </w:rPr>
                <w:t>Notes to Condensed Consolidated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color w:val="0000FF"/>
                  <w:sz w:val="20"/>
                </w:rPr>
                <w:t>Management’s Discussion and Analysis of Financial Condition and Results of Operations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84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3.</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color w:val="0000FF"/>
                  <w:sz w:val="20"/>
                </w:rPr>
                <w:t>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4.</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4ControlsandProcedures_514743">
              <w:r>
                <w:rPr>
                  <w:rStyle w:val="InternetLink"/>
                  <w:rFonts w:ascii="Times New Roman;Times;serif" w:hAnsi="Times New Roman;Times;serif"/>
                  <w:b w:val="false"/>
                  <w:i w:val="false"/>
                  <w:caps w:val="false"/>
                  <w:smallCaps w:val="false"/>
                  <w:color w:val="0000FF"/>
                  <w:sz w:val="20"/>
                </w:rPr>
                <w:t>Controls and Procedures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pPr>
            <w:hyperlink w:anchor="PARTIIOTHERINFORMATION_750351">
              <w:r>
                <w:rPr>
                  <w:rStyle w:val="InternetLink"/>
                  <w:rFonts w:ascii="Times New Roman;Times;serif" w:hAnsi="Times New Roman;Times;serif"/>
                  <w:b/>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1LegalProceedings_952142">
              <w:r>
                <w:rPr>
                  <w:rStyle w:val="InternetLink"/>
                  <w:rFonts w:ascii="Times New Roman;Times;serif" w:hAnsi="Times New Roman;Times;serif"/>
                  <w:b w:val="false"/>
                  <w:i w:val="false"/>
                  <w:caps w:val="false"/>
                  <w:smallCaps w:val="false"/>
                  <w:color w:val="0000FF"/>
                  <w:sz w:val="20"/>
                </w:rPr>
                <w:t>Legal Proceedings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1A.</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Item1ARiskFactors_611784">
              <w:r>
                <w:rPr>
                  <w:rStyle w:val="InternetLink"/>
                  <w:rFonts w:ascii="Times New Roman;Times;serif" w:hAnsi="Times New Roman;Times;serif"/>
                  <w:b w:val="false"/>
                  <w:i w:val="false"/>
                  <w:caps w:val="false"/>
                  <w:smallCaps w:val="false"/>
                  <w:color w:val="0000FF"/>
                  <w:sz w:val="20"/>
                </w:rPr>
                <w:t>Risk Factors</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color w:val="0000FF"/>
                  <w:sz w:val="20"/>
                </w:rPr>
                <w:t>Unregistered Sales of Equity Securities and Use of Proceeds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Item3DefaultsofSeniorSecurities_13390">
              <w:r>
                <w:rPr>
                  <w:rStyle w:val="InternetLink"/>
                  <w:rFonts w:ascii="Times New Roman;Times;serif" w:hAnsi="Times New Roman;Times;serif"/>
                  <w:b w:val="false"/>
                  <w:i w:val="false"/>
                  <w:caps w:val="false"/>
                  <w:smallCaps w:val="false"/>
                  <w:color w:val="0000FF"/>
                  <w:sz w:val="20"/>
                </w:rPr>
                <w:t>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4MineSafetyDisclosures_432267">
              <w:r>
                <w:rPr>
                  <w:rStyle w:val="InternetLink"/>
                  <w:rFonts w:ascii="Times New Roman;Times;serif" w:hAnsi="Times New Roman;Times;serif"/>
                  <w:b w:val="false"/>
                  <w:i w:val="false"/>
                  <w:caps w:val="false"/>
                  <w:smallCaps w:val="false"/>
                  <w:color w:val="0000FF"/>
                  <w:sz w:val="20"/>
                </w:rPr>
                <w:t>Mine Safety Disclosures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Item5OtherInformation_929848">
              <w:r>
                <w:rPr>
                  <w:rStyle w:val="InternetLink"/>
                  <w:rFonts w:ascii="Times New Roman;Times;serif" w:hAnsi="Times New Roman;Times;serif"/>
                  <w:b w:val="false"/>
                  <w:i w:val="false"/>
                  <w:caps w:val="false"/>
                  <w:smallCaps w:val="false"/>
                  <w:color w:val="0000FF"/>
                  <w:sz w:val="20"/>
                </w:rPr>
                <w:t>Other Information</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6Exhibits_636888">
              <w:r>
                <w:rPr>
                  <w:rStyle w:val="InternetLink"/>
                  <w:rFonts w:ascii="Times New Roman;Times;serif" w:hAnsi="Times New Roman;Times;serif"/>
                  <w:b w:val="false"/>
                  <w:i w:val="false"/>
                  <w:caps w:val="false"/>
                  <w:smallCaps w:val="false"/>
                  <w:color w:val="0000FF"/>
                  <w:sz w:val="20"/>
                </w:rPr>
                <w:t>Exhibits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SIGNATURES_726842">
              <w:r>
                <w:rPr>
                  <w:rStyle w:val="InternetLink"/>
                  <w:rFonts w:ascii="Times New Roman;Times;serif" w:hAnsi="Times New Roman;Times;serif"/>
                  <w:b w:val="false"/>
                  <w:i w:val="false"/>
                  <w:caps w:val="false"/>
                  <w:smallCaps w:val="false"/>
                  <w:color w:val="0000FF"/>
                  <w:sz w:val="20"/>
                </w:rPr>
                <w:t>Signatures</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 w:name="PARTIFINANCIALINFORMATION_255169"/>
      <w:bookmarkStart w:id="52" w:name="_8efefc2e_300b_4d26_89e1_18f5995a5589"/>
      <w:bookmarkEnd w:id="51"/>
      <w:bookmarkEnd w:id="52"/>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53" w:name="Item1FinancialStatements_653632"/>
      <w:bookmarkStart w:id="54" w:name="_Item_1._Financial"/>
      <w:bookmarkEnd w:id="53"/>
      <w:bookmarkEnd w:id="5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bookmarkStart w:id="55" w:name="CONDENSEDCONSOLIDATEDBALANCESHEETSUNAUDI"/>
      <w:bookmarkEnd w:id="55"/>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6" w:name="Tc_sACbzTmdhU6C5voGzbF6Hg_38_5"/>
      <w:bookmarkStart w:id="57" w:name="Tc_pK-glVXxiUqtZfeqRxEDQg_38_2"/>
      <w:bookmarkStart w:id="58" w:name="Tc_eBffimv65kqcdht7Gnhong_38_0"/>
      <w:bookmarkStart w:id="59" w:name="Tc_9WNFBz7qOEe2ys_3qEuFFA_37_0"/>
      <w:bookmarkStart w:id="60" w:name="Tc_g4nhw2qVJkiewieEme7ttQ_36_0"/>
      <w:bookmarkStart w:id="61" w:name="Tc_vHrHPfBJKk6Xg7USyh91zQ_35_0"/>
      <w:bookmarkStart w:id="62" w:name="Tc_V6rc4qXLc0GkFPaWhyEWSQ_34_0"/>
      <w:bookmarkStart w:id="63" w:name="_9a6b5006_b5f0_4afd_881a_b5252250741a_3"/>
      <w:bookmarkStart w:id="64" w:name="_9a6b5006_b5f0_4afd_881a_b5252250741a_2"/>
      <w:bookmarkStart w:id="65" w:name="_9a6b5006_b5f0_4afd_881a_b5252250741a"/>
      <w:bookmarkStart w:id="66" w:name="Tc_JRKo9bEFUECjJJCllEQz7A_33_0"/>
      <w:bookmarkStart w:id="67" w:name="Tc_jPaVUmWQnEeguNG5AEZckQ_32_0"/>
      <w:bookmarkStart w:id="68" w:name="Tc_DhXNProT1k-HUiqd-OHzRw_31_0"/>
      <w:bookmarkStart w:id="69" w:name="Tc_Y-ZuPo-WK0qx8eHRwFSmgQ_30_0"/>
      <w:bookmarkStart w:id="70" w:name="Tc_Na2RgGLDyUiwUvkWfkQiNw_29_0"/>
      <w:bookmarkStart w:id="71" w:name="Tc_jTJfACzXN0WmnSCoU4ng8A_28_0"/>
      <w:bookmarkStart w:id="72" w:name="Tc_2wEFaoxU0k2h4p3dE4mzkw_27_0"/>
      <w:bookmarkStart w:id="73" w:name="Tc_2OXkCrxtfEyQQ_mWxoHhoA_26_0"/>
      <w:bookmarkStart w:id="74" w:name="Tc_UJpT6p2S40iwsUqBRUcUag_25_0"/>
      <w:bookmarkStart w:id="75" w:name="Tc_BfIaGDuTqUOnmDzGUSK2Pg_24_0"/>
      <w:bookmarkStart w:id="76" w:name="Tc_C8608qVgd02038Y4ESVNPQ_23_0"/>
      <w:bookmarkStart w:id="77" w:name="Tc_VXmNCwKgzku19BNoCuv8kA_22_0"/>
      <w:bookmarkStart w:id="78" w:name="Tc_Z8OCujKNOEKJzhb9rEG7kA_21_0"/>
      <w:bookmarkStart w:id="79" w:name="Tc_tET6L8ico0mPKb3ZiBsWSw_20_5"/>
      <w:bookmarkStart w:id="80" w:name="Tc_tsmYuwsuvkCbWzDdgnWHzg_20_2"/>
      <w:bookmarkStart w:id="81" w:name="Tc_f_Qhc_ArRUywxlsTXNgc_g_20_0"/>
      <w:bookmarkStart w:id="82" w:name="Tc_kHtD5toVdUSSHaYwAUzPJA_19_0"/>
      <w:bookmarkStart w:id="83" w:name="Tc_RmvtUsWEbUeWXtjjkuCF9A_18_0"/>
      <w:bookmarkStart w:id="84" w:name="Tc_DgLMxZfNYUS-nAfQ938CSg_17_5"/>
      <w:bookmarkStart w:id="85" w:name="Tc_SqLeRnzeSEqb5WFoLSTZsQ_17_2"/>
      <w:bookmarkStart w:id="86" w:name="Tc_dXMQNBMFd0O506yCRsDjVw_17_0"/>
      <w:bookmarkStart w:id="87" w:name="Tc_pPsb9sB740yFBLjwrv8HOw_16_0"/>
      <w:bookmarkStart w:id="88" w:name="Tc_wsmQB-y4PEq1no2GVcHddA_15_0"/>
      <w:bookmarkStart w:id="89" w:name="Tc_gUwP3rLO8kuZIVO93fGjlQ_14_0"/>
      <w:bookmarkStart w:id="90" w:name="Tc_f2mtyckvxk2F3g5d2_7qqg_13_0"/>
      <w:bookmarkStart w:id="91" w:name="Tc_Zi1cdt2me0qaUQWDwv4nOw_12_0"/>
      <w:bookmarkStart w:id="92" w:name="Tc_weZvnXAMRU-wuIpimr4JhA_11_0"/>
      <w:bookmarkStart w:id="93" w:name="Tc_i0vYf1hzKkqVKBe8kdOnKQ_10_0"/>
      <w:bookmarkStart w:id="94" w:name="Tc_27aUsnLJ50GarChY3AKpiQ_9_0"/>
      <w:bookmarkStart w:id="95" w:name="Tc_VIvD4b0Y6EOxyMu4VH3C9Q_8_0"/>
      <w:bookmarkStart w:id="96" w:name="Tc_B1GhonX7E0Sk-Ub2BGKLOQ_7_0"/>
      <w:bookmarkStart w:id="97" w:name="Tc_zz9BFst7N0ebCVHh8AzD2A_6_0"/>
      <w:bookmarkStart w:id="98" w:name="Tc_Gpxijp7KkESLMdETh3UrBw_5_5"/>
      <w:bookmarkStart w:id="99" w:name="Tc_9p5sv-h28029fAT5g5caXA_5_2"/>
      <w:bookmarkStart w:id="100" w:name="Tc_WXq1jJb78UmCrfFBilq7bw_5_0"/>
      <w:bookmarkStart w:id="101" w:name="Tc_GKFblpONV0qyulmQhkqmsw_4_0"/>
      <w:bookmarkStart w:id="102" w:name="Tc_HWKQskTcLkmL7p0nnR2yjA_3_0"/>
      <w:bookmarkStart w:id="103" w:name="Tc_RvE5I6ewJEeJZRbQoNjf2Q_2_5"/>
      <w:bookmarkStart w:id="104" w:name="Tc_pjGOdVl_HkKtSW6UYAfWZA_2_2"/>
      <w:bookmarkStart w:id="105" w:name="Tc_C1a1_uERMEG98t1u_lb7Tg_1_5"/>
      <w:bookmarkStart w:id="106" w:name="Tc_UzWyIHo7_EG75KgrwhKu3A_1_2"/>
      <w:bookmarkStart w:id="107" w:name="_41d33600_14ce_4518_a32d_c92244d6600b"/>
      <w:bookmarkStart w:id="108" w:name="Tc_sACbzTmdhU6C5voGzbF6Hg_38_5"/>
      <w:bookmarkStart w:id="109" w:name="Tc_pK-glVXxiUqtZfeqRxEDQg_38_2"/>
      <w:bookmarkStart w:id="110" w:name="Tc_eBffimv65kqcdht7Gnhong_38_0"/>
      <w:bookmarkStart w:id="111" w:name="Tc_9WNFBz7qOEe2ys_3qEuFFA_37_0"/>
      <w:bookmarkStart w:id="112" w:name="Tc_g4nhw2qVJkiewieEme7ttQ_36_0"/>
      <w:bookmarkStart w:id="113" w:name="Tc_vHrHPfBJKk6Xg7USyh91zQ_35_0"/>
      <w:bookmarkStart w:id="114" w:name="Tc_V6rc4qXLc0GkFPaWhyEWSQ_34_0"/>
      <w:bookmarkStart w:id="115" w:name="_9a6b5006_b5f0_4afd_881a_b5252250741a_3"/>
      <w:bookmarkStart w:id="116" w:name="_9a6b5006_b5f0_4afd_881a_b5252250741a_2"/>
      <w:bookmarkStart w:id="117" w:name="_9a6b5006_b5f0_4afd_881a_b5252250741a"/>
      <w:bookmarkStart w:id="118" w:name="Tc_JRKo9bEFUECjJJCllEQz7A_33_0"/>
      <w:bookmarkStart w:id="119" w:name="Tc_jPaVUmWQnEeguNG5AEZckQ_32_0"/>
      <w:bookmarkStart w:id="120" w:name="Tc_DhXNProT1k-HUiqd-OHzRw_31_0"/>
      <w:bookmarkStart w:id="121" w:name="Tc_Y-ZuPo-WK0qx8eHRwFSmgQ_30_0"/>
      <w:bookmarkStart w:id="122" w:name="Tc_Na2RgGLDyUiwUvkWfkQiNw_29_0"/>
      <w:bookmarkStart w:id="123" w:name="Tc_jTJfACzXN0WmnSCoU4ng8A_28_0"/>
      <w:bookmarkStart w:id="124" w:name="Tc_2wEFaoxU0k2h4p3dE4mzkw_27_0"/>
      <w:bookmarkStart w:id="125" w:name="Tc_2OXkCrxtfEyQQ_mWxoHhoA_26_0"/>
      <w:bookmarkStart w:id="126" w:name="Tc_UJpT6p2S40iwsUqBRUcUag_25_0"/>
      <w:bookmarkStart w:id="127" w:name="Tc_BfIaGDuTqUOnmDzGUSK2Pg_24_0"/>
      <w:bookmarkStart w:id="128" w:name="Tc_C8608qVgd02038Y4ESVNPQ_23_0"/>
      <w:bookmarkStart w:id="129" w:name="Tc_VXmNCwKgzku19BNoCuv8kA_22_0"/>
      <w:bookmarkStart w:id="130" w:name="Tc_Z8OCujKNOEKJzhb9rEG7kA_21_0"/>
      <w:bookmarkStart w:id="131" w:name="Tc_tET6L8ico0mPKb3ZiBsWSw_20_5"/>
      <w:bookmarkStart w:id="132" w:name="Tc_tsmYuwsuvkCbWzDdgnWHzg_20_2"/>
      <w:bookmarkStart w:id="133" w:name="Tc_f_Qhc_ArRUywxlsTXNgc_g_20_0"/>
      <w:bookmarkStart w:id="134" w:name="Tc_kHtD5toVdUSSHaYwAUzPJA_19_0"/>
      <w:bookmarkStart w:id="135" w:name="Tc_RmvtUsWEbUeWXtjjkuCF9A_18_0"/>
      <w:bookmarkStart w:id="136" w:name="Tc_DgLMxZfNYUS-nAfQ938CSg_17_5"/>
      <w:bookmarkStart w:id="137" w:name="Tc_SqLeRnzeSEqb5WFoLSTZsQ_17_2"/>
      <w:bookmarkStart w:id="138" w:name="Tc_dXMQNBMFd0O506yCRsDjVw_17_0"/>
      <w:bookmarkStart w:id="139" w:name="Tc_pPsb9sB740yFBLjwrv8HOw_16_0"/>
      <w:bookmarkStart w:id="140" w:name="Tc_wsmQB-y4PEq1no2GVcHddA_15_0"/>
      <w:bookmarkStart w:id="141" w:name="Tc_gUwP3rLO8kuZIVO93fGjlQ_14_0"/>
      <w:bookmarkStart w:id="142" w:name="Tc_f2mtyckvxk2F3g5d2_7qqg_13_0"/>
      <w:bookmarkStart w:id="143" w:name="Tc_Zi1cdt2me0qaUQWDwv4nOw_12_0"/>
      <w:bookmarkStart w:id="144" w:name="Tc_weZvnXAMRU-wuIpimr4JhA_11_0"/>
      <w:bookmarkStart w:id="145" w:name="Tc_i0vYf1hzKkqVKBe8kdOnKQ_10_0"/>
      <w:bookmarkStart w:id="146" w:name="Tc_27aUsnLJ50GarChY3AKpiQ_9_0"/>
      <w:bookmarkStart w:id="147" w:name="Tc_VIvD4b0Y6EOxyMu4VH3C9Q_8_0"/>
      <w:bookmarkStart w:id="148" w:name="Tc_B1GhonX7E0Sk-Ub2BGKLOQ_7_0"/>
      <w:bookmarkStart w:id="149" w:name="Tc_zz9BFst7N0ebCVHh8AzD2A_6_0"/>
      <w:bookmarkStart w:id="150" w:name="Tc_Gpxijp7KkESLMdETh3UrBw_5_5"/>
      <w:bookmarkStart w:id="151" w:name="Tc_9p5sv-h28029fAT5g5caXA_5_2"/>
      <w:bookmarkStart w:id="152" w:name="Tc_WXq1jJb78UmCrfFBilq7bw_5_0"/>
      <w:bookmarkStart w:id="153" w:name="Tc_GKFblpONV0qyulmQhkqmsw_4_0"/>
      <w:bookmarkStart w:id="154" w:name="Tc_HWKQskTcLkmL7p0nnR2yjA_3_0"/>
      <w:bookmarkStart w:id="155" w:name="Tc_RvE5I6ewJEeJZRbQoNjf2Q_2_5"/>
      <w:bookmarkStart w:id="156" w:name="Tc_pjGOdVl_HkKtSW6UYAfWZA_2_2"/>
      <w:bookmarkStart w:id="157" w:name="Tc_C1a1_uERMEG98t1u_lb7Tg_1_5"/>
      <w:bookmarkStart w:id="158" w:name="Tc_UzWyIHo7_EG75KgrwhKu3A_1_2"/>
      <w:bookmarkStart w:id="159" w:name="_41d33600_14ce_4518_a32d_c92244d6600b"/>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tbl>
      <w:tblPr>
        <w:tblW w:w="10205" w:type="dxa"/>
        <w:jc w:val="left"/>
        <w:tblInd w:w="0" w:type="dxa"/>
        <w:tblLayout w:type="fixed"/>
        <w:tblCellMar>
          <w:top w:w="0" w:type="dxa"/>
          <w:left w:w="0" w:type="dxa"/>
          <w:bottom w:w="0" w:type="dxa"/>
          <w:right w:w="0" w:type="dxa"/>
        </w:tblCellMar>
      </w:tblPr>
      <w:tblGrid>
        <w:gridCol w:w="7506"/>
        <w:gridCol w:w="346"/>
        <w:gridCol w:w="196"/>
        <w:gridCol w:w="691"/>
        <w:gridCol w:w="346"/>
        <w:gridCol w:w="220"/>
        <w:gridCol w:w="900"/>
      </w:tblGrid>
      <w:tr>
        <w:trPr/>
        <w:tc>
          <w:tcPr>
            <w:tcW w:w="7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766310" cy="175260"/>
                      <wp:effectExtent l="0" t="0" r="0" b="0"/>
                      <wp:wrapNone/>
                      <wp:docPr id="7" name="Frame7"/>
                      <a:graphic xmlns:a="http://schemas.openxmlformats.org/drawingml/2006/main">
                        <a:graphicData uri="http://schemas.microsoft.com/office/word/2010/wordprocessingShape">
                          <wps:wsp>
                            <wps:cNvSpPr txBox="1"/>
                            <wps:spPr>
                              <a:xfrm>
                                <a:off x="0" y="0"/>
                                <a:ext cx="476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38785" cy="175260"/>
                      <wp:effectExtent l="0" t="0" r="0" b="0"/>
                      <wp:wrapNone/>
                      <wp:docPr id="10" name="Frame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9700" cy="175260"/>
                      <wp:effectExtent l="0" t="0" r="0" b="0"/>
                      <wp:wrapNone/>
                      <wp:docPr id="12" name="Frame1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71500" cy="175260"/>
                      <wp:effectExtent l="0" t="0" r="0" b="0"/>
                      <wp:wrapNone/>
                      <wp:docPr id="13" name="Frame1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w:t>
            </w:r>
          </w:p>
        </w:tc>
        <w:tc>
          <w:tcPr>
            <w:tcW w:w="346" w:type="dxa"/>
            <w:tcBorders/>
            <w:vAlign w:val="center"/>
          </w:tcPr>
          <w:p>
            <w:pPr>
              <w:pStyle w:val="TableContents"/>
              <w:bidi w:val="0"/>
              <w:spacing w:before="0" w:after="0"/>
              <w:ind w:left="0" w:right="0" w:hanging="0"/>
              <w:jc w:val="left"/>
              <w:rPr/>
            </w:pPr>
            <w:r>
              <w:rPr/>
              <w:t>  ​ ​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6,228</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13,724</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11,210</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1,810</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6,561</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6,369</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25,878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25,617</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97,165</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97,043</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held under finance lease,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1,232</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168,377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167,972</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Trademarks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5,680</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609,121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606,648</w:t>
            </w:r>
          </w:p>
        </w:tc>
      </w:tr>
      <w:tr>
        <w:trPr/>
        <w:tc>
          <w:tcPr>
            <w:tcW w:w="10205" w:type="dxa"/>
            <w:gridSpan w:val="7"/>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finance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16,379</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17,616</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15,668</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49,508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45,653</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75,602</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79,079</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Revolver loan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51,000</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finance leases, net of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1,436</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operating leases,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171,099</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170,812</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7,611</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5,633</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306,623</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315,571</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$0.01 par value, 100,000,000 shares authorized; 100,000 shares designated as Series A Preferred Stock; none issued or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$0.01 par value, 200,000,000 shares authorized; 30,455,298 and 29,957,385 shares issued and outstanding as of April 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250,483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247,224</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51,711</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43,554</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302,498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291,077</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609,121</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606,648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0" w:name="_f3edf95a_bf67_4332_8f2b_9236e875f19e"/>
      <w:bookmarkEnd w:id="160"/>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bookmarkStart w:id="161" w:name="CONDENSEDCONSOLIDATEDSTATEMENTSOFINCOMEU"/>
      <w:bookmarkEnd w:id="161"/>
      <w:r>
        <w:rPr>
          <w:rFonts w:ascii="Times New Roman;Times;serif" w:hAnsi="Times New Roman;Times;serif"/>
          <w:b/>
          <w:sz w:val="20"/>
        </w:rPr>
        <w:t>CONDENSED CONSOLIDATED STATEMENTS OF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62" w:name="Tc_1imqHimfp0OBd5KhnBUYBQ_30_0"/>
      <w:bookmarkStart w:id="163" w:name="Tc_ppX1tR7ioE-8YFsg7wHX2A_29_0"/>
      <w:bookmarkStart w:id="164" w:name="Tc_zRoFhWMFhkyp4Oj2leE4_A_28_0"/>
      <w:bookmarkStart w:id="165" w:name="Tc_zrLXDdKk-EqVMO-qIytDvg_27_5"/>
      <w:bookmarkStart w:id="166" w:name="Tc_Egj_GSKwGEyJTsxjUhPtmg_27_2"/>
      <w:bookmarkStart w:id="167" w:name="Tc_6N_0K8SAr06kgqEDoQmzHA_27_0"/>
      <w:bookmarkStart w:id="168" w:name="Tc_jXx9AtzFc0ubWw2l_uldnQ_26_5"/>
      <w:bookmarkStart w:id="169" w:name="Tc_1LeBvXZGk0eQZm54oetW9Q_26_2"/>
      <w:bookmarkStart w:id="170" w:name="Tc_W3x8Pab2jUenosPXHkZaAQ_26_0"/>
      <w:bookmarkStart w:id="171" w:name="Tc_YgaG6dOwOUS334YvZE0sfw_25_0"/>
      <w:bookmarkStart w:id="172" w:name="Tc_M2NzOB1fJUqTMrXrUYZP6g_24_5"/>
      <w:bookmarkStart w:id="173" w:name="Tc_wJqGbyOFGkqtLxcOG9p7GQ_24_2"/>
      <w:bookmarkStart w:id="174" w:name="Tc_lZaP8Hy9JUyhRRpZelCbBA_24_0"/>
      <w:bookmarkStart w:id="175" w:name="Tc_2L07mO3-NEiKKxnZ8_erIw_23_0"/>
      <w:bookmarkStart w:id="176" w:name="Tc_ya26SzehzkSprA6dyhJs7g_22_0"/>
      <w:bookmarkStart w:id="177" w:name="Tc_dlkZaqGuok6E_9dkDw7G0g_21_0"/>
      <w:bookmarkStart w:id="178" w:name="Tc_1_hjE9ZeaEiTg-iTtZFZHA_20_0"/>
      <w:bookmarkStart w:id="179" w:name="Tc_ddj3Vd5oSk6uI97U7-2OSA_19_0"/>
      <w:bookmarkStart w:id="180" w:name="Tc_y5bhq3LmPkGl-58HXfQRcA_18_0"/>
      <w:bookmarkStart w:id="181" w:name="Tc_wWkhqq5JwEWVBQpggJdJ5g_17_0"/>
      <w:bookmarkStart w:id="182" w:name="Tc_GyduTB6I40K-EhPZ_GSxIg_16_0"/>
      <w:bookmarkStart w:id="183" w:name="Tc_CpfNQoYwwE2Z37lZkuvbHA_15_0"/>
      <w:bookmarkStart w:id="184" w:name="Tc_ULYOlTtSHUWp0FufkdsBzw_14_0"/>
      <w:bookmarkStart w:id="185" w:name="Tc_yWc9VgmGxUG_LUbRnR5ccA_13_0"/>
      <w:bookmarkStart w:id="186" w:name="Tc_agjnbNxmHky71QF57hM30w_12_0"/>
      <w:bookmarkStart w:id="187" w:name="Tc_DFudTZJGA0ymAYky2H90ag_11_0"/>
      <w:bookmarkStart w:id="188" w:name="Tc_YIMvWUolsUip-EDZXih3Cw_10_0"/>
      <w:bookmarkStart w:id="189" w:name="Tc_GdkPP2doPUmJlfEW5m7KAQ_9_0"/>
      <w:bookmarkStart w:id="190" w:name="Tc_YpuEXoucUEGo423EGNCnhg_8_0"/>
      <w:bookmarkStart w:id="191" w:name="Tc_zOMa0xBtEUqlreCZx7zGqQ_7_0"/>
      <w:bookmarkStart w:id="192" w:name="Tc_4YRZa7pDykGD3eM9c6mUeg_6_0"/>
      <w:bookmarkStart w:id="193" w:name="Tc_o8_KkeHRnUOnrLgFnqvpOg_5_5"/>
      <w:bookmarkStart w:id="194" w:name="Tc_cLVYyTGwzk6axXtAK_m0_A_5_2"/>
      <w:bookmarkStart w:id="195" w:name="Tc_WPW8FZnxP0uHA96RsHMpnA_5_0"/>
      <w:bookmarkStart w:id="196" w:name="Tc_0zK8fOGDvkm0YTFPNZHOAg_4_0"/>
      <w:bookmarkStart w:id="197" w:name="Tc_QQV9zC_18kyIBxB55chlog_3_5"/>
      <w:bookmarkStart w:id="198" w:name="Tc_W-VftN5Cp0-SN2yJX1eH-g_3_2"/>
      <w:bookmarkStart w:id="199" w:name="Tc_kANFa40WlU2_naQ1yHCSPQ_2_2"/>
      <w:bookmarkStart w:id="200" w:name="_0e6641e6_d489_442e_9cda_5e48c2ed0862"/>
      <w:bookmarkStart w:id="201" w:name="Tc_1imqHimfp0OBd5KhnBUYBQ_30_0"/>
      <w:bookmarkStart w:id="202" w:name="Tc_ppX1tR7ioE-8YFsg7wHX2A_29_0"/>
      <w:bookmarkStart w:id="203" w:name="Tc_zRoFhWMFhkyp4Oj2leE4_A_28_0"/>
      <w:bookmarkStart w:id="204" w:name="Tc_zrLXDdKk-EqVMO-qIytDvg_27_5"/>
      <w:bookmarkStart w:id="205" w:name="Tc_Egj_GSKwGEyJTsxjUhPtmg_27_2"/>
      <w:bookmarkStart w:id="206" w:name="Tc_6N_0K8SAr06kgqEDoQmzHA_27_0"/>
      <w:bookmarkStart w:id="207" w:name="Tc_jXx9AtzFc0ubWw2l_uldnQ_26_5"/>
      <w:bookmarkStart w:id="208" w:name="Tc_1LeBvXZGk0eQZm54oetW9Q_26_2"/>
      <w:bookmarkStart w:id="209" w:name="Tc_W3x8Pab2jUenosPXHkZaAQ_26_0"/>
      <w:bookmarkStart w:id="210" w:name="Tc_YgaG6dOwOUS334YvZE0sfw_25_0"/>
      <w:bookmarkStart w:id="211" w:name="Tc_M2NzOB1fJUqTMrXrUYZP6g_24_5"/>
      <w:bookmarkStart w:id="212" w:name="Tc_wJqGbyOFGkqtLxcOG9p7GQ_24_2"/>
      <w:bookmarkStart w:id="213" w:name="Tc_lZaP8Hy9JUyhRRpZelCbBA_24_0"/>
      <w:bookmarkStart w:id="214" w:name="Tc_2L07mO3-NEiKKxnZ8_erIw_23_0"/>
      <w:bookmarkStart w:id="215" w:name="Tc_ya26SzehzkSprA6dyhJs7g_22_0"/>
      <w:bookmarkStart w:id="216" w:name="Tc_dlkZaqGuok6E_9dkDw7G0g_21_0"/>
      <w:bookmarkStart w:id="217" w:name="Tc_1_hjE9ZeaEiTg-iTtZFZHA_20_0"/>
      <w:bookmarkStart w:id="218" w:name="Tc_ddj3Vd5oSk6uI97U7-2OSA_19_0"/>
      <w:bookmarkStart w:id="219" w:name="Tc_y5bhq3LmPkGl-58HXfQRcA_18_0"/>
      <w:bookmarkStart w:id="220" w:name="Tc_wWkhqq5JwEWVBQpggJdJ5g_17_0"/>
      <w:bookmarkStart w:id="221" w:name="Tc_GyduTB6I40K-EhPZ_GSxIg_16_0"/>
      <w:bookmarkStart w:id="222" w:name="Tc_CpfNQoYwwE2Z37lZkuvbHA_15_0"/>
      <w:bookmarkStart w:id="223" w:name="Tc_ULYOlTtSHUWp0FufkdsBzw_14_0"/>
      <w:bookmarkStart w:id="224" w:name="Tc_yWc9VgmGxUG_LUbRnR5ccA_13_0"/>
      <w:bookmarkStart w:id="225" w:name="Tc_agjnbNxmHky71QF57hM30w_12_0"/>
      <w:bookmarkStart w:id="226" w:name="Tc_DFudTZJGA0ymAYky2H90ag_11_0"/>
      <w:bookmarkStart w:id="227" w:name="Tc_YIMvWUolsUip-EDZXih3Cw_10_0"/>
      <w:bookmarkStart w:id="228" w:name="Tc_GdkPP2doPUmJlfEW5m7KAQ_9_0"/>
      <w:bookmarkStart w:id="229" w:name="Tc_YpuEXoucUEGo423EGNCnhg_8_0"/>
      <w:bookmarkStart w:id="230" w:name="Tc_zOMa0xBtEUqlreCZx7zGqQ_7_0"/>
      <w:bookmarkStart w:id="231" w:name="Tc_4YRZa7pDykGD3eM9c6mUeg_6_0"/>
      <w:bookmarkStart w:id="232" w:name="Tc_o8_KkeHRnUOnrLgFnqvpOg_5_5"/>
      <w:bookmarkStart w:id="233" w:name="Tc_cLVYyTGwzk6axXtAK_m0_A_5_2"/>
      <w:bookmarkStart w:id="234" w:name="Tc_WPW8FZnxP0uHA96RsHMpnA_5_0"/>
      <w:bookmarkStart w:id="235" w:name="Tc_0zK8fOGDvkm0YTFPNZHOAg_4_0"/>
      <w:bookmarkStart w:id="236" w:name="Tc_QQV9zC_18kyIBxB55chlog_3_5"/>
      <w:bookmarkStart w:id="237" w:name="Tc_W-VftN5Cp0-SN2yJX1eH-g_3_2"/>
      <w:bookmarkStart w:id="238" w:name="Tc_kANFa40WlU2_naQ1yHCSPQ_2_2"/>
      <w:bookmarkStart w:id="239" w:name="_0e6641e6_d489_442e_9cda_5e48c2ed0862"/>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tbl>
      <w:tblPr>
        <w:tblW w:w="8742" w:type="dxa"/>
        <w:jc w:val="left"/>
        <w:tblInd w:w="0" w:type="dxa"/>
        <w:tblLayout w:type="fixed"/>
        <w:tblCellMar>
          <w:top w:w="0" w:type="dxa"/>
          <w:left w:w="0" w:type="dxa"/>
          <w:bottom w:w="0" w:type="dxa"/>
          <w:right w:w="0" w:type="dxa"/>
        </w:tblCellMar>
      </w:tblPr>
      <w:tblGrid>
        <w:gridCol w:w="5641"/>
        <w:gridCol w:w="346"/>
        <w:gridCol w:w="211"/>
        <w:gridCol w:w="1036"/>
        <w:gridCol w:w="146"/>
        <w:gridCol w:w="211"/>
        <w:gridCol w:w="115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582035" cy="175260"/>
                      <wp:effectExtent l="0" t="0" r="0" b="0"/>
                      <wp:wrapNone/>
                      <wp:docPr id="14" name="Frame14"/>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2710" cy="175260"/>
                      <wp:effectExtent l="0" t="0" r="0" b="0"/>
                      <wp:wrapNone/>
                      <wp:docPr id="18" name="Frame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30885" cy="175260"/>
                      <wp:effectExtent l="0" t="0" r="0" b="0"/>
                      <wp:wrapNone/>
                      <wp:docPr id="20" name="Frame20"/>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7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56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46" w:type="dxa"/>
            <w:tcBorders/>
            <w:vAlign w:val="center"/>
          </w:tcPr>
          <w:p>
            <w:pPr>
              <w:pStyle w:val="TableContents"/>
              <w:bidi w:val="0"/>
              <w:spacing w:before="0" w:after="0"/>
              <w:ind w:left="0" w:right="0" w:hanging="0"/>
              <w:jc w:val="left"/>
              <w:rPr/>
            </w:pPr>
            <w:r>
              <w:rPr/>
              <w:t>​</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  ​</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105,915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98,365</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119,177</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pPr>
            <w:r>
              <w:rPr/>
              <w:t>  ​</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24,739</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32,179</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25,673</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restaurant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85,558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82,591</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11,263</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113,965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110,205</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7,796</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pPr>
            <w:r>
              <w:rPr/>
              <w:t>​</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shares used in computing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pPr>
            <w:r>
              <w:rPr/>
              <w:t>  ​</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29,407,496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29,085,836</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29,691,297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29,337,906</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0" w:name="_5599bd18_ef31_4dfc_8aa0_360faf4a600b"/>
      <w:bookmarkEnd w:id="240"/>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bookmarkStart w:id="241" w:name="CONDENSEDCONSOLIDATEDSTATEMENTSOFCHANGES"/>
      <w:bookmarkEnd w:id="241"/>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42" w:name="Tc_3uq2r5sG7UCol1Btf81xVg_29_16"/>
      <w:bookmarkStart w:id="243" w:name="Tc_Nj7kP6pQPkOCrCk8shdbYw_29_14"/>
      <w:bookmarkStart w:id="244" w:name="Tc_IGTbtB-Bq02NZrWBvvCeRw_29_13"/>
      <w:bookmarkStart w:id="245" w:name="Tc_4z_TobVY9UK1jxG_hRUWTQ_29_10"/>
      <w:bookmarkStart w:id="246" w:name="Tc_HQ20xwUjPkGPrgJX0LUVlg_29_7"/>
      <w:bookmarkStart w:id="247" w:name="Tc_saP1_dXqSUOqRCNb0Zr9bg_29_4"/>
      <w:bookmarkStart w:id="248" w:name="Tc_LvF3_bbWikSgaPOHY6TbYw_29_0"/>
      <w:bookmarkStart w:id="249" w:name="Tc_VNN3yrh20EO_w3E1lmPyiA_28_14"/>
      <w:bookmarkStart w:id="250" w:name="Tc_qlStwa52rUa_2HA8Uwf_6w_28_8"/>
      <w:bookmarkStart w:id="251" w:name="Tc_U6Tb0gFDPEa3PlL9A_Vd3w_28_5"/>
      <w:bookmarkStart w:id="252" w:name="Tc_EUFBcfQ4_UyLc4erY_9nzA_28_2"/>
      <w:bookmarkStart w:id="253" w:name="Tc_1KyTCbnxFEWYszCxx0Nytg_28_0"/>
      <w:bookmarkStart w:id="254" w:name="Tc_f7RL4Oo4J0SQrOS5gmTaxw_27_17"/>
      <w:bookmarkStart w:id="255" w:name="Tc_rxvzqmblDEqOT0qIn9BdPg_27_14"/>
      <w:bookmarkStart w:id="256" w:name="Tc_atPduyOUMUydYb94o39m_A_27_11"/>
      <w:bookmarkStart w:id="257" w:name="Tc_o0vWd3P0iUCmLtHhakGLyg_27_8"/>
      <w:bookmarkStart w:id="258" w:name="Tc_18FU2_-Az0qCJmFbS9ew3Q_27_5"/>
      <w:bookmarkStart w:id="259" w:name="Tc_KT5CLeldZUC5jRasQa6Aaw_27_0"/>
      <w:bookmarkStart w:id="260" w:name="Tc_gO2ecXGL90-5AgkSBomQUw_26_14"/>
      <w:bookmarkStart w:id="261" w:name="Tc_5wk59798HEGfAGE9Dgoe2A_26_8"/>
      <w:bookmarkStart w:id="262" w:name="Tc_5uoZ1_2wR0W6EjVCUOeikQ_26_5"/>
      <w:bookmarkStart w:id="263" w:name="Tc_kdsx5_TMzUyivG9Zk9RecA_26_2"/>
      <w:bookmarkStart w:id="264" w:name="Tc_sFll3jNbIU6b1X7oPriFHA_26_0"/>
      <w:bookmarkStart w:id="265" w:name="Tc_-uF7cfz9Bka1xFdYX7aFwg_25_14"/>
      <w:bookmarkStart w:id="266" w:name="Tc_S5_E5Ltr6UaZjanY-SXFDA_25_8"/>
      <w:bookmarkStart w:id="267" w:name="Tc_SUEB0-bT5kuKMbBTJ3HsOg_25_0"/>
      <w:bookmarkStart w:id="268" w:name="Tc_eDj56emod0SpGc3mwLYP_w_24_14"/>
      <w:bookmarkStart w:id="269" w:name="Tc_Qnt6eJdRQEWvWkmWHyEm9g_24_11"/>
      <w:bookmarkStart w:id="270" w:name="Tc_-VCnjAejX0ydid8QZh9T4g_24_5"/>
      <w:bookmarkStart w:id="271" w:name="Tc_YQhdxijeSU-RJn8nY6Tl3g_24_0"/>
      <w:bookmarkStart w:id="272" w:name="Tc_hdFqCJSlf0C9hOIiE2coFA_23_14"/>
      <w:bookmarkStart w:id="273" w:name="Tc_oL0DlxCqs0yk1LEBaqjA-g_23_11"/>
      <w:bookmarkStart w:id="274" w:name="Tc_I0OkHwGGaUS9tc53QgX1Zw_23_5"/>
      <w:bookmarkStart w:id="275" w:name="Tc__113OIC4xUeacWVrv2RvoQ_23_0"/>
      <w:bookmarkStart w:id="276" w:name="Tc_Q8nU25EknUa6eAW34-ir3Q_22_17"/>
      <w:bookmarkStart w:id="277" w:name="Tc_zkxupyfiq0Ks8KxBVDlpyw_22_14"/>
      <w:bookmarkStart w:id="278" w:name="Tc_LY2LP9xGLkG9xKHtqV0lQw_22_11"/>
      <w:bookmarkStart w:id="279" w:name="Tc_BERrEDcegUmyYuvLD04VcA_22_0"/>
      <w:bookmarkStart w:id="280" w:name="Tc_b9b8Pf2yAEOubWiWOOxLng_21_14"/>
      <w:bookmarkStart w:id="281" w:name="Tc_qztY-7wxcUCfTGDI45o5WA_21_11"/>
      <w:bookmarkStart w:id="282" w:name="Tc_S1SLjf24CEKA8qY8Vos6JQ_21_5"/>
      <w:bookmarkStart w:id="283" w:name="Tc_L3WjhSc9ZEKaN51RzW0O2g_21_2"/>
      <w:bookmarkStart w:id="284" w:name="Tc_314iNcI_5U6YTWBOrPEUFg_21_0"/>
      <w:bookmarkStart w:id="285" w:name="Tc_YTjpTCFVD0eofso1fGoiYw_20_16"/>
      <w:bookmarkStart w:id="286" w:name="Tc_oL7ZTMbdRUe43OlXzeOMAw_20_14"/>
      <w:bookmarkStart w:id="287" w:name="Tc_2nFsoOkxiEOAaIrXEum7Yw_20_13"/>
      <w:bookmarkStart w:id="288" w:name="Tc_RBQgHRNSvEGuC9Hzdp9Kzw_20_10"/>
      <w:bookmarkStart w:id="289" w:name="Tc_EDsSq1HykUOIpfYIAST-Tw_20_7"/>
      <w:bookmarkStart w:id="290" w:name="Tc_icwDzKjVG0mnmNOOhbmDxQ_20_4"/>
      <w:bookmarkStart w:id="291" w:name="Tc_YKJCA9hv50-NlxwCoyOifw_20_0"/>
      <w:bookmarkStart w:id="292" w:name="Tc_TUsn-AX8IUS4QRUVCGvdMA_19_16"/>
      <w:bookmarkStart w:id="293" w:name="Tc_7DkNv0u6hki30-q58DDqHw_19_13"/>
      <w:bookmarkStart w:id="294" w:name="Tc_JTqpW6PxDkyoRdwXd0yg4w_19_10"/>
      <w:bookmarkStart w:id="295" w:name="Tc_9zUtTtalb0WcX0U6ctxCnA_19_7"/>
      <w:bookmarkStart w:id="296" w:name="Tc_CUt4kPSsukCDZka1cKP9ng_19_4"/>
      <w:bookmarkStart w:id="297" w:name="Tc_6dSi5ou51UynhQ0V_gvF2w_19_2"/>
      <w:bookmarkStart w:id="298" w:name="Tc_g6PQBaa03UeYEQ89wBbaAg_18_16"/>
      <w:bookmarkStart w:id="299" w:name="Tc_L9tHWsw6PU29hoeVU3YL3A_18_13"/>
      <w:bookmarkStart w:id="300" w:name="Tc_sxR0QqPU4k2A0D6gtsEO2g_18_10"/>
      <w:bookmarkStart w:id="301" w:name="Tc_baha8Rc3jUitDq6GVPrwMg_18_7"/>
      <w:bookmarkStart w:id="302" w:name="Tc__G-00ggNYUiF0xCpfgyznA_18_2"/>
      <w:bookmarkStart w:id="303" w:name="Tc_LljLohMC30OJ0ZMJDL0hOQ_17_16"/>
      <w:bookmarkStart w:id="304" w:name="Tc_Y7RYFpMViUi5bIgMk9Qxzw_17_13"/>
      <w:bookmarkStart w:id="305" w:name="Tc_ziupBDpvdkeCEDXQ-qQIvw_17_7"/>
      <w:bookmarkStart w:id="306" w:name="Tc_yfeJ4sTTbUSoyXzf45HaKw_16_13"/>
      <w:bookmarkStart w:id="307" w:name="Tc_GXMDUFovKEyfAtDXm_1U1A_15_2"/>
      <w:bookmarkStart w:id="308" w:name="Tc_3rKbxmI6lUaFuJY9zLFJhg_13_16"/>
      <w:bookmarkStart w:id="309" w:name="Tc_fTXgvNbJRU-yfhDlZllfeg_13_14"/>
      <w:bookmarkStart w:id="310" w:name="Tc_V0M6fCShOEiOOvvw6tMrdA_13_13"/>
      <w:bookmarkStart w:id="311" w:name="Tc_OWqkP805EUOUny1SsbuhSA_13_10"/>
      <w:bookmarkStart w:id="312" w:name="Tc_SVHEb74_FUaU06UEN6YU4Q_13_7"/>
      <w:bookmarkStart w:id="313" w:name="Tc_kYyRMD-baUWWvnqnJ0ln-A_13_4"/>
      <w:bookmarkStart w:id="314" w:name="Tc_yq10NLMQVEmQStUST-DPCg_13_0"/>
      <w:bookmarkStart w:id="315" w:name="Tc_ufC09HMTu0C0r8Sc_8bwow_12_14"/>
      <w:bookmarkStart w:id="316" w:name="Tc_QZp9uOf_50yxZCRv-hHRyQ_12_8"/>
      <w:bookmarkStart w:id="317" w:name="Tc_-MfsbQ7nzk6xof_pCgCEdA_12_5"/>
      <w:bookmarkStart w:id="318" w:name="Tc_cXN2L2Fty0S1EKvhquYHEg_12_2"/>
      <w:bookmarkStart w:id="319" w:name="Tc_5MxO1b3H9EqxBI8UZvEaGQ_12_0"/>
      <w:bookmarkStart w:id="320" w:name="Tc_-D9OuWwMqUmjWNvotWZEew_11_17"/>
      <w:bookmarkStart w:id="321" w:name="Tc_b46OOEPzT0m4jwgrdvXWGA_11_14"/>
      <w:bookmarkStart w:id="322" w:name="Tc_o-nWEI2AAEWQ_UEuzQncLw_11_11"/>
      <w:bookmarkStart w:id="323" w:name="Tc_he7VLXboP0uZ4TVE5CO-kA_11_8"/>
      <w:bookmarkStart w:id="324" w:name="Tc_B7Oh0c7ls02DovUQJ_PC1Q_11_5"/>
      <w:bookmarkStart w:id="325" w:name="Tc_EMCjBMEOmkihqmewZrYlaw_11_0"/>
      <w:bookmarkStart w:id="326" w:name="Tc__CbY7CE9JUe8NYcm7IUuog_10_14"/>
      <w:bookmarkStart w:id="327" w:name="Tc_ogzN4pMotEW2Dv2jiM5YNg_10_11"/>
      <w:bookmarkStart w:id="328" w:name="Tc_QZkZx-oCHka3CiEu9Oi48Q_10_5"/>
      <w:bookmarkStart w:id="329" w:name="Tc_xdzGrGzcjkiw0q-Fr5fmbw_10_0"/>
      <w:bookmarkStart w:id="330" w:name="Tc_3Vg38gv0F0-3W3AOZnewtA_9_14"/>
      <w:bookmarkStart w:id="331" w:name="Tc_dmtl5u524Um6V7smVzL6gQ_9_11"/>
      <w:bookmarkStart w:id="332" w:name="Tc_Rx6gPNYYqkSrEYwkeEJZNg_9_0"/>
      <w:bookmarkStart w:id="333" w:name="Tc_l0vh87RUXkOZ5slx36xFRQ_8_17"/>
      <w:bookmarkStart w:id="334" w:name="Tc_sOol28t6gk2Q9QzXS729sw_8_14"/>
      <w:bookmarkStart w:id="335" w:name="Tc_ojaYMO1FDk21g6YF7nV3CA_8_11"/>
      <w:bookmarkStart w:id="336" w:name="Tc_w0cvQD1lmEqmXVLGhz3pOA_8_0"/>
      <w:bookmarkStart w:id="337" w:name="Tc_3E4qEZiUQ06fVGPPmbCMWA_7_14"/>
      <w:bookmarkStart w:id="338" w:name="Tc_lF-aeBy-5kS4C5aE9AESGQ_7_11"/>
      <w:bookmarkStart w:id="339" w:name="Tc_XOEoo5plIUmCidFx64MUrA_7_5"/>
      <w:bookmarkStart w:id="340" w:name="Tc_YwQUViNK-USBoSpoH43Lrg_7_2"/>
      <w:bookmarkStart w:id="341" w:name="Tc_0u7EpYcNcEuPelt1Ly7kpA_7_0"/>
      <w:bookmarkStart w:id="342" w:name="Tc_t61D6Y0_B0C8vgJzkYOXLA_6_16"/>
      <w:bookmarkStart w:id="343" w:name="Tc_X7nNGqtwGUCff2pB1CeJmA_6_14"/>
      <w:bookmarkStart w:id="344" w:name="Tc__oK3HDHDP0-n0txiqq85zA_6_13"/>
      <w:bookmarkStart w:id="345" w:name="Tc_-AVnQ7d02ku5LJK36wZAew_6_10"/>
      <w:bookmarkStart w:id="346" w:name="Tc_vTKdA-ZbWUKeEgvWWn9NKA_6_7"/>
      <w:bookmarkStart w:id="347" w:name="Tc_tsehPqMAtUyRy6yRfzN2Jg_6_4"/>
      <w:bookmarkStart w:id="348" w:name="Tc_LUoSRIMatEas9Df-cJFnTQ_6_0"/>
      <w:bookmarkStart w:id="349" w:name="Tc_9Pm1qYfta0iwv1XW4Nozsg_5_16"/>
      <w:bookmarkStart w:id="350" w:name="Tc_B-goe0kOyUeLwQim-gjt-g_5_13"/>
      <w:bookmarkStart w:id="351" w:name="Tc_WiKpqU2CL0GBeXCqvfsfug_5_10"/>
      <w:bookmarkStart w:id="352" w:name="Tc_NTiqqbwesEiYGxeAEaaZwg_5_7"/>
      <w:bookmarkStart w:id="353" w:name="Tc_ku9p-no0qESFW5PNBb4-lg_5_4"/>
      <w:bookmarkStart w:id="354" w:name="Tc_M945cKu06kq81YT8i2WWVA_5_2"/>
      <w:bookmarkStart w:id="355" w:name="Tc_5q0lF1hIv0e6WpwrSEZmKQ_4_16"/>
      <w:bookmarkStart w:id="356" w:name="Tc_B__lx2yxIkeb9M-d0j8W0A_4_13"/>
      <w:bookmarkStart w:id="357" w:name="Tc_ctTYNjwbK02Z-LCsx6-d5w_4_10"/>
      <w:bookmarkStart w:id="358" w:name="Tc_awLVhpRra0uBgygkdlXLSw_4_7"/>
      <w:bookmarkStart w:id="359" w:name="Tc_LeBTysbXm0W6G4MCAv5iXw_4_2"/>
      <w:bookmarkStart w:id="360" w:name="Tc_Ca2-s6lbIE-pGxLduRvgHQ_3_16"/>
      <w:bookmarkStart w:id="361" w:name="Tc_BDYhHyFPSk2J0rYwJgFKtw_3_13"/>
      <w:bookmarkStart w:id="362" w:name="Tc_bwhEOdMDoEihtASmms9X_A_3_7"/>
      <w:bookmarkStart w:id="363" w:name="Tc_Zgym5mm1DkCfo_Cc4ZdUHA_2_13"/>
      <w:bookmarkStart w:id="364" w:name="Tc_Rbtb25BbGEuUEdlgiD3vAw_1_2"/>
      <w:bookmarkStart w:id="365" w:name="_144d4bd5_eda0_42e6_afe5_09bfd4ea1594"/>
      <w:bookmarkStart w:id="366" w:name="Tc_3uq2r5sG7UCol1Btf81xVg_29_16"/>
      <w:bookmarkStart w:id="367" w:name="Tc_Nj7kP6pQPkOCrCk8shdbYw_29_14"/>
      <w:bookmarkStart w:id="368" w:name="Tc_IGTbtB-Bq02NZrWBvvCeRw_29_13"/>
      <w:bookmarkStart w:id="369" w:name="Tc_4z_TobVY9UK1jxG_hRUWTQ_29_10"/>
      <w:bookmarkStart w:id="370" w:name="Tc_HQ20xwUjPkGPrgJX0LUVlg_29_7"/>
      <w:bookmarkStart w:id="371" w:name="Tc_saP1_dXqSUOqRCNb0Zr9bg_29_4"/>
      <w:bookmarkStart w:id="372" w:name="Tc_LvF3_bbWikSgaPOHY6TbYw_29_0"/>
      <w:bookmarkStart w:id="373" w:name="Tc_VNN3yrh20EO_w3E1lmPyiA_28_14"/>
      <w:bookmarkStart w:id="374" w:name="Tc_qlStwa52rUa_2HA8Uwf_6w_28_8"/>
      <w:bookmarkStart w:id="375" w:name="Tc_U6Tb0gFDPEa3PlL9A_Vd3w_28_5"/>
      <w:bookmarkStart w:id="376" w:name="Tc_EUFBcfQ4_UyLc4erY_9nzA_28_2"/>
      <w:bookmarkStart w:id="377" w:name="Tc_1KyTCbnxFEWYszCxx0Nytg_28_0"/>
      <w:bookmarkStart w:id="378" w:name="Tc_f7RL4Oo4J0SQrOS5gmTaxw_27_17"/>
      <w:bookmarkStart w:id="379" w:name="Tc_rxvzqmblDEqOT0qIn9BdPg_27_14"/>
      <w:bookmarkStart w:id="380" w:name="Tc_atPduyOUMUydYb94o39m_A_27_11"/>
      <w:bookmarkStart w:id="381" w:name="Tc_o0vWd3P0iUCmLtHhakGLyg_27_8"/>
      <w:bookmarkStart w:id="382" w:name="Tc_18FU2_-Az0qCJmFbS9ew3Q_27_5"/>
      <w:bookmarkStart w:id="383" w:name="Tc_KT5CLeldZUC5jRasQa6Aaw_27_0"/>
      <w:bookmarkStart w:id="384" w:name="Tc_gO2ecXGL90-5AgkSBomQUw_26_14"/>
      <w:bookmarkStart w:id="385" w:name="Tc_5wk59798HEGfAGE9Dgoe2A_26_8"/>
      <w:bookmarkStart w:id="386" w:name="Tc_5uoZ1_2wR0W6EjVCUOeikQ_26_5"/>
      <w:bookmarkStart w:id="387" w:name="Tc_kdsx5_TMzUyivG9Zk9RecA_26_2"/>
      <w:bookmarkStart w:id="388" w:name="Tc_sFll3jNbIU6b1X7oPriFHA_26_0"/>
      <w:bookmarkStart w:id="389" w:name="Tc_-uF7cfz9Bka1xFdYX7aFwg_25_14"/>
      <w:bookmarkStart w:id="390" w:name="Tc_S5_E5Ltr6UaZjanY-SXFDA_25_8"/>
      <w:bookmarkStart w:id="391" w:name="Tc_SUEB0-bT5kuKMbBTJ3HsOg_25_0"/>
      <w:bookmarkStart w:id="392" w:name="Tc_eDj56emod0SpGc3mwLYP_w_24_14"/>
      <w:bookmarkStart w:id="393" w:name="Tc_Qnt6eJdRQEWvWkmWHyEm9g_24_11"/>
      <w:bookmarkStart w:id="394" w:name="Tc_-VCnjAejX0ydid8QZh9T4g_24_5"/>
      <w:bookmarkStart w:id="395" w:name="Tc_YQhdxijeSU-RJn8nY6Tl3g_24_0"/>
      <w:bookmarkStart w:id="396" w:name="Tc_hdFqCJSlf0C9hOIiE2coFA_23_14"/>
      <w:bookmarkStart w:id="397" w:name="Tc_oL0DlxCqs0yk1LEBaqjA-g_23_11"/>
      <w:bookmarkStart w:id="398" w:name="Tc_I0OkHwGGaUS9tc53QgX1Zw_23_5"/>
      <w:bookmarkStart w:id="399" w:name="Tc__113OIC4xUeacWVrv2RvoQ_23_0"/>
      <w:bookmarkStart w:id="400" w:name="Tc_Q8nU25EknUa6eAW34-ir3Q_22_17"/>
      <w:bookmarkStart w:id="401" w:name="Tc_zkxupyfiq0Ks8KxBVDlpyw_22_14"/>
      <w:bookmarkStart w:id="402" w:name="Tc_LY2LP9xGLkG9xKHtqV0lQw_22_11"/>
      <w:bookmarkStart w:id="403" w:name="Tc_BERrEDcegUmyYuvLD04VcA_22_0"/>
      <w:bookmarkStart w:id="404" w:name="Tc_b9b8Pf2yAEOubWiWOOxLng_21_14"/>
      <w:bookmarkStart w:id="405" w:name="Tc_qztY-7wxcUCfTGDI45o5WA_21_11"/>
      <w:bookmarkStart w:id="406" w:name="Tc_S1SLjf24CEKA8qY8Vos6JQ_21_5"/>
      <w:bookmarkStart w:id="407" w:name="Tc_L3WjhSc9ZEKaN51RzW0O2g_21_2"/>
      <w:bookmarkStart w:id="408" w:name="Tc_314iNcI_5U6YTWBOrPEUFg_21_0"/>
      <w:bookmarkStart w:id="409" w:name="Tc_YTjpTCFVD0eofso1fGoiYw_20_16"/>
      <w:bookmarkStart w:id="410" w:name="Tc_oL7ZTMbdRUe43OlXzeOMAw_20_14"/>
      <w:bookmarkStart w:id="411" w:name="Tc_2nFsoOkxiEOAaIrXEum7Yw_20_13"/>
      <w:bookmarkStart w:id="412" w:name="Tc_RBQgHRNSvEGuC9Hzdp9Kzw_20_10"/>
      <w:bookmarkStart w:id="413" w:name="Tc_EDsSq1HykUOIpfYIAST-Tw_20_7"/>
      <w:bookmarkStart w:id="414" w:name="Tc_icwDzKjVG0mnmNOOhbmDxQ_20_4"/>
      <w:bookmarkStart w:id="415" w:name="Tc_YKJCA9hv50-NlxwCoyOifw_20_0"/>
      <w:bookmarkStart w:id="416" w:name="Tc_TUsn-AX8IUS4QRUVCGvdMA_19_16"/>
      <w:bookmarkStart w:id="417" w:name="Tc_7DkNv0u6hki30-q58DDqHw_19_13"/>
      <w:bookmarkStart w:id="418" w:name="Tc_JTqpW6PxDkyoRdwXd0yg4w_19_10"/>
      <w:bookmarkStart w:id="419" w:name="Tc_9zUtTtalb0WcX0U6ctxCnA_19_7"/>
      <w:bookmarkStart w:id="420" w:name="Tc_CUt4kPSsukCDZka1cKP9ng_19_4"/>
      <w:bookmarkStart w:id="421" w:name="Tc_6dSi5ou51UynhQ0V_gvF2w_19_2"/>
      <w:bookmarkStart w:id="422" w:name="Tc_g6PQBaa03UeYEQ89wBbaAg_18_16"/>
      <w:bookmarkStart w:id="423" w:name="Tc_L9tHWsw6PU29hoeVU3YL3A_18_13"/>
      <w:bookmarkStart w:id="424" w:name="Tc_sxR0QqPU4k2A0D6gtsEO2g_18_10"/>
      <w:bookmarkStart w:id="425" w:name="Tc_baha8Rc3jUitDq6GVPrwMg_18_7"/>
      <w:bookmarkStart w:id="426" w:name="Tc__G-00ggNYUiF0xCpfgyznA_18_2"/>
      <w:bookmarkStart w:id="427" w:name="Tc_LljLohMC30OJ0ZMJDL0hOQ_17_16"/>
      <w:bookmarkStart w:id="428" w:name="Tc_Y7RYFpMViUi5bIgMk9Qxzw_17_13"/>
      <w:bookmarkStart w:id="429" w:name="Tc_ziupBDpvdkeCEDXQ-qQIvw_17_7"/>
      <w:bookmarkStart w:id="430" w:name="Tc_yfeJ4sTTbUSoyXzf45HaKw_16_13"/>
      <w:bookmarkStart w:id="431" w:name="Tc_GXMDUFovKEyfAtDXm_1U1A_15_2"/>
      <w:bookmarkStart w:id="432" w:name="Tc_3rKbxmI6lUaFuJY9zLFJhg_13_16"/>
      <w:bookmarkStart w:id="433" w:name="Tc_fTXgvNbJRU-yfhDlZllfeg_13_14"/>
      <w:bookmarkStart w:id="434" w:name="Tc_V0M6fCShOEiOOvvw6tMrdA_13_13"/>
      <w:bookmarkStart w:id="435" w:name="Tc_OWqkP805EUOUny1SsbuhSA_13_10"/>
      <w:bookmarkStart w:id="436" w:name="Tc_SVHEb74_FUaU06UEN6YU4Q_13_7"/>
      <w:bookmarkStart w:id="437" w:name="Tc_kYyRMD-baUWWvnqnJ0ln-A_13_4"/>
      <w:bookmarkStart w:id="438" w:name="Tc_yq10NLMQVEmQStUST-DPCg_13_0"/>
      <w:bookmarkStart w:id="439" w:name="Tc_ufC09HMTu0C0r8Sc_8bwow_12_14"/>
      <w:bookmarkStart w:id="440" w:name="Tc_QZp9uOf_50yxZCRv-hHRyQ_12_8"/>
      <w:bookmarkStart w:id="441" w:name="Tc_-MfsbQ7nzk6xof_pCgCEdA_12_5"/>
      <w:bookmarkStart w:id="442" w:name="Tc_cXN2L2Fty0S1EKvhquYHEg_12_2"/>
      <w:bookmarkStart w:id="443" w:name="Tc_5MxO1b3H9EqxBI8UZvEaGQ_12_0"/>
      <w:bookmarkStart w:id="444" w:name="Tc_-D9OuWwMqUmjWNvotWZEew_11_17"/>
      <w:bookmarkStart w:id="445" w:name="Tc_b46OOEPzT0m4jwgrdvXWGA_11_14"/>
      <w:bookmarkStart w:id="446" w:name="Tc_o-nWEI2AAEWQ_UEuzQncLw_11_11"/>
      <w:bookmarkStart w:id="447" w:name="Tc_he7VLXboP0uZ4TVE5CO-kA_11_8"/>
      <w:bookmarkStart w:id="448" w:name="Tc_B7Oh0c7ls02DovUQJ_PC1Q_11_5"/>
      <w:bookmarkStart w:id="449" w:name="Tc_EMCjBMEOmkihqmewZrYlaw_11_0"/>
      <w:bookmarkStart w:id="450" w:name="Tc__CbY7CE9JUe8NYcm7IUuog_10_14"/>
      <w:bookmarkStart w:id="451" w:name="Tc_ogzN4pMotEW2Dv2jiM5YNg_10_11"/>
      <w:bookmarkStart w:id="452" w:name="Tc_QZkZx-oCHka3CiEu9Oi48Q_10_5"/>
      <w:bookmarkStart w:id="453" w:name="Tc_xdzGrGzcjkiw0q-Fr5fmbw_10_0"/>
      <w:bookmarkStart w:id="454" w:name="Tc_3Vg38gv0F0-3W3AOZnewtA_9_14"/>
      <w:bookmarkStart w:id="455" w:name="Tc_dmtl5u524Um6V7smVzL6gQ_9_11"/>
      <w:bookmarkStart w:id="456" w:name="Tc_Rx6gPNYYqkSrEYwkeEJZNg_9_0"/>
      <w:bookmarkStart w:id="457" w:name="Tc_l0vh87RUXkOZ5slx36xFRQ_8_17"/>
      <w:bookmarkStart w:id="458" w:name="Tc_sOol28t6gk2Q9QzXS729sw_8_14"/>
      <w:bookmarkStart w:id="459" w:name="Tc_ojaYMO1FDk21g6YF7nV3CA_8_11"/>
      <w:bookmarkStart w:id="460" w:name="Tc_w0cvQD1lmEqmXVLGhz3pOA_8_0"/>
      <w:bookmarkStart w:id="461" w:name="Tc_3E4qEZiUQ06fVGPPmbCMWA_7_14"/>
      <w:bookmarkStart w:id="462" w:name="Tc_lF-aeBy-5kS4C5aE9AESGQ_7_11"/>
      <w:bookmarkStart w:id="463" w:name="Tc_XOEoo5plIUmCidFx64MUrA_7_5"/>
      <w:bookmarkStart w:id="464" w:name="Tc_YwQUViNK-USBoSpoH43Lrg_7_2"/>
      <w:bookmarkStart w:id="465" w:name="Tc_0u7EpYcNcEuPelt1Ly7kpA_7_0"/>
      <w:bookmarkStart w:id="466" w:name="Tc_t61D6Y0_B0C8vgJzkYOXLA_6_16"/>
      <w:bookmarkStart w:id="467" w:name="Tc_X7nNGqtwGUCff2pB1CeJmA_6_14"/>
      <w:bookmarkStart w:id="468" w:name="Tc__oK3HDHDP0-n0txiqq85zA_6_13"/>
      <w:bookmarkStart w:id="469" w:name="Tc_-AVnQ7d02ku5LJK36wZAew_6_10"/>
      <w:bookmarkStart w:id="470" w:name="Tc_vTKdA-ZbWUKeEgvWWn9NKA_6_7"/>
      <w:bookmarkStart w:id="471" w:name="Tc_tsehPqMAtUyRy6yRfzN2Jg_6_4"/>
      <w:bookmarkStart w:id="472" w:name="Tc_LUoSRIMatEas9Df-cJFnTQ_6_0"/>
      <w:bookmarkStart w:id="473" w:name="Tc_9Pm1qYfta0iwv1XW4Nozsg_5_16"/>
      <w:bookmarkStart w:id="474" w:name="Tc_B-goe0kOyUeLwQim-gjt-g_5_13"/>
      <w:bookmarkStart w:id="475" w:name="Tc_WiKpqU2CL0GBeXCqvfsfug_5_10"/>
      <w:bookmarkStart w:id="476" w:name="Tc_NTiqqbwesEiYGxeAEaaZwg_5_7"/>
      <w:bookmarkStart w:id="477" w:name="Tc_ku9p-no0qESFW5PNBb4-lg_5_4"/>
      <w:bookmarkStart w:id="478" w:name="Tc_M945cKu06kq81YT8i2WWVA_5_2"/>
      <w:bookmarkStart w:id="479" w:name="Tc_5q0lF1hIv0e6WpwrSEZmKQ_4_16"/>
      <w:bookmarkStart w:id="480" w:name="Tc_B__lx2yxIkeb9M-d0j8W0A_4_13"/>
      <w:bookmarkStart w:id="481" w:name="Tc_ctTYNjwbK02Z-LCsx6-d5w_4_10"/>
      <w:bookmarkStart w:id="482" w:name="Tc_awLVhpRra0uBgygkdlXLSw_4_7"/>
      <w:bookmarkStart w:id="483" w:name="Tc_LeBTysbXm0W6G4MCAv5iXw_4_2"/>
      <w:bookmarkStart w:id="484" w:name="Tc_Ca2-s6lbIE-pGxLduRvgHQ_3_16"/>
      <w:bookmarkStart w:id="485" w:name="Tc_BDYhHyFPSk2J0rYwJgFKtw_3_13"/>
      <w:bookmarkStart w:id="486" w:name="Tc_bwhEOdMDoEihtASmms9X_A_3_7"/>
      <w:bookmarkStart w:id="487" w:name="Tc_Zgym5mm1DkCfo_Cc4ZdUHA_2_13"/>
      <w:bookmarkStart w:id="488" w:name="Tc_Rbtb25BbGEuUEdlgiD3vAw_1_2"/>
      <w:bookmarkStart w:id="489" w:name="_144d4bd5_eda0_42e6_afe5_09bfd4ea1594"/>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tbl>
      <w:tblPr>
        <w:tblW w:w="10205" w:type="dxa"/>
        <w:jc w:val="left"/>
        <w:tblInd w:w="0" w:type="dxa"/>
        <w:tblLayout w:type="fixed"/>
        <w:tblCellMar>
          <w:top w:w="0" w:type="dxa"/>
          <w:left w:w="0" w:type="dxa"/>
          <w:bottom w:w="0" w:type="dxa"/>
          <w:right w:w="0" w:type="dxa"/>
        </w:tblCellMar>
      </w:tblPr>
      <w:tblGrid>
        <w:gridCol w:w="2177"/>
        <w:gridCol w:w="346"/>
        <w:gridCol w:w="1036"/>
        <w:gridCol w:w="346"/>
        <w:gridCol w:w="230"/>
        <w:gridCol w:w="461"/>
        <w:gridCol w:w="346"/>
        <w:gridCol w:w="211"/>
        <w:gridCol w:w="781"/>
        <w:gridCol w:w="346"/>
        <w:gridCol w:w="211"/>
        <w:gridCol w:w="679"/>
        <w:gridCol w:w="346"/>
        <w:gridCol w:w="460"/>
        <w:gridCol w:w="756"/>
        <w:gridCol w:w="346"/>
        <w:gridCol w:w="226"/>
        <w:gridCol w:w="901"/>
      </w:tblGrid>
      <w:tr>
        <w:trPr/>
        <w:tc>
          <w:tcPr>
            <w:tcW w:w="2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82395" cy="175260"/>
                      <wp:effectExtent l="0" t="0" r="0" b="0"/>
                      <wp:wrapNone/>
                      <wp:docPr id="21" name="Frame21"/>
                      <a:graphic xmlns:a="http://schemas.openxmlformats.org/drawingml/2006/main">
                        <a:graphicData uri="http://schemas.microsoft.com/office/word/2010/wordprocessingShape">
                          <wps:wsp>
                            <wps:cNvSpPr txBox="1"/>
                            <wps:spPr>
                              <a:xfrm>
                                <a:off x="0" y="0"/>
                                <a:ext cx="1382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3" name="Frame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6050" cy="175260"/>
                      <wp:effectExtent l="0" t="0" r="0" b="0"/>
                      <wp:wrapNone/>
                      <wp:docPr id="25" name="Frame2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92735" cy="175260"/>
                      <wp:effectExtent l="0" t="0" r="0" b="0"/>
                      <wp:wrapNone/>
                      <wp:docPr id="26" name="Frame2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1165" cy="175260"/>
                      <wp:effectExtent l="0" t="0" r="0" b="0"/>
                      <wp:wrapNone/>
                      <wp:docPr id="32" name="Frame32"/>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92100" cy="175260"/>
                      <wp:effectExtent l="0" t="0" r="0" b="0"/>
                      <wp:wrapNone/>
                      <wp:docPr id="34" name="Frame34"/>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0060" cy="175260"/>
                      <wp:effectExtent l="0" t="0" r="0" b="0"/>
                      <wp:wrapNone/>
                      <wp:docPr id="35" name="Frame35"/>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37"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72135" cy="175260"/>
                      <wp:effectExtent l="0" t="0" r="0" b="0"/>
                      <wp:wrapNone/>
                      <wp:docPr id="38" name="Frame3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82"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April 1, 2026</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90"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890"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29,957,385</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43,554</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291,077</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320,644</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201,106</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(19,524)</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(4,313)</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8,157</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8,157</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April 1, 2026</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30,455,298</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250,483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51,711</w:t>
            </w:r>
          </w:p>
        </w:tc>
        <w:tc>
          <w:tcPr>
            <w:tcW w:w="346" w:type="dxa"/>
            <w:tcBorders/>
            <w:vAlign w:val="center"/>
          </w:tcPr>
          <w:p>
            <w:pPr>
              <w:pStyle w:val="TableContents"/>
              <w:bidi w:val="0"/>
              <w:spacing w:before="0" w:after="1"/>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302,498</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82"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March 26, 2025</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90"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890"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(Loss) Income </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25, 2024</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29,839,721</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18,909</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260,669</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369,879</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42,736</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(9,609)</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(159,750)</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(1,805)</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(23,492)</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r>
      <w:tr>
        <w:trPr/>
        <w:tc>
          <w:tcPr>
            <w:tcW w:w="21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5,481</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5,481</w:t>
            </w:r>
          </w:p>
        </w:tc>
      </w:tr>
      <w:tr>
        <w:trPr/>
        <w:tc>
          <w:tcPr>
            <w:tcW w:w="217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26, 2025</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30,059,485</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242,830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22,571</w:t>
            </w:r>
          </w:p>
        </w:tc>
        <w:tc>
          <w:tcPr>
            <w:tcW w:w="346" w:type="dxa"/>
            <w:tcBorders/>
            <w:vAlign w:val="center"/>
          </w:tcPr>
          <w:p>
            <w:pPr>
              <w:pStyle w:val="TableContents"/>
              <w:bidi w:val="0"/>
              <w:spacing w:before="0" w:after="1"/>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265,701</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90" w:name="_90759126_63d7_4df5_9ce2_66f29e455421"/>
      <w:bookmarkEnd w:id="490"/>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491" w:name="CONDENSEDCONSOLIDATEDSTATEMENTSOFCASHFLO"/>
      <w:bookmarkEnd w:id="491"/>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92" w:name="Tc_beilruyDKEKmJjpvVFu0qg_36_5"/>
      <w:bookmarkStart w:id="493" w:name="Tc_EpN-yjE8d0mOKxvJBDFCMA_36_2"/>
      <w:bookmarkStart w:id="494" w:name="Tc_Vb1yInpX3kSLVljP47REsg_36_0"/>
      <w:bookmarkStart w:id="495" w:name="Tc_ecRZveildUGs4i3oWRl1wA_35_0"/>
      <w:bookmarkStart w:id="496" w:name="Tc_ZNTKQ9yn3EGic1BQcRpGLA_34_0"/>
      <w:bookmarkStart w:id="497" w:name="Tc_6liWxjcK1U6KJxI7HP_NUg_33_0"/>
      <w:bookmarkStart w:id="498" w:name="Tc_p3YjSV5U7USWjQYCJtihrQ_32_3"/>
      <w:bookmarkStart w:id="499" w:name="Tc_QYvd3nIvFEWr6hCGbMb6GA_32_0"/>
      <w:bookmarkStart w:id="500" w:name="Tc_nCqYlLAfPkKLu5Y4s4nATw_31_0"/>
      <w:bookmarkStart w:id="501" w:name="Tc_esgvDM_le0u95M7xq8Zc2w_30_0"/>
      <w:bookmarkStart w:id="502" w:name="Tc_6zgrvDTdS0OzGgh2qI9jlg_29_0"/>
      <w:bookmarkStart w:id="503" w:name="Tc_zbP-CR5TBESLNkxFYlrnqA_28_0"/>
      <w:bookmarkStart w:id="504" w:name="Tc_nR79K64v-EGYgi8yTa9fWA_27_3"/>
      <w:bookmarkStart w:id="505" w:name="Tc_60ObOpJ_aECb-Mzxf02wyA_27_0"/>
      <w:bookmarkStart w:id="506" w:name="Tc_CmfIsKpDuEC6BiWeETh-Xw_26_0"/>
      <w:bookmarkStart w:id="507" w:name="Tc_Zw70rvrLW0S2A4JH9PjFaw_25_0"/>
      <w:bookmarkStart w:id="508" w:name="Tc_iaWgqfX3tEOPKxoO_HWuyw_24_0"/>
      <w:bookmarkStart w:id="509" w:name="Tc_HFceDVH6f0WGFMBujSvQhA_23_0"/>
      <w:bookmarkStart w:id="510" w:name="Tc_0h42I8T0VEWEtQ-Z2voBPQ_22_0"/>
      <w:bookmarkStart w:id="511" w:name="Tc_a7PfNqq8pEyxlhwnqe1ljA_21_0"/>
      <w:bookmarkStart w:id="512" w:name="Tc_KX1dhxZX3kOYDhsQdWUzyQ_20_0"/>
      <w:bookmarkStart w:id="513" w:name="Tc_oOuWZHZZ70ec8qc4JbM5VA_19_0"/>
      <w:bookmarkStart w:id="514" w:name="Tc_GuF7IQTZ2ky4WzNwW-1S6g_18_0"/>
      <w:bookmarkStart w:id="515" w:name="Tc_XzVX5KTat0CD7zP9coEFHw_17_0"/>
      <w:bookmarkStart w:id="516" w:name="Tc_pC-2wiJnn06iA4lgd3LtCA_16_0"/>
      <w:bookmarkStart w:id="517" w:name="Tc_SZ6CZS-uXU2TVaV6C5_7fQ_15_0"/>
      <w:bookmarkStart w:id="518" w:name="Tc_4Z7pruSwq0ad3OBDxflhmA_14_0"/>
      <w:bookmarkStart w:id="519" w:name="Tc_SNtrbe9Zr0-xUxpAx5rm8g_13_0"/>
      <w:bookmarkStart w:id="520" w:name="Tc_L-tkBmHqIUGv_Ihi87VK7g_12_0"/>
      <w:bookmarkStart w:id="521" w:name="Tc_5PoP2mHK60yZ-MbawJcbAw_11_0"/>
      <w:bookmarkStart w:id="522" w:name="Tc_s9lAhso4Xkm9uVraWWx5pQ_10_0"/>
      <w:bookmarkStart w:id="523" w:name="Tc_FyEW0DSzbUCHzZQZbtF2AQ_9_0"/>
      <w:bookmarkStart w:id="524" w:name="Tc_TrG_yV_wwEG8oVanYGS_Jg_8_0"/>
      <w:bookmarkStart w:id="525" w:name="Tc_DCs8pSoRek-qzp7GjDhfww_7_0"/>
      <w:bookmarkStart w:id="526" w:name="Tc_I9chE5G8bUyMXBVZaymL4w_6_0"/>
      <w:bookmarkStart w:id="527" w:name="Tc_lKf2oah9wUCkeycx2SUWUw_5_5"/>
      <w:bookmarkStart w:id="528" w:name="Tc_ANM4gQbTMUW78lq0bzDu-Q_5_2"/>
      <w:bookmarkStart w:id="529" w:name="Tc_yrRGL2zW1k6M2bEADDJsoQ_5_0"/>
      <w:bookmarkStart w:id="530" w:name="Tc_rqv2NUK-UUCZCgN2NKFFDA_4_0"/>
      <w:bookmarkStart w:id="531" w:name="Tc_H-kj8x6HnkqnI_HMo_zE-A_3_5"/>
      <w:bookmarkStart w:id="532" w:name="Tc_MsIfGs2f4kOcktTdkM2Psg_3_2"/>
      <w:bookmarkStart w:id="533" w:name="Tc__-_L8fY1RkGXde-ASA1Aug_2_2"/>
      <w:bookmarkStart w:id="534" w:name="_3c40fc06_aba3_474c_9d37_5388fc82aaee"/>
      <w:bookmarkStart w:id="535" w:name="Tc_beilruyDKEKmJjpvVFu0qg_36_5"/>
      <w:bookmarkStart w:id="536" w:name="Tc_EpN-yjE8d0mOKxvJBDFCMA_36_2"/>
      <w:bookmarkStart w:id="537" w:name="Tc_Vb1yInpX3kSLVljP47REsg_36_0"/>
      <w:bookmarkStart w:id="538" w:name="Tc_ecRZveildUGs4i3oWRl1wA_35_0"/>
      <w:bookmarkStart w:id="539" w:name="Tc_ZNTKQ9yn3EGic1BQcRpGLA_34_0"/>
      <w:bookmarkStart w:id="540" w:name="Tc_6liWxjcK1U6KJxI7HP_NUg_33_0"/>
      <w:bookmarkStart w:id="541" w:name="Tc_p3YjSV5U7USWjQYCJtihrQ_32_3"/>
      <w:bookmarkStart w:id="542" w:name="Tc_QYvd3nIvFEWr6hCGbMb6GA_32_0"/>
      <w:bookmarkStart w:id="543" w:name="Tc_nCqYlLAfPkKLu5Y4s4nATw_31_0"/>
      <w:bookmarkStart w:id="544" w:name="Tc_esgvDM_le0u95M7xq8Zc2w_30_0"/>
      <w:bookmarkStart w:id="545" w:name="Tc_6zgrvDTdS0OzGgh2qI9jlg_29_0"/>
      <w:bookmarkStart w:id="546" w:name="Tc_zbP-CR5TBESLNkxFYlrnqA_28_0"/>
      <w:bookmarkStart w:id="547" w:name="Tc_nR79K64v-EGYgi8yTa9fWA_27_3"/>
      <w:bookmarkStart w:id="548" w:name="Tc_60ObOpJ_aECb-Mzxf02wyA_27_0"/>
      <w:bookmarkStart w:id="549" w:name="Tc_CmfIsKpDuEC6BiWeETh-Xw_26_0"/>
      <w:bookmarkStart w:id="550" w:name="Tc_Zw70rvrLW0S2A4JH9PjFaw_25_0"/>
      <w:bookmarkStart w:id="551" w:name="Tc_iaWgqfX3tEOPKxoO_HWuyw_24_0"/>
      <w:bookmarkStart w:id="552" w:name="Tc_HFceDVH6f0WGFMBujSvQhA_23_0"/>
      <w:bookmarkStart w:id="553" w:name="Tc_0h42I8T0VEWEtQ-Z2voBPQ_22_0"/>
      <w:bookmarkStart w:id="554" w:name="Tc_a7PfNqq8pEyxlhwnqe1ljA_21_0"/>
      <w:bookmarkStart w:id="555" w:name="Tc_KX1dhxZX3kOYDhsQdWUzyQ_20_0"/>
      <w:bookmarkStart w:id="556" w:name="Tc_oOuWZHZZ70ec8qc4JbM5VA_19_0"/>
      <w:bookmarkStart w:id="557" w:name="Tc_GuF7IQTZ2ky4WzNwW-1S6g_18_0"/>
      <w:bookmarkStart w:id="558" w:name="Tc_XzVX5KTat0CD7zP9coEFHw_17_0"/>
      <w:bookmarkStart w:id="559" w:name="Tc_pC-2wiJnn06iA4lgd3LtCA_16_0"/>
      <w:bookmarkStart w:id="560" w:name="Tc_SZ6CZS-uXU2TVaV6C5_7fQ_15_0"/>
      <w:bookmarkStart w:id="561" w:name="Tc_4Z7pruSwq0ad3OBDxflhmA_14_0"/>
      <w:bookmarkStart w:id="562" w:name="Tc_SNtrbe9Zr0-xUxpAx5rm8g_13_0"/>
      <w:bookmarkStart w:id="563" w:name="Tc_L-tkBmHqIUGv_Ihi87VK7g_12_0"/>
      <w:bookmarkStart w:id="564" w:name="Tc_5PoP2mHK60yZ-MbawJcbAw_11_0"/>
      <w:bookmarkStart w:id="565" w:name="Tc_s9lAhso4Xkm9uVraWWx5pQ_10_0"/>
      <w:bookmarkStart w:id="566" w:name="Tc_FyEW0DSzbUCHzZQZbtF2AQ_9_0"/>
      <w:bookmarkStart w:id="567" w:name="Tc_TrG_yV_wwEG8oVanYGS_Jg_8_0"/>
      <w:bookmarkStart w:id="568" w:name="Tc_DCs8pSoRek-qzp7GjDhfww_7_0"/>
      <w:bookmarkStart w:id="569" w:name="Tc_I9chE5G8bUyMXBVZaymL4w_6_0"/>
      <w:bookmarkStart w:id="570" w:name="Tc_lKf2oah9wUCkeycx2SUWUw_5_5"/>
      <w:bookmarkStart w:id="571" w:name="Tc_ANM4gQbTMUW78lq0bzDu-Q_5_2"/>
      <w:bookmarkStart w:id="572" w:name="Tc_yrRGL2zW1k6M2bEADDJsoQ_5_0"/>
      <w:bookmarkStart w:id="573" w:name="Tc_rqv2NUK-UUCZCgN2NKFFDA_4_0"/>
      <w:bookmarkStart w:id="574" w:name="Tc_H-kj8x6HnkqnI_HMo_zE-A_3_5"/>
      <w:bookmarkStart w:id="575" w:name="Tc_MsIfGs2f4kOcktTdkM2Psg_3_2"/>
      <w:bookmarkStart w:id="576" w:name="Tc__-_L8fY1RkGXde-ASA1Aug_2_2"/>
      <w:bookmarkStart w:id="577" w:name="_3c40fc06_aba3_474c_9d37_5388fc82aaee"/>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tbl>
      <w:tblPr>
        <w:tblW w:w="9143" w:type="dxa"/>
        <w:jc w:val="left"/>
        <w:tblInd w:w="0" w:type="dxa"/>
        <w:tblLayout w:type="fixed"/>
        <w:tblCellMar>
          <w:top w:w="0" w:type="dxa"/>
          <w:left w:w="0" w:type="dxa"/>
          <w:bottom w:w="0" w:type="dxa"/>
          <w:right w:w="0" w:type="dxa"/>
        </w:tblCellMar>
      </w:tblPr>
      <w:tblGrid>
        <w:gridCol w:w="6316"/>
        <w:gridCol w:w="346"/>
        <w:gridCol w:w="243"/>
        <w:gridCol w:w="823"/>
        <w:gridCol w:w="109"/>
        <w:gridCol w:w="315"/>
        <w:gridCol w:w="991"/>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010660" cy="175260"/>
                      <wp:effectExtent l="0" t="0" r="0" b="0"/>
                      <wp:wrapNone/>
                      <wp:docPr id="39" name="Frame39"/>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4305" cy="175260"/>
                      <wp:effectExtent l="0" t="0" r="0" b="0"/>
                      <wp:wrapNone/>
                      <wp:docPr id="41" name="Frame4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22605" cy="175260"/>
                      <wp:effectExtent l="0" t="0" r="0" b="0"/>
                      <wp:wrapNone/>
                      <wp:docPr id="42" name="Frame4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0025" cy="175260"/>
                      <wp:effectExtent l="0" t="0" r="0" b="0"/>
                      <wp:wrapNone/>
                      <wp:docPr id="44" name="Frame44"/>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29285" cy="175260"/>
                      <wp:effectExtent l="0" t="0" r="0" b="0"/>
                      <wp:wrapNone/>
                      <wp:docPr id="45" name="Frame4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center"/>
              <w:rPr/>
            </w:pPr>
            <w:r>
              <w:rPr/>
              <w:t>​</w:t>
            </w:r>
          </w:p>
        </w:tc>
        <w:tc>
          <w:tcPr>
            <w:tcW w:w="8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6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6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8,157</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5,481</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flows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4,314</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1,288</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assets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deferred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(1,413)</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other receivables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(2,401)</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4,240</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4,941</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(6,422)</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(6,297)</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(4,850)</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expenses and current liabilities</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6,086</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13,008</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4,735</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(10,248)</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(3,389)</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used in investing activities</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(10,248)</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(3,389)</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revolver and swingline loans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6,000</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revolver and swingline loan</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(7,000)</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Minimum tax withholdings related to net share settlements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upon exercise of stock options, net of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obligations under finance leases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(5,088)</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(2,328)</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Cash and cash equivalents,</w:t>
            </w:r>
            <w:r>
              <w:rPr>
                <w:rFonts w:ascii="Times New Roman;Times;serif" w:hAnsi="Times New Roman;Times;serif"/>
                <w:sz w:val="16"/>
              </w:rPr>
              <w:t xml:space="preserve"> beginning of period</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6,228</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2,484</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Cash and cash equivalents, </w:t>
            </w:r>
            <w:r>
              <w:rPr>
                <w:rFonts w:ascii="Times New Roman;Times;serif" w:hAnsi="Times New Roman;Times;serif"/>
                <w:sz w:val="16"/>
              </w:rPr>
              <w:t>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3,900</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4,323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8" w:name="Tc_OAVp0UVao0CRBTXnI9OqSA_8_5"/>
      <w:bookmarkStart w:id="579" w:name="Tc_p-WKdJ0zo0qAc2KwIoJaSg_8_3"/>
      <w:bookmarkStart w:id="580" w:name="Tc_jmnaN1vZ20KiuBOIWEzc6g_8_2"/>
      <w:bookmarkStart w:id="581" w:name="Tc_0ocsXLwpXEyBzDzECOdP5w_8_0"/>
      <w:bookmarkStart w:id="582" w:name="Tc_n4Zt72UC4keoZ4HsHlK_Gg_7_5"/>
      <w:bookmarkStart w:id="583" w:name="Tc_GLdSp4LDMkOqXw7ype3Xsw_7_2"/>
      <w:bookmarkStart w:id="584" w:name="Tc__Sm2j0JYTU2D8wKTN72b1w_7_0"/>
      <w:bookmarkStart w:id="585" w:name="Tc_lIL8ZbSi0kagyMdPIEUcQg_6_6"/>
      <w:bookmarkStart w:id="586" w:name="Tc_3VWMU6RAukKAKOX6uzJwug_6_5"/>
      <w:bookmarkStart w:id="587" w:name="Tc_7aqZXZlPD0ug427-NyAefw_6_3"/>
      <w:bookmarkStart w:id="588" w:name="Tc_yj9DEjw-pkuefItwOYXzkQ_6_2"/>
      <w:bookmarkStart w:id="589" w:name="Tc_Z09zBysED0GM6dSYdeLqMw_6_0"/>
      <w:bookmarkStart w:id="590" w:name="Tc_rPywfCDPnU-YaoOeWLhQJw_5_5"/>
      <w:bookmarkStart w:id="591" w:name="Tc_ibDEghZjI0OVVCBhXEylEA_5_2"/>
      <w:bookmarkStart w:id="592" w:name="Tc_AYw9QS2ZiE-iyhP1v1f6ew_5_0"/>
      <w:bookmarkStart w:id="593" w:name="Tc_IMuRxrKJUkiiBzrK3lSBhA_4_0"/>
      <w:bookmarkStart w:id="594" w:name="Tc_3MWx3qhD_0q1OYgd2kjGmg_3_5"/>
      <w:bookmarkStart w:id="595" w:name="Tc_jIbcWKKE5Ua48SkwA3NBRA_3_2"/>
      <w:bookmarkStart w:id="596" w:name="Tc_DwelmBNcRUOKoG8bFvnzmw_2_2"/>
      <w:bookmarkStart w:id="597" w:name="_697e80b8_cbd1_4aa2_a313_ff918e7efa59"/>
      <w:bookmarkStart w:id="598" w:name="Tc_OAVp0UVao0CRBTXnI9OqSA_8_5"/>
      <w:bookmarkStart w:id="599" w:name="Tc_p-WKdJ0zo0qAc2KwIoJaSg_8_3"/>
      <w:bookmarkStart w:id="600" w:name="Tc_jmnaN1vZ20KiuBOIWEzc6g_8_2"/>
      <w:bookmarkStart w:id="601" w:name="Tc_0ocsXLwpXEyBzDzECOdP5w_8_0"/>
      <w:bookmarkStart w:id="602" w:name="Tc_n4Zt72UC4keoZ4HsHlK_Gg_7_5"/>
      <w:bookmarkStart w:id="603" w:name="Tc_GLdSp4LDMkOqXw7ype3Xsw_7_2"/>
      <w:bookmarkStart w:id="604" w:name="Tc__Sm2j0JYTU2D8wKTN72b1w_7_0"/>
      <w:bookmarkStart w:id="605" w:name="Tc_lIL8ZbSi0kagyMdPIEUcQg_6_6"/>
      <w:bookmarkStart w:id="606" w:name="Tc_3VWMU6RAukKAKOX6uzJwug_6_5"/>
      <w:bookmarkStart w:id="607" w:name="Tc_7aqZXZlPD0ug427-NyAefw_6_3"/>
      <w:bookmarkStart w:id="608" w:name="Tc_yj9DEjw-pkuefItwOYXzkQ_6_2"/>
      <w:bookmarkStart w:id="609" w:name="Tc_Z09zBysED0GM6dSYdeLqMw_6_0"/>
      <w:bookmarkStart w:id="610" w:name="Tc_rPywfCDPnU-YaoOeWLhQJw_5_5"/>
      <w:bookmarkStart w:id="611" w:name="Tc_ibDEghZjI0OVVCBhXEylEA_5_2"/>
      <w:bookmarkStart w:id="612" w:name="Tc_AYw9QS2ZiE-iyhP1v1f6ew_5_0"/>
      <w:bookmarkStart w:id="613" w:name="Tc_IMuRxrKJUkiiBzrK3lSBhA_4_0"/>
      <w:bookmarkStart w:id="614" w:name="Tc_3MWx3qhD_0q1OYgd2kjGmg_3_5"/>
      <w:bookmarkStart w:id="615" w:name="Tc_jIbcWKKE5Ua48SkwA3NBRA_3_2"/>
      <w:bookmarkStart w:id="616" w:name="Tc_DwelmBNcRUOKoG8bFvnzmw_2_2"/>
      <w:bookmarkStart w:id="617" w:name="_697e80b8_cbd1_4aa2_a313_ff918e7efa59"/>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tbl>
      <w:tblPr>
        <w:tblW w:w="6645" w:type="dxa"/>
        <w:jc w:val="left"/>
        <w:tblInd w:w="0" w:type="dxa"/>
        <w:tblLayout w:type="fixed"/>
        <w:tblCellMar>
          <w:top w:w="0" w:type="dxa"/>
          <w:left w:w="0" w:type="dxa"/>
          <w:bottom w:w="0" w:type="dxa"/>
          <w:right w:w="0" w:type="dxa"/>
        </w:tblCellMar>
      </w:tblPr>
      <w:tblGrid>
        <w:gridCol w:w="3766"/>
        <w:gridCol w:w="346"/>
        <w:gridCol w:w="295"/>
        <w:gridCol w:w="771"/>
        <w:gridCol w:w="161"/>
        <w:gridCol w:w="340"/>
        <w:gridCol w:w="96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391410" cy="175260"/>
                      <wp:effectExtent l="0" t="0" r="0" b="0"/>
                      <wp:wrapNone/>
                      <wp:docPr id="46" name="Frame46"/>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7325" cy="175260"/>
                      <wp:effectExtent l="0" t="0" r="0" b="0"/>
                      <wp:wrapNone/>
                      <wp:docPr id="48" name="Frame4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89585" cy="175260"/>
                      <wp:effectExtent l="0" t="0" r="0" b="0"/>
                      <wp:wrapNone/>
                      <wp:docPr id="49" name="Frame49"/>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02235" cy="175260"/>
                      <wp:effectExtent l="0" t="0" r="0" b="0"/>
                      <wp:wrapNone/>
                      <wp:docPr id="50" name="Frame50"/>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5900" cy="175260"/>
                      <wp:effectExtent l="0" t="0" r="0" b="0"/>
                      <wp:wrapNone/>
                      <wp:docPr id="51" name="Frame5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13410" cy="175260"/>
                      <wp:effectExtent l="0" t="0" r="0" b="0"/>
                      <wp:wrapNone/>
                      <wp:docPr id="52" name="Frame52"/>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61"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  ​</w:t>
            </w:r>
          </w:p>
        </w:tc>
        <w:tc>
          <w:tcPr>
            <w:tcW w:w="161"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pPr>
            <w:r>
              <w:rPr/>
              <w:t>  ​</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 interest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c>
          <w:tcPr>
            <w:tcW w:w="161"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Unpaid 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5,247</w:t>
            </w:r>
          </w:p>
        </w:tc>
        <w:tc>
          <w:tcPr>
            <w:tcW w:w="161"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2,709</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Unpaid repurchases of common stock and excise tax</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220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18" w:name="NOTESTOCONDENSEDCONSOLIDATEDFINANCIALSTA"/>
      <w:bookmarkEnd w:id="618"/>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120" w:after="0"/>
        <w:ind w:left="0" w:right="0" w:hanging="0"/>
        <w:jc w:val="both"/>
        <w:rPr>
          <w:rFonts w:ascii="Times New Roman;Times;serif" w:hAnsi="Times New Roman;Times;serif"/>
          <w:b/>
          <w:sz w:val="20"/>
        </w:rPr>
      </w:pPr>
      <w:r>
        <w:rPr>
          <w:rFonts w:ascii="Times New Roman;Times;serif" w:hAnsi="Times New Roman;Times;serif"/>
          <w:b/>
          <w:sz w:val="20"/>
        </w:rPr>
        <w:t>1. BASIS OF PRESENTATION AND SUMMARY OF SIGNIFICANT ACCOUNTING POLICIES</w:t>
      </w:r>
    </w:p>
    <w:p>
      <w:pPr>
        <w:pStyle w:val="TextBody"/>
        <w:bidi w:val="0"/>
        <w:spacing w:before="12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Overview</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El Pollo Loco Holdings, Inc. (“Holdings” or the Company)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The Company’s restaurants, which are located principally in California but also in Arizona, Colorado, Louisiana, Nevada, New Mexico, Texas, Utah, and Washington, specialize in fire-grilling citrus-marinated chicken in a wide variety of contemporary Mexican and LA-inspired entrees, including specialty chicken burritos, chicken quesadillas, chicken tostada salads, chicken tortilla soup, variations on the Company’s Pollo Bowl®, Pollo Salads, and Pollo Fit entrees. As of April 1, 2026, the Company operated 176 and franchised 329 El Pollo Loco restaurants in the United States. In addition, as of April 1, 2026, the Company licensed eight restaurants in the Philippines.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Holdings has no material assets or operations. Holdings and Holdings’ direct subsidiary, EPL Intermediate, Inc. (“Intermediate”), guarantee EPL’s 2022 Revolver (See Note 5, </w:t>
      </w:r>
      <w:r>
        <w:rPr>
          <w:rFonts w:ascii="Times New Roman;Times;serif" w:hAnsi="Times New Roman;Times;serif"/>
          <w:i/>
          <w:sz w:val="20"/>
        </w:rPr>
        <w:t>Long-Term Debt,</w:t>
      </w:r>
      <w:r>
        <w:rPr>
          <w:rFonts w:ascii="Times New Roman;Times;serif" w:hAnsi="Times New Roman;Times;serif"/>
          <w:sz w:val="20"/>
        </w:rPr>
        <w:t xml:space="preserve"> below)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operates as one operating segment. All significant revenues relate to retail sales of food and beverages through either company-operated or franchised-operated restaurants.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Basis of Presentation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accounting principles generally accepted in the United States of America (“U.S.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U.S. GAAP for annual reports. This quarterly report should be read in conjunction with the consolidated financial statements included in the Company’s Annual Report on Form 10-K for the year ended December 31, 2025.</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uses a 52- or 53-week fiscal year ending on the last Wednesday of each calendar year. In a 52-week fiscal year, each quarter includes 13 weeks of operations. In a 53-week fiscal year, the first, second and third quarters each include 13 weeks of operations, and the fourth quarter includes 14 weeks of operations. Approximately every five or six years, a 53-week fiscal year occurs. Fiscal 2026 is a 52-week year ending on December 30, 2026. Fiscal 2025 was a 53-week year that ended on December 31, 2025. 53-week years may cause revenues, expenses, and other results of operations to be higher due to the additional week of operations.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Principles of Consolidation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Holdings and its wholly-owned subsidiaries. All intercompany balances and transactions have been eliminated in consolidation.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Use of Estimates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U.S.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contingent liabilities, and income tax valuation allowances.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Liquidity</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Company’s principal liquidity and capital requirements are new restaurants, existing restaurant capital investments (remodels and maintenance), interest payments on its debt, lease obligations and working capital and general corporate needs. As of April 1, 2026, the Company’s total outstanding balance on its Revolver was $44.0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$3.9 million at April 1, 2026, and the outstanding borrowing availability under the 2022 Revolver will be adequate to meet the Company’s liquidity needs for the next twelve months from the date of filing of these condensed consolidated financial statements.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Subsequent Events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Subsequent to the quarter-end, the Company borrowed $5.0 million and paid down $3.0 million on its 2022 Revolver, resulting in outstanding borrowings of $46.0 million as of May 7, 2026</w:t>
      </w:r>
      <w:r>
        <w:rPr>
          <w:rFonts w:ascii="Times New Roman;Times;serif" w:hAnsi="Times New Roman;Times;serif"/>
          <w:sz w:val="20"/>
        </w:rPr>
        <w:t>.</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Concentration of Risk</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Cash and cash equivalents are maintained at financial institutions and, at times, these balances may exceed federally-insured limits. The Company has never experienced any losses related to these balances.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had no suppliers for which amounts due totaled more than 10% of the Company’s accounts payable as of April 1, 2026. The Company had one supplier to whom amounts due totaled 10.9% of the Company’s accounts payable as of December 31, 2025. Purchases from the Company’s largest supplier totaled 29.7% of  total expenses for the thirteen weeks ended April 1, 2026, and 15.1% of total expenses for the thirteen weeks ended March 26, 2025.</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Company-operated and franchise-operated restaurants in the greater Los Angeles area generated, in the aggregate, approximately 71.9% of total revenue for the thirteen weeks ended April 1, 2026, and 71.6% of total revenue for the thirteen weeks ended March 26, 2025.</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Non-financial instruments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Company’s non-financial instruments, which primarily consist of property and equipment, operating lease right-of-use assets, goodwill and intangible assets, are reported at carrying value and are not required to be measured at fair value on a recurring basis. However, on an annual basis, or whenever events or changes in circumstances indicate that their carrying value may not be recoverable, non-financial instruments are assessed for impairment. If applicable, the carrying values are written down to fair value.  The Company determined that there were no indicators of potential impairment for its non-financial assets during the thirteen weeks ended April 2, 2026 or during the thirteen weeks ended March 13,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Income Taxes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For the thirteen weeks ended April 1, 2026, the Company recorded an income tax provision of $3.3 million, reflecting an estimated effective tax rate of 29.0%. For the thirteen weeks ended March 26, 2025, the Company recorded an income tax provision of $2.3 million, reflecting an estimated effective tax rate of approximately 29.7%. The difference between the 21.0% statutory rate and the effective tax rate of 29.0% for the thirteen </w:t>
      </w:r>
      <w:r>
        <w:rPr>
          <w:rFonts w:ascii="Times New Roman;Times;serif" w:hAnsi="Times New Roman;Times;serif"/>
          <w:sz w:val="20"/>
          <w:shd w:fill="FFFFFF" w:val="clear"/>
        </w:rPr>
        <w:t xml:space="preserve">weeks </w:t>
      </w:r>
      <w:r>
        <w:rPr>
          <w:rFonts w:ascii="Times New Roman;Times;serif" w:hAnsi="Times New Roman;Times;serif"/>
          <w:sz w:val="20"/>
        </w:rPr>
        <w:t xml:space="preserve">ended April 1, 2026 is primarily a result </w:t>
      </w:r>
      <w:r>
        <w:rPr>
          <w:rFonts w:ascii="Times New Roman;Times;serif" w:hAnsi="Times New Roman;Times;serif"/>
          <w:sz w:val="20"/>
          <w:shd w:fill="FFFFFF" w:val="clear"/>
        </w:rPr>
        <w:t>of state tax rates based on apportioned income and</w:t>
      </w:r>
      <w:r>
        <w:rPr>
          <w:rFonts w:ascii="Times New Roman;Times;serif" w:hAnsi="Times New Roman;Times;serif"/>
          <w:sz w:val="20"/>
        </w:rPr>
        <w:t xml:space="preserve"> the impact of non-tax deductible executive compensation, partially offset by the impact of higher stock compensation expense deductible for tax related to vesting of restricted stock awards as compared to the cumulative amount recorded as stock-based compensation expense, </w:t>
      </w:r>
      <w:r>
        <w:rPr>
          <w:rFonts w:ascii="Times New Roman;Times;serif" w:hAnsi="Times New Roman;Times;serif"/>
          <w:sz w:val="20"/>
          <w:shd w:fill="FFFFFF" w:val="clear"/>
        </w:rPr>
        <w:t>and federal targeted job credits.</w:t>
      </w:r>
      <w:r>
        <w:rPr>
          <w:rFonts w:ascii="Times New Roman;Times;serif" w:hAnsi="Times New Roman;Times;serif"/>
          <w:i/>
          <w:sz w:val="20"/>
        </w:rPr>
        <w:t>Summary of Significant Accounting Policies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There have been no changes to our significant accounting policies described in the 2025 Form 10-K filed with the SEC on March 13, 2026 that have had a material impact on our consolidated financial statements and related notes.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Recently Adopted Accounting Pronouncements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In December 2023, the Financial Accounting Standards Board (“FASB”) issued Accounting Standards Update (“ASU”) No. 2023-09, </w:t>
      </w:r>
      <w:r>
        <w:rPr>
          <w:rFonts w:ascii="Times New Roman;Times;serif" w:hAnsi="Times New Roman;Times;serif"/>
          <w:i/>
          <w:sz w:val="20"/>
          <w:shd w:fill="FFFFFF" w:val="clear"/>
        </w:rPr>
        <w:t>Income Taxes (Topic 740): Improvements to Income Tax Disclosures</w:t>
      </w:r>
      <w:r>
        <w:rPr>
          <w:rFonts w:ascii="Times New Roman;Times;serif" w:hAnsi="Times New Roman;Times;serif"/>
          <w:sz w:val="20"/>
          <w:shd w:fill="FFFFFF" w:val="clear"/>
        </w:rPr>
        <w:t xml:space="preserve"> (“ASU 2023-09”). This ASU amends income tax disclosures primarily related to the rate reconciliation and income taxes paid information, as well as certain other amendments to improve the effectiveness of income tax disclosures. These changes help investors better: (1) understand on an entity’s exposure to potential changes in jurisdictional tax legislation and the ensuing risks and opportunities, (2) assess income tax information that affects cash flow forecasts and capital allocation decisions, and (3) identify potential opportunities to increase future cash flows. The amendments in this ASU are effective for annual periods beginning after December 15, 2024, with early adoption permitted. The Company adopted ASU 2023-09 during the fiscal year ended December 31, 2025 on a retrospective basis. The adoption of this guidance did not have a material impact on  the Company’s consolidated financial statements.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Recently Issued Accounting Pronouncements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In November 2024, the FASB issued ASU No. 2024-03, </w:t>
      </w:r>
      <w:r>
        <w:rPr>
          <w:rFonts w:ascii="Times New Roman;Times;serif" w:hAnsi="Times New Roman;Times;serif"/>
          <w:i/>
          <w:sz w:val="20"/>
          <w:shd w:fill="FFFFFF" w:val="clear"/>
        </w:rPr>
        <w:t>Income Statement—Reporting Comprehensive Income—Expense Disaggregation Disclosures (Subtopic 220-40): Disaggregation of Income Statement Expenses</w:t>
      </w:r>
      <w:r>
        <w:rPr>
          <w:rFonts w:ascii="Times New Roman;Times;serif" w:hAnsi="Times New Roman;Times;serif"/>
          <w:sz w:val="20"/>
          <w:shd w:fill="FFFFFF" w:val="clear"/>
        </w:rPr>
        <w:t>. This ASU requires new disclosures, in the notes to the financial statements, related to the disaggregation of certain expenses within the income statement. Additionally, a qualitative description is required of the amounts remaining in relevant expense captions that are not separately disaggregated quantitatively. Annually, an entity is also required to define and quantify its selling expenses. The amendments in this ASU are effective for annual reporting periods beginning after December 15, 2026, and interim reporting periods beginning after December 15, 2027, with early adoption permitted. The Company is evaluating the potential impact of this guidance on its condensed consolidated financial statements.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December 2025, the FASB issued ASU No. 2025-11, </w:t>
      </w:r>
      <w:r>
        <w:rPr>
          <w:rFonts w:ascii="Times New Roman;Times;serif" w:hAnsi="Times New Roman;Times;serif"/>
          <w:i/>
          <w:sz w:val="20"/>
        </w:rPr>
        <w:t>Interim Reporting (Topic 270): Narrow-Scope Improvements</w:t>
      </w:r>
      <w:r>
        <w:rPr>
          <w:rFonts w:ascii="Times New Roman;Times;serif" w:hAnsi="Times New Roman;Times;serif"/>
          <w:sz w:val="20"/>
        </w:rPr>
        <w:t>. This ASU improves the guidance in Topic 270 by improving the navigability of the required interim disclosures from other topics and clarifying when existing guidance is applicable. The purpose of this ASU is not to expand or change previous interim reporting guidance; however, an added principle requires entities to disclose events since the end of the last annual reporting period that have material impact on the entity. The amendments are effective for interim reporting periods beginning after December 15, 2027, with early adoption permitted. The Company is evaluating the potential impact of this guidance on its consolidated financial statements.</w:t>
      </w:r>
    </w:p>
    <w:p>
      <w:pPr>
        <w:pStyle w:val="TextBody"/>
        <w:bidi w:val="0"/>
        <w:spacing w:before="240" w:after="0"/>
        <w:ind w:left="0" w:right="0" w:firstLine="490"/>
        <w:jc w:val="both"/>
        <w:rPr>
          <w:rFonts w:ascii="Times New Roman;Times;serif" w:hAnsi="Times New Roman;Times;serif"/>
          <w:b w:val="false"/>
          <w:sz w:val="20"/>
        </w:rPr>
      </w:pPr>
      <w:r>
        <w:rPr>
          <w:rFonts w:ascii="Times New Roman;Times;serif" w:hAnsi="Times New Roman;Times;serif"/>
          <w:b w:val="false"/>
          <w:sz w:val="20"/>
        </w:rPr>
        <w:t>The Company reviewed all other recently issued accounting pronouncements and concluded that they were either not applicable or not expected to have a significant impact to the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619" w:name="Tc_JP3Xz5HwLk2STG7KO-H2Zg_5_5"/>
      <w:bookmarkStart w:id="620" w:name="Tc_dUsMdH4hzEKYJvbDoBy0TQ_5_2"/>
      <w:bookmarkStart w:id="621" w:name="Tc_a7CD9-O4sky5lJWw9c8zxQ_5_0"/>
      <w:bookmarkStart w:id="622" w:name="Tc_IvbOlNmtbEiLFE1705iH9Q_4_0"/>
      <w:bookmarkStart w:id="623" w:name="Tc_Q62E9O4MJkec0_MbPrRoIA_3_0"/>
      <w:bookmarkStart w:id="624" w:name="Tc_7_ZxyO0A_UCeeolpksh8ng_2_5"/>
      <w:bookmarkStart w:id="625" w:name="Tc_tXenoS-YL0W92gnyd59Qew_2_2"/>
      <w:bookmarkStart w:id="626" w:name="Tc_vsd-EOIP9UqOI_NffqL16w_2_0"/>
      <w:bookmarkStart w:id="627" w:name="Tc_yLrpTqRBdkaieva0yvQfpQ_1_5"/>
      <w:bookmarkStart w:id="628" w:name="Tc_lR6xUwP-GUCFyfH7YmEyFA_1_2"/>
      <w:bookmarkStart w:id="629" w:name="_9aa12241_12c7_4b76_bda6_ee3dc2208224"/>
      <w:bookmarkEnd w:id="619"/>
      <w:bookmarkEnd w:id="620"/>
      <w:bookmarkEnd w:id="621"/>
      <w:bookmarkEnd w:id="622"/>
      <w:bookmarkEnd w:id="623"/>
      <w:bookmarkEnd w:id="624"/>
      <w:bookmarkEnd w:id="625"/>
      <w:bookmarkEnd w:id="626"/>
      <w:bookmarkEnd w:id="627"/>
      <w:bookmarkEnd w:id="628"/>
      <w:bookmarkEnd w:id="629"/>
      <w:r>
        <w:rPr>
          <w:rFonts w:ascii="Times New Roman;Times;serif" w:hAnsi="Times New Roman;Times;serif"/>
          <w:b/>
          <w:sz w:val="20"/>
        </w:rPr>
        <w:t>2. PREPAID EXPENSES AND OTHER CURRENT ASSETS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p>
      <w:pPr>
        <w:pStyle w:val="TextBody"/>
        <w:bidi w:val="0"/>
        <w:spacing w:before="0" w:after="240"/>
        <w:ind w:left="0" w:right="0" w:hanging="0"/>
        <w:jc w:val="both"/>
        <w:rPr/>
      </w:pPr>
      <w:r>
        <w:rPr/>
        <w:t>​</w:t>
      </w:r>
    </w:p>
    <w:tbl>
      <w:tblPr>
        <w:tblW w:w="7234" w:type="dxa"/>
        <w:jc w:val="left"/>
        <w:tblInd w:w="0" w:type="dxa"/>
        <w:tblLayout w:type="fixed"/>
        <w:tblCellMar>
          <w:top w:w="0" w:type="dxa"/>
          <w:left w:w="0" w:type="dxa"/>
          <w:bottom w:w="0" w:type="dxa"/>
          <w:right w:w="0" w:type="dxa"/>
        </w:tblCellMar>
      </w:tblPr>
      <w:tblGrid>
        <w:gridCol w:w="3931"/>
        <w:gridCol w:w="346"/>
        <w:gridCol w:w="287"/>
        <w:gridCol w:w="779"/>
        <w:gridCol w:w="346"/>
        <w:gridCol w:w="363"/>
        <w:gridCol w:w="1182"/>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496185" cy="175260"/>
                      <wp:effectExtent l="0" t="0" r="0" b="0"/>
                      <wp:wrapNone/>
                      <wp:docPr id="53" name="Frame53"/>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82245" cy="175260"/>
                      <wp:effectExtent l="0" t="0" r="0" b="0"/>
                      <wp:wrapNone/>
                      <wp:docPr id="55" name="Frame5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94665" cy="175260"/>
                      <wp:effectExtent l="0" t="0" r="0" b="0"/>
                      <wp:wrapNone/>
                      <wp:docPr id="56" name="Frame56"/>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0505" cy="175260"/>
                      <wp:effectExtent l="0" t="0" r="0" b="0"/>
                      <wp:wrapNone/>
                      <wp:docPr id="58" name="Frame58"/>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50570" cy="175260"/>
                      <wp:effectExtent l="0" t="0" r="0" b="0"/>
                      <wp:wrapNone/>
                      <wp:docPr id="59" name="Frame59"/>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1,935</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service fees</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6,561</w:t>
            </w:r>
          </w:p>
        </w:tc>
        <w:tc>
          <w:tcPr>
            <w:tcW w:w="346" w:type="dxa"/>
            <w:tcBorders/>
            <w:vAlign w:val="center"/>
          </w:tcPr>
          <w:p>
            <w:pPr>
              <w:pStyle w:val="TableContents"/>
              <w:bidi w:val="0"/>
              <w:spacing w:before="0" w:after="1"/>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6,369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160" w:after="0"/>
        <w:ind w:left="0" w:right="0" w:hanging="0"/>
        <w:jc w:val="both"/>
        <w:rPr>
          <w:rFonts w:ascii="Times New Roman;Times;serif" w:hAnsi="Times New Roman;Times;serif"/>
          <w:b/>
          <w:sz w:val="20"/>
        </w:rPr>
      </w:pPr>
      <w:bookmarkStart w:id="630" w:name="Tc_9CsqcXeTaUaeMMeDCV3phQ_8_5"/>
      <w:bookmarkStart w:id="631" w:name="Tc_8w-6NjIzqEuMAy8gDNSFpw_8_2"/>
      <w:bookmarkStart w:id="632" w:name="Tc_tEIJL0HqJ0ufMvfq_Fd4pQ_8_0"/>
      <w:bookmarkStart w:id="633" w:name="Tc_G3GaIi8gsE-2UTfP-w4W-w_7_0"/>
      <w:bookmarkStart w:id="634" w:name="Tc_YYz0eC9RjkS8aCJLwWv1ng_5_0"/>
      <w:bookmarkStart w:id="635" w:name="Tc_t1HzjpaSTEifLYqqwtrASA_4_0"/>
      <w:bookmarkStart w:id="636" w:name="Tc_ObGjRNKQ10exdgJjcTFeJA_3_0"/>
      <w:bookmarkStart w:id="637" w:name="Tc_C27K9VoORE2ty9-gcL6muQ_2_5"/>
      <w:bookmarkStart w:id="638" w:name="Tc_PMvWD9O2nU6Hw48IRChLDw_2_2"/>
      <w:bookmarkStart w:id="639" w:name="Tc_cjmIX1QH5UipXZ9j11DD3A_2_0"/>
      <w:bookmarkStart w:id="640" w:name="Tc_YhBQm-2oyUGHU4je3mOHdA_1_5"/>
      <w:bookmarkStart w:id="641" w:name="Tc_Je7BAove30CGhSf31sR8Vg_1_2"/>
      <w:bookmarkStart w:id="642" w:name="_18a3f819_26f2_4ccb_beee_6b08219d4cef"/>
      <w:bookmarkEnd w:id="630"/>
      <w:bookmarkEnd w:id="631"/>
      <w:bookmarkEnd w:id="632"/>
      <w:bookmarkEnd w:id="633"/>
      <w:bookmarkEnd w:id="634"/>
      <w:bookmarkEnd w:id="635"/>
      <w:bookmarkEnd w:id="636"/>
      <w:bookmarkEnd w:id="637"/>
      <w:bookmarkEnd w:id="638"/>
      <w:bookmarkEnd w:id="639"/>
      <w:bookmarkEnd w:id="640"/>
      <w:bookmarkEnd w:id="641"/>
      <w:bookmarkEnd w:id="642"/>
      <w:r>
        <w:rPr>
          <w:rFonts w:ascii="Times New Roman;Times;serif" w:hAnsi="Times New Roman;Times;serif"/>
          <w:b/>
          <w:sz w:val="20"/>
        </w:rPr>
        <w:t>3. PROPERTY AND EQUIPMENT</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costs and related accumulated depreciation and amortization of major classes of property and equipment are as follows (in thousands):</w:t>
      </w:r>
    </w:p>
    <w:p>
      <w:pPr>
        <w:pStyle w:val="TextBody"/>
        <w:bidi w:val="0"/>
        <w:spacing w:before="0" w:after="240"/>
        <w:ind w:left="0" w:right="0" w:hanging="0"/>
        <w:jc w:val="both"/>
        <w:rPr/>
      </w:pPr>
      <w:r>
        <w:rPr/>
        <w:t>​</w:t>
      </w:r>
    </w:p>
    <w:tbl>
      <w:tblPr>
        <w:tblW w:w="7460" w:type="dxa"/>
        <w:jc w:val="left"/>
        <w:tblInd w:w="0" w:type="dxa"/>
        <w:tblLayout w:type="fixed"/>
        <w:tblCellMar>
          <w:top w:w="0" w:type="dxa"/>
          <w:left w:w="0" w:type="dxa"/>
          <w:bottom w:w="0" w:type="dxa"/>
          <w:right w:w="0" w:type="dxa"/>
        </w:tblCellMar>
      </w:tblPr>
      <w:tblGrid>
        <w:gridCol w:w="4111"/>
        <w:gridCol w:w="346"/>
        <w:gridCol w:w="211"/>
        <w:gridCol w:w="901"/>
        <w:gridCol w:w="346"/>
        <w:gridCol w:w="281"/>
        <w:gridCol w:w="126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610485" cy="175260"/>
                      <wp:effectExtent l="0" t="0" r="0" b="0"/>
                      <wp:wrapNone/>
                      <wp:docPr id="60" name="Frame6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72135" cy="175260"/>
                      <wp:effectExtent l="0" t="0" r="0" b="0"/>
                      <wp:wrapNone/>
                      <wp:docPr id="63" name="Frame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78435" cy="175260"/>
                      <wp:effectExtent l="0" t="0" r="0" b="0"/>
                      <wp:wrapNone/>
                      <wp:docPr id="65" name="Frame6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02640" cy="175260"/>
                      <wp:effectExtent l="0" t="0" r="0" b="0"/>
                      <wp:wrapNone/>
                      <wp:docPr id="66" name="Frame66"/>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166,545</w:t>
            </w:r>
          </w:p>
        </w:tc>
        <w:tc>
          <w:tcPr>
            <w:tcW w:w="3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153,049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85,069</w:t>
            </w:r>
          </w:p>
        </w:tc>
        <w:tc>
          <w:tcPr>
            <w:tcW w:w="34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77,802</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w:t>
            </w:r>
          </w:p>
        </w:tc>
        <w:tc>
          <w:tcPr>
            <w:tcW w:w="346" w:type="dxa"/>
            <w:tcBorders/>
            <w:vAlign w:val="center"/>
          </w:tcPr>
          <w:p>
            <w:pPr>
              <w:pStyle w:val="TableContents"/>
              <w:bidi w:val="0"/>
              <w:spacing w:before="0" w:after="0"/>
              <w:ind w:left="0" w:right="0" w:hanging="0"/>
              <w:jc w:val="left"/>
              <w:rPr/>
            </w:pPr>
            <w:r>
              <w:rPr/>
              <w:t> </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22,799</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269,003</w:t>
            </w:r>
          </w:p>
        </w:tc>
        <w:tc>
          <w:tcPr>
            <w:tcW w:w="34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265,973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(171,838)</w:t>
            </w:r>
          </w:p>
        </w:tc>
        <w:tc>
          <w:tcPr>
            <w:tcW w:w="346" w:type="dxa"/>
            <w:tcBorders/>
            <w:vAlign w:val="center"/>
          </w:tcPr>
          <w:p>
            <w:pPr>
              <w:pStyle w:val="TableContents"/>
              <w:bidi w:val="0"/>
              <w:spacing w:before="0" w:after="0"/>
              <w:ind w:left="0" w:right="0" w:hanging="0"/>
              <w:jc w:val="left"/>
              <w:rPr/>
            </w:pPr>
            <w:r>
              <w:rPr/>
              <w:t> </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(168,930)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97,165</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97,043</w:t>
            </w:r>
          </w:p>
        </w:tc>
      </w:tr>
    </w:tbl>
    <w:p>
      <w:pPr>
        <w:pStyle w:val="TextBody"/>
        <w:bidi w:val="0"/>
        <w:spacing w:before="0" w:after="0"/>
        <w:ind w:left="0" w:right="0" w:hanging="0"/>
        <w:jc w:val="both"/>
        <w:rPr/>
      </w:pPr>
      <w:r>
        <w:rPr/>
        <w:t>​</w:t>
      </w:r>
    </w:p>
    <w:p>
      <w:pPr>
        <w:pStyle w:val="TextBody"/>
        <w:bidi w:val="0"/>
        <w:spacing w:before="40" w:after="0"/>
        <w:ind w:left="0" w:right="0" w:firstLine="490"/>
        <w:jc w:val="both"/>
        <w:rPr>
          <w:rFonts w:ascii="Times New Roman;Times;serif" w:hAnsi="Times New Roman;Times;serif"/>
          <w:sz w:val="20"/>
        </w:rPr>
      </w:pPr>
      <w:r>
        <w:rPr>
          <w:rFonts w:ascii="Times New Roman;Times;serif" w:hAnsi="Times New Roman;Times;serif"/>
          <w:sz w:val="20"/>
        </w:rPr>
        <w:t xml:space="preserve">Depreciation and amortization expense was </w:t>
      </w:r>
      <w:r>
        <w:rPr>
          <w:rFonts w:ascii="Times New Roman;Times;serif" w:hAnsi="Times New Roman;Times;serif"/>
          <w:sz w:val="20"/>
          <w:shd w:fill="FFFFFF" w:val="clear"/>
        </w:rPr>
        <w:t xml:space="preserve">$4.3 million </w:t>
      </w:r>
      <w:r>
        <w:rPr>
          <w:rFonts w:ascii="Times New Roman;Times;serif" w:hAnsi="Times New Roman;Times;serif"/>
          <w:sz w:val="20"/>
        </w:rPr>
        <w:t>for the thirteen weeks ended April 1, 2026 and $3.9 million for the thirteen weeks ended March 26, 2025.</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Based on the Company’s review of its property and equipment assets for impairment, the Company did not record any non-cash impairment charges for the thirteen weeks ended April 1, 2026 and March 26, 2025. </w:t>
      </w:r>
    </w:p>
    <w:p>
      <w:pPr>
        <w:pStyle w:val="TextBody"/>
        <w:bidi w:val="0"/>
        <w:spacing w:before="360" w:after="0"/>
        <w:ind w:left="0" w:right="0" w:hanging="0"/>
        <w:jc w:val="both"/>
        <w:rPr>
          <w:rFonts w:ascii="Times New Roman;Times;serif" w:hAnsi="Times New Roman;Times;serif"/>
          <w:b/>
          <w:sz w:val="20"/>
        </w:rPr>
      </w:pPr>
      <w:bookmarkStart w:id="643" w:name="Tc_BKKQrj3wFk6MryYI_J6Kmg_10_10"/>
      <w:bookmarkStart w:id="644" w:name="Tc_zCvlA43-7ECHyR3ColelTA_10_4"/>
      <w:bookmarkStart w:id="645" w:name="Tc_WpHtsYRnOUSW5fXjQb8IlQ_10_0"/>
      <w:bookmarkStart w:id="646" w:name="Tc_gsLkpVGDr0KWr_x1ev4MBg_9_10"/>
      <w:bookmarkStart w:id="647" w:name="Tc_HKymSALXE0unwXPabAb8uA_9_4"/>
      <w:bookmarkStart w:id="648" w:name="Tc_IV4gr8a-8UeVm0dwuGNluQ_9_0"/>
      <w:bookmarkStart w:id="649" w:name="Tc_UM-rwW7v7Eud6fFvWCBEOw_8_10"/>
      <w:bookmarkStart w:id="650" w:name="Tc_NHnt56LGFkaI_Kn9qGLcnw_8_4"/>
      <w:bookmarkStart w:id="651" w:name="Tc_sR4gd9BZHUOXIJljogvjbg_8_0"/>
      <w:bookmarkStart w:id="652" w:name="Tc_X-trK8uw-02KSHhZkcJYkw_7_5"/>
      <w:bookmarkStart w:id="653" w:name="Tc_AmBlJ_SLj0WrQD90UyjZmw_7_2"/>
      <w:bookmarkStart w:id="654" w:name="Tc_x9jAUpnkBk2yHRKSEOHkhw_7_0"/>
      <w:bookmarkStart w:id="655" w:name="Tc_cgvJCqTbn0iOhc-7W6PKvA_6_0"/>
      <w:bookmarkStart w:id="656" w:name="Tc_ywH9tyj7qE6XDmxE00GL2Q_5_0"/>
      <w:bookmarkStart w:id="657" w:name="Tc_pjJS5uzTEUet-xBQreXV_w_4_4"/>
      <w:bookmarkStart w:id="658" w:name="Tc_yoOYok8wNkqfY3kMDdp9Rg_4_0"/>
      <w:bookmarkStart w:id="659" w:name="Tc_MKvFe9HqhU2YpmAaykit9Q_3_10"/>
      <w:bookmarkStart w:id="660" w:name="Tc_BgJHEy7Ar0uX2aY8wFK68g_3_7"/>
      <w:bookmarkStart w:id="661" w:name="Tc_dQYIvW46sk6gl-5XqP_n7A_3_4"/>
      <w:bookmarkStart w:id="662" w:name="Tc_3lSohCMlwUCU7pnztbFwiw_3_2"/>
      <w:bookmarkStart w:id="663" w:name="Tc_42ZPEb8RN0m4GRmwVqYAoQ_2_10"/>
      <w:bookmarkStart w:id="664" w:name="Tc_XqTc-6gyp0-9vKpnsqeFSQ_2_7"/>
      <w:bookmarkStart w:id="665" w:name="Tc_PFeYv3oZvUesIUaBReSxbg_2_4"/>
      <w:bookmarkStart w:id="666" w:name="Tc_NiR-fJDEgEO-ZRzensU4Pg_1_10"/>
      <w:bookmarkStart w:id="667" w:name="Tc_EBc920jIsEuaU46mbZGZDg_1_7"/>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r>
        <w:rPr>
          <w:rFonts w:ascii="Times New Roman;Times;serif" w:hAnsi="Times New Roman;Times;serif"/>
          <w:b/>
          <w:sz w:val="20"/>
        </w:rPr>
        <w:t>4. STOCK-BASED COMPENSATION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Pursuant to the Company’s 2018 Omnibus Equity Incentive Plan (as amended, the “Incentive Plan”), the Company grants stock options, restricted stock units, performance-based restricted stock units (“PSUs”) and restricted stock to the Company’s employees, officers, directors, and other eligible participants. As of April 1, 2026, 2,061,677 shares of common stock remained available for issuance under the Incentive Plan.</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Total stock-based compensation expense was $1.3 million and $1.0</w:t>
      </w:r>
      <w:r>
        <w:rPr>
          <w:rFonts w:ascii="Times New Roman;Times;serif" w:hAnsi="Times New Roman;Times;serif"/>
          <w:sz w:val="20"/>
          <w:shd w:fill="FFFFFF" w:val="clear"/>
        </w:rPr>
        <w:t xml:space="preserve"> million </w:t>
      </w:r>
      <w:r>
        <w:rPr>
          <w:rFonts w:ascii="Times New Roman;Times;serif" w:hAnsi="Times New Roman;Times;serif"/>
          <w:sz w:val="20"/>
        </w:rPr>
        <w:t xml:space="preserve">for the thirteen weeks ended April 1, 2026 and March 26, 2025, </w:t>
      </w:r>
      <w:r>
        <w:rPr>
          <w:rFonts w:ascii="Times New Roman;Times;serif" w:hAnsi="Times New Roman;Times;serif"/>
          <w:sz w:val="20"/>
          <w:shd w:fill="FFFFFF" w:val="clear"/>
        </w:rPr>
        <w:t>respectively.</w:t>
      </w:r>
      <w:r>
        <w:rPr>
          <w:rFonts w:ascii="Times New Roman;Times;serif" w:hAnsi="Times New Roman;Times;serif"/>
          <w:i/>
          <w:sz w:val="20"/>
        </w:rPr>
        <w:t>Stock Options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As of April 1, 2026, options to purchase 1,411,481 shares of common stock were outstanding, including 374,653 vested and 1,036,828 unvested options. Unvested options vest over time; however, pursuant to the Incentive Plan, upon a change in control, the Company’s Board of Directors (the “Board”) may accelerate vesting. A summary of stock option activity at April 1, 2026 and changes during the thirteen weeks ended April 1, 2026 is as follows:</w:t>
      </w:r>
    </w:p>
    <w:p>
      <w:pPr>
        <w:pStyle w:val="TextBody"/>
        <w:bidi w:val="0"/>
        <w:spacing w:before="0" w:after="240"/>
        <w:ind w:left="0" w:right="0" w:hanging="0"/>
        <w:jc w:val="both"/>
        <w:rPr/>
      </w:pPr>
      <w:r>
        <w:rPr/>
        <w:t>​</w:t>
      </w:r>
    </w:p>
    <w:tbl>
      <w:tblPr>
        <w:tblW w:w="9778" w:type="dxa"/>
        <w:jc w:val="left"/>
        <w:tblInd w:w="0" w:type="dxa"/>
        <w:tblLayout w:type="fixed"/>
        <w:tblCellMar>
          <w:top w:w="0" w:type="dxa"/>
          <w:left w:w="0" w:type="dxa"/>
          <w:bottom w:w="0" w:type="dxa"/>
          <w:right w:w="0" w:type="dxa"/>
        </w:tblCellMar>
      </w:tblPr>
      <w:tblGrid>
        <w:gridCol w:w="3706"/>
        <w:gridCol w:w="346"/>
        <w:gridCol w:w="931"/>
        <w:gridCol w:w="346"/>
        <w:gridCol w:w="396"/>
        <w:gridCol w:w="1075"/>
        <w:gridCol w:w="146"/>
        <w:gridCol w:w="278"/>
        <w:gridCol w:w="1193"/>
        <w:gridCol w:w="146"/>
        <w:gridCol w:w="309"/>
        <w:gridCol w:w="90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353310" cy="175260"/>
                      <wp:effectExtent l="0" t="0" r="0" b="0"/>
                      <wp:wrapNone/>
                      <wp:docPr id="67" name="Frame67"/>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1185" cy="175260"/>
                      <wp:effectExtent l="0" t="0" r="0" b="0"/>
                      <wp:wrapNone/>
                      <wp:docPr id="69" name="Frame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51460" cy="175260"/>
                      <wp:effectExtent l="0" t="0" r="0" b="0"/>
                      <wp:wrapNone/>
                      <wp:docPr id="71" name="Frame71"/>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82625" cy="175260"/>
                      <wp:effectExtent l="0" t="0" r="0" b="0"/>
                      <wp:wrapNone/>
                      <wp:docPr id="72" name="Frame72"/>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92710" cy="175260"/>
                      <wp:effectExtent l="0" t="0" r="0" b="0"/>
                      <wp:wrapNone/>
                      <wp:docPr id="73" name="Frame7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76530" cy="175260"/>
                      <wp:effectExtent l="0" t="0" r="0" b="0"/>
                      <wp:wrapNone/>
                      <wp:docPr id="74" name="Frame7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57555" cy="175260"/>
                      <wp:effectExtent l="0" t="0" r="0" b="0"/>
                      <wp:wrapNone/>
                      <wp:docPr id="75" name="Frame75"/>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2710" cy="175260"/>
                      <wp:effectExtent l="0" t="0" r="0" b="0"/>
                      <wp:wrapNone/>
                      <wp:docPr id="76" name="Frame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96215" cy="175260"/>
                      <wp:effectExtent l="0" t="0" r="0" b="0"/>
                      <wp:wrapNone/>
                      <wp:docPr id="77" name="Frame77"/>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75310" cy="175260"/>
                      <wp:effectExtent l="0" t="0" r="0" b="0"/>
                      <wp:wrapNone/>
                      <wp:docPr id="78" name="Frame7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1"/>
              <w:ind w:left="0" w:right="0" w:hanging="0"/>
              <w:jc w:val="left"/>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1"/>
              <w:ind w:left="0" w:right="0" w:hanging="0"/>
              <w:jc w:val="center"/>
              <w:rPr/>
            </w:pPr>
            <w:r>
              <w:rPr/>
              <w:t> </w:t>
            </w:r>
          </w:p>
        </w:tc>
        <w:tc>
          <w:tcPr>
            <w:tcW w:w="147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Contractual Life</w:t>
            </w:r>
          </w:p>
        </w:tc>
        <w:tc>
          <w:tcPr>
            <w:tcW w:w="146" w:type="dxa"/>
            <w:tcBorders/>
            <w:vAlign w:val="center"/>
          </w:tcPr>
          <w:p>
            <w:pPr>
              <w:pStyle w:val="TableContents"/>
              <w:bidi w:val="0"/>
              <w:spacing w:before="0" w:after="1"/>
              <w:ind w:left="0" w:right="0" w:hanging="0"/>
              <w:jc w:val="left"/>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46" w:type="dxa"/>
            <w:tcBorders/>
            <w:vAlign w:val="center"/>
          </w:tcPr>
          <w:p>
            <w:pPr>
              <w:pStyle w:val="TableContents"/>
              <w:bidi w:val="0"/>
              <w:spacing w:before="0" w:after="1"/>
              <w:ind w:left="0" w:right="0" w:hanging="0"/>
              <w:jc w:val="center"/>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1,233,984</w:t>
            </w:r>
          </w:p>
        </w:tc>
        <w:tc>
          <w:tcPr>
            <w:tcW w:w="34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Grants</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378,603</w:t>
            </w:r>
          </w:p>
        </w:tc>
        <w:tc>
          <w:tcPr>
            <w:tcW w:w="34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(201,106)</w:t>
            </w:r>
          </w:p>
        </w:tc>
        <w:tc>
          <w:tcPr>
            <w:tcW w:w="34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cancelled or expired</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April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1,411,481</w:t>
            </w:r>
          </w:p>
        </w:tc>
        <w:tc>
          <w:tcPr>
            <w:tcW w:w="34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8.64</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3,873</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April 1, 2026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1,395,891</w:t>
            </w:r>
          </w:p>
        </w:tc>
        <w:tc>
          <w:tcPr>
            <w:tcW w:w="346" w:type="dxa"/>
            <w:tcBorders/>
            <w:vAlign w:val="center"/>
          </w:tcPr>
          <w:p>
            <w:pPr>
              <w:pStyle w:val="TableContents"/>
              <w:bidi w:val="0"/>
              <w:spacing w:before="0" w:after="1"/>
              <w:ind w:left="0" w:right="0" w:hanging="0"/>
              <w:jc w:val="left"/>
              <w:rPr/>
            </w:pPr>
            <w:r>
              <w:rPr/>
              <w:t>​</w:t>
            </w:r>
          </w:p>
        </w:tc>
        <w:tc>
          <w:tcPr>
            <w:tcW w:w="3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8.63</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3,841</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April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374,653</w:t>
            </w:r>
          </w:p>
        </w:tc>
        <w:tc>
          <w:tcPr>
            <w:tcW w:w="34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7.60</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1,335</w:t>
            </w:r>
          </w:p>
        </w:tc>
      </w:tr>
    </w:tbl>
    <w:p>
      <w:pPr>
        <w:pStyle w:val="TextBody"/>
        <w:bidi w:val="0"/>
        <w:spacing w:before="24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68" w:name="Tc_8fO938IPGE2yJOxhX5-lLQ_7_4"/>
      <w:bookmarkStart w:id="669" w:name="Tc_yI0TxFQrYECkIljZ-O-YAA_7_0"/>
      <w:bookmarkStart w:id="670" w:name="Tc_e0pB2FC0SkmFsdY25rqiqg_6_5"/>
      <w:bookmarkStart w:id="671" w:name="Tc_wU_WcmA9TkOLeMSDVUTGEw_6_4"/>
      <w:bookmarkStart w:id="672" w:name="Tc_AzsR1kdZ0Ua8kn1N8NJtHw_6_2"/>
      <w:bookmarkStart w:id="673" w:name="Tc_ZWmP0Xea-0KUl0QOJy3mmA_6_0"/>
      <w:bookmarkStart w:id="674" w:name="Tc_TDdkxnSKnEaMCHJORy_QLg_5_5"/>
      <w:bookmarkStart w:id="675" w:name="Tc_EmxymsiZV0qLehZgIn-I5Q_5_4"/>
      <w:bookmarkStart w:id="676" w:name="Tc_3FK0y9wEtk2PSVVgpKH9sg_5_2"/>
      <w:bookmarkStart w:id="677" w:name="Tc_AFHtxXVvCUaIg_VsfJRDog_5_0"/>
      <w:bookmarkStart w:id="678" w:name="Tc_7WF-IMkUv0O44KFuMhBrDg_4_4"/>
      <w:bookmarkStart w:id="679" w:name="Tc_8q8nFFvZlE6LopzubRZ5OA_4_0"/>
      <w:bookmarkStart w:id="680" w:name="Tc_oO_Q4BhOfEeqcgjaPz4Zig_3_4"/>
      <w:bookmarkStart w:id="681" w:name="Tc_Ud1lu-KM4k-gsfxb0jGTrw_3_0"/>
      <w:bookmarkStart w:id="682" w:name="Tc_BbtXwZ9QTkSv3-7V1QGFCA_2_4"/>
      <w:bookmarkStart w:id="683" w:name="Tc_2SZgzsav8EaXVHAKkShMcg_2_2"/>
      <w:bookmarkStart w:id="684" w:name="Tc_L6DqlYtZlEKhAdMeAv1v8Q_1_4"/>
      <w:bookmarkStart w:id="685" w:name="Tc_e4ae-y4SYUmWbSQAALi4Ug_7_4"/>
      <w:bookmarkStart w:id="686" w:name="Tc_2o1SgUlvpUGytuGeicO4bg_7_0"/>
      <w:bookmarkStart w:id="687" w:name="Tc_AqmoJiMXi0-lmvrYVOebsA_6_4"/>
      <w:bookmarkStart w:id="688" w:name="Tc_OjjXcXsYzE2pECTtSJCwhw_6_0"/>
      <w:bookmarkStart w:id="689" w:name="Tc_ChipbDbhUE6SWXO6b2KZhA_5_4"/>
      <w:bookmarkStart w:id="690" w:name="Tc_NkgmnHQOPUCKZK-HOvSSOQ_5_0"/>
      <w:bookmarkStart w:id="691" w:name="Tc_51BzsrUFMUypN7xLvB0ftw_4_4"/>
      <w:bookmarkStart w:id="692" w:name="Tc_7VVyIaVRYESVxEQhzIhVLA_4_0"/>
      <w:bookmarkStart w:id="693" w:name="Tc_QNScT-WibkGI228HGaOoGA_3_4"/>
      <w:bookmarkStart w:id="694" w:name="Tc_CYF2Fk3L2kG1VVSEpiGbaw_3_0"/>
      <w:bookmarkStart w:id="695" w:name="Tc_ela7c4S8PUqrXLWTMoWPgw_2_4"/>
      <w:bookmarkStart w:id="696" w:name="Tc_qIrzpPJ9Wk2yChajdvDCyw_2_2"/>
      <w:bookmarkStart w:id="697" w:name="Tc_L9d_MGq4LEimOnpC9JQTCA_1_4"/>
      <w:bookmarkStart w:id="698" w:name="Tc_qe4mF9lGY0OkfopDtjPPIA_5_4"/>
      <w:bookmarkStart w:id="699" w:name="Tc_3Yq5puOI7UqVKwFqTyBebg_5_2"/>
      <w:bookmarkStart w:id="700" w:name="Tc_Jlsu5df960KusgbE0bocZw_5_0"/>
      <w:bookmarkStart w:id="701" w:name="Tc_hsv0kq_d5kutXxotK7sd7A_4_0"/>
      <w:bookmarkStart w:id="702" w:name="Tc_gyCZgujvEU2SOpOJWiDOfg_3_5"/>
      <w:bookmarkStart w:id="703" w:name="Tc_DX1AeL76wEaij7Q0Imvqyg_3_3"/>
      <w:bookmarkStart w:id="704" w:name="Tc_0BVbzYsmskuMzR-KNvWeDA_3_0"/>
      <w:bookmarkStart w:id="705" w:name="Tc_Kvw2C8OoYk2NR5Oqrya-7g_2_5"/>
      <w:bookmarkStart w:id="706" w:name="Tc_iBca8EU-U06TNI8K6Wd1YQ_2_3"/>
      <w:bookmarkStart w:id="707" w:name="Tc_U48nQUdUREm6qcQf8D29vQ_2_0"/>
      <w:bookmarkStart w:id="708" w:name="Tc_thkQJwSnB0OOWZmK9mc2UA_1_4"/>
      <w:bookmarkStart w:id="709" w:name="Tc_S9QRd38lE0mulJoEzKamQQ_1_2"/>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Pr>
          <w:rFonts w:ascii="Times New Roman;Times;serif" w:hAnsi="Times New Roman;Times;serif"/>
          <w:sz w:val="20"/>
        </w:rPr>
        <w:t>The fair value of each stock option was estimated on the grant date using an exercise price of the closing stock price on the day prior to date of grant and the Black-Scholes option-pricing model with the following weighted average assumptions:</w:t>
      </w:r>
    </w:p>
    <w:p>
      <w:pPr>
        <w:pStyle w:val="TextBody"/>
        <w:bidi w:val="0"/>
        <w:spacing w:before="0" w:after="0"/>
        <w:ind w:left="0" w:right="0" w:hanging="0"/>
        <w:jc w:val="left"/>
        <w:rPr/>
      </w:pPr>
      <w:r>
        <w:rPr/>
        <w:t>​</w:t>
      </w:r>
    </w:p>
    <w:tbl>
      <w:tblPr>
        <w:tblW w:w="5226" w:type="dxa"/>
        <w:jc w:val="left"/>
        <w:tblInd w:w="0" w:type="dxa"/>
        <w:tblLayout w:type="fixed"/>
        <w:tblCellMar>
          <w:top w:w="0" w:type="dxa"/>
          <w:left w:w="0" w:type="dxa"/>
          <w:bottom w:w="0" w:type="dxa"/>
          <w:right w:w="0" w:type="dxa"/>
        </w:tblCellMar>
      </w:tblPr>
      <w:tblGrid>
        <w:gridCol w:w="1876"/>
        <w:gridCol w:w="346"/>
        <w:gridCol w:w="1066"/>
        <w:gridCol w:w="361"/>
        <w:gridCol w:w="1261"/>
        <w:gridCol w:w="31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91260" cy="175260"/>
                      <wp:effectExtent l="0" t="0" r="0" b="0"/>
                      <wp:wrapNone/>
                      <wp:docPr id="79" name="Frame7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76910" cy="175260"/>
                      <wp:effectExtent l="0" t="0" r="0" b="0"/>
                      <wp:wrapNone/>
                      <wp:docPr id="81" name="Frame8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29235" cy="175260"/>
                      <wp:effectExtent l="0" t="0" r="0" b="0"/>
                      <wp:wrapNone/>
                      <wp:docPr id="82" name="Frame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800735" cy="175260"/>
                      <wp:effectExtent l="0" t="0" r="0" b="0"/>
                      <wp:wrapNone/>
                      <wp:docPr id="83" name="Frame8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0660" cy="175260"/>
                      <wp:effectExtent l="0" t="0" r="0" b="0"/>
                      <wp:wrapNone/>
                      <wp:docPr id="84" name="Frame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c>
          <w:tcPr>
            <w:tcW w:w="316" w:type="dxa"/>
            <w:tcBorders/>
            <w:vAlign w:val="center"/>
          </w:tcPr>
          <w:p>
            <w:pPr>
              <w:pStyle w:val="TableContents"/>
              <w:bidi w:val="0"/>
              <w:spacing w:before="0" w:after="1"/>
              <w:ind w:left="0" w:right="0" w:hanging="0"/>
              <w:jc w:val="left"/>
              <w:rPr/>
            </w:pPr>
            <w:r>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61"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April 1, 2026, the Company had total unrecognized compensation expense of $5.0 million related to unvested stock options, which it expects to recognize over a weighted-average period of 2.45 years.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Restricted Shares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restricted share activity as of April 1, 2026 and changes during the thirteen weeks ended April 1, 2026 is as follows:</w:t>
      </w:r>
    </w:p>
    <w:p>
      <w:pPr>
        <w:pStyle w:val="TextBody"/>
        <w:bidi w:val="0"/>
        <w:spacing w:before="0" w:after="0"/>
        <w:ind w:left="0" w:right="0" w:hanging="0"/>
        <w:jc w:val="left"/>
        <w:rPr/>
      </w:pPr>
      <w:r>
        <w:rPr/>
        <w:t>​</w:t>
      </w:r>
    </w:p>
    <w:tbl>
      <w:tblPr>
        <w:tblW w:w="6350" w:type="dxa"/>
        <w:jc w:val="left"/>
        <w:tblInd w:w="0" w:type="dxa"/>
        <w:tblLayout w:type="fixed"/>
        <w:tblCellMar>
          <w:top w:w="0" w:type="dxa"/>
          <w:left w:w="0" w:type="dxa"/>
          <w:bottom w:w="0" w:type="dxa"/>
          <w:right w:w="0" w:type="dxa"/>
        </w:tblCellMar>
      </w:tblPr>
      <w:tblGrid>
        <w:gridCol w:w="3241"/>
        <w:gridCol w:w="346"/>
        <w:gridCol w:w="901"/>
        <w:gridCol w:w="346"/>
        <w:gridCol w:w="356"/>
        <w:gridCol w:w="1160"/>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58035" cy="175260"/>
                      <wp:effectExtent l="0" t="0" r="0" b="0"/>
                      <wp:wrapNone/>
                      <wp:docPr id="85" name="Frame85"/>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72135" cy="175260"/>
                      <wp:effectExtent l="0" t="0" r="0" b="0"/>
                      <wp:wrapNone/>
                      <wp:docPr id="87" name="Frame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26060" cy="175260"/>
                      <wp:effectExtent l="0" t="0" r="0" b="0"/>
                      <wp:wrapNone/>
                      <wp:docPr id="89" name="Frame89"/>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36600" cy="175260"/>
                      <wp:effectExtent l="0" t="0" r="0" b="0"/>
                      <wp:wrapNone/>
                      <wp:docPr id="90" name="Frame90"/>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617,037</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320,644</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(154,973)</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(4,313)</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April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778,395</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11.48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April 1, 2026, the Company had unrecognized compensation expense of $7.8 million related to unvested restricted shares, which it expects to recognize over a weighted-average period of 2.29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Performance-Based Restricted Stock Units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performance share activity as of April 1, 2026 and changes during the thirteen weeks ended April 1, 2026 is as follows:</w:t>
      </w:r>
    </w:p>
    <w:p>
      <w:pPr>
        <w:pStyle w:val="TextBody"/>
        <w:bidi w:val="0"/>
        <w:spacing w:before="0" w:after="0"/>
        <w:ind w:left="0" w:right="0" w:hanging="0"/>
        <w:jc w:val="left"/>
        <w:rPr/>
      </w:pPr>
      <w:r>
        <w:rPr/>
        <w:t>​</w:t>
      </w:r>
    </w:p>
    <w:tbl>
      <w:tblPr>
        <w:tblW w:w="6230" w:type="dxa"/>
        <w:jc w:val="left"/>
        <w:tblInd w:w="0" w:type="dxa"/>
        <w:tblLayout w:type="fixed"/>
        <w:tblCellMar>
          <w:top w:w="0" w:type="dxa"/>
          <w:left w:w="0" w:type="dxa"/>
          <w:bottom w:w="0" w:type="dxa"/>
          <w:right w:w="0" w:type="dxa"/>
        </w:tblCellMar>
      </w:tblPr>
      <w:tblGrid>
        <w:gridCol w:w="3241"/>
        <w:gridCol w:w="346"/>
        <w:gridCol w:w="781"/>
        <w:gridCol w:w="346"/>
        <w:gridCol w:w="356"/>
        <w:gridCol w:w="1160"/>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58035" cy="175260"/>
                      <wp:effectExtent l="0" t="0" r="0" b="0"/>
                      <wp:wrapNone/>
                      <wp:docPr id="91" name="Frame9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26060" cy="175260"/>
                      <wp:effectExtent l="0" t="0" r="0" b="0"/>
                      <wp:wrapNone/>
                      <wp:docPr id="95" name="Frame9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36600" cy="175260"/>
                      <wp:effectExtent l="0" t="0" r="0" b="0"/>
                      <wp:wrapNone/>
                      <wp:docPr id="96" name="Frame96"/>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137,805</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132,007</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1"/>
              <w:ind w:left="0" w:right="0" w:hanging="0"/>
              <w:jc w:val="right"/>
              <w:rPr/>
            </w:pPr>
            <w:r>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April 1, 2026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269,812</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11.80</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LONG-TERM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27, 2022, the Company entered into a credit agreement (the “2022 Credit Agreement”) among EPL, as borrower, the Company and Intermediate, as guarantors, Bank of America, N.A., as administrative agent, swingline lender, and letter of credit issuer, the lenders party thereto, and the other parties thereto, to refinance its $150.0 million five-year senior secured revolving credit facility (the “2022 Revolver”).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2022 Revolver includes a sub limit of $15.0 million for letters of credit and a sub limit of $15.0 million for swingline loans.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 subject to certain customary exceptions.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2022 Revolver, Holdings is restricted from making certain payments such as cash dividends or share repurchases, except that it may, inter alia, (i) pay up to $1.0 million per year to repurchase or redeem qualified equity interests of Holdings held by past or present officers, directors, or employees (or their estates) of the Company upon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death, disability, or termination of employment, and (ii)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under the 2022 Revolver was</w:t>
      </w:r>
      <w:r>
        <w:rPr>
          <w:rFonts w:ascii="Times New Roman;Times;serif" w:hAnsi="Times New Roman;Times;serif"/>
          <w:sz w:val="20"/>
          <w:shd w:fill="FFFFFF" w:val="clear"/>
        </w:rPr>
        <w:t xml:space="preserve"> 5.01% to 7.00% </w:t>
      </w:r>
      <w:r>
        <w:rPr>
          <w:rFonts w:ascii="Times New Roman;Times;serif" w:hAnsi="Times New Roman;Times;serif"/>
          <w:sz w:val="20"/>
        </w:rPr>
        <w:t>for the thirteen weeks ended April 1, 2026 , and</w:t>
      </w:r>
      <w:r>
        <w:rPr>
          <w:rFonts w:ascii="Times New Roman;Times;serif" w:hAnsi="Times New Roman;Times;serif"/>
          <w:sz w:val="20"/>
          <w:shd w:fill="FFFFFF" w:val="clear"/>
        </w:rPr>
        <w:t xml:space="preserve"> 5.65% to 7.75% </w:t>
      </w:r>
      <w:r>
        <w:rPr>
          <w:rFonts w:ascii="Times New Roman;Times;serif" w:hAnsi="Times New Roman;Times;serif"/>
          <w:sz w:val="20"/>
        </w:rPr>
        <w:t>for the thirteen weeks ended March 26, 2025</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2022 Credit Agreement contains certain customary financial covenants, subject to certain exceptions. The Company was in compliance with the financial covenants as of April 1, 2026.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April 1, 2026, the Company had $44.0 million in outstanding borrowing under the 2022 Revolver and one letter of credit in the amount of $10.3 million outstanding, and as a result, the Company had $95.7 million in borrowing availability.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thirteen weeks ended April 1, 2026, the Company had no borrowings, and paid down $7.0 million, on the 2022 Revolver. During the thirteen weeks ended March 26, 2025, the Company borrowed $6.0 million and paid down $4.0 million, respectively, on the 2022 Revolver. </w:t>
      </w:r>
    </w:p>
    <w:p>
      <w:pPr>
        <w:pStyle w:val="TextBody"/>
        <w:bidi w:val="0"/>
        <w:spacing w:before="360" w:after="0"/>
        <w:ind w:left="0" w:right="0" w:hanging="0"/>
        <w:jc w:val="both"/>
        <w:rPr>
          <w:rFonts w:ascii="Times New Roman;Times;serif" w:hAnsi="Times New Roman;Times;serif"/>
          <w:b/>
          <w:sz w:val="20"/>
        </w:rPr>
      </w:pPr>
      <w:bookmarkStart w:id="710" w:name="Tc_crPvkz8O3U-4T-7RUF83Jg_13_5"/>
      <w:bookmarkStart w:id="711" w:name="Tc_MbrfaORxb0K9-Ebdh3kWwg_13_2"/>
      <w:bookmarkStart w:id="712" w:name="Tc_Joh5lnZU_kipob35ogUuuA_13_0"/>
      <w:bookmarkStart w:id="713" w:name="Tc_hjMHdJvUA0GuKTYzl8cNxg_12_0"/>
      <w:bookmarkStart w:id="714" w:name="Tc_0eroT_0itUyMIr2EeLbBUA_11_0"/>
      <w:bookmarkStart w:id="715" w:name="Tc_E5JEPbVWH0-2uODh0o9Jwg_10_0"/>
      <w:bookmarkStart w:id="716" w:name="Tc_-4NyR_7X60ypTHQvwp56bQ_9_0"/>
      <w:bookmarkStart w:id="717" w:name="Tc_U9x9HSpZ_EWqRG6rWsJ5ww_8_0"/>
      <w:bookmarkStart w:id="718" w:name="Tc_oQRsEr3IlkOXXRXogFzU4w_7_0"/>
      <w:bookmarkStart w:id="719" w:name="Tc_8TsrurmqUUCfnawiwHOTkA_6_0"/>
      <w:bookmarkStart w:id="720" w:name="Tc_5w53mgLGNkqYU_YectMORg_5_0"/>
      <w:bookmarkStart w:id="721" w:name="Tc_HWCMuQiZqEe5Ywt5YRkEAg_4_0"/>
      <w:bookmarkStart w:id="722" w:name="Tc_Tuf9mkE9i0yCBfcp849WGA_3_0"/>
      <w:bookmarkStart w:id="723" w:name="Tc_41KEb6lO7Ue0T_65mn6YlQ_2_5"/>
      <w:bookmarkStart w:id="724" w:name="Tc_LgadGkPnr0K-BL5JDOif9A_2_2"/>
      <w:bookmarkStart w:id="725" w:name="Tc_i936EE_SuU6jEvDoyFTPig_2_0"/>
      <w:bookmarkStart w:id="726" w:name="Tc_-BpUyBkwDU-gJDwgXop9TQ_1_5"/>
      <w:bookmarkStart w:id="727" w:name="Tc_fczfLBBmJkCh-MEXGvhHZg_1_2"/>
      <w:bookmarkStart w:id="728" w:name="_38d594b6_2f46_445d_b4e2_ece16498b2ac"/>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rPr>
          <w:rFonts w:ascii="Times New Roman;Times;serif" w:hAnsi="Times New Roman;Times;serif"/>
          <w:b/>
          <w:sz w:val="20"/>
        </w:rPr>
        <w:t>6. OTHER ACCRUED EXPENSES AND CURRENT LIABILITIES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Other accrued expenses and current liabilities consist of the following (in thousands):</w:t>
      </w:r>
    </w:p>
    <w:p>
      <w:pPr>
        <w:pStyle w:val="TextBody"/>
        <w:bidi w:val="0"/>
        <w:spacing w:before="0" w:after="240"/>
        <w:ind w:left="0" w:right="0" w:hanging="0"/>
        <w:jc w:val="both"/>
        <w:rPr/>
      </w:pPr>
      <w:r>
        <w:rPr/>
        <w:t>​</w:t>
      </w:r>
    </w:p>
    <w:tbl>
      <w:tblPr>
        <w:tblW w:w="7564" w:type="dxa"/>
        <w:jc w:val="left"/>
        <w:tblInd w:w="0" w:type="dxa"/>
        <w:tblLayout w:type="fixed"/>
        <w:tblCellMar>
          <w:top w:w="0" w:type="dxa"/>
          <w:left w:w="0" w:type="dxa"/>
          <w:bottom w:w="0" w:type="dxa"/>
          <w:right w:w="0" w:type="dxa"/>
        </w:tblCellMar>
      </w:tblPr>
      <w:tblGrid>
        <w:gridCol w:w="4261"/>
        <w:gridCol w:w="346"/>
        <w:gridCol w:w="253"/>
        <w:gridCol w:w="813"/>
        <w:gridCol w:w="346"/>
        <w:gridCol w:w="325"/>
        <w:gridCol w:w="1220"/>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705735" cy="175260"/>
                      <wp:effectExtent l="0" t="0" r="0" b="0"/>
                      <wp:wrapNone/>
                      <wp:docPr id="97" name="Frame97"/>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0655" cy="175260"/>
                      <wp:effectExtent l="0" t="0" r="0" b="0"/>
                      <wp:wrapNone/>
                      <wp:docPr id="99" name="Frame9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16255" cy="175260"/>
                      <wp:effectExtent l="0" t="0" r="0" b="0"/>
                      <wp:wrapNone/>
                      <wp:docPr id="100" name="Frame100"/>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6375" cy="175260"/>
                      <wp:effectExtent l="0" t="0" r="0" b="0"/>
                      <wp:wrapNone/>
                      <wp:docPr id="102" name="Frame102"/>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74700" cy="175260"/>
                      <wp:effectExtent l="0" t="0" r="0" b="0"/>
                      <wp:wrapNone/>
                      <wp:docPr id="103" name="Frame103"/>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salaries and vacation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11,126</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and property taxes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6,341</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5,559</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 taxes payable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3,597</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Loyalty rewards program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settlements and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4,779</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accrued expenses and current liabilities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49,508</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45,653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729" w:name="Tc_APnEmWp3RkSEH4qpBVVHSA_4_5"/>
      <w:bookmarkStart w:id="730" w:name="Tc_xi0ZggMr6USSR50GCHZZcg_4_2"/>
      <w:bookmarkStart w:id="731" w:name="Tc_pl7dTLPFf0C9R1Ytmid0WA_4_0"/>
      <w:bookmarkStart w:id="732" w:name="Tc_ekfwwWCk8kOyKorgAVwMUg_3_0"/>
      <w:bookmarkStart w:id="733" w:name="Tc_c3D-MXek0ESBab9_Spz4ag_2_5"/>
      <w:bookmarkStart w:id="734" w:name="Tc_go8wSIIepkuc4olKPU9xlA_2_2"/>
      <w:bookmarkStart w:id="735" w:name="Tc_4QSa6Jy3OkKp7MCAfnwYdg_2_0"/>
      <w:bookmarkStart w:id="736" w:name="Tc_r7zl3Uk7NkarZO9_S5oPHg_1_5"/>
      <w:bookmarkStart w:id="737" w:name="Tc_RmIgsLK4MUqHLrfduXDC2g_1_2"/>
      <w:bookmarkStart w:id="738" w:name="_2b00bec7_54c7_42d5_b9ba_b1bf68957360"/>
      <w:bookmarkEnd w:id="729"/>
      <w:bookmarkEnd w:id="730"/>
      <w:bookmarkEnd w:id="731"/>
      <w:bookmarkEnd w:id="732"/>
      <w:bookmarkEnd w:id="733"/>
      <w:bookmarkEnd w:id="734"/>
      <w:bookmarkEnd w:id="735"/>
      <w:bookmarkEnd w:id="736"/>
      <w:bookmarkEnd w:id="737"/>
      <w:bookmarkEnd w:id="738"/>
      <w:r>
        <w:rPr>
          <w:rFonts w:ascii="Times New Roman;Times;serif" w:hAnsi="Times New Roman;Times;serif"/>
          <w:b/>
          <w:sz w:val="20"/>
        </w:rPr>
        <w:t>7. OTHER NONCURRENT LIABILITIES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Other noncurrent liabilities consist of the following (in thousands):</w:t>
      </w:r>
    </w:p>
    <w:p>
      <w:pPr>
        <w:pStyle w:val="TextBody"/>
        <w:bidi w:val="0"/>
        <w:spacing w:before="0" w:after="240"/>
        <w:ind w:left="0" w:right="0" w:hanging="0"/>
        <w:jc w:val="both"/>
        <w:rPr/>
      </w:pPr>
      <w:r>
        <w:rPr/>
        <w:t>​</w:t>
      </w:r>
    </w:p>
    <w:tbl>
      <w:tblPr>
        <w:tblW w:w="6709" w:type="dxa"/>
        <w:jc w:val="left"/>
        <w:tblInd w:w="0" w:type="dxa"/>
        <w:tblLayout w:type="fixed"/>
        <w:tblCellMar>
          <w:top w:w="0" w:type="dxa"/>
          <w:left w:w="0" w:type="dxa"/>
          <w:bottom w:w="0" w:type="dxa"/>
          <w:right w:w="0" w:type="dxa"/>
        </w:tblCellMar>
      </w:tblPr>
      <w:tblGrid>
        <w:gridCol w:w="3406"/>
        <w:gridCol w:w="346"/>
        <w:gridCol w:w="287"/>
        <w:gridCol w:w="779"/>
        <w:gridCol w:w="346"/>
        <w:gridCol w:w="363"/>
        <w:gridCol w:w="1182"/>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62810" cy="175260"/>
                      <wp:effectExtent l="0" t="0" r="0" b="0"/>
                      <wp:wrapNone/>
                      <wp:docPr id="104" name="Frame104"/>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2245" cy="175260"/>
                      <wp:effectExtent l="0" t="0" r="0" b="0"/>
                      <wp:wrapNone/>
                      <wp:docPr id="106" name="Frame10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4665" cy="175260"/>
                      <wp:effectExtent l="0" t="0" r="0" b="0"/>
                      <wp:wrapNone/>
                      <wp:docPr id="107" name="Frame107"/>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30505" cy="175260"/>
                      <wp:effectExtent l="0" t="0" r="0" b="0"/>
                      <wp:wrapNone/>
                      <wp:docPr id="109" name="Frame10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50570" cy="175260"/>
                      <wp:effectExtent l="0" t="0" r="0" b="0"/>
                      <wp:wrapNone/>
                      <wp:docPr id="110" name="Frame11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5,633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60" w:after="0"/>
        <w:ind w:left="0" w:right="0" w:hanging="0"/>
        <w:jc w:val="both"/>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12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Legal Matters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is involved in various claims such as wage and hour and other legal actions that arise in the ordinary course of business. The outcomes of these actions are not predictable but the Company does not believe that the ultimate resolution of these actions will have a material adverse effect on its financial position, results of operations, liquidity, or capital resources. A significant increase in the number of claims, or an increase in amounts owing under successful claims, could materially and adversely affect the Company’s business, consolidated financial condition, results of operations, and cash flows.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Purchase Commitments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has long-term beverage supply agreements with certain major beverage vendors. Pursuant to the terms of these arrangements, volume and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2032.</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April 1, 2026, the Company’s total estimated commitment to purchase chicken was $16.6 million.</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Contingent Lease Obligations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As a result of assigning the Company’s interest in obligations under real estate leases in connection with the sale of company-operated restaurants to some of the Company’s franchisees, the Company is contingently liable on these lease agreements. These leases have various terms, the latest of which expires in 2038. As of April 1, 2026, the potential amount of undiscounted payments the Company could be required to make in the event of non-payment by the primary lessees was $10.4 million. The present value of these potential payments discounted at the Company’s estimated pre-tax cost of debt at April 1, 2026 was $8.1 million. The Company’s franchisees are primarily liable on the leases. The Company has cross-default and indemnification provisions with these franchisees that would put them in default of their franchise agreements and require payment to the Company in the event of non-payment under the leases. The Company believes that these cross-default and indemnification provisions reduce the risk that payments will be required to be made by the Company under these leases. </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Employment Agreements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As of April 1, 2026, the Company had employment agreements with three of the officers of the Company. These agreements provide for minimum salary levels, possible annual adjustments for cost-of-living changes, and incentive bonuses that are payable under certain business conditions.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Indemnification Agreements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739" w:name="Tc_HmPcE1dT_U6sgz4bpDvypw_6_0"/>
      <w:bookmarkStart w:id="740" w:name="Tc_312qZ1ZhK0SAwNHi3DzSFw_5_0"/>
      <w:bookmarkStart w:id="741" w:name="Tc_7MRJ5B8BY0Kdkv63suGtLA_4_0"/>
      <w:bookmarkStart w:id="742" w:name="Tc_tj0OhAqs1Uu9FKH72TWPMg_3_4"/>
      <w:bookmarkStart w:id="743" w:name="Tc_vBrpPvqSJE2-v68EcvaeyQ_3_2"/>
      <w:bookmarkStart w:id="744" w:name="Tc_PMgmJiKv9U6SAfBBoAefsg_2_2"/>
      <w:bookmarkStart w:id="745" w:name="_48799ab0_99fe_4b71_b1ad_304413bd705f"/>
      <w:bookmarkStart w:id="746" w:name="Tc_aab4Pe2GKEi2sSbYQ1YoLg_11_0"/>
      <w:bookmarkStart w:id="747" w:name="Tc_EZ9g8zRIdUi9iWMqrxFB3Q_10_5"/>
      <w:bookmarkStart w:id="748" w:name="Tc_vjuprzubAEKBkQSRKd-2zQ_10_2"/>
      <w:bookmarkStart w:id="749" w:name="Tc_YI4zZk_8LEKV7zGse7uZGQ_10_0"/>
      <w:bookmarkStart w:id="750" w:name="Tc_lZAtHKE-LEu5fIDvGmv7aw_9_5"/>
      <w:bookmarkStart w:id="751" w:name="Tc_bbYM8kYlVECueHpmiN4XnQ_9_2"/>
      <w:bookmarkStart w:id="752" w:name="Tc_RCBHsaKrN0uX3U_ONycKdg_9_0"/>
      <w:bookmarkStart w:id="753" w:name="Tc_58Ix0VjfeUSLr3ava5ZksA_8_0"/>
      <w:bookmarkStart w:id="754" w:name="Tc_9qgWr_-zU0CWpjUXA-CpLw_7_0"/>
      <w:bookmarkStart w:id="755" w:name="Tc_GkLCqM2t0k-Z-OdwYcGPIA_6_0"/>
      <w:bookmarkStart w:id="756" w:name="Tc_2MPTAAyig0atqMaB1FPdGw_5_5"/>
      <w:bookmarkStart w:id="757" w:name="Tc_KQMsiLLookGmYlAyLLIdRg_5_2"/>
      <w:bookmarkStart w:id="758" w:name="Tc_hehA_pLoLUKRkohAXkVlBg_5_0"/>
      <w:bookmarkStart w:id="759" w:name="Tc_ocZ9Gkl4VkSLj3yS44xHMA_4_0"/>
      <w:bookmarkStart w:id="760" w:name="Tc_bGAqgKABqkm3iIoWx8kS2A_3_5"/>
      <w:bookmarkStart w:id="761" w:name="Tc_nba-U63L6UCPIZH_1cxwyQ_3_2"/>
      <w:bookmarkStart w:id="762" w:name="Tc_eTGbwNQZLEWaeQi6SZXXKg_2_2"/>
      <w:bookmarkStart w:id="763" w:name="_7525101f_5aec_478a_934a_947f2a559775"/>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r>
        <w:rPr>
          <w:rFonts w:ascii="Times New Roman;Times;serif" w:hAnsi="Times New Roman;Times;serif"/>
          <w:b/>
          <w:sz w:val="20"/>
        </w:rPr>
        <w:t>9. EARNINGS PER SHARE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Basic earnings per share (“EPS”) is calculated using the weighted-average number of shares of common stock outstanding during the thirteen weeks ended April 1, 2026 and March 26, 2025. Diluted EPS is calculated using the weighted-average number of shares of common stock outstanding and potentially dilutive during the period, using the treasury stock method.</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Below are basic and diluted EPS data for the periods indicated (in thousands except for share and per share data):</w:t>
      </w:r>
    </w:p>
    <w:p>
      <w:pPr>
        <w:pStyle w:val="TextBody"/>
        <w:bidi w:val="0"/>
        <w:spacing w:before="0" w:after="240"/>
        <w:ind w:left="0" w:right="0" w:hanging="0"/>
        <w:jc w:val="left"/>
        <w:rPr/>
      </w:pPr>
      <w:r>
        <w:rPr/>
        <w:t>​</w:t>
      </w:r>
    </w:p>
    <w:tbl>
      <w:tblPr>
        <w:tblW w:w="8424" w:type="dxa"/>
        <w:jc w:val="left"/>
        <w:tblInd w:w="0" w:type="dxa"/>
        <w:tblLayout w:type="fixed"/>
        <w:tblCellMar>
          <w:top w:w="0" w:type="dxa"/>
          <w:left w:w="0" w:type="dxa"/>
          <w:bottom w:w="0" w:type="dxa"/>
          <w:right w:w="0" w:type="dxa"/>
        </w:tblCellMar>
      </w:tblPr>
      <w:tblGrid>
        <w:gridCol w:w="5416"/>
        <w:gridCol w:w="109"/>
        <w:gridCol w:w="211"/>
        <w:gridCol w:w="1036"/>
        <w:gridCol w:w="346"/>
        <w:gridCol w:w="213"/>
        <w:gridCol w:w="1093"/>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439160" cy="175260"/>
                      <wp:effectExtent l="0" t="0" r="0" b="0"/>
                      <wp:wrapNone/>
                      <wp:docPr id="111" name="Frame111"/>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57860" cy="175260"/>
                      <wp:effectExtent l="0" t="0" r="0" b="0"/>
                      <wp:wrapNone/>
                      <wp:docPr id="114" name="Frame1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5255" cy="175260"/>
                      <wp:effectExtent l="0" t="0" r="0" b="0"/>
                      <wp:wrapNone/>
                      <wp:docPr id="116" name="Frame11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4055" cy="175260"/>
                      <wp:effectExtent l="0" t="0" r="0" b="0"/>
                      <wp:wrapNone/>
                      <wp:docPr id="117" name="Frame117"/>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left"/>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54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pPr>
            <w:r>
              <w:rPr/>
              <w:t>  ​</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8,157</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5,481</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1093" w:type="dxa"/>
            <w:tcBorders/>
            <w:shd w:fill="CCEEFF" w:val="clear"/>
            <w:vAlign w:val="center"/>
          </w:tcPr>
          <w:p>
            <w:pPr>
              <w:pStyle w:val="TableContents"/>
              <w:bidi w:val="0"/>
              <w:spacing w:before="0" w:after="1"/>
              <w:ind w:left="0" w:right="0" w:hanging="0"/>
              <w:jc w:val="right"/>
              <w:rPr/>
            </w:pPr>
            <w:r>
              <w:rPr/>
              <w:t>  ​</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29,407,496</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10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29,085,836</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29,691,297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29,337,906</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Anti-dilutive securities not considered in diluted EPS calculation</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1,084,767</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806,534</w:t>
            </w:r>
          </w:p>
        </w:tc>
      </w:tr>
    </w:tbl>
    <w:p>
      <w:pPr>
        <w:pStyle w:val="TextBody"/>
        <w:bidi w:val="0"/>
        <w:spacing w:before="0" w:after="240"/>
        <w:ind w:left="0" w:right="0" w:hanging="0"/>
        <w:jc w:val="both"/>
        <w:rPr/>
      </w:pPr>
      <w:r>
        <w:rPr/>
        <w:t>​</w:t>
      </w:r>
    </w:p>
    <w:p>
      <w:pPr>
        <w:pStyle w:val="TextBody"/>
        <w:bidi w:val="0"/>
        <w:spacing w:before="40" w:after="0"/>
        <w:ind w:left="0" w:right="0" w:firstLine="490"/>
        <w:jc w:val="both"/>
        <w:rPr>
          <w:rFonts w:ascii="Times New Roman;Times;serif" w:hAnsi="Times New Roman;Times;serif"/>
          <w:sz w:val="20"/>
        </w:rPr>
      </w:pPr>
      <w:r>
        <w:rPr>
          <w:rFonts w:ascii="Times New Roman;Times;serif" w:hAnsi="Times New Roman;Times;serif"/>
          <w:sz w:val="20"/>
        </w:rPr>
        <w:t>Below is a reconciliation of basic and diluted share counts:</w:t>
      </w:r>
    </w:p>
    <w:p>
      <w:pPr>
        <w:pStyle w:val="TextBody"/>
        <w:bidi w:val="0"/>
        <w:spacing w:before="0" w:after="240"/>
        <w:ind w:left="0" w:right="0" w:hanging="0"/>
        <w:jc w:val="both"/>
        <w:rPr/>
      </w:pPr>
      <w:r>
        <w:rPr/>
        <w:t>​</w:t>
      </w:r>
    </w:p>
    <w:tbl>
      <w:tblPr>
        <w:tblW w:w="7185" w:type="dxa"/>
        <w:jc w:val="left"/>
        <w:tblInd w:w="0" w:type="dxa"/>
        <w:tblLayout w:type="fixed"/>
        <w:tblCellMar>
          <w:top w:w="0" w:type="dxa"/>
          <w:left w:w="0" w:type="dxa"/>
          <w:bottom w:w="0" w:type="dxa"/>
          <w:right w:w="0" w:type="dxa"/>
        </w:tblCellMar>
      </w:tblPr>
      <w:tblGrid>
        <w:gridCol w:w="4321"/>
        <w:gridCol w:w="346"/>
        <w:gridCol w:w="1066"/>
        <w:gridCol w:w="146"/>
        <w:gridCol w:w="13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743835" cy="175260"/>
                      <wp:effectExtent l="0" t="0" r="0" b="0"/>
                      <wp:wrapNone/>
                      <wp:docPr id="118" name="Frame118"/>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76910" cy="175260"/>
                      <wp:effectExtent l="0" t="0" r="0" b="0"/>
                      <wp:wrapNone/>
                      <wp:docPr id="120" name="Frame12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2710" cy="175260"/>
                      <wp:effectExtent l="0" t="0" r="0" b="0"/>
                      <wp:wrapNone/>
                      <wp:docPr id="121" name="Frame1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29310" cy="175260"/>
                      <wp:effectExtent l="0" t="0" r="0" b="0"/>
                      <wp:wrapNone/>
                      <wp:docPr id="122" name="Frame12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46"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29,407,496</w:t>
            </w:r>
          </w:p>
        </w:tc>
        <w:tc>
          <w:tcPr>
            <w:tcW w:w="1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29,085,836</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 and restricted shares</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283,801</w:t>
            </w:r>
          </w:p>
        </w:tc>
        <w:tc>
          <w:tcPr>
            <w:tcW w:w="14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252,070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29,691,297</w:t>
            </w:r>
          </w:p>
        </w:tc>
        <w:tc>
          <w:tcPr>
            <w:tcW w:w="146" w:type="dxa"/>
            <w:tcBorders/>
            <w:shd w:fill="CCEEFF" w:val="clear"/>
            <w:vAlign w:val="center"/>
          </w:tcPr>
          <w:p>
            <w:pPr>
              <w:pStyle w:val="TableContents"/>
              <w:bidi w:val="0"/>
              <w:spacing w:before="0" w:after="0"/>
              <w:ind w:left="0" w:right="0" w:hanging="0"/>
              <w:jc w:val="left"/>
              <w:rPr/>
            </w:pPr>
            <w:r>
              <w:rPr/>
              <w:t> </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29,337,906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360" w:after="0"/>
        <w:ind w:left="0" w:right="0" w:hanging="0"/>
        <w:jc w:val="both"/>
        <w:rPr>
          <w:rFonts w:ascii="Times New Roman;Times;serif" w:hAnsi="Times New Roman;Times;serif"/>
          <w:b/>
          <w:sz w:val="20"/>
        </w:rPr>
      </w:pPr>
      <w:bookmarkStart w:id="764" w:name="Tc_b1chUtp_4UyB4D9FEqKcZQ_5_6"/>
      <w:bookmarkStart w:id="765" w:name="Tc_v7XLqAtnGEGSJAMzCjYIYg_5_3"/>
      <w:bookmarkStart w:id="766" w:name="Tc_rEBJ7oRKz0mKRuce3m_rKA_5_0"/>
      <w:bookmarkStart w:id="767" w:name="Tc_dHmHx7f3z0yRSkkpjGFzrQ_4_6"/>
      <w:bookmarkStart w:id="768" w:name="Tc_y9Ke5Zq48kSTp0ZyOJQ6SQ_4_3"/>
      <w:bookmarkStart w:id="769" w:name="Tc_fS31qHtGlUauR-L_NZGnQw_4_0"/>
      <w:bookmarkStart w:id="770" w:name="Tc_ozDJFN5ymUio_iiHZsyLhw_3_6"/>
      <w:bookmarkStart w:id="771" w:name="Tc_03oqfU-PXEarX3zhG6rLoA_3_3"/>
      <w:bookmarkStart w:id="772" w:name="Tc_zfhPZwwIv0mn96qMhOY7OA_3_0"/>
      <w:bookmarkStart w:id="773" w:name="Tc_Sb6NjulFZka9lxeHfPjBjg_2_5"/>
      <w:bookmarkStart w:id="774" w:name="Tc_JAvWxu29d0WjcfoU5mQ37Q_2_2"/>
      <w:bookmarkStart w:id="775" w:name="Tc_1-lbdIZoMk-1TG7hSdCAjQ_1_2"/>
      <w:bookmarkEnd w:id="764"/>
      <w:bookmarkEnd w:id="765"/>
      <w:bookmarkEnd w:id="766"/>
      <w:bookmarkEnd w:id="767"/>
      <w:bookmarkEnd w:id="768"/>
      <w:bookmarkEnd w:id="769"/>
      <w:bookmarkEnd w:id="770"/>
      <w:bookmarkEnd w:id="771"/>
      <w:bookmarkEnd w:id="772"/>
      <w:bookmarkEnd w:id="773"/>
      <w:bookmarkEnd w:id="774"/>
      <w:bookmarkEnd w:id="775"/>
      <w:r>
        <w:rPr>
          <w:rFonts w:ascii="Times New Roman;Times;serif" w:hAnsi="Times New Roman;Times;serif"/>
          <w:b/>
          <w:sz w:val="20"/>
        </w:rPr>
        <w:t>10. REVENUE FROM CONTRACTS WITH CUSTOMERS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has two revenue streams, company-operated restaurant revenue and franchise-related revenue.</w:t>
      </w:r>
    </w:p>
    <w:p>
      <w:pPr>
        <w:pStyle w:val="TextBody"/>
        <w:bidi w:val="0"/>
        <w:spacing w:before="120" w:after="0"/>
        <w:ind w:left="245" w:right="0" w:hanging="0"/>
        <w:jc w:val="both"/>
        <w:rPr>
          <w:rFonts w:ascii="Times New Roman;Times;serif" w:hAnsi="Times New Roman;Times;serif"/>
          <w:i/>
          <w:sz w:val="20"/>
        </w:rPr>
      </w:pPr>
      <w:r>
        <w:rPr>
          <w:rFonts w:ascii="Times New Roman;Times;serif" w:hAnsi="Times New Roman;Times;serif"/>
          <w:i/>
          <w:sz w:val="20"/>
        </w:rPr>
        <w:t>Company-operated restaurant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Revenue from company-operated restaurants are recognized as food and beverage products are delivered to customers and payment is tendered at the time of sale. The Company presents revenue, net of sales-related taxes and promotional allowances.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following table presents the Company-operated restaurant revenue disaggregated by geographic market:</w:t>
      </w:r>
    </w:p>
    <w:p>
      <w:pPr>
        <w:pStyle w:val="TextBody"/>
        <w:bidi w:val="0"/>
        <w:spacing w:before="0" w:after="0"/>
        <w:ind w:left="0" w:right="0" w:hanging="0"/>
        <w:jc w:val="left"/>
        <w:rPr/>
      </w:pPr>
      <w:r>
        <w:rPr/>
        <w:t>​</w:t>
      </w:r>
    </w:p>
    <w:tbl>
      <w:tblPr>
        <w:tblW w:w="5558" w:type="dxa"/>
        <w:jc w:val="left"/>
        <w:tblInd w:w="0" w:type="dxa"/>
        <w:tblLayout w:type="fixed"/>
        <w:tblCellMar>
          <w:top w:w="0" w:type="dxa"/>
          <w:left w:w="0" w:type="dxa"/>
          <w:bottom w:w="0" w:type="dxa"/>
          <w:right w:w="0" w:type="dxa"/>
        </w:tblCellMar>
      </w:tblPr>
      <w:tblGrid>
        <w:gridCol w:w="2731"/>
        <w:gridCol w:w="109"/>
        <w:gridCol w:w="632"/>
        <w:gridCol w:w="434"/>
        <w:gridCol w:w="346"/>
        <w:gridCol w:w="740"/>
        <w:gridCol w:w="56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34185" cy="175260"/>
                      <wp:effectExtent l="0" t="0" r="0" b="0"/>
                      <wp:wrapNone/>
                      <wp:docPr id="123" name="Frame123"/>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01320" cy="175260"/>
                      <wp:effectExtent l="0" t="0" r="0" b="0"/>
                      <wp:wrapNone/>
                      <wp:docPr id="125" name="Frame125"/>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75590" cy="175260"/>
                      <wp:effectExtent l="0" t="0" r="0" b="0"/>
                      <wp:wrapNone/>
                      <wp:docPr id="126" name="Frame126"/>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69900" cy="175260"/>
                      <wp:effectExtent l="0" t="0" r="0" b="0"/>
                      <wp:wrapNone/>
                      <wp:docPr id="128" name="Frame128"/>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59410" cy="175260"/>
                      <wp:effectExtent l="0" t="0" r="0" b="0"/>
                      <wp:wrapNone/>
                      <wp:docPr id="129" name="Frame129"/>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Greater Los Angeles area market</w:t>
            </w:r>
          </w:p>
        </w:tc>
        <w:tc>
          <w:tcPr>
            <w:tcW w:w="109"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c>
          <w:tcPr>
            <w:tcW w:w="4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w:t>
            </w:r>
          </w:p>
        </w:tc>
        <w:tc>
          <w:tcPr>
            <w:tcW w:w="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markets</w:t>
            </w:r>
          </w:p>
        </w:tc>
        <w:tc>
          <w:tcPr>
            <w:tcW w:w="109" w:type="dxa"/>
            <w:tcBorders/>
            <w:vAlign w:val="center"/>
          </w:tcPr>
          <w:p>
            <w:pPr>
              <w:pStyle w:val="TableContents"/>
              <w:bidi w:val="0"/>
              <w:spacing w:before="0" w:after="1"/>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43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6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776" w:name="Tc_AIrGUhrgpUG1JsiA30WBDQ_3_5"/>
      <w:bookmarkStart w:id="777" w:name="Tc_Bw0ZipZzAEu2j-age82fbQ_3_2"/>
      <w:bookmarkStart w:id="778" w:name="Tc_9GUhRRJPkkyy_CRfH165Ow_3_0"/>
      <w:bookmarkStart w:id="779" w:name="Tc_RclL2leXL0CK28osKZkRbw_2_5"/>
      <w:bookmarkStart w:id="780" w:name="Tc_gMGsDrpibEucsrhJt4ssSg_2_2"/>
      <w:bookmarkStart w:id="781" w:name="Tc_VC-EBVzVv0W26SZ2xMaUPQ_1_2"/>
      <w:bookmarkStart w:id="782" w:name="_fb58c327_4eb6_4b35_a003_ba12f775000f"/>
      <w:bookmarkStart w:id="783" w:name="Tc_vXioUrm8rU-th_60dafR4A_2_5"/>
      <w:bookmarkStart w:id="784" w:name="Tc_fZW0i57hP0G2N8AMZNwfAQ_2_2"/>
      <w:bookmarkStart w:id="785" w:name="Tc_oBfRPVEb9k-T9YzFSbKl7A_2_0"/>
      <w:bookmarkStart w:id="786" w:name="Tc_-WKlMooOGkqExRrK9oZF5w_1_5"/>
      <w:bookmarkStart w:id="787" w:name="Tc_fazAKJ6TlEqT32AFn89dBA_1_2"/>
      <w:bookmarkStart w:id="788" w:name="_2e7c7c66_2f13_4c3c_8284_674ee2b7f4ed"/>
      <w:bookmarkStart w:id="789" w:name="Tc_X72ed-kHUk6jDVx-EjrPbg_5_5"/>
      <w:bookmarkStart w:id="790" w:name="Tc_hDdSnSGrYUymskJwh6qFbA_5_2"/>
      <w:bookmarkStart w:id="791" w:name="Tc_dcMxQXCjREOhpcf9H2y5Pw_5_0"/>
      <w:bookmarkStart w:id="792" w:name="Tc_gJiaqMOb60azZwv9yDkLcA_4_0"/>
      <w:bookmarkStart w:id="793" w:name="Tc_mSUVAjcbB02OI44gYIsQtQ_3_0"/>
      <w:bookmarkStart w:id="794" w:name="Tc_HIlydAbP8UaiZMZnkB4DHw_2_5"/>
      <w:bookmarkStart w:id="795" w:name="Tc_3CxcX6-IhECIYtwzW1q7jA_2_2"/>
      <w:bookmarkStart w:id="796" w:name="Tc_6rFrJY4Zk0G54a4K3a5xcg_2_0"/>
      <w:bookmarkStart w:id="797" w:name="Tc__A-zdUXev0WAlKHBqNC0rA_1_5"/>
      <w:bookmarkStart w:id="798" w:name="Tc_fTiFylw9hk-k6DN9W4kJPQ_1_2"/>
      <w:bookmarkStart w:id="799" w:name="_b043d8f8_031b_414e_9697_41b20a0f32a8"/>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r>
        <w:rPr>
          <w:rFonts w:ascii="Times New Roman;Times;serif" w:hAnsi="Times New Roman;Times;serif"/>
          <w:sz w:val="20"/>
        </w:rPr>
        <w:t>The Company offers a loyalty rewards program, which awards a customer points for dollars spent. Customers earn points for each dollar spent and points can be redeemed for multiple redemption options. Points earned prior to January 26, 2026 expire 365 days after a customer completes an eligible transaction to earn them and points earned after January 26, 2026 expire 6 months after a customer completes an eligible transaction to earn them.  When a customer is part of the rewards program, the obligation to provide future discounts related to points earned is considered a separate performance obligation, to which a portion of the transaction price is allocated and recorded as deferred revenue on the balance sheet.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then allocated to loyalty points, if necessary, on a pro-rata basis, based on stand-alone selling price, as determined by menu pricing and loyalty points terms. As of April 1, 2026 and December 31, 2025, the revenue allocated to loyalty points that have not been redeemed was $1.2 million and $1.1 million, respectively, which is reflected in the Company’s accompanying condensed consolidated balance sheets within other accrued expenses and current liabilities.</w:t>
      </w:r>
    </w:p>
    <w:p>
      <w:pPr>
        <w:pStyle w:val="TextBody"/>
        <w:bidi w:val="0"/>
        <w:spacing w:before="240" w:after="0"/>
        <w:ind w:left="0" w:right="0" w:firstLine="490"/>
        <w:jc w:val="both"/>
        <w:rPr>
          <w:rFonts w:ascii="Times New Roman;Times;serif" w:hAnsi="Times New Roman;Times;serif"/>
          <w:i w:val="false"/>
          <w:caps w:val="false"/>
          <w:smallCaps w:val="false"/>
          <w:sz w:val="20"/>
          <w:shd w:fill="FFFFFF" w:val="clear"/>
        </w:rPr>
      </w:pPr>
      <w:r>
        <w:rPr>
          <w:rFonts w:ascii="Times New Roman;Times;serif" w:hAnsi="Times New Roman;Times;serif"/>
          <w:i w:val="false"/>
          <w:caps w:val="false"/>
          <w:smallCaps w:val="false"/>
          <w:sz w:val="20"/>
          <w:shd w:fill="FFFFFF" w:val="clear"/>
        </w:rPr>
        <w:t>Changes in the loyalty rewards program liability included in deferred revenue within other accrued expenses and current liabilities on the condensed consolidated balance sheets were as follows (in thousands):</w:t>
      </w:r>
    </w:p>
    <w:p>
      <w:pPr>
        <w:pStyle w:val="TextBody"/>
        <w:bidi w:val="0"/>
        <w:spacing w:before="0" w:after="240"/>
        <w:ind w:left="0" w:right="0" w:hanging="0"/>
        <w:jc w:val="both"/>
        <w:rPr/>
      </w:pPr>
      <w:r>
        <w:rPr/>
        <w:t>​</w:t>
      </w:r>
    </w:p>
    <w:tbl>
      <w:tblPr>
        <w:tblW w:w="7039" w:type="dxa"/>
        <w:jc w:val="left"/>
        <w:tblInd w:w="0" w:type="dxa"/>
        <w:tblLayout w:type="fixed"/>
        <w:tblCellMar>
          <w:top w:w="0" w:type="dxa"/>
          <w:left w:w="0" w:type="dxa"/>
          <w:bottom w:w="0" w:type="dxa"/>
          <w:right w:w="0" w:type="dxa"/>
        </w:tblCellMar>
      </w:tblPr>
      <w:tblGrid>
        <w:gridCol w:w="3736"/>
        <w:gridCol w:w="346"/>
        <w:gridCol w:w="287"/>
        <w:gridCol w:w="779"/>
        <w:gridCol w:w="346"/>
        <w:gridCol w:w="344"/>
        <w:gridCol w:w="120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372360" cy="175260"/>
                      <wp:effectExtent l="0" t="0" r="0" b="0"/>
                      <wp:wrapNone/>
                      <wp:docPr id="130" name="Frame13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2245" cy="175260"/>
                      <wp:effectExtent l="0" t="0" r="0" b="0"/>
                      <wp:wrapNone/>
                      <wp:docPr id="132" name="Frame132"/>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4665" cy="175260"/>
                      <wp:effectExtent l="0" t="0" r="0" b="0"/>
                      <wp:wrapNone/>
                      <wp:docPr id="133" name="Frame133"/>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8440" cy="175260"/>
                      <wp:effectExtent l="0" t="0" r="0" b="0"/>
                      <wp:wrapNone/>
                      <wp:docPr id="135" name="Frame13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62635" cy="175260"/>
                      <wp:effectExtent l="0" t="0" r="0" b="0"/>
                      <wp:wrapNone/>
                      <wp:docPr id="136" name="Frame13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deferred</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ending balance</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1,181</w:t>
            </w:r>
          </w:p>
        </w:tc>
        <w:tc>
          <w:tcPr>
            <w:tcW w:w="346" w:type="dxa"/>
            <w:tcBorders/>
            <w:vAlign w:val="center"/>
          </w:tcPr>
          <w:p>
            <w:pPr>
              <w:pStyle w:val="TableContents"/>
              <w:bidi w:val="0"/>
              <w:spacing w:before="0" w:after="1"/>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1,106</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4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The Company expects all loyalty points revenue related to performance obligations that were unsatisfied as of April 1, 2026 to be recognized over a period exceeding six months but less than one year.</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within other accrued expenses and current liabilitites on the accompanying condensed consolidated balance sheets.</w:t>
      </w:r>
    </w:p>
    <w:p>
      <w:pPr>
        <w:pStyle w:val="TextBody"/>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gift card liability included in other accrued expenses and current liabilities on the condensed consolidated balance sheets was as follows (in thousands):</w:t>
      </w:r>
    </w:p>
    <w:p>
      <w:pPr>
        <w:pStyle w:val="TextBody"/>
        <w:shd w:fill="FFFFFF" w:val="clear"/>
        <w:bidi w:val="0"/>
        <w:spacing w:before="0" w:after="0"/>
        <w:ind w:left="0" w:right="0" w:hanging="0"/>
        <w:jc w:val="both"/>
        <w:rPr/>
      </w:pPr>
      <w:r>
        <w:rPr/>
        <w:t>​</w:t>
      </w:r>
    </w:p>
    <w:tbl>
      <w:tblPr>
        <w:tblW w:w="4360" w:type="dxa"/>
        <w:jc w:val="left"/>
        <w:tblInd w:w="0" w:type="dxa"/>
        <w:tblLayout w:type="fixed"/>
        <w:tblCellMar>
          <w:top w:w="0" w:type="dxa"/>
          <w:left w:w="0" w:type="dxa"/>
          <w:bottom w:w="0" w:type="dxa"/>
          <w:right w:w="0" w:type="dxa"/>
        </w:tblCellMar>
      </w:tblPr>
      <w:tblGrid>
        <w:gridCol w:w="1531"/>
        <w:gridCol w:w="109"/>
        <w:gridCol w:w="287"/>
        <w:gridCol w:w="779"/>
        <w:gridCol w:w="109"/>
        <w:gridCol w:w="363"/>
        <w:gridCol w:w="1182"/>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972185" cy="175260"/>
                      <wp:effectExtent l="0" t="0" r="0" b="0"/>
                      <wp:wrapNone/>
                      <wp:docPr id="137" name="Frame137"/>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2245" cy="175260"/>
                      <wp:effectExtent l="0" t="0" r="0" b="0"/>
                      <wp:wrapNone/>
                      <wp:docPr id="139" name="Frame139"/>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4665" cy="175260"/>
                      <wp:effectExtent l="0" t="0" r="0" b="0"/>
                      <wp:wrapNone/>
                      <wp:docPr id="140" name="Frame140"/>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0505" cy="175260"/>
                      <wp:effectExtent l="0" t="0" r="0" b="0"/>
                      <wp:wrapNone/>
                      <wp:docPr id="142" name="Frame14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50570" cy="175260"/>
                      <wp:effectExtent l="0" t="0" r="0" b="0"/>
                      <wp:wrapNone/>
                      <wp:docPr id="143" name="Frame143"/>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5,559</w:t>
            </w:r>
          </w:p>
        </w:tc>
      </w:tr>
    </w:tbl>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recognized from the redemption of gift cards that was included in other accrued expenses and current liabilities at the beginning of the year was as follows (in thousands):</w:t>
      </w:r>
    </w:p>
    <w:p>
      <w:pPr>
        <w:pStyle w:val="TextBody"/>
        <w:shd w:fill="FFFFFF" w:val="clear"/>
        <w:bidi w:val="0"/>
        <w:spacing w:before="0" w:after="0"/>
        <w:ind w:left="0" w:right="0" w:hanging="0"/>
        <w:jc w:val="both"/>
        <w:rPr/>
      </w:pPr>
      <w:r>
        <w:rPr/>
        <w:t>​</w:t>
      </w:r>
    </w:p>
    <w:tbl>
      <w:tblPr>
        <w:tblW w:w="9434" w:type="dxa"/>
        <w:jc w:val="left"/>
        <w:tblInd w:w="0" w:type="dxa"/>
        <w:tblLayout w:type="fixed"/>
        <w:tblCellMar>
          <w:top w:w="0" w:type="dxa"/>
          <w:left w:w="0" w:type="dxa"/>
          <w:bottom w:w="0" w:type="dxa"/>
          <w:right w:w="0" w:type="dxa"/>
        </w:tblCellMar>
      </w:tblPr>
      <w:tblGrid>
        <w:gridCol w:w="6586"/>
        <w:gridCol w:w="346"/>
        <w:gridCol w:w="355"/>
        <w:gridCol w:w="711"/>
        <w:gridCol w:w="130"/>
        <w:gridCol w:w="373"/>
        <w:gridCol w:w="933"/>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182110" cy="175260"/>
                      <wp:effectExtent l="0" t="0" r="0" b="0"/>
                      <wp:wrapNone/>
                      <wp:docPr id="144" name="Frame144"/>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5425" cy="175260"/>
                      <wp:effectExtent l="0" t="0" r="0" b="0"/>
                      <wp:wrapNone/>
                      <wp:docPr id="146" name="Frame14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51485" cy="175260"/>
                      <wp:effectExtent l="0" t="0" r="0" b="0"/>
                      <wp:wrapNone/>
                      <wp:docPr id="147" name="Frame147"/>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2550" cy="175260"/>
                      <wp:effectExtent l="0" t="0" r="0" b="0"/>
                      <wp:wrapNone/>
                      <wp:docPr id="148" name="Frame148"/>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36855" cy="175260"/>
                      <wp:effectExtent l="0" t="0" r="0" b="0"/>
                      <wp:wrapNone/>
                      <wp:docPr id="149" name="Frame149"/>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92455" cy="175260"/>
                      <wp:effectExtent l="0" t="0" r="0" b="0"/>
                      <wp:wrapNone/>
                      <wp:docPr id="150" name="Frame15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6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30" w:type="dxa"/>
            <w:tcBorders/>
            <w:vAlign w:val="center"/>
          </w:tcPr>
          <w:p>
            <w:pPr>
              <w:pStyle w:val="TableContents"/>
              <w:bidi w:val="0"/>
              <w:spacing w:before="0" w:after="1"/>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from gift card liability balance at the beginning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130" w:type="dxa"/>
            <w:tcBorders/>
            <w:shd w:fill="CCEEFF" w:val="clear"/>
            <w:vAlign w:val="center"/>
          </w:tcPr>
          <w:p>
            <w:pPr>
              <w:pStyle w:val="TableContents"/>
              <w:bidi w:val="0"/>
              <w:spacing w:before="0" w:after="1"/>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375</w:t>
            </w:r>
          </w:p>
        </w:tc>
      </w:tr>
    </w:tbl>
    <w:p>
      <w:pPr>
        <w:pStyle w:val="TextBody"/>
        <w:bidi w:val="0"/>
        <w:spacing w:before="0" w:after="240"/>
        <w:ind w:left="0" w:right="0" w:hanging="0"/>
        <w:jc w:val="both"/>
        <w:rPr/>
      </w:pPr>
      <w:r>
        <w:rPr/>
        <w:t>​</w:t>
      </w:r>
    </w:p>
    <w:p>
      <w:pPr>
        <w:pStyle w:val="TextBody"/>
        <w:bidi w:val="0"/>
        <w:spacing w:before="160" w:after="0"/>
        <w:ind w:left="245" w:right="0" w:hanging="0"/>
        <w:jc w:val="both"/>
        <w:rPr>
          <w:rFonts w:ascii="Times New Roman;Times;serif" w:hAnsi="Times New Roman;Times;serif"/>
          <w:i/>
          <w:sz w:val="20"/>
        </w:rPr>
      </w:pPr>
      <w:r>
        <w:rPr>
          <w:rFonts w:ascii="Times New Roman;Times;serif" w:hAnsi="Times New Roman;Times;serif"/>
          <w:i/>
          <w:sz w:val="20"/>
        </w:rPr>
        <w:t>Franchise revenue and franchise advertising fee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Franchise revenue consists of franchise royalties, initial franchise fees, license fees due from franchisees, IT support services, and rental income for subleases to franchisees. Franchise advertising fee revenue consists of advertising contributions received from franchisees. These revenue streams are made up of the following performance obligations: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license - inclusive of advertising services, development agreements, training, access to restaurant development plans and help desk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00" w:name="Tc_1_nefPdyZEaebSGJFtxLtA_9_2"/>
      <w:bookmarkStart w:id="801" w:name="Tc_xfcl6XGRL0C7JMDNQoiy8A_9_0"/>
      <w:bookmarkStart w:id="802" w:name="Tc_UD2jwJTXsUeKmuliRVFOdQ_8_0"/>
      <w:bookmarkStart w:id="803" w:name="Tc_WndeG7OOQkq-5amCl8bG1g_7_0"/>
      <w:bookmarkStart w:id="804" w:name="Tc_u69qwkzJxkiBlOksYGrAOQ_6_2"/>
      <w:bookmarkStart w:id="805" w:name="Tc_wyzfAlQ-8EW9bO65Ak69Tw_6_0"/>
      <w:bookmarkStart w:id="806" w:name="Tc_AQCsEdpIjkWCFrG5Z1xkKg_4_2"/>
      <w:bookmarkStart w:id="807" w:name="Tc_J61e2289pkazW3QmE3oJNQ_4_0"/>
      <w:bookmarkStart w:id="808" w:name="Tc_8YuaGJD_REu2Q_WbakjQ4w_3_0"/>
      <w:bookmarkStart w:id="809" w:name="Tc_9alkntKL8EOl0mk3gow-JA_2_0"/>
      <w:bookmarkStart w:id="810" w:name="Tc_omCUdIJ6IU-TJdPLoPWt4w_1_2"/>
      <w:bookmarkStart w:id="811" w:name="Tc_NNimnhAUEkK61pty-4Njwg_1_0"/>
      <w:bookmarkStart w:id="812" w:name="_89b6a846_0751_4126_bdb3_f5ad5b4ae1f0"/>
      <w:bookmarkStart w:id="813" w:name="Tc_1_nefPdyZEaebSGJFtxLtA_9_2"/>
      <w:bookmarkStart w:id="814" w:name="Tc_xfcl6XGRL0C7JMDNQoiy8A_9_0"/>
      <w:bookmarkStart w:id="815" w:name="Tc_UD2jwJTXsUeKmuliRVFOdQ_8_0"/>
      <w:bookmarkStart w:id="816" w:name="Tc_WndeG7OOQkq-5amCl8bG1g_7_0"/>
      <w:bookmarkStart w:id="817" w:name="Tc_u69qwkzJxkiBlOksYGrAOQ_6_2"/>
      <w:bookmarkStart w:id="818" w:name="Tc_wyzfAlQ-8EW9bO65Ak69Tw_6_0"/>
      <w:bookmarkStart w:id="819" w:name="Tc_AQCsEdpIjkWCFrG5Z1xkKg_4_2"/>
      <w:bookmarkStart w:id="820" w:name="Tc_J61e2289pkazW3QmE3oJNQ_4_0"/>
      <w:bookmarkStart w:id="821" w:name="Tc_8YuaGJD_REu2Q_WbakjQ4w_3_0"/>
      <w:bookmarkStart w:id="822" w:name="Tc_9alkntKL8EOl0mk3gow-JA_2_0"/>
      <w:bookmarkStart w:id="823" w:name="Tc_omCUdIJ6IU-TJdPLoPWt4w_1_2"/>
      <w:bookmarkStart w:id="824" w:name="Tc_NNimnhAUEkK61pty-4Njwg_1_0"/>
      <w:bookmarkStart w:id="825" w:name="_89b6a846_0751_4126_bdb3_f5ad5b4ae1f0"/>
      <w:bookmarkEnd w:id="813"/>
      <w:bookmarkEnd w:id="814"/>
      <w:bookmarkEnd w:id="815"/>
      <w:bookmarkEnd w:id="816"/>
      <w:bookmarkEnd w:id="817"/>
      <w:bookmarkEnd w:id="818"/>
      <w:bookmarkEnd w:id="819"/>
      <w:bookmarkEnd w:id="820"/>
      <w:bookmarkEnd w:id="821"/>
      <w:bookmarkEnd w:id="822"/>
      <w:bookmarkEnd w:id="823"/>
      <w:bookmarkEnd w:id="824"/>
      <w:bookmarkEnd w:id="825"/>
    </w:p>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renewal option; and</w:t>
            </w:r>
          </w:p>
        </w:tc>
      </w:tr>
    </w:tbl>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services.</w:t>
            </w:r>
          </w:p>
        </w:tc>
      </w:tr>
    </w:tbl>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revenue-based royalty fee and a revenue-based advertising fee. The fixed fee, as determined by the signed development and/or franchise agreement, is due at the time the development agreement is entered into, and/or when the franchise agreement is signed, and does not include a finance component.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revenue-based royalty fee and revenue-based advertising fee are considered variable consideration and are recognized as franchise revenue as such revenue are earned by the franchisees. Both revenue-based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revenue-based royalties.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20-year renewal. This performance obligation is satisfied over the renewal term, which is typically 10 or 20 years, while payment is fixed and due at the time the renewal is signed.</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purchases hardware, such as scanners, printers, point-of-sale systems, kiosks, and tablets, from third party vendors, which it then sells to franchisees. As the Company is considered the principal in this relationship, payment received for the hardware is considered revenue, and is received upon transfer of the goods from the Company to the franchisee. As of April 1, 2026, there were no performance obligations related to hardware services that were unsatisfied or partially satisfied.</w:t>
      </w:r>
    </w:p>
    <w:p>
      <w:pPr>
        <w:pStyle w:val="TextBody"/>
        <w:bidi w:val="0"/>
        <w:spacing w:before="0" w:after="240"/>
        <w:ind w:left="0" w:right="0" w:hanging="0"/>
        <w:jc w:val="both"/>
        <w:rPr>
          <w:shd w:fill="FFFF00" w:val="clear"/>
        </w:rPr>
      </w:pPr>
      <w:r>
        <w:rPr>
          <w:shd w:fill="FFFF00" w:val="clear"/>
        </w:rPr>
        <w:t>​</w:t>
      </w:r>
    </w:p>
    <w:p>
      <w:pPr>
        <w:pStyle w:val="TextBody"/>
        <w:bidi w:val="0"/>
        <w:spacing w:before="160" w:after="0"/>
        <w:ind w:left="245" w:right="0" w:hanging="0"/>
        <w:jc w:val="both"/>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following table provides information about the change in the franchise contract liability balances during the thirteen weeks ended April 1, 2026 and March 26, 2025 (in thousands):</w:t>
      </w:r>
    </w:p>
    <w:p>
      <w:pPr>
        <w:pStyle w:val="TextBody"/>
        <w:bidi w:val="0"/>
        <w:spacing w:before="0" w:after="240"/>
        <w:ind w:left="0" w:right="0" w:hanging="0"/>
        <w:jc w:val="both"/>
        <w:rPr/>
      </w:pPr>
      <w:r>
        <w:rPr/>
        <w:t>​</w:t>
      </w:r>
    </w:p>
    <w:tbl>
      <w:tblPr>
        <w:tblW w:w="3422" w:type="dxa"/>
        <w:jc w:val="left"/>
        <w:tblInd w:w="0" w:type="dxa"/>
        <w:tblLayout w:type="fixed"/>
        <w:tblCellMar>
          <w:top w:w="0" w:type="dxa"/>
          <w:left w:w="0" w:type="dxa"/>
          <w:bottom w:w="0" w:type="dxa"/>
          <w:right w:w="0" w:type="dxa"/>
        </w:tblCellMar>
      </w:tblPr>
      <w:tblGrid>
        <w:gridCol w:w="2416"/>
        <w:gridCol w:w="109"/>
        <w:gridCol w:w="211"/>
        <w:gridCol w:w="68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34160" cy="175260"/>
                      <wp:effectExtent l="0" t="0" r="0" b="0"/>
                      <wp:wrapNone/>
                      <wp:docPr id="151" name="Frame151"/>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5610" cy="175260"/>
                      <wp:effectExtent l="0" t="0" r="0" b="0"/>
                      <wp:wrapNone/>
                      <wp:docPr id="154" name="Frame15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April 1,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6,154</w:t>
            </w:r>
          </w:p>
        </w:tc>
      </w:tr>
      <w:tr>
        <w:trPr/>
        <w:tc>
          <w:tcPr>
            <w:tcW w:w="24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25, 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26,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6,642</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pPr>
      <w:bookmarkStart w:id="826" w:name="Tc_d9V8ocDY6EekYuV92_MqgA_8_2"/>
      <w:bookmarkStart w:id="827" w:name="Tc_uOslOs_QLEyKWme53e2SfQ_8_0"/>
      <w:bookmarkStart w:id="828" w:name="Tc_SBVxqr_-QESJ4S3x8oYsxg_7_0"/>
      <w:bookmarkStart w:id="829" w:name="Tc_zTrIqfE-_UicoTk7-_-7nA_2_2"/>
      <w:bookmarkStart w:id="830" w:name="Tc_64v40QYqdk6PHv4OaZg9XQ_1_0"/>
      <w:bookmarkStart w:id="831" w:name="_481fa7a4_789c_4ba5_853b_4015a27c25e0"/>
      <w:bookmarkEnd w:id="826"/>
      <w:bookmarkEnd w:id="827"/>
      <w:bookmarkEnd w:id="828"/>
      <w:bookmarkEnd w:id="829"/>
      <w:bookmarkEnd w:id="830"/>
      <w:bookmarkEnd w:id="831"/>
      <w:r>
        <w:rPr/>
        <w:t>​</w:t>
      </w:r>
    </w:p>
    <w:p>
      <w:pPr>
        <w:pStyle w:val="TextBody"/>
        <w:bidi w:val="0"/>
        <w:spacing w:before="40" w:after="0"/>
        <w:ind w:left="0" w:right="0" w:firstLine="490"/>
        <w:jc w:val="both"/>
        <w:rPr>
          <w:rFonts w:ascii="Times New Roman;Times;serif" w:hAnsi="Times New Roman;Times;serif"/>
          <w:sz w:val="20"/>
        </w:rPr>
      </w:pPr>
      <w:r>
        <w:rPr>
          <w:rFonts w:ascii="Times New Roman;Times;serif" w:hAnsi="Times New Roman;Times;serif"/>
          <w:sz w:val="20"/>
        </w:rPr>
        <w:t>The following table illustrates the estimated revenue to be recognized in future periods related to performance obligations under the applicable contracts that are unsatisfied as of April 1, 2026 (in thousands):</w:t>
      </w:r>
    </w:p>
    <w:p>
      <w:pPr>
        <w:pStyle w:val="TextBody"/>
        <w:bidi w:val="0"/>
        <w:spacing w:before="0" w:after="240"/>
        <w:ind w:left="0" w:right="0" w:hanging="0"/>
        <w:jc w:val="both"/>
        <w:rPr/>
      </w:pPr>
      <w:r>
        <w:rPr/>
        <w:t>​</w:t>
      </w:r>
    </w:p>
    <w:tbl>
      <w:tblPr>
        <w:tblW w:w="3059" w:type="dxa"/>
        <w:jc w:val="left"/>
        <w:tblInd w:w="0" w:type="dxa"/>
        <w:tblLayout w:type="fixed"/>
        <w:tblCellMar>
          <w:top w:w="0" w:type="dxa"/>
          <w:left w:w="0" w:type="dxa"/>
          <w:bottom w:w="0" w:type="dxa"/>
          <w:right w:w="0" w:type="dxa"/>
        </w:tblCellMar>
      </w:tblPr>
      <w:tblGrid>
        <w:gridCol w:w="1816"/>
        <w:gridCol w:w="346"/>
        <w:gridCol w:w="211"/>
        <w:gridCol w:w="68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153160" cy="175260"/>
                      <wp:effectExtent l="0" t="0" r="0" b="0"/>
                      <wp:wrapNone/>
                      <wp:docPr id="155" name="Frame15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5610" cy="175260"/>
                      <wp:effectExtent l="0" t="0" r="0" b="0"/>
                      <wp:wrapNone/>
                      <wp:docPr id="158" name="Frame15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Franchise revenues: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3,704</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6,154</w:t>
            </w:r>
          </w:p>
        </w:tc>
      </w:tr>
    </w:tbl>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160" w:after="0"/>
        <w:ind w:left="245" w:right="0" w:hanging="0"/>
        <w:jc w:val="both"/>
        <w:rPr>
          <w:rFonts w:ascii="Times New Roman;Times;serif" w:hAnsi="Times New Roman;Times;serif"/>
          <w:i/>
          <w:sz w:val="20"/>
        </w:rPr>
      </w:pPr>
      <w:r>
        <w:rPr>
          <w:rFonts w:ascii="Times New Roman;Times;serif" w:hAnsi="Times New Roman;Times;serif"/>
          <w:i/>
          <w:sz w:val="20"/>
        </w:rPr>
        <w:t>Contract Costs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does not currently incur costs to obtain or fulfill a contract that would be considered contract assets under Topic 606.</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11. LEASES</w:t>
      </w:r>
    </w:p>
    <w:p>
      <w:pPr>
        <w:pStyle w:val="TextBody"/>
        <w:bidi w:val="0"/>
        <w:spacing w:before="120" w:after="0"/>
        <w:ind w:left="245" w:right="0" w:hanging="0"/>
        <w:jc w:val="both"/>
        <w:rPr>
          <w:rFonts w:ascii="Times New Roman;Times;serif" w:hAnsi="Times New Roman;Times;serif"/>
          <w:i/>
          <w:sz w:val="20"/>
        </w:rPr>
      </w:pPr>
      <w:r>
        <w:rPr>
          <w:rFonts w:ascii="Times New Roman;Times;serif" w:hAnsi="Times New Roman;Times;serif"/>
          <w:i/>
          <w:sz w:val="20"/>
        </w:rPr>
        <w:t>Nature of Leases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Company’s operations utilize property, facilities, equipment and vehicles leased from others. Additionally, the Company has various contracts with vendors that have been determined to contain an embedded lease in accordance with Topic 842.</w:t>
      </w:r>
    </w:p>
    <w:p>
      <w:pPr>
        <w:pStyle w:val="TextBody"/>
        <w:bidi w:val="0"/>
        <w:spacing w:before="360" w:after="0"/>
        <w:ind w:left="245" w:right="0" w:hanging="0"/>
        <w:jc w:val="both"/>
        <w:rPr>
          <w:rFonts w:ascii="Times New Roman;Times;serif" w:hAnsi="Times New Roman;Times;serif"/>
          <w:i/>
          <w:sz w:val="20"/>
        </w:rPr>
      </w:pPr>
      <w:r>
        <w:rPr>
          <w:rFonts w:ascii="Times New Roman;Times;serif" w:hAnsi="Times New Roman;Times;serif"/>
          <w:i/>
          <w:sz w:val="20"/>
        </w:rPr>
        <w:t>Significant Assumptions and Judgments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In applying the requirements of Topic 842, the Company made significant assumptions and judgments related to determination of whether a contract contains a lease and the discount rate used for the lease.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also made significant assumptions and judgments in determining an appropriate discount rate for property leases. These included using a consistent discount rate for a portfolio of leases entered into at varying dates, using the full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As the Company has adopted the practical expedient not to separate lease and non-lease components, no significant assumptions or judgments were necessary in allocating consideration between these components, for all classes of underlying assets.</w:t>
      </w:r>
    </w:p>
    <w:p>
      <w:pPr>
        <w:pStyle w:val="TextBody"/>
        <w:bidi w:val="0"/>
        <w:spacing w:before="360" w:after="0"/>
        <w:ind w:left="245" w:right="0" w:hanging="0"/>
        <w:jc w:val="both"/>
        <w:rPr>
          <w:rFonts w:ascii="Times New Roman;Times;serif" w:hAnsi="Times New Roman;Times;serif"/>
          <w:i/>
          <w:sz w:val="20"/>
        </w:rPr>
      </w:pPr>
      <w:r>
        <w:rPr>
          <w:rFonts w:ascii="Times New Roman;Times;serif" w:hAnsi="Times New Roman;Times;serif"/>
          <w:i/>
          <w:sz w:val="20"/>
        </w:rPr>
        <w:t>Building and Facility Leases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majority of the Company’s building and facilities leases are classified as operating leases; however, the Company currently has one facility and 21 equipment leases that are classified as finance leases.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Restaurants are operated under lease arrangements that generally provide for a fixed base rent and, in some instances, contingent rent based on a percentage of restaurant revenue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therefore excludes them from the calculations of the ROU asset and lease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832" w:name="Tc_OHccDG_tMEyja7hSchToVA_13_17"/>
      <w:bookmarkStart w:id="833" w:name="Tc_qRI5zCJbOE26q-t90LLN_g_13_14"/>
      <w:bookmarkStart w:id="834" w:name="Tc_gjnqP11Y1kuJwXynKlUsWw_13_11"/>
      <w:bookmarkStart w:id="835" w:name="Tc_2TV3S60pt0-9aOtI9zoqdg_13_8"/>
      <w:bookmarkStart w:id="836" w:name="Tc_vqFsSNyRGkGm6ysXSj8mAA_13_5"/>
      <w:bookmarkStart w:id="837" w:name="Tc_riFqRUUVXUO92hqP0mNfZw_13_2"/>
      <w:bookmarkStart w:id="838" w:name="Tc_bqcP8QPY6kSWjEkgaO2QHA_13_0"/>
      <w:bookmarkStart w:id="839" w:name="Tc_LzDJ7lpJdk-SaPGLW9Ez8w_12_15"/>
      <w:bookmarkStart w:id="840" w:name="Tc_Rpknbv_xSEengCZw_Q94XA_12_6"/>
      <w:bookmarkStart w:id="841" w:name="Tc_n4AmYMs2sUySkV94wO9aMg_12_0"/>
      <w:bookmarkStart w:id="842" w:name="Tc_10eBOsy16keBglpbk-Q3KA_11_0"/>
      <w:bookmarkStart w:id="843" w:name="Tc_j5Vy7czep06nfSsAR0HZaw_10_12"/>
      <w:bookmarkStart w:id="844" w:name="Tc_uXBUQ56SBUaX9HrBAUwCsg_10_3"/>
      <w:bookmarkStart w:id="845" w:name="Tc_eLBgGWwgm0WIdv7M9uqFJg_10_0"/>
      <w:bookmarkStart w:id="846" w:name="Tc_3hqWH5Adyk-FmHwAVXZ0hg_9_0"/>
      <w:bookmarkStart w:id="847" w:name="Tc_D8E9zUgIMES650NuWfKxfQ_8_0"/>
      <w:bookmarkStart w:id="848" w:name="Tc_L2M62wCmCkWOh4yUXGxb4w_7_0"/>
      <w:bookmarkStart w:id="849" w:name="Tc__BEcS208xUyjQbGt3DYKfQ_6_17"/>
      <w:bookmarkStart w:id="850" w:name="Tc_KNE42QrehUKUAlMUzBQesw_6_14"/>
      <w:bookmarkStart w:id="851" w:name="Tc_1a5aALaDwkuoOIxPAE05nQ_6_11"/>
      <w:bookmarkStart w:id="852" w:name="Tc_nmxv8meDXUSKL5lM310BEg_6_8"/>
      <w:bookmarkStart w:id="853" w:name="Tc_ADGgLKhezk-omlKHTkoA-Q_6_5"/>
      <w:bookmarkStart w:id="854" w:name="Tc_anbzIgU4x0-KjIkHsp0aXw_6_2"/>
      <w:bookmarkStart w:id="855" w:name="Tc_pSuxGfmG1k-iEH2vdFbOGQ_6_0"/>
      <w:bookmarkStart w:id="856" w:name="Tc_Sml8HYEJ1E6-5ff6vfupOA_5_0"/>
      <w:bookmarkStart w:id="857" w:name="Tc_7YoMZKCP1UGmXZi6u4EtTw_4_17"/>
      <w:bookmarkStart w:id="858" w:name="Tc_u2RmsIoEI0qS33QU_qCvtg_4_14"/>
      <w:bookmarkStart w:id="859" w:name="Tc_T4b0FuU4F02XUiT8ioFJgA_4_11"/>
      <w:bookmarkStart w:id="860" w:name="Tc_TO0iBZZAK0O5vYoA4f4xtg_4_8"/>
      <w:bookmarkStart w:id="861" w:name="Tc_5_sTq0F60kGELDYB-aC9Vg_4_5"/>
      <w:bookmarkStart w:id="862" w:name="Tc_2yq9FsW9Dked0DOcdyqeVA_4_2"/>
      <w:bookmarkStart w:id="863" w:name="Tc_BLFYJx1AtUq01xbx8e35LA_3_14"/>
      <w:bookmarkStart w:id="864" w:name="Tc_WaIHXhrPTkip57aMjt3oMA_3_11"/>
      <w:bookmarkStart w:id="865" w:name="Tc_35KfIJKcZkmO_kr5CU7Vqw_3_5"/>
      <w:bookmarkStart w:id="866" w:name="Tc_3B3uFUwMzUqp6_CNupdUEQ_3_2"/>
      <w:bookmarkStart w:id="867" w:name="Tc_0EvZalqJ9U29U6YCq8zelw_2_11"/>
      <w:bookmarkStart w:id="868" w:name="Tc_LxbcbSqA8EqJtuyP4yFxFQ_2_2"/>
      <w:bookmarkStart w:id="869" w:name="Tc_Y2QklC6VTUKJ-c-kLigV2w_1_2"/>
      <w:bookmarkStart w:id="870" w:name="_a889b129_7a2c_4b2b_9af1_42127f4c4cc0"/>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sz w:val="20"/>
        </w:rPr>
        <w:t xml:space="preserve">The initial terms of land and restaurant building leases are generally 20 years, exclusive of options to renew. These leases typically have four </w:t>
      </w:r>
      <w:r>
        <w:rPr>
          <w:rFonts w:ascii="Times New Roman;Times;serif" w:hAnsi="Times New Roman;Times;serif"/>
          <w:b w:val="false"/>
          <w:i w:val="false"/>
          <w:caps w:val="false"/>
          <w:smallCaps w:val="false"/>
          <w:sz w:val="20"/>
        </w:rPr>
        <w:t>5-year</w:t>
      </w:r>
      <w:r>
        <w:rPr>
          <w:rFonts w:ascii="Times New Roman;Times;serif" w:hAnsi="Times New Roman;Times;serif"/>
          <w:sz w:val="20"/>
        </w:rPr>
        <w:t xml:space="preserve"> renewal options, which have generally been excluded in the calculation of the ROU asset and lease liability, as they are not considered reasonably certain to be exercised, unless there have been significant leasehold improvements that have a useful life that extend past the original lease term. Furthermore, there are no residual value guarantees and no restrictions imposed by the lease.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thirteen weeks ended April 1, 2026 and March 26, 2025, the Company reassessed the lease terms on six restaurants and two restaurants, respectively, due to certain triggering events, such as the addition of significant leasehold improvements with useful lives that extend past the current lease expiration, the decision to terminate a lease, or the decision to renew or exercise an option. As a result of the reassessment,  an additional</w:t>
      </w:r>
      <w:r>
        <w:rPr>
          <w:rFonts w:ascii="Times New Roman;Times;serif" w:hAnsi="Times New Roman;Times;serif"/>
          <w:sz w:val="20"/>
          <w:shd w:fill="FFFFFF" w:val="clear"/>
        </w:rPr>
        <w:t xml:space="preserve"> $4.6 million and $1.4 million, respectively, </w:t>
      </w:r>
      <w:r>
        <w:rPr>
          <w:rFonts w:ascii="Times New Roman;Times;serif" w:hAnsi="Times New Roman;Times;serif"/>
          <w:sz w:val="20"/>
        </w:rPr>
        <w:t>of ROU asset and lease liabilities were recognized for the thirteen weeks ended April 1, 2026 and March 26, 2025, respectively. During the thirteen weeks ended April 1, 2026, the Company had one lease commencement resulting in $0.8 million of ROU asset and lease liabilities recognized. For the thirteen weeks ended March 26, 2025, the Company had no lease commencements.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did not record any non-cash impairment charges during either the thirteen weeks ended April 1, 2026 or March 26, 2025. </w:t>
      </w:r>
    </w:p>
    <w:p>
      <w:pPr>
        <w:pStyle w:val="TextBody"/>
        <w:bidi w:val="0"/>
        <w:spacing w:before="360" w:after="0"/>
        <w:ind w:left="245" w:right="0" w:hanging="0"/>
        <w:jc w:val="both"/>
        <w:rPr>
          <w:rFonts w:ascii="Times New Roman;Times;serif" w:hAnsi="Times New Roman;Times;serif"/>
          <w:i/>
          <w:sz w:val="20"/>
        </w:rPr>
      </w:pPr>
      <w:r>
        <w:rPr>
          <w:rFonts w:ascii="Times New Roman;Times;serif" w:hAnsi="Times New Roman;Times;serif"/>
          <w:i/>
          <w:sz w:val="20"/>
        </w:rPr>
        <w:t>Equipment</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Leases of equipment primarily consist of restaurant equipment and vehicles. These leases are fixed payments with no variable component. Additionally, no optional renewal periods have been included in the calculation of the ROU asset, and there are no residual value guarantees and no restrictions imposed.</w:t>
      </w:r>
    </w:p>
    <w:p>
      <w:pPr>
        <w:pStyle w:val="TextBody"/>
        <w:bidi w:val="0"/>
        <w:spacing w:before="360" w:after="0"/>
        <w:ind w:left="245" w:right="0" w:hanging="0"/>
        <w:jc w:val="both"/>
        <w:rPr>
          <w:rFonts w:ascii="Times New Roman;Times;serif" w:hAnsi="Times New Roman;Times;serif"/>
          <w:i/>
          <w:sz w:val="20"/>
        </w:rPr>
      </w:pPr>
      <w:r>
        <w:rPr>
          <w:rFonts w:ascii="Times New Roman;Times;serif" w:hAnsi="Times New Roman;Times;serif"/>
          <w:i/>
          <w:sz w:val="20"/>
        </w:rPr>
        <w:t>Lease Cost and Lease Activities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following table presents the Company’s total lease cost, disaggregated by underlying asset (in thousands):</w:t>
      </w:r>
    </w:p>
    <w:p>
      <w:pPr>
        <w:pStyle w:val="TextBody"/>
        <w:bidi w:val="0"/>
        <w:spacing w:before="0" w:after="0"/>
        <w:ind w:left="0" w:right="0" w:hanging="0"/>
        <w:jc w:val="both"/>
        <w:rPr/>
      </w:pPr>
      <w:r>
        <w:rPr/>
        <w:t>​</w:t>
      </w:r>
    </w:p>
    <w:tbl>
      <w:tblPr>
        <w:tblW w:w="9101" w:type="dxa"/>
        <w:jc w:val="left"/>
        <w:tblInd w:w="0" w:type="dxa"/>
        <w:tblLayout w:type="fixed"/>
        <w:tblCellMar>
          <w:top w:w="0" w:type="dxa"/>
          <w:left w:w="0" w:type="dxa"/>
          <w:bottom w:w="0" w:type="dxa"/>
          <w:right w:w="0" w:type="dxa"/>
        </w:tblCellMar>
      </w:tblPr>
      <w:tblGrid>
        <w:gridCol w:w="2596"/>
        <w:gridCol w:w="346"/>
        <w:gridCol w:w="211"/>
        <w:gridCol w:w="631"/>
        <w:gridCol w:w="346"/>
        <w:gridCol w:w="303"/>
        <w:gridCol w:w="583"/>
        <w:gridCol w:w="346"/>
        <w:gridCol w:w="196"/>
        <w:gridCol w:w="631"/>
        <w:gridCol w:w="109"/>
        <w:gridCol w:w="196"/>
        <w:gridCol w:w="631"/>
        <w:gridCol w:w="109"/>
        <w:gridCol w:w="303"/>
        <w:gridCol w:w="583"/>
        <w:gridCol w:w="109"/>
        <w:gridCol w:w="196"/>
        <w:gridCol w:w="67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48460" cy="175260"/>
                      <wp:effectExtent l="0" t="0" r="0" b="0"/>
                      <wp:wrapNone/>
                      <wp:docPr id="159" name="Frame15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00685" cy="175260"/>
                      <wp:effectExtent l="0" t="0" r="0" b="0"/>
                      <wp:wrapNone/>
                      <wp:docPr id="162" name="Frame16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92405" cy="175260"/>
                      <wp:effectExtent l="0" t="0" r="0" b="0"/>
                      <wp:wrapNone/>
                      <wp:docPr id="164" name="Frame16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0205" cy="175260"/>
                      <wp:effectExtent l="0" t="0" r="0" b="0"/>
                      <wp:wrapNone/>
                      <wp:docPr id="165" name="Frame165"/>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00685" cy="175260"/>
                      <wp:effectExtent l="0" t="0" r="0" b="0"/>
                      <wp:wrapNone/>
                      <wp:docPr id="168" name="Frame16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00685" cy="175260"/>
                      <wp:effectExtent l="0" t="0" r="0" b="0"/>
                      <wp:wrapNone/>
                      <wp:docPr id="171" name="Frame17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92405" cy="175260"/>
                      <wp:effectExtent l="0" t="0" r="0" b="0"/>
                      <wp:wrapNone/>
                      <wp:docPr id="173" name="Frame17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70205" cy="175260"/>
                      <wp:effectExtent l="0" t="0" r="0" b="0"/>
                      <wp:wrapNone/>
                      <wp:docPr id="174" name="Frame174"/>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9260" cy="175260"/>
                      <wp:effectExtent l="0" t="0" r="0" b="0"/>
                      <wp:wrapNone/>
                      <wp:docPr id="177" name="Frame1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5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2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09" w:type="dxa"/>
            <w:tcBorders/>
            <w:vAlign w:val="center"/>
          </w:tcPr>
          <w:p>
            <w:pPr>
              <w:pStyle w:val="TableContents"/>
              <w:bidi w:val="0"/>
              <w:spacing w:before="0" w:after="0"/>
              <w:ind w:left="0" w:right="0" w:hanging="0"/>
              <w:jc w:val="center"/>
              <w:rPr/>
            </w:pPr>
            <w:r>
              <w:rPr/>
              <w:t>​</w:t>
            </w:r>
          </w:p>
        </w:tc>
        <w:tc>
          <w:tcPr>
            <w:tcW w:w="28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Finance lease cost: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on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lease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Fixed rent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7,333</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7,184</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lease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Variable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Sublease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(1,687)</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(1,715)</w:t>
            </w:r>
          </w:p>
        </w:tc>
        <w:tc>
          <w:tcPr>
            <w:tcW w:w="109"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5,775</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5,636</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6,136</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871" w:name="Tc_fRSIZ7eVLEuWZ6aH4JiL3A_15_5"/>
      <w:bookmarkStart w:id="872" w:name="Tc_RXt_Gu59rkCGZTLyAVXeMw_15_2"/>
      <w:bookmarkStart w:id="873" w:name="Tc_Me6Y7v-V9EuCQ5L_0rM0Zw_15_0"/>
      <w:bookmarkStart w:id="874" w:name="Tc_kXsDVi-juk6t3K7i7jnEfQ_14_0"/>
      <w:bookmarkStart w:id="875" w:name="Tc_ZrZ-ROutekyoT2qkxCIrDQ_13_0"/>
      <w:bookmarkStart w:id="876" w:name="Tc_vckF3E91JEu8cmackX5W4g_12_0"/>
      <w:bookmarkStart w:id="877" w:name="Tc_IQEj7BuMBEOr-GuihTGD_A_11_8"/>
      <w:bookmarkStart w:id="878" w:name="Tc_ruH5Uethwk-NsxJfVf173g_11_5"/>
      <w:bookmarkStart w:id="879" w:name="Tc_LeuGhcieTkO_nFqbRTQFOw_11_2"/>
      <w:bookmarkStart w:id="880" w:name="Tc_HgT1XG3oDEySfjbIVsEApQ_11_0"/>
      <w:bookmarkStart w:id="881" w:name="Tc_ihxyY4TZ_EGXqUyQbf5V8w_10_0"/>
      <w:bookmarkStart w:id="882" w:name="Tc_hWjkWKR_NkqaAYgtHDFTAA_9_0"/>
      <w:bookmarkStart w:id="883" w:name="Tc_sbALqBjXbkGW8W8eAII3UA_8_0"/>
      <w:bookmarkStart w:id="884" w:name="Tc_smah9zr6VUWYWNBNBNiGnQ_7_0"/>
      <w:bookmarkStart w:id="885" w:name="Tc_Ow6HXQt1v0eM9U7jVvjiBw_6_0"/>
      <w:bookmarkStart w:id="886" w:name="Tc_IHnQ686KXkSASZUt5kEhnA_5_8"/>
      <w:bookmarkStart w:id="887" w:name="Tc_3Za12Ur0fkGuee_rCZN96g_5_5"/>
      <w:bookmarkStart w:id="888" w:name="Tc_krJHjm5Rb0O0TzWYu7nknQ_5_2"/>
      <w:bookmarkStart w:id="889" w:name="Tc_tA9MCSUt5Uyb_m2a0lh9IA_5_0"/>
      <w:bookmarkStart w:id="890" w:name="Tc_WKAhMTBjVkqWk6xX6gzdbQ_4_8"/>
      <w:bookmarkStart w:id="891" w:name="Tc_vea7BhtskEadiEGI10ZKkA_4_5"/>
      <w:bookmarkStart w:id="892" w:name="Tc_EzkhCQIlLEawDC-_i8NkCg_4_2"/>
      <w:bookmarkStart w:id="893" w:name="Tc_8pkG3QR3EEiBFtpdMbA8eg_4_0"/>
      <w:bookmarkStart w:id="894" w:name="Tc_PKRAgF-ZhEytTv0rfrZfmQ_3_8"/>
      <w:bookmarkStart w:id="895" w:name="Tc_PVfzwX0850C8izSgVt4cqg_3_5"/>
      <w:bookmarkStart w:id="896" w:name="Tc_lbR8fzD_70yp2DwtRMf0gw_3_2"/>
      <w:bookmarkStart w:id="897" w:name="Tc_CcMJY1qxpE2lVIVx_r-z-g_2_8"/>
      <w:bookmarkStart w:id="898" w:name="Tc_vQvGxcl3lkWXXrkQbXQmSQ_2_5"/>
      <w:bookmarkStart w:id="899" w:name="Tc_3BQ2Ox7ClUK3YQidRdbtYA_2_2"/>
      <w:bookmarkStart w:id="900" w:name="Tc_aVCiix3f70SsLWBv6WlSvg_1_5"/>
      <w:bookmarkStart w:id="901" w:name="Tc_y4jqfp69hUWwTtWd6leRfw_1_2"/>
      <w:bookmarkStart w:id="902" w:name="_65affca2_7bf7_434d_86ca_b717bae683ac"/>
      <w:bookmarkStart w:id="903" w:name="Tc_xtbfAY6O_kK50m-VKnpSGg_20_16"/>
      <w:bookmarkStart w:id="904" w:name="Tc_9dHfqoWti0C7phEEXZe3JA_20_13"/>
      <w:bookmarkStart w:id="905" w:name="Tc_w3J1uowXGEOJfps9814WyA_20_7"/>
      <w:bookmarkStart w:id="906" w:name="Tc_RYk3xrDbk0S7rJ3ghNN2EQ_20_4"/>
      <w:bookmarkStart w:id="907" w:name="Tc_ga3GvJGKnkSVsnpEff29PQ_20_0"/>
      <w:bookmarkStart w:id="908" w:name="Tc_8BhFmTtA9kmaXwelXULq0w_19_16"/>
      <w:bookmarkStart w:id="909" w:name="Tc_xFIeRPGrWUesllPYrW074g_19_13"/>
      <w:bookmarkStart w:id="910" w:name="Tc_ik5XCOugXES2pdKBq8dJDA_19_7"/>
      <w:bookmarkStart w:id="911" w:name="Tc_3hDtJDT4ikaqLeVOCb3Ukg_19_4"/>
      <w:bookmarkStart w:id="912" w:name="Tc_0ClHJ1qYIUW1JsHGtUOqEA_19_0"/>
      <w:bookmarkStart w:id="913" w:name="Tc_6tPL7ZOOeE2BsC1HCznlVw_18_0"/>
      <w:bookmarkStart w:id="914" w:name="Tc_6UVi-qCJfUKJIsa_jUHUZQ_17_0"/>
      <w:bookmarkStart w:id="915" w:name="Tc_g_WZh80dOEedDzR5eH9Fyw_16_0"/>
      <w:bookmarkStart w:id="916" w:name="Tc_gEBe7H5Bk0WhVQED7lkdvA_13_18"/>
      <w:bookmarkStart w:id="917" w:name="Tc_6ITef8vt40KIsnyJhbqT0A_13_17"/>
      <w:bookmarkStart w:id="918" w:name="Tc_YpuFWIY4Q0KRQBABofPInw_13_15"/>
      <w:bookmarkStart w:id="919" w:name="Tc_nLbZHunyIEGn0cl2cUc6Yw_13_14"/>
      <w:bookmarkStart w:id="920" w:name="Tc_yeIebpZZXEWZz2U5XPYu4Q_13_12"/>
      <w:bookmarkStart w:id="921" w:name="Tc_DLWjU0xXWUiRLIhDgcWoqQ_13_11"/>
      <w:bookmarkStart w:id="922" w:name="Tc_oqQoLsnMlkGpDntxaz6vfg_13_9"/>
      <w:bookmarkStart w:id="923" w:name="Tc_SXb_7esL10aqD6Q_wKfROg_13_8"/>
      <w:bookmarkStart w:id="924" w:name="Tc_-bfIOSgKu0un7XXh_7p2SA_13_6"/>
      <w:bookmarkStart w:id="925" w:name="Tc_e_GpxY-JMk2QCVvdw97Iog_13_5"/>
      <w:bookmarkStart w:id="926" w:name="Tc_3efHgIGSnEiIO4u2G8d7Hw_13_3"/>
      <w:bookmarkStart w:id="927" w:name="Tc__-gRL5yMU0uQhuFOoPDaCA_13_2"/>
      <w:bookmarkStart w:id="928" w:name="Tc_Y93DatJ6xUikOOnNsfTRxg_13_0"/>
      <w:bookmarkStart w:id="929" w:name="Tc_ihUo1wmaq0mx-15S-DhwdQ_12_18"/>
      <w:bookmarkStart w:id="930" w:name="Tc_DV36wksTgEG4w0gS0aRfiQ_12_17"/>
      <w:bookmarkStart w:id="931" w:name="Tc_MUEZE66KjkSahcyiYtcDGg_12_15"/>
      <w:bookmarkStart w:id="932" w:name="Tc_Bkr4naVbK0God05yZFnjTQ_12_14"/>
      <w:bookmarkStart w:id="933" w:name="Tc_0Nw2aJPw5Eep_e4p8xpkWg_12_12"/>
      <w:bookmarkStart w:id="934" w:name="Tc_T_5K7-GM3EOTksSOvUpvxg_12_11"/>
      <w:bookmarkStart w:id="935" w:name="Tc_bq8vjWDA9Em0__7Ey7d0qA_12_9"/>
      <w:bookmarkStart w:id="936" w:name="Tc_dWU0_NWjBkiaPDcthRzQvg_12_8"/>
      <w:bookmarkStart w:id="937" w:name="Tc_Soehj1LurE-RdtZaenOQxg_12_6"/>
      <w:bookmarkStart w:id="938" w:name="Tc_4-WT-cONUk-Mtxfc2Fvekw_12_5"/>
      <w:bookmarkStart w:id="939" w:name="Tc_QSoPUd7QIUG7JxYw6XGgag_12_3"/>
      <w:bookmarkStart w:id="940" w:name="Tc_CvlbUFte6kC81O9BtGNzcg_12_2"/>
      <w:bookmarkStart w:id="941" w:name="Tc_Rwj5ffQzukGiKmscDiqSKA_12_0"/>
      <w:bookmarkStart w:id="942" w:name="Tc_uIMMuIUT9kugXZeRzQ4SFg_11_0"/>
      <w:bookmarkStart w:id="943" w:name="Tc_NLlx3dvjqkaIRwQkBpY8pg_10_17"/>
      <w:bookmarkStart w:id="944" w:name="Tc_2TvO59Fw4kCJEHelJfiknQ_10_15"/>
      <w:bookmarkStart w:id="945" w:name="Tc_hqq5BUWJ606BAL5z8twp4w_10_14"/>
      <w:bookmarkStart w:id="946" w:name="Tc_nztXGaE_lESObmQ95UufPQ_10_11"/>
      <w:bookmarkStart w:id="947" w:name="Tc_HJ4JmjaogEGRsT-t-iJafw_10_8"/>
      <w:bookmarkStart w:id="948" w:name="Tc_KYbTwPmf9kKT9DemmDxLOg_10_5"/>
      <w:bookmarkStart w:id="949" w:name="Tc_F4C4gDtQHkmJLyAZ5oqEEw_10_2"/>
      <w:bookmarkStart w:id="950" w:name="Tc_Ii9gmDcscE-UjMkUiiOQOg_10_0"/>
      <w:bookmarkStart w:id="951" w:name="Tc_QWVpFnMVe0SzZZL-Ssd77g_9_0"/>
      <w:bookmarkStart w:id="952" w:name="Tc_sEgRJbh0PkCo_nTf_cn5Rw_8_0"/>
      <w:bookmarkStart w:id="953" w:name="Tc_9L6065p5j0uKVXBI8gwPxw_6_17"/>
      <w:bookmarkStart w:id="954" w:name="Tc_pP-1OJ2WREG8xbRV2075OA_6_14"/>
      <w:bookmarkStart w:id="955" w:name="Tc_-_sKr3ZyG0Gdvt9kM7Xu2w_6_11"/>
      <w:bookmarkStart w:id="956" w:name="Tc_8xI0dQFbIUyqwcvJ9K_kjQ_6_8"/>
      <w:bookmarkStart w:id="957" w:name="Tc_nVCFLdq5EEKqCM9P1ts6Ew_6_5"/>
      <w:bookmarkStart w:id="958" w:name="Tc_zRuRooYMi0m0tXzdpOcekQ_6_2"/>
      <w:bookmarkStart w:id="959" w:name="Tc_fUHqVlrI5Uq7GHz4B3K4pA_6_0"/>
      <w:bookmarkStart w:id="960" w:name="Tc_4wkcnvHAv0-qBL2vhTDutg_5_17"/>
      <w:bookmarkStart w:id="961" w:name="Tc_SyIWKdWzkUWBWcMzlYxNCA_5_14"/>
      <w:bookmarkStart w:id="962" w:name="Tc_FRvQi4eCBUu_9j4zgKmL4Q_5_11"/>
      <w:bookmarkStart w:id="963" w:name="Tc_P3HU7T0EHEKqDbx6gF7-Vg_5_8"/>
      <w:bookmarkStart w:id="964" w:name="Tc_wdHikm3d0UWsgfzps5zdXQ_5_5"/>
      <w:bookmarkStart w:id="965" w:name="Tc_NmGARDsqgEKAyJGFCtk8EA_5_2"/>
      <w:bookmarkStart w:id="966" w:name="Tc_SHEChWjrEEaAQRsZ2tKa5A_5_0"/>
      <w:bookmarkStart w:id="967" w:name="Tc_De6I--_N-EGM0GCNefhExw_4_0"/>
      <w:bookmarkStart w:id="968" w:name="Tc_E2WGXkvCPEC1eERhVsEd3g_3_17"/>
      <w:bookmarkStart w:id="969" w:name="Tc_M0zZn-5fiEiEGwS-C4wOxg_3_14"/>
      <w:bookmarkStart w:id="970" w:name="Tc_IDdu5Vh7r0WCUA3l1IOjow_3_11"/>
      <w:bookmarkStart w:id="971" w:name="Tc_dYv8-NvBWUmaOg6CwPhpMg_3_8"/>
      <w:bookmarkStart w:id="972" w:name="Tc_Q3L1XaAZyESXeWym9neJTQ_3_5"/>
      <w:bookmarkStart w:id="973" w:name="Tc_d01j1bEw-EuavBnr5BOfBA_3_2"/>
      <w:bookmarkStart w:id="974" w:name="Tc_TVPYkCEwKE2ZXnay-f2tQA_2_14"/>
      <w:bookmarkStart w:id="975" w:name="Tc_HhMCa1vQMUiCqztpthd6gw_2_11"/>
      <w:bookmarkStart w:id="976" w:name="Tc_1KDnd5OmT0mZed22sLvbWQ_2_5"/>
      <w:bookmarkStart w:id="977" w:name="Tc_EoBUxFTuUEuKEyZ4eNqoNQ_2_2"/>
      <w:bookmarkStart w:id="978" w:name="Tc_G6XF4yTsBUaCrgRtqmFC3w_1_11"/>
      <w:bookmarkStart w:id="979" w:name="Tc_tHths5rTCE-5wou1ahk9CQ_1_2"/>
      <w:bookmarkStart w:id="980" w:name="_f837dee7_2be0_4118_8732_48fb146ef73c"/>
      <w:bookmarkStart w:id="981" w:name="Tc_XHOSYxExXkeU8RY4W5CMGA_7_6"/>
      <w:bookmarkStart w:id="982" w:name="Tc_rXNkTzc2mEmrNR3bRZixEg_7_3"/>
      <w:bookmarkStart w:id="983" w:name="Tc_zqD8GDCS30aM7L81OJmMpQ_7_0"/>
      <w:bookmarkStart w:id="984" w:name="Tc_hEoh44dI_k25XBYCckykEQ_6_0"/>
      <w:bookmarkStart w:id="985" w:name="Tc_6NtEE-JauUWtq218L2iyJw_5_0"/>
      <w:bookmarkStart w:id="986" w:name="Tc_vFQV5-CE0UKyKMmjSzIBKQ_4_0"/>
      <w:bookmarkStart w:id="987" w:name="Tc_mjXk1ruw9UuBJf8IDAGIZg_3_6"/>
      <w:bookmarkStart w:id="988" w:name="Tc_5Qgy4wtiDkuPBrP0tyax6g_3_3"/>
      <w:bookmarkStart w:id="989" w:name="Tc_HeTNareJc0eoC8AmbKM4JA_3_0"/>
      <w:bookmarkStart w:id="990" w:name="Tc_fCm2h1L8i0i92MHM0T456A_2_6"/>
      <w:bookmarkStart w:id="991" w:name="Tc_Fr5n3a8OR0aCLR_hzIiEcQ_2_3"/>
      <w:bookmarkStart w:id="992" w:name="Tc_Wwuo2YEgaUata8lbsaKm4Q_1_3"/>
      <w:bookmarkStart w:id="993" w:name="_73b627b9_d824_44a1_aa77_0db623e4599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rPr>
          <w:rFonts w:ascii="Times New Roman;Times;serif" w:hAnsi="Times New Roman;Times;serif"/>
          <w:sz w:val="20"/>
        </w:rPr>
        <w:t>The following table presents the Company’s total lease cost on the condensed consolidated statements of income (in thousands):</w:t>
      </w:r>
    </w:p>
    <w:p>
      <w:pPr>
        <w:pStyle w:val="TextBody"/>
        <w:bidi w:val="0"/>
        <w:spacing w:before="0" w:after="240"/>
        <w:ind w:left="0" w:right="0" w:hanging="0"/>
        <w:jc w:val="both"/>
        <w:rPr>
          <w:shd w:fill="FFFF00" w:val="clear"/>
        </w:rPr>
      </w:pPr>
      <w:r>
        <w:rPr>
          <w:shd w:fill="FFFF00" w:val="clear"/>
        </w:rPr>
        <w:t>​</w:t>
      </w:r>
    </w:p>
    <w:tbl>
      <w:tblPr>
        <w:tblW w:w="7419" w:type="dxa"/>
        <w:jc w:val="left"/>
        <w:tblInd w:w="0" w:type="dxa"/>
        <w:tblLayout w:type="fixed"/>
        <w:tblCellMar>
          <w:top w:w="0" w:type="dxa"/>
          <w:left w:w="0" w:type="dxa"/>
          <w:bottom w:w="0" w:type="dxa"/>
          <w:right w:w="0" w:type="dxa"/>
        </w:tblCellMar>
      </w:tblPr>
      <w:tblGrid>
        <w:gridCol w:w="4486"/>
        <w:gridCol w:w="109"/>
        <w:gridCol w:w="226"/>
        <w:gridCol w:w="287"/>
        <w:gridCol w:w="779"/>
        <w:gridCol w:w="226"/>
        <w:gridCol w:w="307"/>
        <w:gridCol w:w="999"/>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848610" cy="175260"/>
                      <wp:effectExtent l="0" t="0" r="0" b="0"/>
                      <wp:wrapNone/>
                      <wp:docPr id="178" name="Frame178"/>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3510" cy="175260"/>
                      <wp:effectExtent l="0" t="0" r="0" b="0"/>
                      <wp:wrapNone/>
                      <wp:docPr id="180" name="Frame1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2245" cy="175260"/>
                      <wp:effectExtent l="0" t="0" r="0" b="0"/>
                      <wp:wrapNone/>
                      <wp:docPr id="181" name="Frame18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4665" cy="175260"/>
                      <wp:effectExtent l="0" t="0" r="0" b="0"/>
                      <wp:wrapNone/>
                      <wp:docPr id="182" name="Frame18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3510" cy="175260"/>
                      <wp:effectExtent l="0" t="0" r="0" b="0"/>
                      <wp:wrapNone/>
                      <wp:docPr id="183" name="Frame1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4945" cy="175260"/>
                      <wp:effectExtent l="0" t="0" r="0" b="0"/>
                      <wp:wrapNone/>
                      <wp:docPr id="184" name="Frame18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34365" cy="175260"/>
                      <wp:effectExtent l="0" t="0" r="0" b="0"/>
                      <wp:wrapNone/>
                      <wp:docPr id="185" name="Frame185"/>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5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4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2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Occupancy and other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6,054</w:t>
            </w:r>
          </w:p>
        </w:tc>
        <w:tc>
          <w:tcPr>
            <w:tcW w:w="2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General &amp; administrative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2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Interest expense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6,314</w:t>
            </w:r>
          </w:p>
        </w:tc>
        <w:tc>
          <w:tcPr>
            <w:tcW w:w="22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6,136</w:t>
            </w:r>
          </w:p>
        </w:tc>
      </w:tr>
    </w:tbl>
    <w:p>
      <w:pPr>
        <w:pStyle w:val="TextBody"/>
        <w:bidi w:val="0"/>
        <w:spacing w:before="0" w:after="0"/>
        <w:ind w:left="0" w:right="0" w:hanging="0"/>
        <w:jc w:val="both"/>
        <w:rPr/>
      </w:pPr>
      <w:r>
        <w:rPr/>
        <w:t>​</w:t>
      </w:r>
    </w:p>
    <w:p>
      <w:pPr>
        <w:pStyle w:val="TextBody"/>
        <w:bidi w:val="0"/>
        <w:spacing w:before="40" w:after="0"/>
        <w:ind w:left="0" w:right="0" w:firstLine="490"/>
        <w:jc w:val="both"/>
        <w:rPr>
          <w:rFonts w:ascii="Times New Roman;Times;serif" w:hAnsi="Times New Roman;Times;serif"/>
          <w:sz w:val="20"/>
        </w:rPr>
      </w:pPr>
      <w:r>
        <w:rPr>
          <w:rFonts w:ascii="Times New Roman;Times;serif" w:hAnsi="Times New Roman;Times;serif"/>
          <w:sz w:val="20"/>
        </w:rPr>
        <w:t>During the thirteen weeks ended April 1, 2026 and March 26, 2025, the Company had the following cash and non-cash activities associated with its leases (dollars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954"/>
        <w:gridCol w:w="146"/>
        <w:gridCol w:w="196"/>
        <w:gridCol w:w="511"/>
        <w:gridCol w:w="331"/>
        <w:gridCol w:w="267"/>
        <w:gridCol w:w="574"/>
        <w:gridCol w:w="331"/>
        <w:gridCol w:w="196"/>
        <w:gridCol w:w="511"/>
        <w:gridCol w:w="226"/>
        <w:gridCol w:w="196"/>
        <w:gridCol w:w="511"/>
        <w:gridCol w:w="331"/>
        <w:gridCol w:w="267"/>
        <w:gridCol w:w="574"/>
        <w:gridCol w:w="331"/>
        <w:gridCol w:w="196"/>
        <w:gridCol w:w="556"/>
      </w:tblGrid>
      <w:tr>
        <w:trPr/>
        <w:tc>
          <w:tcPr>
            <w:tcW w:w="3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510790" cy="175260"/>
                      <wp:effectExtent l="0" t="0" r="0" b="0"/>
                      <wp:wrapNone/>
                      <wp:docPr id="186" name="Frame186"/>
                      <a:graphic xmlns:a="http://schemas.openxmlformats.org/drawingml/2006/main">
                        <a:graphicData uri="http://schemas.microsoft.com/office/word/2010/wordprocessingShape">
                          <wps:wsp>
                            <wps:cNvSpPr txBox="1"/>
                            <wps:spPr>
                              <a:xfrm>
                                <a:off x="0" y="0"/>
                                <a:ext cx="2510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2710" cy="175260"/>
                      <wp:effectExtent l="0" t="0" r="0" b="0"/>
                      <wp:wrapNone/>
                      <wp:docPr id="187" name="Frame1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24460" cy="175260"/>
                      <wp:effectExtent l="0" t="0" r="0" b="0"/>
                      <wp:wrapNone/>
                      <wp:docPr id="188" name="Frame1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24485" cy="175260"/>
                      <wp:effectExtent l="0" t="0" r="0" b="0"/>
                      <wp:wrapNone/>
                      <wp:docPr id="189" name="Frame18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0185" cy="175260"/>
                      <wp:effectExtent l="0" t="0" r="0" b="0"/>
                      <wp:wrapNone/>
                      <wp:docPr id="190" name="Frame19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9545" cy="175260"/>
                      <wp:effectExtent l="0" t="0" r="0" b="0"/>
                      <wp:wrapNone/>
                      <wp:docPr id="191" name="Frame19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4490" cy="175260"/>
                      <wp:effectExtent l="0" t="0" r="0" b="0"/>
                      <wp:wrapNone/>
                      <wp:docPr id="192" name="Frame192"/>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0185" cy="175260"/>
                      <wp:effectExtent l="0" t="0" r="0" b="0"/>
                      <wp:wrapNone/>
                      <wp:docPr id="193" name="Frame19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4460" cy="175260"/>
                      <wp:effectExtent l="0" t="0" r="0" b="0"/>
                      <wp:wrapNone/>
                      <wp:docPr id="194" name="Frame1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24485" cy="175260"/>
                      <wp:effectExtent l="0" t="0" r="0" b="0"/>
                      <wp:wrapNone/>
                      <wp:docPr id="195" name="Frame19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43510" cy="175260"/>
                      <wp:effectExtent l="0" t="0" r="0" b="0"/>
                      <wp:wrapNone/>
                      <wp:docPr id="196" name="Frame1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24485" cy="175260"/>
                      <wp:effectExtent l="0" t="0" r="0" b="0"/>
                      <wp:wrapNone/>
                      <wp:docPr id="198" name="Frame19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0185" cy="175260"/>
                      <wp:effectExtent l="0" t="0" r="0" b="0"/>
                      <wp:wrapNone/>
                      <wp:docPr id="199" name="Frame19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9545" cy="175260"/>
                      <wp:effectExtent l="0" t="0" r="0" b="0"/>
                      <wp:wrapNone/>
                      <wp:docPr id="200" name="Frame20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64490" cy="175260"/>
                      <wp:effectExtent l="0" t="0" r="0" b="0"/>
                      <wp:wrapNone/>
                      <wp:docPr id="201" name="Frame201"/>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0185" cy="175260"/>
                      <wp:effectExtent l="0" t="0" r="0" b="0"/>
                      <wp:wrapNone/>
                      <wp:docPr id="202" name="Frame20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460" cy="175260"/>
                      <wp:effectExtent l="0" t="0" r="0" b="0"/>
                      <wp:wrapNone/>
                      <wp:docPr id="203" name="Frame2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53060" cy="175260"/>
                      <wp:effectExtent l="0" t="0" r="0" b="0"/>
                      <wp:wrapNone/>
                      <wp:docPr id="204" name="Frame20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91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Thirteen Weeks Ended April 1, 2026</w:t>
            </w:r>
          </w:p>
        </w:tc>
        <w:tc>
          <w:tcPr>
            <w:tcW w:w="226" w:type="dxa"/>
            <w:tcBorders/>
            <w:vAlign w:val="center"/>
          </w:tcPr>
          <w:p>
            <w:pPr>
              <w:pStyle w:val="TableContents"/>
              <w:bidi w:val="0"/>
              <w:spacing w:before="0" w:after="0"/>
              <w:ind w:left="0" w:right="0" w:hanging="0"/>
              <w:jc w:val="center"/>
              <w:rPr/>
            </w:pPr>
            <w:r>
              <w:rPr/>
              <w:t>​</w:t>
            </w:r>
          </w:p>
        </w:tc>
        <w:tc>
          <w:tcPr>
            <w:tcW w:w="29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Thirteen Weeks Ended March 26, 2025</w:t>
            </w:r>
          </w:p>
        </w:tc>
      </w:tr>
      <w:tr>
        <w:trPr/>
        <w:tc>
          <w:tcPr>
            <w:tcW w:w="395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07"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Property</w:t>
            </w:r>
          </w:p>
        </w:tc>
        <w:tc>
          <w:tcPr>
            <w:tcW w:w="331" w:type="dxa"/>
            <w:tcBorders/>
            <w:shd w:fill="CCEEFF" w:val="clear"/>
            <w:vAlign w:val="center"/>
          </w:tcPr>
          <w:p>
            <w:pPr>
              <w:pStyle w:val="TableContents"/>
              <w:bidi w:val="0"/>
              <w:spacing w:before="0" w:after="0"/>
              <w:ind w:left="0" w:right="0" w:hanging="0"/>
              <w:jc w:val="left"/>
              <w:rPr/>
            </w:pPr>
            <w:r>
              <w:rPr/>
              <w:t>​</w:t>
            </w:r>
          </w:p>
        </w:tc>
        <w:tc>
          <w:tcPr>
            <w:tcW w:w="84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Equipment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707"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Property</w:t>
            </w:r>
          </w:p>
        </w:tc>
        <w:tc>
          <w:tcPr>
            <w:tcW w:w="331" w:type="dxa"/>
            <w:tcBorders/>
            <w:shd w:fill="CCEEFF" w:val="clear"/>
            <w:vAlign w:val="center"/>
          </w:tcPr>
          <w:p>
            <w:pPr>
              <w:pStyle w:val="TableContents"/>
              <w:bidi w:val="0"/>
              <w:spacing w:before="0" w:after="0"/>
              <w:ind w:left="0" w:right="0" w:hanging="0"/>
              <w:jc w:val="center"/>
              <w:rPr/>
            </w:pPr>
            <w:r>
              <w:rPr/>
              <w:t>  ​</w:t>
            </w:r>
          </w:p>
        </w:tc>
        <w:tc>
          <w:tcPr>
            <w:tcW w:w="84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Equipment</w:t>
            </w:r>
          </w:p>
        </w:tc>
        <w:tc>
          <w:tcPr>
            <w:tcW w:w="331" w:type="dxa"/>
            <w:tcBorders/>
            <w:shd w:fill="CCEEFF" w:val="clear"/>
            <w:vAlign w:val="center"/>
          </w:tcPr>
          <w:p>
            <w:pPr>
              <w:pStyle w:val="TableContents"/>
              <w:bidi w:val="0"/>
              <w:spacing w:before="0" w:after="0"/>
              <w:ind w:left="0" w:right="0" w:hanging="0"/>
              <w:jc w:val="center"/>
              <w:rPr/>
            </w:pPr>
            <w:r>
              <w:rPr/>
              <w:t>  ​</w:t>
            </w:r>
          </w:p>
        </w:tc>
        <w:tc>
          <w:tcPr>
            <w:tcW w:w="196" w:type="dxa"/>
            <w:tcBorders/>
            <w:shd w:fill="CCEEFF" w:val="clear"/>
            <w:vAlign w:val="center"/>
          </w:tcPr>
          <w:p>
            <w:pPr>
              <w:pStyle w:val="TableContents"/>
              <w:bidi w:val="0"/>
              <w:spacing w:before="0" w:after="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center"/>
              <w:rPr/>
            </w:pPr>
            <w:r>
              <w:rPr/>
              <w:t>​</w:t>
            </w:r>
          </w:p>
        </w:tc>
      </w:tr>
      <w:tr>
        <w:trPr/>
        <w:tc>
          <w:tcPr>
            <w:tcW w:w="39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Leases</w:t>
            </w:r>
          </w:p>
        </w:tc>
        <w:tc>
          <w:tcPr>
            <w:tcW w:w="331"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Leases</w:t>
            </w:r>
          </w:p>
        </w:tc>
        <w:tc>
          <w:tcPr>
            <w:tcW w:w="331"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c>
          <w:tcPr>
            <w:tcW w:w="22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Leases</w:t>
            </w:r>
          </w:p>
        </w:tc>
        <w:tc>
          <w:tcPr>
            <w:tcW w:w="331"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Leases</w:t>
            </w:r>
          </w:p>
        </w:tc>
        <w:tc>
          <w:tcPr>
            <w:tcW w:w="331" w:type="dxa"/>
            <w:tcBorders/>
            <w:vAlign w:val="center"/>
          </w:tcPr>
          <w:p>
            <w:pPr>
              <w:pStyle w:val="TableContents"/>
              <w:bidi w:val="0"/>
              <w:spacing w:before="0" w:after="0"/>
              <w:ind w:left="0" w:right="0" w:hanging="0"/>
              <w:jc w:val="center"/>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395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paid for amounts included in the measurement of lease 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r>
        <w:trPr/>
        <w:tc>
          <w:tcPr>
            <w:tcW w:w="395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flows used for operating leases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8,724</w:t>
            </w:r>
          </w:p>
        </w:tc>
        <w:tc>
          <w:tcPr>
            <w:tcW w:w="33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33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8,843</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7,246</w:t>
            </w:r>
          </w:p>
        </w:tc>
        <w:tc>
          <w:tcPr>
            <w:tcW w:w="331"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3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7,339</w:t>
            </w:r>
          </w:p>
        </w:tc>
      </w:tr>
      <w:tr>
        <w:trPr/>
        <w:tc>
          <w:tcPr>
            <w:tcW w:w="395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cash flows used for finance leases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31"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31"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31"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r>
      <w:tr>
        <w:trPr/>
        <w:tc>
          <w:tcPr>
            <w:tcW w:w="39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395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r>
        <w:trPr/>
        <w:tc>
          <w:tcPr>
            <w:tcW w:w="395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ROU assets obtained in exchange for lease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395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ROU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5,397</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31"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5,346</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w:t>
            </w:r>
          </w:p>
        </w:tc>
        <w:tc>
          <w:tcPr>
            <w:tcW w:w="331"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w:t>
            </w:r>
          </w:p>
        </w:tc>
      </w:tr>
      <w:tr>
        <w:trPr/>
        <w:tc>
          <w:tcPr>
            <w:tcW w:w="395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ROU assets obtained in exchange for lease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r>
      <w:tr>
        <w:trPr/>
        <w:tc>
          <w:tcPr>
            <w:tcW w:w="395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ROU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shd w:fill="CCEEFF" w:val="clear"/>
            <w:vAlign w:val="center"/>
          </w:tcPr>
          <w:p>
            <w:pPr>
              <w:pStyle w:val="TableContents"/>
              <w:bidi w:val="0"/>
              <w:spacing w:before="0" w:after="0"/>
              <w:ind w:left="0" w:right="0" w:hanging="0"/>
              <w:jc w:val="right"/>
              <w:rPr/>
            </w:pPr>
            <w:r>
              <w:rPr/>
              <w:t>—</w:t>
            </w:r>
          </w:p>
        </w:tc>
      </w:tr>
      <w:tr>
        <w:trPr/>
        <w:tc>
          <w:tcPr>
            <w:tcW w:w="395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Derecognition of ROU assets due to terminations, impairment or modifications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6" w:type="dxa"/>
            <w:tcBorders/>
            <w:vAlign w:val="center"/>
          </w:tcPr>
          <w:p>
            <w:pPr>
              <w:pStyle w:val="TableContents"/>
              <w:bidi w:val="0"/>
              <w:spacing w:before="0" w:after="0"/>
              <w:ind w:left="0" w:right="0" w:hanging="0"/>
              <w:jc w:val="right"/>
              <w:rPr/>
            </w:pPr>
            <w:r>
              <w:rPr/>
              <w:t>—</w:t>
            </w:r>
          </w:p>
        </w:tc>
      </w:tr>
      <w:tr>
        <w:trPr/>
        <w:tc>
          <w:tcPr>
            <w:tcW w:w="395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r>
        <w:trPr/>
        <w:tc>
          <w:tcPr>
            <w:tcW w:w="39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395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Information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r>
        <w:trPr/>
        <w:tc>
          <w:tcPr>
            <w:tcW w:w="395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term—finance leases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14.61</w:t>
            </w:r>
          </w:p>
        </w:tc>
        <w:tc>
          <w:tcPr>
            <w:tcW w:w="33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15.63</w:t>
            </w:r>
          </w:p>
        </w:tc>
        <w:tc>
          <w:tcPr>
            <w:tcW w:w="33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395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9.63</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w:t>
            </w:r>
          </w:p>
        </w:tc>
        <w:tc>
          <w:tcPr>
            <w:tcW w:w="33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r>
        <w:trPr/>
        <w:tc>
          <w:tcPr>
            <w:tcW w:w="395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rate—finance leases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67"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6.66</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395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67"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40" w:after="0"/>
        <w:ind w:left="0" w:right="0" w:firstLine="490"/>
        <w:jc w:val="both"/>
        <w:rPr>
          <w:rFonts w:ascii="Times New Roman;Times;serif" w:hAnsi="Times New Roman;Times;serif"/>
          <w:sz w:val="20"/>
        </w:rPr>
      </w:pPr>
      <w:r>
        <w:rPr>
          <w:rFonts w:ascii="Times New Roman;Times;serif" w:hAnsi="Times New Roman;Times;serif"/>
          <w:sz w:val="20"/>
        </w:rPr>
        <w:t>Information regarding the Company’s minimum future lease obligations as of April 1, 2026 is as follows (in thousands):</w:t>
      </w:r>
    </w:p>
    <w:p>
      <w:pPr>
        <w:pStyle w:val="TextBody"/>
        <w:bidi w:val="0"/>
        <w:spacing w:before="0" w:after="240"/>
        <w:ind w:left="0" w:right="0" w:hanging="0"/>
        <w:jc w:val="both"/>
        <w:rPr/>
      </w:pPr>
      <w:r>
        <w:rPr/>
        <w:t>​</w:t>
      </w:r>
    </w:p>
    <w:tbl>
      <w:tblPr>
        <w:tblW w:w="7433" w:type="dxa"/>
        <w:jc w:val="left"/>
        <w:tblInd w:w="0" w:type="dxa"/>
        <w:tblLayout w:type="fixed"/>
        <w:tblCellMar>
          <w:top w:w="0" w:type="dxa"/>
          <w:left w:w="0" w:type="dxa"/>
          <w:bottom w:w="0" w:type="dxa"/>
          <w:right w:w="0" w:type="dxa"/>
        </w:tblCellMar>
      </w:tblPr>
      <w:tblGrid>
        <w:gridCol w:w="3271"/>
        <w:gridCol w:w="346"/>
        <w:gridCol w:w="320"/>
        <w:gridCol w:w="865"/>
        <w:gridCol w:w="346"/>
        <w:gridCol w:w="211"/>
        <w:gridCol w:w="796"/>
        <w:gridCol w:w="346"/>
        <w:gridCol w:w="211"/>
        <w:gridCol w:w="72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7085" cy="175260"/>
                      <wp:effectExtent l="0" t="0" r="0" b="0"/>
                      <wp:wrapNone/>
                      <wp:docPr id="205" name="Frame205"/>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3200" cy="175260"/>
                      <wp:effectExtent l="0" t="0" r="0" b="0"/>
                      <wp:wrapNone/>
                      <wp:docPr id="207" name="Frame20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49275" cy="175260"/>
                      <wp:effectExtent l="0" t="0" r="0" b="0"/>
                      <wp:wrapNone/>
                      <wp:docPr id="208" name="Frame20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05460" cy="175260"/>
                      <wp:effectExtent l="0" t="0" r="0" b="0"/>
                      <wp:wrapNone/>
                      <wp:docPr id="211" name="Frame2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57835" cy="175260"/>
                      <wp:effectExtent l="0" t="0" r="0" b="0"/>
                      <wp:wrapNone/>
                      <wp:docPr id="214" name="Frame21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346" w:type="dxa"/>
            <w:tcBorders/>
            <w:vAlign w:val="center"/>
          </w:tcPr>
          <w:p>
            <w:pPr>
              <w:pStyle w:val="TableContents"/>
              <w:bidi w:val="0"/>
              <w:spacing w:before="0" w:after="1"/>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Sublease</w:t>
            </w:r>
          </w:p>
        </w:tc>
      </w:tr>
      <w:tr>
        <w:trPr/>
        <w:tc>
          <w:tcPr>
            <w:tcW w:w="3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Years Ending</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30, 2026</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5,642</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2027</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5,553</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27, 2028</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5,258</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26, 2029</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4,682</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25, 2030</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4,333</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27,233</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52,701</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 (2.57% - 7.87%)</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187,478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maturities</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i/>
          <w:sz w:val="20"/>
        </w:rPr>
      </w:pPr>
      <w:r>
        <w:rPr>
          <w:rFonts w:ascii="Times New Roman;Times;serif" w:hAnsi="Times New Roman;Times;serif"/>
          <w:i/>
          <w:sz w:val="20"/>
        </w:rPr>
        <w:t>Short-Term Leases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pStyle w:val="TextBody"/>
        <w:bidi w:val="0"/>
        <w:spacing w:before="360" w:after="0"/>
        <w:ind w:left="245" w:right="0" w:hanging="0"/>
        <w:jc w:val="both"/>
        <w:rPr>
          <w:rFonts w:ascii="Times New Roman;Times;serif" w:hAnsi="Times New Roman;Times;serif"/>
          <w:i/>
          <w:sz w:val="20"/>
        </w:rPr>
      </w:pPr>
      <w:r>
        <w:rPr>
          <w:rFonts w:ascii="Times New Roman;Times;serif" w:hAnsi="Times New Roman;Times;serif"/>
          <w:i/>
          <w:sz w:val="20"/>
        </w:rPr>
        <w:t>Lessor</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is a lessor for certain property and facilities  owned by the Company and leased to others, principally franchisees, under non-cancelable leases with initial terms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20 years. These lease agreements generally provide for a fixed base rent and, in some instances, contingent rent based on a percentage of gross operating profit or net revenues. All leases are considered operating leases.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received $0.3 million and $0.1 million of lease income from company-owned locations for the thirteen weeks ended April 1, 2026 and March 26, 2025. </w:t>
      </w:r>
    </w:p>
    <w:p>
      <w:pPr>
        <w:pStyle w:val="TextBody"/>
        <w:bidi w:val="0"/>
        <w:spacing w:before="0" w:after="240"/>
        <w:ind w:left="0" w:right="0" w:hanging="0"/>
        <w:jc w:val="left"/>
        <w:rPr/>
      </w:pPr>
      <w:r>
        <w:rPr/>
        <w:t>​</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12. SEGMENT REPORTING</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Operating segments are defined as components of a company that engage in business activities from which it may earn revenue and incur expenses, and for which separate financial information is available and is regularly reviewed by the chief operating decision maker (</w:t>
      </w:r>
      <w:r>
        <w:rPr>
          <w:rFonts w:ascii="Times New Roman;Times;serif" w:hAnsi="Times New Roman;Times;serif"/>
          <w:sz w:val="20"/>
        </w:rPr>
        <w:t>"</w:t>
      </w:r>
      <w:r>
        <w:rPr>
          <w:rFonts w:ascii="Times New Roman;Times;serif" w:hAnsi="Times New Roman;Times;serif"/>
          <w:sz w:val="20"/>
          <w:shd w:fill="FFFFFF" w:val="clear"/>
        </w:rPr>
        <w:t>CODM</w:t>
      </w:r>
      <w:r>
        <w:rPr>
          <w:rFonts w:ascii="Times New Roman;Times;serif" w:hAnsi="Times New Roman;Times;serif"/>
          <w:sz w:val="20"/>
        </w:rPr>
        <w:t>"</w:t>
      </w:r>
      <w:r>
        <w:rPr>
          <w:rFonts w:ascii="Times New Roman;Times;serif" w:hAnsi="Times New Roman;Times;serif"/>
          <w:sz w:val="20"/>
          <w:shd w:fill="FFFFFF" w:val="clear"/>
        </w:rPr>
        <w:t>) to assess the performance of the individual segments and make decisions about company resources such as personnel and working capital to be allocated to the segments.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derives revenue</w:t>
      </w:r>
      <w:r>
        <w:rPr>
          <w:rFonts w:ascii="Times New Roman;Times;serif" w:hAnsi="Times New Roman;Times;serif"/>
          <w:sz w:val="20"/>
          <w:shd w:fill="FFFFFF" w:val="clear"/>
        </w:rPr>
        <w:t xml:space="preserve"> from three primary sources: (1) company-operated restaurant revenue, (2) franchise revenue, which is comprised primarily of franchise royalties and, to a lesser extent, franchise fees and sublease rental income, and (3) franchise advertising fee revenue.</w:t>
      </w:r>
      <w:r>
        <w:rPr>
          <w:rFonts w:ascii="Times New Roman;Times;serif" w:hAnsi="Times New Roman;Times;serif"/>
          <w:sz w:val="20"/>
        </w:rPr>
        <w:t xml:space="preserve"> All significant revenues relate to retail sales of food and beverages through either company-operated or franchise-operated restaurants.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color w:val="212529"/>
          <w:sz w:val="20"/>
          <w:shd w:fill="FFFFFF" w:val="clear"/>
        </w:rPr>
        <w:t>The Company determined that it has one operating segment and one reportable segment which is reflected in the Company’s current organizational and management structure.</w:t>
      </w:r>
      <w:r>
        <w:rPr>
          <w:rFonts w:ascii="Times New Roman;Times;serif" w:hAnsi="Times New Roman;Times;serif"/>
          <w:sz w:val="20"/>
          <w:shd w:fill="FFFFFF" w:val="clear"/>
        </w:rPr>
        <w:t xml:space="preserv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The Company’s CODM is the Chief Executive Officer who manages the Company’s operations on a reportable segment basis. </w:t>
      </w:r>
      <w:r>
        <w:rPr>
          <w:rFonts w:ascii="Times New Roman;Times;serif" w:hAnsi="Times New Roman;Times;serif"/>
          <w:color w:val="212529"/>
          <w:sz w:val="20"/>
          <w:shd w:fill="FFFFFF" w:val="clear"/>
        </w:rPr>
        <w:t xml:space="preserve">The Company’s CODM reviews its operations and financial performance at a consolidated level by comparing actual results to budgeted figures and prior year results. This approach allows the CODM to assess whether the Company’s operating segment is meeting its financial goals, identify trends and make more informed decisions about resource allocation and performance targets. </w:t>
      </w:r>
    </w:p>
    <w:p>
      <w:pPr>
        <w:pStyle w:val="TextBody"/>
        <w:bidi w:val="0"/>
        <w:spacing w:before="24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When evaluating the Company’s financial performance, the CODM regularly reviews total revenue, segment expenses and consolidated net income as reported on the Consolidated Statements of Income as well as non-GAAP measures such as restaurant contribution margin and Adjusted EBITDA to allocate Company resources and assess the performance of the Company. Segment asset information is not used by the CODM to assess performance and allocate resources.</w:t>
      </w:r>
    </w:p>
    <w:p>
      <w:pPr>
        <w:pStyle w:val="TextBody"/>
        <w:bidi w:val="0"/>
        <w:spacing w:before="240" w:after="0"/>
        <w:ind w:left="0" w:right="0" w:firstLine="490"/>
        <w:jc w:val="both"/>
        <w:rPr/>
      </w:pPr>
      <w:r>
        <w:rPr/>
        <w:t>​</w:t>
      </w:r>
    </w:p>
    <w:p>
      <w:pPr>
        <w:pStyle w:val="TextBody"/>
        <w:bidi w:val="0"/>
        <w:spacing w:before="240" w:after="0"/>
        <w:ind w:left="0" w:right="0" w:firstLine="490"/>
        <w:jc w:val="both"/>
        <w:rPr/>
      </w:pPr>
      <w:r>
        <w:rPr/>
        <w:t>​</w:t>
      </w:r>
    </w:p>
    <w:p>
      <w:pPr>
        <w:pStyle w:val="TextBody"/>
        <w:bidi w:val="0"/>
        <w:spacing w:before="24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994" w:name="Tc_qG2ifzY7yEmSBB1Sx8jgpw_17_5"/>
      <w:bookmarkStart w:id="995" w:name="Tc_IPb0i7wam06yUvJCcSN13w_17_2"/>
      <w:bookmarkStart w:id="996" w:name="Tc_kl8ma6HI4EiWDEbHAmh2Cg_17_0"/>
      <w:bookmarkStart w:id="997" w:name="Tc_iv4iWUxJz06Qgmj64scgyg_16_0"/>
      <w:bookmarkStart w:id="998" w:name="Tc_h2ebuQrG80egXvZ_PsvSpg_15_0"/>
      <w:bookmarkStart w:id="999" w:name="Tc_ENSIMbc_D0SSSydf5G3pfw_14_0"/>
      <w:bookmarkStart w:id="1000" w:name="Tc_UTSsCIeJuEuCXIKMqTVBow_13_0"/>
      <w:bookmarkStart w:id="1001" w:name="Tc_wuE-cgOBbk6l1Z1PntbkYw_12_0"/>
      <w:bookmarkStart w:id="1002" w:name="Tc_mKPJfQP9r0685-vFLHWK1w_11_0"/>
      <w:bookmarkStart w:id="1003" w:name="Tc_k2OFGldZnEu5Wf29C8s22Q_10_0"/>
      <w:bookmarkStart w:id="1004" w:name="Tc_9b-E1O_qxU6eAunP04ydgQ_9_0"/>
      <w:bookmarkStart w:id="1005" w:name="Tc_Rb9BqHIdyU-E_9fYKXl23Q_8_0"/>
      <w:bookmarkStart w:id="1006" w:name="Tc_eKcPi6-XWEO3atgpqBxyjQ_7_0"/>
      <w:bookmarkStart w:id="1007" w:name="Tc_Uz5910d1N0mTlPS6fuDy9Q_6_0"/>
      <w:bookmarkStart w:id="1008" w:name="Tc_tKZ0PRZH10GcwBmAcSLzKw_5_0"/>
      <w:bookmarkStart w:id="1009" w:name="Tc_4EVkkHJPtU-MnVxNjvGN9A_4_0"/>
      <w:bookmarkStart w:id="1010" w:name="Tc_ga3cHqDaMEuK-BZIWfd1cg_3_5"/>
      <w:bookmarkStart w:id="1011" w:name="Tc_Rj5NplhS8EuaNFKmMojzPQ_3_2"/>
      <w:bookmarkStart w:id="1012" w:name="Tc_uoTgdpMf20i6ljMxws4evQ_3_0"/>
      <w:bookmarkStart w:id="1013" w:name="Tc__xHh0ErB402MZr0bsaN5lA_2_5"/>
      <w:bookmarkStart w:id="1014" w:name="Tc_Kd5UielMzUyHPr34qOFzzw_2_2"/>
      <w:bookmarkStart w:id="1015" w:name="Tc_RvYL2EvHJkKVkbGVESlUxw_1_2"/>
      <w:bookmarkStart w:id="1016" w:name="_83c5432f_e0f0_4726_a29c_e1eca2f26048"/>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Pr>
          <w:rFonts w:ascii="Times New Roman;Times;serif" w:hAnsi="Times New Roman;Times;serif"/>
          <w:sz w:val="20"/>
        </w:rPr>
        <w:t>The table below is a summary of the segment net income, including significant segment expenses for the thirteen weeks ended April 1, 2026 and March 26, 2025 (in thousands):</w:t>
      </w:r>
    </w:p>
    <w:p>
      <w:pPr>
        <w:pStyle w:val="TextBody"/>
        <w:bidi w:val="0"/>
        <w:spacing w:before="0" w:after="0"/>
        <w:ind w:left="0" w:right="0" w:hanging="0"/>
        <w:jc w:val="left"/>
        <w:rPr/>
      </w:pPr>
      <w:r>
        <w:rPr/>
        <w:t>​</w:t>
      </w:r>
    </w:p>
    <w:tbl>
      <w:tblPr>
        <w:tblW w:w="5918" w:type="dxa"/>
        <w:jc w:val="left"/>
        <w:tblInd w:w="0" w:type="dxa"/>
        <w:tblLayout w:type="fixed"/>
        <w:tblCellMar>
          <w:top w:w="0" w:type="dxa"/>
          <w:left w:w="0" w:type="dxa"/>
          <w:bottom w:w="0" w:type="dxa"/>
          <w:right w:w="0" w:type="dxa"/>
        </w:tblCellMar>
      </w:tblPr>
      <w:tblGrid>
        <w:gridCol w:w="3091"/>
        <w:gridCol w:w="346"/>
        <w:gridCol w:w="226"/>
        <w:gridCol w:w="840"/>
        <w:gridCol w:w="109"/>
        <w:gridCol w:w="265"/>
        <w:gridCol w:w="104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962785" cy="175260"/>
                      <wp:effectExtent l="0" t="0" r="0" b="0"/>
                      <wp:wrapNone/>
                      <wp:docPr id="215" name="Frame21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3510" cy="175260"/>
                      <wp:effectExtent l="0" t="0" r="0" b="0"/>
                      <wp:wrapNone/>
                      <wp:docPr id="217" name="Frame2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33400" cy="175260"/>
                      <wp:effectExtent l="0" t="0" r="0" b="0"/>
                      <wp:wrapNone/>
                      <wp:docPr id="218" name="Frame218"/>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8275" cy="175260"/>
                      <wp:effectExtent l="0" t="0" r="0" b="0"/>
                      <wp:wrapNone/>
                      <wp:docPr id="220" name="Frame22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61035" cy="175260"/>
                      <wp:effectExtent l="0" t="0" r="0" b="0"/>
                      <wp:wrapNone/>
                      <wp:docPr id="221" name="Frame221"/>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126,182</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119,177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26,389</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31,839</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12,794</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8,083</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19,247</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113,965</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110,205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w:t>
            </w:r>
          </w:p>
        </w:tc>
        <w:tc>
          <w:tcPr>
            <w:tcW w:w="109"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segment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5,481</w:t>
            </w:r>
          </w:p>
        </w:tc>
      </w:tr>
    </w:tbl>
    <w:p>
      <w:pPr>
        <w:pStyle w:val="TextBody"/>
        <w:bidi w:val="0"/>
        <w:spacing w:before="0" w:after="0"/>
        <w:ind w:left="0" w:right="0" w:hanging="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operating expenses are comprised of utilities, repairs and maintenance, advertising, credit card processing fees, delivery service provider fees, restaurant supplies and other restaurant operating costs. </w:t>
            </w:r>
          </w:p>
        </w:tc>
      </w:tr>
    </w:tbl>
    <w:tbl>
      <w:tblPr>
        <w:tblW w:w="8567" w:type="dxa"/>
        <w:jc w:val="left"/>
        <w:tblInd w:w="0" w:type="dxa"/>
        <w:tblLayout w:type="fixed"/>
        <w:tblCellMar>
          <w:top w:w="0" w:type="dxa"/>
          <w:left w:w="0" w:type="dxa"/>
          <w:bottom w:w="0" w:type="dxa"/>
          <w:right w:w="0" w:type="dxa"/>
        </w:tblCellMar>
      </w:tblPr>
      <w:tblGrid>
        <w:gridCol w:w="286"/>
        <w:gridCol w:w="828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8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expenses include loss on disposal of assets, and impairment and closed-store reserves.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17" w:name="Item2ManagementsDiscussionandAnalysisofF"/>
      <w:bookmarkStart w:id="1018" w:name="_c20bfd03_644e_43d4_ac15_0af0ba2be40c"/>
      <w:bookmarkEnd w:id="1017"/>
      <w:bookmarkEnd w:id="1018"/>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120" w:after="0"/>
        <w:ind w:left="245" w:right="0" w:hanging="0"/>
        <w:jc w:val="both"/>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federal securities laws that are subject to risks and uncertainties. All statements other than statements of historical fact included in this report are forward-looking statements. Examples of forward-looking statements in this report include, but are not limited to, discussions of our current expectations, projections, intentions, or beliefs relating to our financial condition, results of operations, liquidity, prospects, growth, trends, strategies, and the industry in which we operate.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used in connection with any discussion of the timing or nature of future operating or financial performance or other events. All forward-looking statements are subject to risks and uncertainties that could cause actual results to differ materially from those that we expected.While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 our ability to open new restaurants in new and existing markets; our ability to compete successfully; global economic or other business conditions, including trade policies, tariff and import regulations by the United States, as well as consumer preferences; our ability to attract, develop, assimilate, and retain employees; our vulnerability to regional geographic conditions; our ability to maintain business continuity in the event of a disaster or disruption; impairment of our assets; changes in food and supply costs, especially for chicken, labor, construction and utilities; the impacts public health crises; potential negative publicity; our ability to continue to expand our digital business, delivery orders and catering; concerns about food safety and quality and about food-borne illness; dependence on frequent and timely deliveries of food and supplies; our ability to service our level of indebtedness; the success of our marketing programs, new menu items, advertising campaigns and restaurant designs and remodels; risks related to our dependence on our franchisees, including their vulnerability to economic changes; exposure from our self-insurance programs; obligations under long-term and non-cancelable leases, and our ability to renew leases at the end of their terms; our ability to achieve our corporate responsibility goals; information technology system failures, cybersecurity breaches, or failure to protect our customers’ data or personal information; our ability to enforce and maintain our intellectual property; the impact of federal, state and local laws, including those governing our relationships with our employees fluctuations in our quarterly operating results due to seasonality and other factors; any future offerings of debt or equity securities that may impact the market price of our common stock or dilute existing shareholders’ ownership; the possibility that Delaware law, our organizational documents, our shareholder rights agreement, and our existing and future debt agreements may impede or discourage a takeover; the impact of shareholder activism on our expenses, business and stock price; and the risks set forth in our filings with the SEC from time to time, including under Item 1A, Risk Factors in our Annual Report on Form 10-K for the year ended December 25, 2025, which filings are available online at www.sec.gov. 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and we caution you to not place undue reliance on any forward-looking statement made in this report.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019" w:name="_69f1b419_63a2_468a_8719_f702a64f8d97"/>
      <w:bookmarkEnd w:id="1019"/>
      <w:r>
        <w:rPr>
          <w:rFonts w:ascii="Times New Roman;Times;serif" w:hAnsi="Times New Roman;Times;serif"/>
          <w:b/>
          <w:sz w:val="20"/>
        </w:rPr>
        <w:t>Overview</w:t>
      </w:r>
    </w:p>
    <w:p>
      <w:pPr>
        <w:pStyle w:val="TextBody"/>
        <w:bidi w:val="0"/>
        <w:spacing w:before="12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El Pollo Loco is a differentiated and growing restaurant concept that specializes in fire-grilling citrus-marinated chicken and operates in the limited service restaurant segment. We strive to offer quality chicken served fast and easy. Our distinctive menu features our signature product--citrus-marinated fire-grilled chicken--and a variety of Mexican and LA-inspired entrees that we create from our chicken. We serve individual and family-sized chicken meals, including a variety of entrees like our Double Chicken Tostada, Guacamole Chicken Burrito, and Salsa Verde Chicken Quesadilla. Our famous Creamy Cilantro dressings and salsas are prepared fresh daily, allowing our customers to create their favorite flavor profiles to enhance their culinary experience. We believe that our distinctive menu that features quality chicken is a flavorful and affordable option that appeals to consumers across a wide variety of socio-economic backgrounds and drives our balanced composition of sales throughout the day, including at lunch and dinner. In 2025, El Pollo Loco launched a brand refresh, inclusive of a new advertising campaign, restaurant design, new products, and an emphasis on hospitality in our restaurants. All these elements reinforce our position in the market of “Quality Chicken, Fast &amp; Easy.”</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Market Trends and Uncertainties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California legislation increasing wages of fast food workers, we experienced an increase in our labor and regulatory compliance costs in recent periods. Although we have been able to substantially offset these cost pressures through various actions, such as increasing menu prices, managing menu mix, and productivity improvements, we expect these cost pressures to continue in 2026.</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we are impacted by macroeconomic challenges, such as inflationary pressures and changes in trade policies, that have in the past affected, and may continue in the future, to affect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in 2026 and we may not be able to offset cost increases in the future. Global events, such as the recent outbreak of war in Iran, may also impact our business costs, including the costs of transportation and energy.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There is ongoing uncertainty regarding increased tariff duties on goods imported into the United States, which has </w:t>
      </w:r>
      <w:r>
        <w:rPr>
          <w:rFonts w:ascii="Times New Roman;Times;serif" w:hAnsi="Times New Roman;Times;serif"/>
          <w:sz w:val="20"/>
        </w:rPr>
        <w:t>caused substantial market uncertainty and in certain cases, retaliatory measures by trading partners. Such changes include the imposition of tariffs under the authority of the International Emergency Economic Powers Act, which the U.S. Supreme Court found unlawful in February 2026, the creation of a refund process for such tariff duties, and the imposition of new tariffs under other statutory authorities.</w:t>
      </w:r>
      <w:r>
        <w:rPr>
          <w:rFonts w:ascii="Times New Roman;Times;serif" w:hAnsi="Times New Roman;Times;serif"/>
          <w:sz w:val="20"/>
          <w:shd w:fill="FFFFFF" w:val="clear"/>
        </w:rPr>
        <w:t xml:space="preserve"> Certain of the produce, packaging materials, and other items procured by our Company are sourced from outside the United States, including from Canada, Mexico and Asia. Current and proposed tariff rates range widely, depending on the country of origin. Certain goods from Canada and Mexico that are compliant with the United States-Mexico-Canada Agreement (USMCA) are, and may continue to be, exempt from new tariffs. While we continue to evaluate the potential impacts of increased tariff rates, as well as our ability to mitigate any such related impacts, we anticipate that the imposition of tariffs on goods we import into the United States will adversely impact our revenue and cost of goods sold in the United States. Any new or increased import duties, tariffs, or taxes, or other changes in U.S. trade or tax policy could result in further increases to our food and supplies costs that would adversely impact our financial results.</w:t>
      </w:r>
      <w:r>
        <w:rPr>
          <w:rFonts w:ascii="Times New Roman;Times;serif" w:hAnsi="Times New Roman;Times;serif"/>
          <w:sz w:val="20"/>
        </w:rPr>
        <w:t xml:space="preserve"> For additional information, see “Item 1A. Risk Factors,” in our Annual Report on Form 10-K for the year ended December 31, 2025, including the risk factor titled “</w:t>
      </w:r>
      <w:r>
        <w:rPr>
          <w:rFonts w:ascii="Times New Roman;Times;serif" w:hAnsi="Times New Roman;Times;serif"/>
          <w:i/>
          <w:sz w:val="20"/>
        </w:rPr>
        <w:t>We are vulnerable to changes in political and economic conditions, such as trade policies, tariff and import regulations by the United States, as well as consumer preferences.”</w:t>
      </w:r>
      <w:r>
        <w:rPr>
          <w:rFonts w:ascii="Times New Roman;Times;serif" w:hAnsi="Times New Roman;Times;serif"/>
          <w:sz w:val="20"/>
        </w:rPr>
        <w:t xml:space="preserve"> </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Growth Strategies and Outlook</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As of April 1, 2026, we had 505 locations in nine states. In fiscal 2025, we opened one new company-operated restaurants in California, and our franchisees opened eight new restaurants, two in California, two in Arizona, and one in each of the following states: Colorado, Texas, New Mexico and Washington. For the thirteen weeks ended April 1, 2026, our franchisees opened one new restaurant in California and the Company opened one new restaurant in Texas.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We plan to continue to expand our business, drive restaurant sales growth, and enhance our competitive positioning by executing the following five key strategies:</w:t>
      </w:r>
    </w:p>
    <w:tbl>
      <w:tblPr>
        <w:tblW w:w="1971" w:type="dxa"/>
        <w:jc w:val="left"/>
        <w:tblInd w:w="0" w:type="dxa"/>
        <w:tblLayout w:type="fixed"/>
        <w:tblCellMar>
          <w:top w:w="28" w:type="dxa"/>
          <w:left w:w="28" w:type="dxa"/>
          <w:bottom w:w="28" w:type="dxa"/>
          <w:right w:w="28" w:type="dxa"/>
        </w:tblCellMar>
      </w:tblPr>
      <w:tblGrid>
        <w:gridCol w:w="124"/>
        <w:gridCol w:w="25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That Wins;</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Mindset;</w:t>
            </w:r>
          </w:p>
        </w:tc>
      </w:tr>
    </w:tbl>
    <w:tbl>
      <w:tblPr>
        <w:tblW w:w="1566" w:type="dxa"/>
        <w:jc w:val="left"/>
        <w:tblInd w:w="0" w:type="dxa"/>
        <w:tblLayout w:type="fixed"/>
        <w:tblCellMar>
          <w:top w:w="28" w:type="dxa"/>
          <w:left w:w="28" w:type="dxa"/>
          <w:bottom w:w="28" w:type="dxa"/>
          <w:right w:w="28" w:type="dxa"/>
        </w:tblCellMar>
      </w:tblPr>
      <w:tblGrid>
        <w:gridCol w:w="124"/>
        <w:gridCol w:w="256"/>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First;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Unit Economics; and</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Unit Growth Again with National Expansion.</w:t>
            </w:r>
          </w:p>
        </w:tc>
      </w:tr>
    </w:tbl>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To increase comparable restaurant sales, we plan to increase customer frequency, attract new customers, and improve per-person spend.</w:t>
      </w:r>
      <w:r>
        <w:rPr>
          <w:rFonts w:ascii="Times New Roman;Times;serif" w:hAnsi="Times New Roman;Times;serif"/>
          <w:sz w:val="20"/>
        </w:rPr>
        <w:t xml:space="preserve"> The success of these growth plans is not guaranteed.</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Highlights and Trends</w:t>
      </w:r>
    </w:p>
    <w:p>
      <w:pPr>
        <w:pStyle w:val="TextBody"/>
        <w:bidi w:val="0"/>
        <w:spacing w:before="120" w:after="0"/>
        <w:ind w:left="245" w:right="0" w:hanging="0"/>
        <w:jc w:val="both"/>
        <w:rPr>
          <w:rFonts w:ascii="Times New Roman;Times;serif" w:hAnsi="Times New Roman;Times;serif"/>
          <w:i/>
          <w:sz w:val="20"/>
        </w:rPr>
      </w:pPr>
      <w:r>
        <w:rPr>
          <w:rFonts w:ascii="Times New Roman;Times;serif" w:hAnsi="Times New Roman;Times;serif"/>
          <w:i/>
          <w:sz w:val="20"/>
        </w:rPr>
        <w:t>Revenue Overview</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For the thirteen weeks ended April 1, 2026, our total revenue was $126.2 million. For the thirteen weeks ended April 1, 2026, our company-operated restaurant revenue was $105.9 million, and our franchise revenue and franchise advertising fee revenue was $20.3 million.</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Comparable Restaurant Sales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thirteen weeks ended April 1, 2026, system-wide comparable restaurant sales increased by 5.8% from the comparable period in the prior year. For company-operated restaurants, comparable restaurant sales for the thirteen weeks ended April 1, 2026 increased by 5.4%</w:t>
      </w:r>
      <w:r>
        <w:rPr>
          <w:rFonts w:ascii="Times New Roman;Times;serif" w:hAnsi="Times New Roman;Times;serif"/>
          <w:sz w:val="20"/>
          <w:shd w:fill="FFFFFF" w:val="clear"/>
        </w:rPr>
        <w:t xml:space="preserve">. </w:t>
      </w:r>
      <w:r>
        <w:rPr>
          <w:rFonts w:ascii="Times New Roman;Times;serif" w:hAnsi="Times New Roman;Times;serif"/>
          <w:sz w:val="20"/>
        </w:rPr>
        <w:t>For franchise-operated restaurants, comparable restaurant sales increased by 6.1% for the thirteen weeks ended April 1, 2026. A restaurant enters our comparable restaurant base the first full week after its 15-month anniversary. System-wide comparable restaurant sales include restaurant sales at all comparable company-operated restaurants and at all comparable franchise-operated restaurants, as reported by franchisees. Refer to “Comparable Restaurant Sales” definition in the section titled “Key Performance Indicators” below.</w:t>
      </w:r>
    </w:p>
    <w:tbl>
      <w:tblPr>
        <w:tblW w:w="6064" w:type="dxa"/>
        <w:jc w:val="left"/>
        <w:tblInd w:w="0" w:type="dxa"/>
        <w:tblLayout w:type="fixed"/>
        <w:tblCellMar>
          <w:top w:w="0" w:type="dxa"/>
          <w:left w:w="0" w:type="dxa"/>
          <w:bottom w:w="0" w:type="dxa"/>
          <w:right w:w="0" w:type="dxa"/>
        </w:tblCellMar>
      </w:tblPr>
      <w:tblGrid>
        <w:gridCol w:w="3001"/>
        <w:gridCol w:w="346"/>
        <w:gridCol w:w="533"/>
        <w:gridCol w:w="533"/>
        <w:gridCol w:w="346"/>
        <w:gridCol w:w="708"/>
        <w:gridCol w:w="597"/>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905635" cy="175260"/>
                      <wp:effectExtent l="0" t="0" r="0" b="0"/>
                      <wp:wrapNone/>
                      <wp:docPr id="222" name="Frame222"/>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38455" cy="175260"/>
                      <wp:effectExtent l="0" t="0" r="0" b="0"/>
                      <wp:wrapNone/>
                      <wp:docPr id="224" name="Frame224"/>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38455" cy="175260"/>
                      <wp:effectExtent l="0" t="0" r="0" b="0"/>
                      <wp:wrapNone/>
                      <wp:docPr id="225" name="Frame225"/>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49580" cy="175260"/>
                      <wp:effectExtent l="0" t="0" r="0" b="0"/>
                      <wp:wrapNone/>
                      <wp:docPr id="227" name="Frame227"/>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79095" cy="175260"/>
                      <wp:effectExtent l="0" t="0" r="0" b="0"/>
                      <wp:wrapNone/>
                      <wp:docPr id="228" name="Frame228"/>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 same store sales</w:t>
            </w:r>
          </w:p>
        </w:tc>
        <w:tc>
          <w:tcPr>
            <w:tcW w:w="346" w:type="dxa"/>
            <w:tcBorders/>
            <w:shd w:fill="CCEEFF" w:val="clear"/>
            <w:vAlign w:val="center"/>
          </w:tcPr>
          <w:p>
            <w:pPr>
              <w:pStyle w:val="TableContents"/>
              <w:bidi w:val="0"/>
              <w:spacing w:before="0" w:after="1"/>
              <w:ind w:left="0" w:right="0" w:hanging="0"/>
              <w:jc w:val="left"/>
              <w:rPr/>
            </w:pPr>
            <w:r>
              <w:rPr/>
              <w:t> </w:t>
            </w:r>
          </w:p>
        </w:tc>
        <w:tc>
          <w:tcPr>
            <w:tcW w:w="5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5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5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Franchise-operated same store sales</w:t>
            </w:r>
          </w:p>
        </w:tc>
        <w:tc>
          <w:tcPr>
            <w:tcW w:w="346" w:type="dxa"/>
            <w:tcBorders/>
            <w:vAlign w:val="center"/>
          </w:tcPr>
          <w:p>
            <w:pPr>
              <w:pStyle w:val="TableContents"/>
              <w:bidi w:val="0"/>
              <w:spacing w:before="0" w:after="1"/>
              <w:ind w:left="0" w:right="0" w:hanging="0"/>
              <w:jc w:val="left"/>
              <w:rPr/>
            </w:pPr>
            <w:r>
              <w:rPr/>
              <w:t>​</w:t>
            </w:r>
          </w:p>
        </w:tc>
        <w:tc>
          <w:tcPr>
            <w:tcW w:w="5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5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5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System-wide same store sales</w:t>
            </w:r>
          </w:p>
        </w:tc>
        <w:tc>
          <w:tcPr>
            <w:tcW w:w="346" w:type="dxa"/>
            <w:tcBorders/>
            <w:shd w:fill="CCEEFF" w:val="clear"/>
            <w:vAlign w:val="center"/>
          </w:tcPr>
          <w:p>
            <w:pPr>
              <w:pStyle w:val="TableContents"/>
              <w:bidi w:val="0"/>
              <w:spacing w:before="0" w:after="1"/>
              <w:ind w:left="0" w:right="0" w:hanging="0"/>
              <w:jc w:val="left"/>
              <w:rPr/>
            </w:pPr>
            <w:r>
              <w:rPr/>
              <w:t> </w:t>
            </w:r>
          </w:p>
        </w:tc>
        <w:tc>
          <w:tcPr>
            <w:tcW w:w="5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5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5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pPr>
      <w:r>
        <w:rPr/>
        <w:t>​</w:t>
      </w:r>
    </w:p>
    <w:p>
      <w:pPr>
        <w:pStyle w:val="TextBody"/>
        <w:bidi w:val="0"/>
        <w:spacing w:before="0" w:after="240"/>
        <w:ind w:left="245" w:right="0" w:hanging="0"/>
        <w:jc w:val="both"/>
        <w:rPr/>
      </w:pPr>
      <w:r>
        <w:rPr/>
        <w:t>​</w:t>
      </w:r>
    </w:p>
    <w:p>
      <w:pPr>
        <w:pStyle w:val="TextBody"/>
        <w:bidi w:val="0"/>
        <w:spacing w:before="0" w:after="240"/>
        <w:ind w:left="245" w:right="0" w:hanging="0"/>
        <w:jc w:val="both"/>
        <w:rPr/>
      </w:pPr>
      <w:r>
        <w:rPr/>
        <w:t>​</w:t>
      </w:r>
    </w:p>
    <w:p>
      <w:pPr>
        <w:pStyle w:val="TextBody"/>
        <w:bidi w:val="0"/>
        <w:spacing w:before="0" w:after="240"/>
        <w:ind w:left="245" w:right="0" w:hanging="0"/>
        <w:jc w:val="both"/>
        <w:rPr/>
      </w:pPr>
      <w:r>
        <w:rPr/>
        <w:t>​</w:t>
      </w:r>
    </w:p>
    <w:p>
      <w:pPr>
        <w:pStyle w:val="TextBody"/>
        <w:bidi w:val="0"/>
        <w:spacing w:before="0" w:after="240"/>
        <w:ind w:left="245" w:right="0" w:hanging="0"/>
        <w:jc w:val="both"/>
        <w:rPr/>
      </w:pPr>
      <w:r>
        <w:rPr/>
        <w:t>​</w:t>
      </w:r>
    </w:p>
    <w:p>
      <w:pPr>
        <w:pStyle w:val="TextBody"/>
        <w:bidi w:val="0"/>
        <w:spacing w:before="0" w:after="240"/>
        <w:ind w:left="245" w:right="0" w:hanging="0"/>
        <w:jc w:val="both"/>
        <w:rPr/>
      </w:pPr>
      <w:r>
        <w:rPr/>
        <w:t>​</w:t>
      </w:r>
    </w:p>
    <w:p>
      <w:pPr>
        <w:pStyle w:val="TextBody"/>
        <w:bidi w:val="0"/>
        <w:spacing w:before="0" w:after="240"/>
        <w:ind w:left="245" w:right="0" w:hanging="0"/>
        <w:jc w:val="both"/>
        <w:rPr/>
      </w:pPr>
      <w:r>
        <w:rPr/>
        <w:t>​</w:t>
      </w:r>
    </w:p>
    <w:p>
      <w:pPr>
        <w:pStyle w:val="TextBody"/>
        <w:bidi w:val="0"/>
        <w:spacing w:before="0" w:after="240"/>
        <w:ind w:left="245"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Restaurant Development</w:t>
      </w:r>
    </w:p>
    <w:p>
      <w:pPr>
        <w:pStyle w:val="TextBody"/>
        <w:bidi w:val="0"/>
        <w:spacing w:before="0" w:after="24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restaurant counts at the beginning and end of each of the last three fiscal years and the thirteen weeks ended April 1, 2026, were as follows:</w:t>
      </w:r>
    </w:p>
    <w:tbl>
      <w:tblPr>
        <w:tblW w:w="6665" w:type="dxa"/>
        <w:jc w:val="left"/>
        <w:tblInd w:w="0" w:type="dxa"/>
        <w:tblLayout w:type="fixed"/>
        <w:tblCellMar>
          <w:top w:w="0" w:type="dxa"/>
          <w:left w:w="0" w:type="dxa"/>
          <w:bottom w:w="0" w:type="dxa"/>
          <w:right w:w="0" w:type="dxa"/>
        </w:tblCellMar>
      </w:tblPr>
      <w:tblGrid>
        <w:gridCol w:w="3601"/>
        <w:gridCol w:w="346"/>
        <w:gridCol w:w="1066"/>
        <w:gridCol w:w="346"/>
        <w:gridCol w:w="130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86635" cy="175260"/>
                      <wp:effectExtent l="0" t="0" r="0" b="0"/>
                      <wp:wrapNone/>
                      <wp:docPr id="229" name="Frame22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76910" cy="175260"/>
                      <wp:effectExtent l="0" t="0" r="0" b="0"/>
                      <wp:wrapNone/>
                      <wp:docPr id="231" name="Frame23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29310" cy="175260"/>
                      <wp:effectExtent l="0" t="0" r="0" b="0"/>
                      <wp:wrapNone/>
                      <wp:docPr id="233" name="Frame23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36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Company-operated restaurant activity</w:t>
            </w:r>
            <w:r>
              <w:rPr>
                <w:rFonts w:ascii="Times New Roman;Times;serif" w:hAnsi="Times New Roman;Times;serif"/>
                <w:b/>
                <w:sz w:val="15"/>
              </w:rPr>
              <w:t>(1)</w:t>
            </w: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pPr>
            <w:r>
              <w:rPr/>
              <w:t>  ​</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Franchise-operated restaurant activity:</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  ​</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System-wide restaurant activity:</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pPr>
            <w:r>
              <w:rPr/>
              <w:t>  ​</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499</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restaurant count includes 505 domestic restaurants and excludes the eight licensed restaurants in the Philippines, as well as the two previously licensed restaurants in the Philippines that were closed during the thirteen weeks ended March 26, 2025. </w:t>
            </w:r>
          </w:p>
        </w:tc>
      </w:tr>
    </w:tbl>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Restaurant Remodeling</w:t>
      </w:r>
    </w:p>
    <w:p>
      <w:pPr>
        <w:pStyle w:val="TextBody"/>
        <w:bidi w:val="0"/>
        <w:spacing w:before="12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During the thirteen weeks ended April 1, 2026, we completed a total of 13 remodels of which 7 were company-operated restaurant remodels. In fiscal 2026, we plan to continue our standard practices for remodels, which includes completing a total of 25 to 35 company-operated restaurants and 30 to 40 franchise-operated remodels. Remodeling is a use of cash and has implications for our net property and depreciation line items on our consolidated balance sheets and consolidated statements of income, among others. The cost of our restaurant remodels varies depending on the scope of the work required, but on average the investment is approximately $0.4 million per restaurant.</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Loco Rewards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Our Loco Rewards loyalty program offers rewards that incentivize customers to visit our restaurants more often each month. Customers earn points for each dollar spent, and points can be redeemed for multiple redemption options. When a customer is part of the rewards program, the obligation to provide future discounts related to points earned is considered a separate performance obligation, to which a portion of the transaction price is allocated and recorded as deferred revenue on the balance sheet.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then allocated to loyalty points, if necessary,  on a pro-rata basis, based on stand-alone selling price, as determined by menu pricing and loyalty point’s terms.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As of April 1, 2026 and December 31, 2025, the revenue allocated to loyalty points that had not been redeemed was $1.2 million and $1.1 million, respectively, which is reflected in our accompanying condensed consolidated balance sheets within other accrued expenses and current liabilities. We had over 5.4 million loyalty program members as of April 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31, 2025.</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There have been no material changes to our critical accounting policies or uses of estimates since our Annual Report on Form 10-K for the year ended December 31, 2025.</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Key Financial Definitions</w:t>
      </w:r>
    </w:p>
    <w:p>
      <w:pPr>
        <w:pStyle w:val="TextBody"/>
        <w:bidi w:val="0"/>
        <w:spacing w:before="12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Our revenue is derived from three primary sources: company-operated restaurant revenue, franchise revenue, which is comprised primarily of franchise royalties and, to a lesser extent, franchise fees and sublease rental income, and franchise advertising fee revenue. See Note 11, “Revenue from Contracts with Customers” </w:t>
      </w:r>
      <w:r>
        <w:rPr>
          <w:rFonts w:ascii="Times New Roman;Times;serif" w:hAnsi="Times New Roman;Times;serif"/>
          <w:sz w:val="20"/>
          <w:shd w:fill="FFFFFF" w:val="clear"/>
        </w:rPr>
        <w:t>in the Notes to Condensed Consolidated Financial Statements</w:t>
      </w:r>
      <w:r>
        <w:rPr>
          <w:rFonts w:ascii="Times New Roman;Times;serif" w:hAnsi="Times New Roman;Times;serif"/>
          <w:sz w:val="20"/>
        </w:rPr>
        <w:t xml:space="preserve"> above for further details regarding our revenue recognition policy.</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Food and Paper Costs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Labor and Related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includes AB 1228), overtime, wage inflation, the frequency and severity of workers’ compensation claims, health care costs, and the performance of our restaurants.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Occupancy Costs and Other Operating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Occupancy costs include rent, common area maintenance (“CAM”), and real estate taxes. Other restaurant operating expenses include the costs of utilities, advertising, credit card processing fees, delivery service provider fees, restaurant supplies, repairs and maintenance, and other restaurant operating costs.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General and Administrative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General and administrative expenses are comprised of expenses associated with corporate and administrative functions that support the development and operations of our restaurants, including compensation and benefits, travel expenses, stock-based compensation expense, legal and professional fees, and other related corporate costs. Also included are pre-opening costs, and expenses above the restaurant level, including salaries for field management, such as area and regional managers, and franchise field operational support.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Franchise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Franchise expenses are primarily comprised of rent expenses incurred on properties leased or owned by us and then sublet to franchisees, expenses incurred in support of franchisee information technology systems, and the franchisee’s portion of advertising expenses.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Depreciation and Amortization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primarily consists of the depreciation of property and equipment, including leasehold improvements and equipment.</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Loss on Disposal of Assets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Loss on disposal of assets includes the loss on disposal of assets related to retirements and replacement or write-off of leasehold improvements or equipment.</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Impairment and Closed-Store Reserves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We review long-lived assets such as property, and equipment, right-of-use (“ROU”) assets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When we close a restaurant, we will evaluate the ROU asset for impairment, based on anticipated sublease recoveries. The remaining value of the ROU asset is amortized on a straight-line basis, with the expense recognized in closed-store reserve expense, in addition to property tax and CAM expenses for our closed restaurants.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Interest Expense, Net</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Interest expense, net, consists primarily of interest on our outstanding debt. Debt issuance costs are amortized at cost over the life of the related debt.</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Provision for Income Taxes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Provision for income taxes consists of federal and state taxes on our pre-tax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020" w:name="_38bd9fbe_881d_4e68_92f9_58b50d9d7444"/>
      <w:bookmarkEnd w:id="1020"/>
      <w:r>
        <w:rPr>
          <w:rFonts w:ascii="Times New Roman;Times;serif" w:hAnsi="Times New Roman;Times;serif"/>
          <w:b/>
          <w:sz w:val="20"/>
        </w:rPr>
        <w:t>Comparison of Results of Operations</w:t>
      </w:r>
    </w:p>
    <w:p>
      <w:pPr>
        <w:pStyle w:val="TextBody"/>
        <w:bidi w:val="0"/>
        <w:spacing w:before="12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Our operating results for the thirteen weeks ended April 1, 2026 and March 26, 2025 are expressed as percentages of total revenue, with the exception of cost of operations and company restaurant expenses, which are expressed as percentages of company-operated restaurant revenue, and are compared in the tables below.</w:t>
      </w:r>
    </w:p>
    <w:p>
      <w:pPr>
        <w:pStyle w:val="TextBody"/>
        <w:bidi w:val="0"/>
        <w:spacing w:before="0" w:after="240"/>
        <w:ind w:left="0" w:right="0" w:hanging="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3475"/>
        <w:gridCol w:w="346"/>
        <w:gridCol w:w="211"/>
        <w:gridCol w:w="781"/>
        <w:gridCol w:w="346"/>
        <w:gridCol w:w="571"/>
        <w:gridCol w:w="346"/>
        <w:gridCol w:w="211"/>
        <w:gridCol w:w="781"/>
        <w:gridCol w:w="346"/>
        <w:gridCol w:w="571"/>
        <w:gridCol w:w="346"/>
        <w:gridCol w:w="211"/>
        <w:gridCol w:w="686"/>
        <w:gridCol w:w="346"/>
        <w:gridCol w:w="631"/>
      </w:tblGrid>
      <w:tr>
        <w:trPr/>
        <w:tc>
          <w:tcPr>
            <w:tcW w:w="3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206625" cy="175260"/>
                      <wp:effectExtent l="0" t="0" r="0" b="0"/>
                      <wp:wrapNone/>
                      <wp:docPr id="234" name="Frame234"/>
                      <a:graphic xmlns:a="http://schemas.openxmlformats.org/drawingml/2006/main">
                        <a:graphicData uri="http://schemas.microsoft.com/office/word/2010/wordprocessingShape">
                          <wps:wsp>
                            <wps:cNvSpPr txBox="1"/>
                            <wps:spPr>
                              <a:xfrm>
                                <a:off x="0" y="0"/>
                                <a:ext cx="2206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95935" cy="175260"/>
                      <wp:effectExtent l="0" t="0" r="0" b="0"/>
                      <wp:wrapNone/>
                      <wp:docPr id="237" name="Frame2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62585" cy="175260"/>
                      <wp:effectExtent l="0" t="0" r="0" b="0"/>
                      <wp:wrapNone/>
                      <wp:docPr id="239" name="Frame2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95935" cy="175260"/>
                      <wp:effectExtent l="0" t="0" r="0" b="0"/>
                      <wp:wrapNone/>
                      <wp:docPr id="242" name="Frame2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62585" cy="175260"/>
                      <wp:effectExtent l="0" t="0" r="0" b="0"/>
                      <wp:wrapNone/>
                      <wp:docPr id="244" name="Frame2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35610" cy="175260"/>
                      <wp:effectExtent l="0" t="0" r="0" b="0"/>
                      <wp:wrapNone/>
                      <wp:docPr id="247" name="Frame24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00685" cy="175260"/>
                      <wp:effectExtent l="0" t="0" r="0" b="0"/>
                      <wp:wrapNone/>
                      <wp:docPr id="249" name="Frame24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38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4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0"/>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c>
          <w:tcPr>
            <w:tcW w:w="346" w:type="dxa"/>
            <w:tcBorders/>
            <w:vAlign w:val="center"/>
          </w:tcPr>
          <w:p>
            <w:pPr>
              <w:pStyle w:val="TableContents"/>
              <w:bidi w:val="0"/>
              <w:spacing w:before="0" w:after="0"/>
              <w:ind w:left="0" w:right="0" w:hanging="0"/>
              <w:jc w:val="center"/>
              <w:rPr/>
            </w:pPr>
            <w:r>
              <w:rPr/>
              <w:t>​</w:t>
            </w:r>
          </w:p>
        </w:tc>
        <w:tc>
          <w:tcPr>
            <w:tcW w:w="18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4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r>
      <w:tr>
        <w:trPr/>
        <w:tc>
          <w:tcPr>
            <w:tcW w:w="3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105,915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98,365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7,550</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3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126,182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119,177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7,005</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r>
      <w:tr>
        <w:trPr/>
        <w:tc>
          <w:tcPr>
            <w:tcW w:w="347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operations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47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Company restaurant expenses</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85,558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82,591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2,967</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3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772.7</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34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113,965</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110,205</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3,760</w:t>
            </w:r>
          </w:p>
        </w:tc>
        <w:tc>
          <w:tcPr>
            <w:tcW w:w="34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12,217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8,972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3,245</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w:t>
            </w:r>
          </w:p>
        </w:tc>
      </w:tr>
      <w:tr>
        <w:trPr/>
        <w:tc>
          <w:tcPr>
            <w:tcW w:w="3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11,486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7,796</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3,690</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w:t>
            </w:r>
          </w:p>
        </w:tc>
      </w:tr>
      <w:tr>
        <w:trPr/>
        <w:tc>
          <w:tcPr>
            <w:tcW w:w="3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4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34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8,157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5,481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2,676</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48.8</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Company-Operated Restaurant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April 1, 2026, company-operated restaurant revenue increased $7.6 million, or 7.7%, from the comparable period in the prior year. The increase in company-operated restaurant revenue was mainly due to an increase in company-operated comparable restaurant revenue of $5.4 million, or 5.4%, as well as $0.7 million of additional sales from the opening of two restaurants after the first quarter of 2025. The company-operated comparable restaurant sales increase consisted of a 5.7% increase in average check size, partially offset by a 0.3% decrease in transactions.</w:t>
      </w:r>
      <w:r>
        <w:rPr>
          <w:rFonts w:ascii="Times New Roman;Times;serif" w:hAnsi="Times New Roman;Times;serif"/>
          <w:sz w:val="20"/>
          <w:shd w:fill="FFFFFF" w:val="clear"/>
        </w:rPr>
        <w:t xml:space="preserve"> </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Franchise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April 1, 2026, franchise revenue decreased $1.2 million, or 8.8%, from the comparable period in the prior year. This decrease was primarily due to the $1.9 million in franchisee IT pass-through revenue related to the franchise rollout of the new Point of Sale (“POS”) system completed in 2025, which was offset by a corresponding decrease in related franchise expenses. The decrease was also partially offset by the increase in franchise revenue related to the 9 franchise-operated restaurant openings during or subsequent to the first quarter of 2025 and by a franchise comparable restaurant sales increase of 6.1%. The franchise comparable restaurant increase consisted of a 4.9% increase in average check size, combined with a 1.1% increase in transactions. </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Franchise Advertising Fee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April 1, 2026, franchise advertising fee revenue increased $0.6 million, or 8.0%, from the comparable period in the prior year. As advertising fee revenue is a percentage of franchisees’ revenue, the fluctuations for the quarter were due to the increases and decreases noted in franchise revenue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Food and Paper Costs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April 1, 2026, food and paper costs increased $1.7 million, or 6.7%,</w:t>
      </w:r>
      <w:r>
        <w:rPr>
          <w:rFonts w:ascii="Times New Roman;Times;serif" w:hAnsi="Times New Roman;Times;serif"/>
          <w:sz w:val="20"/>
          <w:shd w:fill="FFFFFF" w:val="clear"/>
        </w:rPr>
        <w:t xml:space="preserve"> from the comparable </w:t>
      </w:r>
      <w:r>
        <w:rPr>
          <w:rFonts w:ascii="Times New Roman;Times;serif" w:hAnsi="Times New Roman;Times;serif"/>
          <w:sz w:val="20"/>
        </w:rPr>
        <w:t>period</w:t>
      </w:r>
      <w:r>
        <w:rPr>
          <w:rFonts w:ascii="Times New Roman;Times;serif" w:hAnsi="Times New Roman;Times;serif"/>
          <w:sz w:val="20"/>
          <w:shd w:fill="FFFFFF" w:val="clear"/>
        </w:rPr>
        <w:t xml:space="preserve"> in the prior year.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increase in food and paper costs was primarily due to higher sales, increased discounts and higher produce pricing. For the quarter, food and paper costs as a percentage of company-operated restaurant revenue were 24.9%, down from 25.2% in the comparable period of the prior year.</w:t>
      </w:r>
      <w:r>
        <w:rPr>
          <w:rFonts w:ascii="Times New Roman;Times;serif" w:hAnsi="Times New Roman;Times;serif"/>
          <w:sz w:val="20"/>
          <w:shd w:fill="FFFFFF" w:val="clear"/>
        </w:rPr>
        <w:t xml:space="preserve"> </w:t>
      </w:r>
      <w:r>
        <w:rPr>
          <w:rFonts w:ascii="Times New Roman;Times;serif" w:hAnsi="Times New Roman;Times;serif"/>
          <w:sz w:val="20"/>
        </w:rPr>
        <w:t xml:space="preserve">The percentage decrease was primarily due to menu price increases partially offset by </w:t>
      </w:r>
      <w:r>
        <w:rPr>
          <w:rFonts w:ascii="Times New Roman;Times;serif" w:hAnsi="Times New Roman;Times;serif"/>
          <w:sz w:val="20"/>
          <w:shd w:fill="FFFFFF" w:val="clear"/>
        </w:rPr>
        <w:t>the increased discounts and cost increases highlighted above.</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Labor and Related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April 1, 2026, labor and related expenses decreased $0.3 million, or 1.1%, from the comparable period in the prior year. The</w:t>
      </w:r>
      <w:r>
        <w:rPr>
          <w:rFonts w:ascii="Times New Roman;Times;serif" w:hAnsi="Times New Roman;Times;serif"/>
          <w:sz w:val="20"/>
          <w:shd w:fill="FFFFFF" w:val="clear"/>
        </w:rPr>
        <w:t xml:space="preserve"> decrease in labor and related expenses for the quarter was primarily due to </w:t>
      </w:r>
      <w:r>
        <w:rPr>
          <w:rFonts w:ascii="Times New Roman;Times;serif" w:hAnsi="Times New Roman;Times;serif"/>
          <w:sz w:val="20"/>
        </w:rPr>
        <w:t xml:space="preserve">a $0.5 million reduction in group insurance and workers compensation claims, $0.5 million costs related to improved labor efficiencies as part of our cost-management initiatives partially offset by </w:t>
      </w:r>
      <w:r>
        <w:rPr>
          <w:rFonts w:ascii="Times New Roman;Times;serif" w:hAnsi="Times New Roman;Times;serif"/>
          <w:sz w:val="20"/>
          <w:shd w:fill="FFFFFF" w:val="clear"/>
        </w:rPr>
        <w:t>a $0.7 million increase in other labor-related expenses related to an increase in training, overtime and wage inflation and labor related expenses from the opening of two restaurants after the first quarter of 2025.</w:t>
      </w:r>
      <w:r>
        <w:rPr>
          <w:rFonts w:ascii="Times New Roman;Times;serif" w:hAnsi="Times New Roman;Times;serif"/>
          <w:sz w:val="20"/>
        </w:rPr>
        <w:t xml:space="preserv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April 1, 2026, labor and related expenses as a percentage of company-operated restaurant revenue were 30.1%, down from 32.7% in the comparable period in the prior year. </w:t>
      </w:r>
      <w:r>
        <w:rPr>
          <w:rFonts w:ascii="Times New Roman;Times;serif" w:hAnsi="Times New Roman;Times;serif"/>
          <w:sz w:val="20"/>
          <w:shd w:fill="FFFFFF" w:val="clear"/>
        </w:rPr>
        <w:t>The percentage</w:t>
      </w:r>
      <w:r>
        <w:rPr>
          <w:rFonts w:ascii="Times New Roman;Times;serif" w:hAnsi="Times New Roman;Times;serif"/>
          <w:sz w:val="20"/>
        </w:rPr>
        <w:t xml:space="preserve"> change </w:t>
      </w:r>
      <w:r>
        <w:rPr>
          <w:rFonts w:ascii="Times New Roman;Times;serif" w:hAnsi="Times New Roman;Times;serif"/>
          <w:sz w:val="20"/>
          <w:shd w:fill="FFFFFF" w:val="clear"/>
        </w:rPr>
        <w:t xml:space="preserve">was driven by leverage on the comparable store sales increase, higher menu prices, reduced group insurance and workers compensation claims and the </w:t>
      </w:r>
      <w:r>
        <w:rPr>
          <w:rFonts w:ascii="Times New Roman;Times;serif" w:hAnsi="Times New Roman;Times;serif"/>
          <w:sz w:val="20"/>
        </w:rPr>
        <w:t>improved labor efficiencies</w:t>
      </w:r>
      <w:r>
        <w:rPr>
          <w:rFonts w:ascii="Times New Roman;Times;serif" w:hAnsi="Times New Roman;Times;serif"/>
          <w:sz w:val="20"/>
          <w:shd w:fill="FFFFFF" w:val="clear"/>
        </w:rPr>
        <w:t>, partially offset by higher other labor-related costs.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Occupancy and Other Operating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April 1, 2026, occupancy and other operating expenses increased $1.7 million, or 6.5%, from the comparable period in the prior year. </w:t>
      </w:r>
      <w:r>
        <w:rPr>
          <w:rFonts w:ascii="Times New Roman;Times;serif" w:hAnsi="Times New Roman;Times;serif"/>
          <w:sz w:val="20"/>
          <w:shd w:fill="FFFFFF" w:val="clear"/>
        </w:rPr>
        <w:t xml:space="preserve">The increase was primarily due to a $0.8 million increase in other operating expenses primarily from marketplace delivery fees, mobile order fees, and credit card fees, an increase of  $0.5 million in utilities and repairs and maintenance costs, and an increase of $0.4 </w:t>
      </w:r>
      <w:r>
        <w:rPr>
          <w:rFonts w:ascii="Times New Roman;Times;serif" w:hAnsi="Times New Roman;Times;serif"/>
          <w:sz w:val="20"/>
        </w:rPr>
        <w:t>million</w:t>
      </w:r>
      <w:r>
        <w:rPr>
          <w:rFonts w:ascii="Times New Roman;Times;serif" w:hAnsi="Times New Roman;Times;serif"/>
          <w:sz w:val="20"/>
          <w:shd w:fill="FFFFFF" w:val="clear"/>
        </w:rPr>
        <w:t xml:space="preserve"> in advertising and occupancy costs.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April 1, 2026, occupancy and other operating expenses as a percentage of company-operated restaurant revenue </w:t>
      </w:r>
      <w:r>
        <w:rPr>
          <w:rFonts w:ascii="Times New Roman;Times;serif" w:hAnsi="Times New Roman;Times;serif"/>
          <w:sz w:val="20"/>
          <w:shd w:fill="FFFFFF" w:val="clear"/>
        </w:rPr>
        <w:t>were 25.8%, down from 26.1% in the comparable period in the prior year. The decrease as a percentage of sales resulted from the leverage on the comparable store sales increase highlighted above.</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General and Administrative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ending April 1, 2026, general and administrative expenses increased $1.5 million, or 13.6%, from the comparable period in the prior year. The increase for the quarter was primarily due to a $0.6 million received from a legal settlement in the prior year, a $0.7 million increase in legal fees and other general and administrative costs, $0.3 million increase to outside services and software maintenance, a $0.2 million increase to stock-based compensation expense, and a combined $0.2 million increase related to our corporate office relocation and the implementation of a new  enterprise resource planning (“ERP”) system, partially offset by $0.6 million of lower shareholder activism.</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April 1, 2026, general and administrative expenses as a percentage of total revenue were 10.1%, up from 9.5% in the comparable period of the prior year</w:t>
      </w:r>
      <w:r>
        <w:rPr>
          <w:rFonts w:ascii="Times New Roman;Times;serif" w:hAnsi="Times New Roman;Times;serif"/>
          <w:sz w:val="20"/>
          <w:shd w:fill="FFFFFF" w:val="clear"/>
        </w:rPr>
        <w:t>. The percentage increase is primarily due to the cost increases discussed above.</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Franchise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April 1, 2026, </w:t>
      </w:r>
      <w:r>
        <w:rPr>
          <w:rFonts w:ascii="Times New Roman;Times;serif" w:hAnsi="Times New Roman;Times;serif"/>
          <w:color w:val="212529"/>
          <w:sz w:val="20"/>
          <w:shd w:fill="FFFFFF" w:val="clear"/>
        </w:rPr>
        <w:t xml:space="preserve">franchise expenses decreased $1.3 million, or 10.1%, </w:t>
      </w:r>
      <w:r>
        <w:rPr>
          <w:rFonts w:ascii="Times New Roman;Times;serif" w:hAnsi="Times New Roman;Times;serif"/>
          <w:sz w:val="20"/>
        </w:rPr>
        <w:t>from the comparable period in the prior year</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The decrease was</w:t>
      </w:r>
      <w:r>
        <w:rPr>
          <w:rFonts w:ascii="Times New Roman;Times;serif" w:hAnsi="Times New Roman;Times;serif"/>
          <w:color w:val="212529"/>
          <w:sz w:val="20"/>
          <w:shd w:fill="FFFFFF" w:val="clear"/>
        </w:rPr>
        <w:t xml:space="preserve"> primarily due to the $1.9 million in franchise IT pass-through expense related to the franchise rollout of the new POS system completed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Depreciation and Amortization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April 1, 2026, </w:t>
      </w:r>
      <w:r>
        <w:rPr>
          <w:rFonts w:ascii="Times New Roman;Times;serif" w:hAnsi="Times New Roman;Times;serif"/>
          <w:color w:val="212529"/>
          <w:sz w:val="20"/>
          <w:shd w:fill="FFFFFF" w:val="clear"/>
        </w:rPr>
        <w:t xml:space="preserve">depreciation and amortization increased $0.4 million, or 11.0%, </w:t>
      </w:r>
      <w:r>
        <w:rPr>
          <w:rFonts w:ascii="Times New Roman;Times;serif" w:hAnsi="Times New Roman;Times;serif"/>
          <w:sz w:val="20"/>
        </w:rPr>
        <w:t>from the comparable period in the prior year</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The increase was</w:t>
      </w:r>
      <w:r>
        <w:rPr>
          <w:rFonts w:ascii="Times New Roman;Times;serif" w:hAnsi="Times New Roman;Times;serif"/>
          <w:color w:val="212529"/>
          <w:sz w:val="20"/>
          <w:shd w:fill="FFFFFF" w:val="clear"/>
        </w:rPr>
        <w:t xml:space="preserve"> primarily due to the completion of 17 company-operated restaurant remodels in 2025 and 7 company-operated restaurant remodels in the first quarter of 2026, along with the rollout of the new POS system to company-operated restaurants completed in 2025.</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Impairment and Closed-Store Reserves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During both the thirteen weeks ended April 1, 2026 and March 26, 2025, we did not record any non-cash </w:t>
      </w:r>
      <w:r>
        <w:rPr>
          <w:rFonts w:ascii="Times New Roman;Times;serif" w:hAnsi="Times New Roman;Times;serif"/>
          <w:color w:val="212529"/>
          <w:sz w:val="20"/>
          <w:shd w:fill="FFFFFF" w:val="clear"/>
        </w:rPr>
        <w:t>impairment</w:t>
      </w:r>
      <w:r>
        <w:rPr>
          <w:rFonts w:ascii="Times New Roman;Times;serif" w:hAnsi="Times New Roman;Times;serif"/>
          <w:sz w:val="20"/>
        </w:rPr>
        <w:t xml:space="preserve"> charges.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During both the thirteen weeks ended April 1, 2026 and March 26, 2025, we recognized less than </w:t>
      </w:r>
      <w:r>
        <w:rPr>
          <w:rFonts w:ascii="Times New Roman;Times;serif" w:hAnsi="Times New Roman;Times;serif"/>
          <w:sz w:val="20"/>
          <w:shd w:fill="FFFFFF" w:val="clear"/>
        </w:rPr>
        <w:t>$0.1 million</w:t>
      </w:r>
      <w:r>
        <w:rPr>
          <w:rFonts w:ascii="Times New Roman;Times;serif" w:hAnsi="Times New Roman;Times;serif"/>
          <w:sz w:val="20"/>
        </w:rPr>
        <w:t xml:space="preserve"> of closed-store reserve expense related to the amortization of ROU assets, property taxes and CAM expenses for our closed locations.</w:t>
      </w:r>
      <w:r>
        <w:rPr>
          <w:rFonts w:ascii="Times New Roman;Times;serif" w:hAnsi="Times New Roman;Times;serif"/>
          <w:sz w:val="20"/>
          <w:shd w:fill="FFFFFF" w:val="clear"/>
        </w:rPr>
        <w:t xml:space="preserve"> </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Interest Expense, Net</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April 1, 2026, interest expense, net, decreased $0.4 million from t</w:t>
      </w:r>
      <w:r>
        <w:rPr>
          <w:rFonts w:ascii="Times New Roman;Times;serif" w:hAnsi="Times New Roman;Times;serif"/>
          <w:sz w:val="20"/>
          <w:shd w:fill="FFFFFF" w:val="clear"/>
        </w:rPr>
        <w:t>he comparable period in the prior year</w:t>
      </w:r>
      <w:r>
        <w:rPr>
          <w:rFonts w:ascii="Times New Roman;Times;serif" w:hAnsi="Times New Roman;Times;serif"/>
          <w:sz w:val="20"/>
        </w:rPr>
        <w:t>. The decrease in interest expense was primarily related to the lower interest rates in fiscal quarter of 2026 and lower outstanding balances on our 2022 Revolver (as defined below) versus t</w:t>
      </w:r>
      <w:r>
        <w:rPr>
          <w:rFonts w:ascii="Times New Roman;Times;serif" w:hAnsi="Times New Roman;Times;serif"/>
          <w:sz w:val="20"/>
          <w:shd w:fill="FFFFFF" w:val="clear"/>
        </w:rPr>
        <w:t>he comparable period in the prior year</w:t>
      </w:r>
      <w:r>
        <w:rPr>
          <w:rFonts w:ascii="Times New Roman;Times;serif" w:hAnsi="Times New Roman;Times;serif"/>
          <w:sz w:val="20"/>
        </w:rPr>
        <w:t xml:space="preserve">. </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Provision for Income Taxes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April 1, 2026, we recorded an income tax provision of $3.3 million, reflecting an estimated effective tax rate of 29.0%. For the quarter ended March 26, 2025, we recorded an income tax provision of $2.3 million, reflecting an estimated effective tax rate of approximately 29.7%.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difference between the 21.0% statutory rate and our effective tax rate of 29.0% for the </w:t>
      </w:r>
      <w:r>
        <w:rPr>
          <w:rFonts w:ascii="Times New Roman;Times;serif" w:hAnsi="Times New Roman;Times;serif"/>
          <w:sz w:val="20"/>
          <w:shd w:fill="FFFFFF" w:val="clear"/>
        </w:rPr>
        <w:t>quarter</w:t>
      </w:r>
      <w:r>
        <w:rPr>
          <w:rFonts w:ascii="Times New Roman;Times;serif" w:hAnsi="Times New Roman;Times;serif"/>
          <w:sz w:val="20"/>
        </w:rPr>
        <w:t xml:space="preserve"> ended April 1, 2026 is primarily a result </w:t>
      </w:r>
      <w:r>
        <w:rPr>
          <w:rFonts w:ascii="Times New Roman;Times;serif" w:hAnsi="Times New Roman;Times;serif"/>
          <w:sz w:val="20"/>
          <w:shd w:fill="FFFFFF" w:val="clear"/>
        </w:rPr>
        <w:t>of state tax rate based on apportioned income</w:t>
      </w:r>
      <w:r>
        <w:rPr>
          <w:rFonts w:ascii="Times New Roman;Times;serif" w:hAnsi="Times New Roman;Times;serif"/>
          <w:sz w:val="20"/>
        </w:rPr>
        <w:t xml:space="preserve"> and the impact of non-tax deductible executive compensation expense, partially offset by  the impact of higher stock compensation expense deductible for tax related to vesting of restricted stock awards as compared to the cumulative amount recorded as stock-based compensation expense, </w:t>
      </w:r>
      <w:r>
        <w:rPr>
          <w:rFonts w:ascii="Times New Roman;Times;serif" w:hAnsi="Times New Roman;Times;serif"/>
          <w:sz w:val="20"/>
          <w:shd w:fill="FFFFFF" w:val="clear"/>
        </w:rPr>
        <w:t xml:space="preserve">and federal targeted job credits. </w:t>
      </w:r>
    </w:p>
    <w:p>
      <w:pPr>
        <w:pStyle w:val="TextBody"/>
        <w:bidi w:val="0"/>
        <w:spacing w:before="360" w:after="0"/>
        <w:ind w:left="0" w:right="0" w:hanging="0"/>
        <w:jc w:val="both"/>
        <w:rPr>
          <w:rFonts w:ascii="Times New Roman;Times;serif" w:hAnsi="Times New Roman;Times;serif"/>
          <w:b/>
          <w:sz w:val="20"/>
        </w:rPr>
      </w:pPr>
      <w:bookmarkStart w:id="1021" w:name="_7d4d4615_a262_4719_bf68_f008887c901f"/>
      <w:bookmarkEnd w:id="1021"/>
      <w:r>
        <w:rPr>
          <w:rFonts w:ascii="Times New Roman;Times;serif" w:hAnsi="Times New Roman;Times;serif"/>
          <w:b/>
          <w:sz w:val="20"/>
        </w:rPr>
        <w:t>Key Performance Indicators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pStyle w:val="TextBody"/>
        <w:shd w:fill="FFFFFF" w:val="clear"/>
        <w:bidi w:val="0"/>
        <w:spacing w:before="360" w:after="0"/>
        <w:ind w:left="245" w:right="0" w:hanging="0"/>
        <w:jc w:val="both"/>
        <w:rPr>
          <w:rFonts w:ascii="Times New Roman;Times;serif" w:hAnsi="Times New Roman;Times;serif"/>
          <w:i/>
          <w:sz w:val="20"/>
        </w:rPr>
      </w:pPr>
      <w:r>
        <w:rPr>
          <w:rFonts w:ascii="Times New Roman;Times;serif" w:hAnsi="Times New Roman;Times;serif"/>
          <w:i/>
          <w:sz w:val="20"/>
        </w:rPr>
        <w:t>System-Wide Sales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System-wide sales are neither required by, nor presented in accordance with GAAP. System-wide sales are the sum of company-operated restaurant revenue and sales from franchise-operated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 System-wide sales do not include the eight licensed stores in the Philippines.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reconciles system-wide sales to company-operated restaurant revenue and total revenue (in thousands):</w:t>
      </w:r>
    </w:p>
    <w:p>
      <w:pPr>
        <w:pStyle w:val="TextBody"/>
        <w:shd w:fill="FFFFFF" w:val="clear"/>
        <w:bidi w:val="0"/>
        <w:spacing w:before="0" w:after="0"/>
        <w:ind w:left="0" w:right="0" w:hanging="0"/>
        <w:jc w:val="both"/>
        <w:rPr/>
      </w:pPr>
      <w:r>
        <w:rPr/>
        <w:t>​</w:t>
      </w:r>
    </w:p>
    <w:tbl>
      <w:tblPr>
        <w:tblW w:w="6485" w:type="dxa"/>
        <w:jc w:val="left"/>
        <w:tblInd w:w="0" w:type="dxa"/>
        <w:tblLayout w:type="fixed"/>
        <w:tblCellMar>
          <w:top w:w="0" w:type="dxa"/>
          <w:left w:w="0" w:type="dxa"/>
          <w:bottom w:w="0" w:type="dxa"/>
          <w:right w:w="0" w:type="dxa"/>
        </w:tblCellMar>
      </w:tblPr>
      <w:tblGrid>
        <w:gridCol w:w="3421"/>
        <w:gridCol w:w="346"/>
        <w:gridCol w:w="226"/>
        <w:gridCol w:w="840"/>
        <w:gridCol w:w="346"/>
        <w:gridCol w:w="248"/>
        <w:gridCol w:w="105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72335" cy="175260"/>
                      <wp:effectExtent l="0" t="0" r="0" b="0"/>
                      <wp:wrapNone/>
                      <wp:docPr id="250" name="Frame25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3510" cy="175260"/>
                      <wp:effectExtent l="0" t="0" r="0" b="0"/>
                      <wp:wrapNone/>
                      <wp:docPr id="252" name="Frame2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33400" cy="175260"/>
                      <wp:effectExtent l="0" t="0" r="0" b="0"/>
                      <wp:wrapNone/>
                      <wp:docPr id="253" name="Frame25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57480" cy="175260"/>
                      <wp:effectExtent l="0" t="0" r="0" b="0"/>
                      <wp:wrapNone/>
                      <wp:docPr id="255" name="Frame25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71830" cy="175260"/>
                      <wp:effectExtent l="0" t="0" r="0" b="0"/>
                      <wp:wrapNone/>
                      <wp:docPr id="256" name="Frame256"/>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105,915</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98,365</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12,028</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13,183</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8,239</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7,629</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126,182</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119,177</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(12,028)</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10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(13,183)</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(8,239)</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10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(7,629)</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from franchise-operated restaurants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188,978</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171,088</w:t>
            </w:r>
          </w:p>
        </w:tc>
      </w:tr>
      <w:tr>
        <w:trPr/>
        <w:tc>
          <w:tcPr>
            <w:tcW w:w="34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System-wide sales</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294,893</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269,453</w:t>
            </w:r>
          </w:p>
        </w:tc>
      </w:tr>
    </w:tbl>
    <w:p>
      <w:pPr>
        <w:pStyle w:val="TextBody"/>
        <w:pBdr>
          <w:bottom w:val="single" w:sz="2" w:space="1" w:color="000000"/>
        </w:pBdr>
        <w:bidi w:val="0"/>
        <w:spacing w:before="0" w:after="240"/>
        <w:ind w:left="0" w:right="7200" w:hanging="0"/>
        <w:jc w:val="left"/>
        <w:rPr/>
      </w:pPr>
      <w:r>
        <w:rPr/>
        <w:t>​</w:t>
      </w:r>
    </w:p>
    <w:tbl>
      <w:tblPr>
        <w:tblW w:w="6707" w:type="dxa"/>
        <w:jc w:val="left"/>
        <w:tblInd w:w="0" w:type="dxa"/>
        <w:tblLayout w:type="fixed"/>
        <w:tblCellMar>
          <w:top w:w="0" w:type="dxa"/>
          <w:left w:w="0" w:type="dxa"/>
          <w:bottom w:w="0" w:type="dxa"/>
          <w:right w:w="0" w:type="dxa"/>
        </w:tblCellMar>
      </w:tblPr>
      <w:tblGrid>
        <w:gridCol w:w="331"/>
        <w:gridCol w:w="637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System-wide sales do not include the eight licensed stores in the Philippines.</w:t>
            </w:r>
          </w:p>
        </w:tc>
      </w:tr>
    </w:tbl>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Company-Operated Restaurant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Comparable Restaurant Sales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Comparable restaurant sales reflect year-over-year sales changes for comparable company-operated, franchise-operated, and system-wide restaurants. A restaurant enters our comparable restaurant base the first full week after it has operated for fifteen months. Comparable restaurant sales exclude restaurants closed during the applicable period. At April 1, 2026 and March 26, 2025, there were 485 and 484 system-wide comparable restaurants in both periods, 171 and 170 company-operated restaurants, respectively, and 313 and 314 franchise-operated restaurants,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Restaurant Contribution and Restaurant Contribution Margin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impairment and closed-store reserves,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company-operated restaurant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margin is useful to investors to highlight trends in our core business that may not otherwise be apparent to investors when relying solely on GAAP financial measures.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 reconciliation of restaurant contribution and restaurant contribution margin to company-operated restaurant revenue is provided below:</w:t>
      </w:r>
    </w:p>
    <w:p>
      <w:pPr>
        <w:pStyle w:val="TextBody"/>
        <w:bidi w:val="0"/>
        <w:spacing w:before="0" w:after="240"/>
        <w:ind w:left="0" w:right="0" w:hanging="0"/>
        <w:jc w:val="both"/>
        <w:rPr/>
      </w:pPr>
      <w:r>
        <w:rPr/>
        <w:t>​</w:t>
      </w:r>
    </w:p>
    <w:tbl>
      <w:tblPr>
        <w:tblW w:w="6669" w:type="dxa"/>
        <w:jc w:val="left"/>
        <w:tblInd w:w="0" w:type="dxa"/>
        <w:tblLayout w:type="fixed"/>
        <w:tblCellMar>
          <w:top w:w="0" w:type="dxa"/>
          <w:left w:w="0" w:type="dxa"/>
          <w:bottom w:w="0" w:type="dxa"/>
          <w:right w:w="0" w:type="dxa"/>
        </w:tblCellMar>
      </w:tblPr>
      <w:tblGrid>
        <w:gridCol w:w="3466"/>
        <w:gridCol w:w="109"/>
        <w:gridCol w:w="226"/>
        <w:gridCol w:w="840"/>
        <w:gridCol w:w="361"/>
        <w:gridCol w:w="268"/>
        <w:gridCol w:w="993"/>
        <w:gridCol w:w="40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00910" cy="175260"/>
                      <wp:effectExtent l="0" t="0" r="0" b="0"/>
                      <wp:wrapNone/>
                      <wp:docPr id="257" name="Frame25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3510" cy="175260"/>
                      <wp:effectExtent l="0" t="0" r="0" b="0"/>
                      <wp:wrapNone/>
                      <wp:docPr id="259" name="Frame2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33400" cy="175260"/>
                      <wp:effectExtent l="0" t="0" r="0" b="0"/>
                      <wp:wrapNone/>
                      <wp:docPr id="260" name="Frame26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29235" cy="175260"/>
                      <wp:effectExtent l="0" t="0" r="0" b="0"/>
                      <wp:wrapNone/>
                      <wp:docPr id="261" name="Frame2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70180" cy="175260"/>
                      <wp:effectExtent l="0" t="0" r="0" b="0"/>
                      <wp:wrapNone/>
                      <wp:docPr id="262" name="Frame26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30555" cy="175260"/>
                      <wp:effectExtent l="0" t="0" r="0" b="0"/>
                      <wp:wrapNone/>
                      <wp:docPr id="263" name="Frame26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57810" cy="175260"/>
                      <wp:effectExtent l="0" t="0" r="0" b="0"/>
                      <wp:wrapNone/>
                      <wp:docPr id="264" name="Frame26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Thirteen Weeks Ended </w:t>
            </w:r>
          </w:p>
        </w:tc>
        <w:tc>
          <w:tcPr>
            <w:tcW w:w="406" w:type="dxa"/>
            <w:tcBorders/>
            <w:vAlign w:val="center"/>
          </w:tcPr>
          <w:p>
            <w:pPr>
              <w:pStyle w:val="TableContents"/>
              <w:bidi w:val="0"/>
              <w:spacing w:before="0" w:after="0"/>
              <w:ind w:left="0" w:right="0" w:hanging="0"/>
              <w:jc w:val="center"/>
              <w:rPr/>
            </w:pPr>
            <w:r>
              <w:rPr/>
              <w:t>​</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109" w:type="dxa"/>
            <w:tcBorders/>
            <w:vAlign w:val="center"/>
          </w:tcPr>
          <w:p>
            <w:pPr>
              <w:pStyle w:val="TableContents"/>
              <w:bidi w:val="0"/>
              <w:spacing w:before="0" w:after="0"/>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61"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c>
          <w:tcPr>
            <w:tcW w:w="406" w:type="dxa"/>
            <w:tcBorders/>
            <w:vAlign w:val="center"/>
          </w:tcPr>
          <w:p>
            <w:pPr>
              <w:pStyle w:val="TableContents"/>
              <w:bidi w:val="0"/>
              <w:spacing w:before="0" w:after="0"/>
              <w:ind w:left="0" w:right="0" w:hanging="0"/>
              <w:jc w:val="center"/>
              <w:rPr/>
            </w:pPr>
            <w:r>
              <w:rPr/>
              <w:t>  ​ ​ ​</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(less):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12,794</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11,263</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20,357</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15,774</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126,182</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119,177</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105,915</w:t>
            </w:r>
          </w:p>
        </w:tc>
        <w:tc>
          <w:tcPr>
            <w:tcW w:w="361"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98,365</w:t>
            </w:r>
          </w:p>
        </w:tc>
        <w:tc>
          <w:tcPr>
            <w:tcW w:w="40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contribution margin (%)</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both"/>
        <w:rPr/>
      </w:pPr>
      <w:r>
        <w:rPr/>
        <w:t>​</w:t>
      </w:r>
    </w:p>
    <w:p>
      <w:pPr>
        <w:pStyle w:val="TextBody"/>
        <w:bidi w:val="0"/>
        <w:spacing w:before="1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New Restaurant Openings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EBITDA and Adjusted EBITDA</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EBITDA represents net income (loss) before interest expense, provision (benefit) for income taxes, depreciation, and amortization. Adjusted EBITDA represents net income (loss) before interest expense, provision (benefit) for income taxes, depreciation, amortization, and other items that we do not consider representative of on-going operating performance, as identified in the reconciliation table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management believes that investors will find these measures useful in assessing our ability to service or incur indebtedness, and (iii) we use EBITDA and Adjusted EBITDA internally for a number of benchmarks, including to compare our performance to that of our competitors.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following table sets forth reconciliations of our net income to our EBITDA and Adjusted EBITDA:</w:t>
      </w:r>
    </w:p>
    <w:p>
      <w:pPr>
        <w:pStyle w:val="TextBody"/>
        <w:bidi w:val="0"/>
        <w:spacing w:before="0" w:after="240"/>
        <w:ind w:left="0" w:right="0" w:hanging="0"/>
        <w:jc w:val="both"/>
        <w:rPr/>
      </w:pPr>
      <w:r>
        <w:rPr/>
        <w:t>​</w:t>
      </w:r>
    </w:p>
    <w:tbl>
      <w:tblPr>
        <w:tblW w:w="7685" w:type="dxa"/>
        <w:jc w:val="left"/>
        <w:tblInd w:w="0" w:type="dxa"/>
        <w:tblLayout w:type="fixed"/>
        <w:tblCellMar>
          <w:top w:w="0" w:type="dxa"/>
          <w:left w:w="0" w:type="dxa"/>
          <w:bottom w:w="0" w:type="dxa"/>
          <w:right w:w="0" w:type="dxa"/>
        </w:tblCellMar>
      </w:tblPr>
      <w:tblGrid>
        <w:gridCol w:w="4621"/>
        <w:gridCol w:w="346"/>
        <w:gridCol w:w="253"/>
        <w:gridCol w:w="813"/>
        <w:gridCol w:w="346"/>
        <w:gridCol w:w="275"/>
        <w:gridCol w:w="1031"/>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934335" cy="175260"/>
                      <wp:effectExtent l="0" t="0" r="0" b="0"/>
                      <wp:wrapNone/>
                      <wp:docPr id="265" name="Frame265"/>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0655" cy="175260"/>
                      <wp:effectExtent l="0" t="0" r="0" b="0"/>
                      <wp:wrapNone/>
                      <wp:docPr id="267" name="Frame26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16255" cy="175260"/>
                      <wp:effectExtent l="0" t="0" r="0" b="0"/>
                      <wp:wrapNone/>
                      <wp:docPr id="268" name="Frame26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74625" cy="175260"/>
                      <wp:effectExtent l="0" t="0" r="0" b="0"/>
                      <wp:wrapNone/>
                      <wp:docPr id="270" name="Frame270"/>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54685" cy="175260"/>
                      <wp:effectExtent l="0" t="0" r="0" b="0"/>
                      <wp:wrapNone/>
                      <wp:docPr id="271" name="Frame271"/>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Thirteen Weeks Ended </w:t>
            </w:r>
          </w:p>
        </w:tc>
      </w:tr>
      <w:tr>
        <w:trPr/>
        <w:tc>
          <w:tcPr>
            <w:tcW w:w="46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46" w:type="dxa"/>
            <w:tcBorders/>
            <w:vAlign w:val="center"/>
          </w:tcPr>
          <w:p>
            <w:pPr>
              <w:pStyle w:val="TableContents"/>
              <w:bidi w:val="0"/>
              <w:spacing w:before="0" w:after="1"/>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center"/>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8,157</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5,481</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pPr>
            <w:r>
              <w:rPr/>
              <w:t>​</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3,329</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4,314</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3,887</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16,531</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12,859</w:t>
            </w:r>
          </w:p>
        </w:tc>
      </w:tr>
      <w:tr>
        <w:trPr/>
        <w:tc>
          <w:tcPr>
            <w:tcW w:w="46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46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Loss on disposal of assets </w:t>
            </w:r>
            <w:r>
              <w:rPr>
                <w:rFonts w:ascii="Times New Roman;Times;serif" w:hAnsi="Times New Roman;Times;serif"/>
                <w:sz w:val="15"/>
              </w:rPr>
              <w:t>(b)</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6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Impairment and closed-store reserves </w:t>
            </w:r>
            <w:r>
              <w:rPr>
                <w:rFonts w:ascii="Times New Roman;Times;serif" w:hAnsi="Times New Roman;Times;serif"/>
                <w:sz w:val="15"/>
              </w:rPr>
              <w:t>(c)</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6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Legal settlements </w:t>
            </w:r>
            <w:r>
              <w:rPr>
                <w:rFonts w:ascii="Times New Roman;Times;serif" w:hAnsi="Times New Roman;Times;serif"/>
                <w:sz w:val="15"/>
              </w:rPr>
              <w:t>(d)</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46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Special legal and professional fees expense </w:t>
            </w:r>
            <w:r>
              <w:rPr>
                <w:rFonts w:ascii="Times New Roman;Times;serif" w:hAnsi="Times New Roman;Times;serif"/>
                <w:sz w:val="15"/>
              </w:rPr>
              <w:t>(e)</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r>
      <w:tr>
        <w:trPr/>
        <w:tc>
          <w:tcPr>
            <w:tcW w:w="46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Duplicate rent expense for corporate office relocation </w:t>
            </w:r>
            <w:r>
              <w:rPr>
                <w:rFonts w:ascii="Times New Roman;Times;serif" w:hAnsi="Times New Roman;Times;serif"/>
                <w:sz w:val="15"/>
              </w:rPr>
              <w:t>(f)</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pPr>
            <w:r>
              <w:rPr/>
              <w:t>—</w:t>
            </w:r>
          </w:p>
        </w:tc>
      </w:tr>
      <w:tr>
        <w:trPr/>
        <w:tc>
          <w:tcPr>
            <w:tcW w:w="46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ERP software implementation costs </w:t>
            </w:r>
            <w:r>
              <w:rPr>
                <w:rFonts w:ascii="Times New Roman;Times;serif" w:hAnsi="Times New Roman;Times;serif"/>
                <w:sz w:val="15"/>
              </w:rPr>
              <w:t>(g)</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r>
      <w:tr>
        <w:trPr/>
        <w:tc>
          <w:tcPr>
            <w:tcW w:w="46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Pre-opening costs </w:t>
            </w:r>
            <w:r>
              <w:rPr>
                <w:rFonts w:ascii="Times New Roman;Times;serif" w:hAnsi="Times New Roman;Times;serif"/>
                <w:sz w:val="15"/>
              </w:rPr>
              <w:t>(h)</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18,190</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13,925</w:t>
            </w:r>
          </w:p>
        </w:tc>
      </w:tr>
    </w:tbl>
    <w:p>
      <w:pPr>
        <w:pStyle w:val="TextBody"/>
        <w:pBdr>
          <w:bottom w:val="single" w:sz="2" w:space="1" w:color="000000"/>
        </w:pBdr>
        <w:bidi w:val="0"/>
        <w:spacing w:before="0" w:after="240"/>
        <w:ind w:left="0" w:right="7200" w:hanging="0"/>
        <w:jc w:val="left"/>
        <w:rPr/>
      </w:pPr>
      <w:r>
        <w:rPr/>
        <w:t>​</w:t>
      </w:r>
    </w:p>
    <w:p>
      <w:pPr>
        <w:pStyle w:val="TextBody"/>
        <w:bidi w:val="0"/>
        <w:spacing w:before="4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17" w:type="dxa"/>
        <w:jc w:val="left"/>
        <w:tblInd w:w="0" w:type="dxa"/>
        <w:tblLayout w:type="fixed"/>
        <w:tblCellMar>
          <w:top w:w="0" w:type="dxa"/>
          <w:left w:w="0" w:type="dxa"/>
          <w:bottom w:w="0" w:type="dxa"/>
          <w:right w:w="0" w:type="dxa"/>
        </w:tblCellMar>
      </w:tblPr>
      <w:tblGrid>
        <w:gridCol w:w="316"/>
        <w:gridCol w:w="3901"/>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non-cash, stock-based compensation.</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includes the loss or gain on disposal of assets related to retirements and replacement or write-off of leasehold improvements or equipment.</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costs related to impairment of property and equipment and ROU assets and closed restaurants. We did not record any non-cash impairment charges during either the thirteen weeks ended April 1, 2026 or March 26, 2025. During both the thirteen weeks ended April 1, 2026 and March 26, 2025, we recognized less than $0.1 million of closed-store reserve expense related to the amortization of ROU assets, property taxes and CAM expenses for our closed locations.</w:t>
            </w:r>
          </w:p>
        </w:tc>
      </w:tr>
    </w:tbl>
    <w:tbl>
      <w:tblPr>
        <w:tblW w:w="6542" w:type="dxa"/>
        <w:jc w:val="left"/>
        <w:tblInd w:w="0" w:type="dxa"/>
        <w:tblLayout w:type="fixed"/>
        <w:tblCellMar>
          <w:top w:w="0" w:type="dxa"/>
          <w:left w:w="0" w:type="dxa"/>
          <w:bottom w:w="0" w:type="dxa"/>
          <w:right w:w="0" w:type="dxa"/>
        </w:tblCellMar>
      </w:tblPr>
      <w:tblGrid>
        <w:gridCol w:w="331"/>
        <w:gridCol w:w="62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w:t>
            </w:r>
          </w:p>
        </w:tc>
        <w:tc>
          <w:tcPr>
            <w:tcW w:w="6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$0.6 million received from legal settlement, net of legal expenses.</w:t>
            </w:r>
          </w:p>
        </w:tc>
      </w:tr>
    </w:tbl>
    <w:tbl>
      <w:tblPr>
        <w:tblW w:w="7802" w:type="dxa"/>
        <w:jc w:val="left"/>
        <w:tblInd w:w="0" w:type="dxa"/>
        <w:tblLayout w:type="fixed"/>
        <w:tblCellMar>
          <w:top w:w="0" w:type="dxa"/>
          <w:left w:w="0" w:type="dxa"/>
          <w:bottom w:w="0" w:type="dxa"/>
          <w:right w:w="0" w:type="dxa"/>
        </w:tblCellMar>
      </w:tblPr>
      <w:tblGrid>
        <w:gridCol w:w="316"/>
        <w:gridCol w:w="7486"/>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w:t>
            </w:r>
          </w:p>
        </w:tc>
        <w:tc>
          <w:tcPr>
            <w:tcW w:w="7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legal and professional costs related to shareholder activism and related matters.</w:t>
            </w:r>
          </w:p>
        </w:tc>
      </w:tr>
    </w:tbl>
    <w:tbl>
      <w:tblPr>
        <w:tblW w:w="6527" w:type="dxa"/>
        <w:jc w:val="left"/>
        <w:tblInd w:w="0" w:type="dxa"/>
        <w:tblLayout w:type="fixed"/>
        <w:tblCellMar>
          <w:top w:w="0" w:type="dxa"/>
          <w:left w:w="0" w:type="dxa"/>
          <w:bottom w:w="0" w:type="dxa"/>
          <w:right w:w="0" w:type="dxa"/>
        </w:tblCellMar>
      </w:tblPr>
      <w:tblGrid>
        <w:gridCol w:w="301"/>
        <w:gridCol w:w="6226"/>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w:t>
            </w:r>
          </w:p>
        </w:tc>
        <w:tc>
          <w:tcPr>
            <w:tcW w:w="6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duplicate rent expense for the corporate headquarter relocation.</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costs incurred in connection with the implementation of a new ERP system which are included in general and administrative expenses.</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(h)</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tc>
      </w:tr>
    </w:tbl>
    <w:p>
      <w:pPr>
        <w:pStyle w:val="TextBody"/>
        <w:bidi w:val="0"/>
        <w:spacing w:before="360" w:after="0"/>
        <w:ind w:left="0" w:right="0" w:hanging="0"/>
        <w:jc w:val="both"/>
        <w:rPr>
          <w:rFonts w:ascii="Times New Roman;Times;serif" w:hAnsi="Times New Roman;Times;serif"/>
          <w:b/>
          <w:sz w:val="20"/>
        </w:rPr>
      </w:pPr>
      <w:bookmarkStart w:id="1022" w:name="_e11adff8_2ec0_4f25_8f74_b9527e378075"/>
      <w:bookmarkEnd w:id="1022"/>
      <w:r>
        <w:rPr>
          <w:rFonts w:ascii="Times New Roman;Times;serif" w:hAnsi="Times New Roman;Times;serif"/>
          <w:b/>
          <w:sz w:val="20"/>
        </w:rPr>
        <w:t>Liquidity and Capital Resources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Our primary sources of liquidity and capital resources have been cash provided from operations, cash and cash equivalents, and the </w:t>
      </w:r>
      <w:r>
        <w:rPr>
          <w:rFonts w:ascii="Times New Roman;Times;serif" w:hAnsi="Times New Roman;Times;serif"/>
          <w:sz w:val="20"/>
        </w:rPr>
        <w:t>2022 Revolver (as defined below)</w:t>
      </w:r>
      <w:r>
        <w:rPr>
          <w:rFonts w:ascii="Times New Roman;Times;serif" w:hAnsi="Times New Roman;Times;serif"/>
          <w:sz w:val="20"/>
          <w:shd w:fill="FFFFFF" w:val="clear"/>
        </w:rPr>
        <w:t>. Our primary requirements for liquidity and capital are new restaurants, existing restaurant capital investments (remodels and maintenance),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and beyond from the issuance of the condensed consolidated financial statements.</w:t>
      </w:r>
    </w:p>
    <w:p>
      <w:pPr>
        <w:pStyle w:val="TextBody"/>
        <w:bidi w:val="0"/>
        <w:spacing w:before="12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However, depending on macroeconomic conditions, our financial performance and liquidity could be further impacted and could impact our ability to meet certain financial covenants required in our 2022 Credit Agreement (as defined in Note 5 “Long-Term Debt”), specifically the lease-adjusted coverage ratio and fixed-charge coverage ratio.</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following table presents summary cash flow information for the periods indicated (in thousands):</w:t>
      </w:r>
    </w:p>
    <w:p>
      <w:pPr>
        <w:pStyle w:val="TextBody"/>
        <w:bidi w:val="0"/>
        <w:spacing w:before="0" w:after="240"/>
        <w:ind w:left="0" w:right="0" w:hanging="0"/>
        <w:jc w:val="both"/>
        <w:rPr/>
      </w:pPr>
      <w:r>
        <w:rPr/>
        <w:t>​</w:t>
      </w:r>
    </w:p>
    <w:tbl>
      <w:tblPr>
        <w:tblW w:w="6455" w:type="dxa"/>
        <w:jc w:val="left"/>
        <w:tblInd w:w="0" w:type="dxa"/>
        <w:tblLayout w:type="fixed"/>
        <w:tblCellMar>
          <w:top w:w="0" w:type="dxa"/>
          <w:left w:w="0" w:type="dxa"/>
          <w:bottom w:w="0" w:type="dxa"/>
          <w:right w:w="0" w:type="dxa"/>
        </w:tblCellMar>
      </w:tblPr>
      <w:tblGrid>
        <w:gridCol w:w="3391"/>
        <w:gridCol w:w="346"/>
        <w:gridCol w:w="237"/>
        <w:gridCol w:w="829"/>
        <w:gridCol w:w="346"/>
        <w:gridCol w:w="306"/>
        <w:gridCol w:w="1000"/>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53285" cy="175260"/>
                      <wp:effectExtent l="0" t="0" r="0" b="0"/>
                      <wp:wrapNone/>
                      <wp:docPr id="272" name="Frame272"/>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50495" cy="175260"/>
                      <wp:effectExtent l="0" t="0" r="0" b="0"/>
                      <wp:wrapNone/>
                      <wp:docPr id="274" name="Frame27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26415" cy="175260"/>
                      <wp:effectExtent l="0" t="0" r="0" b="0"/>
                      <wp:wrapNone/>
                      <wp:docPr id="275" name="Frame275"/>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94310" cy="175260"/>
                      <wp:effectExtent l="0" t="0" r="0" b="0"/>
                      <wp:wrapNone/>
                      <wp:docPr id="277" name="Frame277"/>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35000" cy="175260"/>
                      <wp:effectExtent l="0" t="0" r="0" b="0"/>
                      <wp:wrapNone/>
                      <wp:docPr id="278" name="Frame278"/>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Thirteen Weeks Ended </w:t>
            </w:r>
          </w:p>
        </w:tc>
      </w:tr>
      <w:tr>
        <w:trPr/>
        <w:tc>
          <w:tcPr>
            <w:tcW w:w="3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0"/>
              <w:ind w:left="0" w:right="0" w:hanging="0"/>
              <w:jc w:val="center"/>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13,008</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4,735</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(10,248)</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w:t>
            </w:r>
          </w:p>
        </w:tc>
        <w:tc>
          <w:tcPr>
            <w:tcW w:w="34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1,839</w:t>
            </w:r>
          </w:p>
        </w:tc>
      </w:tr>
    </w:tbl>
    <w:p>
      <w:pPr>
        <w:pStyle w:val="TextBody"/>
        <w:bidi w:val="0"/>
        <w:spacing w:before="0" w:after="0"/>
        <w:ind w:left="0" w:right="0" w:hanging="0"/>
        <w:jc w:val="both"/>
        <w:rPr/>
      </w:pPr>
      <w:r>
        <w:rPr/>
        <w:t>​</w:t>
      </w:r>
    </w:p>
    <w:p>
      <w:pPr>
        <w:pStyle w:val="TextBody"/>
        <w:bidi w:val="0"/>
        <w:spacing w:before="1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Operating Activities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thirteen weeks ended April 1, 2026, net cash from operating activities increased by $8.3 million from the comparable period of the prior year. This change was due</w:t>
      </w:r>
      <w:r>
        <w:rPr>
          <w:rFonts w:ascii="Times New Roman;Times;serif" w:hAnsi="Times New Roman;Times;serif"/>
          <w:sz w:val="20"/>
          <w:shd w:fill="FFFFFF" w:val="clear"/>
        </w:rPr>
        <w:t xml:space="preserve"> to improvement in working capital compared to the same period in the prior year as well as an increase in net income and deferred income taxes.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Investing Activities</w:t>
      </w:r>
    </w:p>
    <w:p>
      <w:pPr>
        <w:pStyle w:val="TextBody"/>
        <w:bidi w:val="0"/>
        <w:spacing w:before="120" w:after="0"/>
        <w:ind w:left="0" w:right="0" w:firstLine="49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For the thirteen weeks ended April 1, 2026, net cash used in investing activities decreased by $6.9 million from the comparable period of the prior year. This change was primarily due to a increase in purchase of property and equipment mostly related to restaurant remodeling and new restaurant development during the thirteen weeks ended April 1, 2026 when compared to the prior year.</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Financing Activities</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For the thirteen weeks ended April 1, 2026, net cash used in financing activities decreased by $5.6 million from the comparable period of the prior year. The change was primarily due to paydowns of $7.0 million on the 2022 Revolver during the thirteen weeks ended April 1, 2026 compared to a net borrowings of $2.0 million on the 2022 Revolver during the thirteen weeks ended March 26, 2025 partially offset by an increase of $1.8 million of proceeds from the issuance of common stock upon exercise of stock options during the thirteen weeks ended April 1, 2026 as compared to the thirteen weeks ended March 26, 2025 as well as no repurchases of common stock during the thirteen weeks ended April 1, 2026 as compared repurchases of common stock of $1.8 million during the thirteen weeks ended March 26, 2025.</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Debt and Other Obligations</w:t>
      </w:r>
    </w:p>
    <w:p>
      <w:pPr>
        <w:pStyle w:val="TextBody"/>
        <w:bidi w:val="0"/>
        <w:spacing w:before="120" w:after="0"/>
        <w:ind w:left="0" w:right="0" w:firstLine="49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We, as a guarantor, are a party to a credit agreement (the “2022 Credit Agreement”) among our wholly-owned subsidiary, El Pollo Loco, Inc. (“EPL”), as borrower, and our direct subsidiary, EPL Intermediate, Inc.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us. The obligations of our company, EPL and Intermediate under the 2022 Credit Agreement and related loan documents are secured by a first priority lien on substantially all of their respective assets subject to certain customary exceptions.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Under the 2022 Revolver, we are restricted from making certain payments such as cash dividends or share repurchases, except that we may, inter alia, (i) pay up to $1.0 million per year to repurchase or redeem our qualified equity interests held by our past or present officers, directors, or employees (or their estates) upon death, disability, or termination of employment, and (ii)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our compliance, on a pro forma basis, with (x) a lease-adjusted consolidated leverage ratio not to exceed 4.25 times and (y) the financial covenants applicable to the 2022 Revolver.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under the 2022 Revolver was 5.01% to 7.00% and 5.65% to 7.75% for the thirteen weeks ended April 1, 2026 and March 26, 2025</w:t>
      </w:r>
      <w:r>
        <w:rPr>
          <w:rFonts w:ascii="Times New Roman;Times;serif" w:hAnsi="Times New Roman;Times;serif"/>
          <w:sz w:val="20"/>
          <w:shd w:fill="FFFFFF" w:val="clear"/>
        </w:rPr>
        <w:t>, respectively</w:t>
      </w:r>
      <w:r>
        <w:rPr>
          <w:rFonts w:ascii="Times New Roman;Times;serif" w:hAnsi="Times New Roman;Times;serif"/>
          <w:sz w:val="20"/>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2022 Credit Agreement contains certain financial covenants. We were in compliance with the financial covenants as of April 1, 2026.</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At April 1, 2026, we had $44.0 million in outstanding borrowings under the 2022 Revolver and one letter of credit in the amount of $10.3 million outstanding, and as a result, we had $95.7 million in borrowing availability.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See Note 5, </w:t>
      </w:r>
      <w:r>
        <w:rPr>
          <w:rFonts w:ascii="Times New Roman;Times;serif" w:hAnsi="Times New Roman;Times;serif"/>
          <w:i/>
          <w:sz w:val="20"/>
        </w:rPr>
        <w:t>Long-Term Debt</w:t>
      </w:r>
      <w:r>
        <w:rPr>
          <w:rFonts w:ascii="Times New Roman;Times;serif" w:hAnsi="Times New Roman;Times;serif"/>
          <w:sz w:val="20"/>
        </w:rPr>
        <w:t xml:space="preserve">, to the Condensed Consolidated Financial Statements included in Part I, Item 1, </w:t>
      </w:r>
      <w:r>
        <w:rPr>
          <w:rFonts w:ascii="Times New Roman;Times;serif" w:hAnsi="Times New Roman;Times;serif"/>
          <w:i/>
          <w:sz w:val="20"/>
        </w:rPr>
        <w:t>Financial Statements</w:t>
      </w:r>
      <w:r>
        <w:rPr>
          <w:rFonts w:ascii="Times New Roman;Times;serif" w:hAnsi="Times New Roman;Times;serif"/>
          <w:sz w:val="20"/>
        </w:rPr>
        <w:t>, of this Quarterly Report on Form 10-Q for additional information.</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Material Cash Requirements</w:t>
      </w:r>
    </w:p>
    <w:p>
      <w:pPr>
        <w:pStyle w:val="TextBody"/>
        <w:bidi w:val="0"/>
        <w:spacing w:before="120" w:after="0"/>
        <w:ind w:left="0" w:right="0" w:firstLine="490"/>
        <w:jc w:val="both"/>
        <w:rPr>
          <w:rFonts w:ascii="Times New Roman;Times;serif" w:hAnsi="Times New Roman;Times;serif"/>
          <w:b/>
          <w:sz w:val="20"/>
        </w:rPr>
      </w:pPr>
      <w:r>
        <w:rPr>
          <w:rFonts w:ascii="Times New Roman;Times;serif" w:hAnsi="Times New Roman;Times;serif"/>
          <w:b w:val="false"/>
          <w:sz w:val="20"/>
          <w:shd w:fill="FFFFFF" w:val="clear"/>
        </w:rPr>
        <w:t xml:space="preserve">Our material cash requirements as of April 1, 2026 have not changed materially since those disclosed under Part II, Item 7, </w:t>
      </w:r>
      <w:r>
        <w:rPr>
          <w:rFonts w:ascii="Times New Roman;Times;serif" w:hAnsi="Times New Roman;Times;serif"/>
          <w:b w:val="false"/>
          <w:i/>
          <w:sz w:val="20"/>
          <w:shd w:fill="FFFFFF" w:val="clear"/>
        </w:rPr>
        <w:t>Management’s Discussion and Analysis of Financial Condition and Results of Operations—Liquidity and Capital Resources—Material Cash Requirements</w:t>
      </w:r>
      <w:r>
        <w:rPr>
          <w:rFonts w:ascii="Times New Roman;Times;serif" w:hAnsi="Times New Roman;Times;serif"/>
          <w:b w:val="false"/>
          <w:sz w:val="20"/>
          <w:shd w:fill="FFFFFF" w:val="clear"/>
        </w:rPr>
        <w:t>, of our Annual Report on Form 10-K for the year ended December 31, 2025. Our material cash requirements relate mostly to future (i) debt payments, including expected interest expense, calculated based on current interest rates, (ii) restaurant operating lease payments, (iii) purchasing commitments for chicken, (iv) restaurant finance lease payments, and (v) capital expenditures.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 Repurchases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2, 2023, we announced that our Board of Directors approved a share repurchase program (the “Share Repurchase Program”) under which we were authorized to repurchase up to $20,000,000 of shares of our common stock. Under the Share Repurchase Program, we were permitted to repurchase our common stock from time to time, in amounts and at prices that we deemed appropriate, subject to market conditions and other considerations. Pursuant to the Share Repurchase Program, we were authorized to effect repurchases using open market purchases, including pursuant to Rule 10b5-1 trading plans, and/or through privately negotiated transactions. The Share Repurchase Program did not obligate us to acquire any particular number of shares. During the 13 weeks ended March 26, 2025, the Company repurchased 159,750 shares pursuant to the Share Repurchase Program. The Company did not repurchase any shares pursuant to the Share Repurchase Program during the 13 weeks ended April 1, 2026. The Share Repurchase Program expired on March 31, 2025.</w:t>
      </w:r>
    </w:p>
    <w:p>
      <w:pPr>
        <w:pStyle w:val="TextBody"/>
        <w:bidi w:val="0"/>
        <w:spacing w:before="0" w:after="240"/>
        <w:ind w:left="0" w:right="0" w:hanging="0"/>
        <w:jc w:val="left"/>
        <w:rPr/>
      </w:pPr>
      <w:r>
        <w:rPr/>
        <w:t>​</w:t>
      </w:r>
    </w:p>
    <w:p>
      <w:pPr>
        <w:pStyle w:val="TextBody"/>
        <w:bidi w:val="0"/>
        <w:spacing w:before="360" w:after="0"/>
        <w:ind w:left="0" w:right="0" w:hanging="0"/>
        <w:jc w:val="left"/>
        <w:rPr>
          <w:rFonts w:ascii="Times New Roman;Times;serif" w:hAnsi="Times New Roman;Times;serif"/>
          <w:b/>
          <w:sz w:val="20"/>
        </w:rPr>
      </w:pPr>
      <w:bookmarkStart w:id="1023" w:name="Item3QuantitativeandQualitativeDisclosur"/>
      <w:bookmarkStart w:id="1024" w:name="_baf20f78_da47_419e_8c56_4c29570ac60a"/>
      <w:bookmarkEnd w:id="1023"/>
      <w:bookmarkEnd w:id="1024"/>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12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Interest Rate Risk</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On July 27, 2022, we refinanced and entered into the 2022 Credit Agreement, which provides for a $150 million five-year senior secured revolving facility. </w:t>
      </w:r>
      <w:r>
        <w:rPr>
          <w:rFonts w:ascii="Times New Roman;Times;serif" w:hAnsi="Times New Roman;Times;serif"/>
          <w:sz w:val="20"/>
          <w:shd w:fill="FFFFFF" w:val="clear"/>
        </w:rPr>
        <w:t xml:space="preserve">We are exposed to market risk from changes in interest rates on our debt, which bears interest, at </w:t>
      </w:r>
      <w:r>
        <w:rPr>
          <w:rFonts w:ascii="Times New Roman;Times;serif" w:hAnsi="Times New Roman;Times;serif"/>
          <w:sz w:val="20"/>
        </w:rPr>
        <w:t>SOFR</w:t>
      </w:r>
      <w:r>
        <w:rPr>
          <w:rFonts w:ascii="Times New Roman;Times;serif" w:hAnsi="Times New Roman;Times;serif"/>
          <w:sz w:val="20"/>
          <w:shd w:fill="FFFFFF" w:val="clear"/>
        </w:rPr>
        <w:t xml:space="preserve"> plus a margin between 1.25% and 2.25%. As of April 1, 2026, we had outstanding borrowings of $44.0 million under our 2022 Revolver, $10.3 million of letters of credit in support of our insurance programs, and the applicable margin on outstanding borrowings under 2022 Revolver was 1.25%.</w:t>
      </w:r>
      <w:r>
        <w:rPr>
          <w:rFonts w:ascii="Times New Roman;Times;serif" w:hAnsi="Times New Roman;Times;serif"/>
          <w:sz w:val="20"/>
        </w:rPr>
        <w:t xml:space="preserve"> </w:t>
      </w:r>
      <w:r>
        <w:rPr>
          <w:rFonts w:ascii="Times New Roman;Times;serif" w:hAnsi="Times New Roman;Times;serif"/>
          <w:sz w:val="20"/>
          <w:shd w:fill="FFFFFF" w:val="clear"/>
        </w:rPr>
        <w:t>A 1.0% increase in the effective interest rate applied to our 2022 Revolver borrowings would result in a pre-tax interest expense increase of $0.4 million on an annualized basis.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thirteen weeks ended April 1, 2026, we did not make any borrowings and paid down $7.0 million on our 2022 Revolver, and the outstanding balance as of April 1, 2026 was $44.0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w:t>
      </w:r>
      <w:r>
        <w:rPr>
          <w:rFonts w:ascii="Times New Roman;Times;serif" w:hAnsi="Times New Roman;Times;serif"/>
          <w:sz w:val="20"/>
          <w:shd w:fill="FFFFFF" w:val="clear"/>
        </w:rPr>
        <w:t>If future rates based upon SOFR are higher than SOFR rates as currently determined, we may experience potential increases in interest rates on our variable rate debt, which could adversely impact our interest expense, results of operations and cash flows.</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Inflation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Inflation has an impact on food, paper, construction, utility, labor and benefits, and general and administrative costs, as well as other costs, all of which can materially impact our operations. In general, we have been able to substantially offset cost increases resulting thus far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Commodity Price Risk</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diseases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due to trade tariffs, natural disasters and other world events. Therefore, to the extent that we do not pass along cost increases to our customers, our results of operations may be adversely affected. At this time, we do not use financial instruments to hedge our commodity risk.</w:t>
      </w:r>
    </w:p>
    <w:p>
      <w:pPr>
        <w:pStyle w:val="TextBody"/>
        <w:bidi w:val="0"/>
        <w:spacing w:before="0" w:after="240"/>
        <w:ind w:left="0" w:right="0" w:hanging="0"/>
        <w:jc w:val="both"/>
        <w:rPr/>
      </w:pPr>
      <w:bookmarkStart w:id="1025" w:name="_e0e43eee_bc0f_497f_8e72_0fb7f5d23edb"/>
      <w:bookmarkEnd w:id="1025"/>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026" w:name="Item4ControlsandProcedures_514743"/>
      <w:bookmarkEnd w:id="1026"/>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12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Disclosure Controls and Procedures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April 1, 2026.</w:t>
      </w:r>
    </w:p>
    <w:p>
      <w:pPr>
        <w:pStyle w:val="TextBody"/>
        <w:bidi w:val="0"/>
        <w:spacing w:before="360" w:after="0"/>
        <w:ind w:left="245" w:right="0" w:hanging="0"/>
        <w:jc w:val="both"/>
        <w:rPr>
          <w:rFonts w:ascii="Times New Roman;Times;serif" w:hAnsi="Times New Roman;Times;serif"/>
          <w:b w:val="false"/>
          <w:i/>
          <w:sz w:val="20"/>
        </w:rPr>
      </w:pPr>
      <w:r>
        <w:rPr>
          <w:rFonts w:ascii="Times New Roman;Times;serif" w:hAnsi="Times New Roman;Times;serif"/>
          <w:b w:val="false"/>
          <w:i/>
          <w:sz w:val="20"/>
        </w:rPr>
        <w:t>Changes in Internal Control over Financial Reporting</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No changes in our internal control over financial reporting occurred during the quarter ended April 1, 2026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27" w:name="PARTIIOTHERINFORMATION_750351"/>
      <w:bookmarkStart w:id="1028" w:name="_965b9fd9_2037_4dc1_89ed_ff837ed4256f"/>
      <w:bookmarkEnd w:id="1027"/>
      <w:bookmarkEnd w:id="1028"/>
      <w:r>
        <w:rPr>
          <w:rFonts w:ascii="Times New Roman;Times;serif" w:hAnsi="Times New Roman;Times;serif"/>
          <w:b/>
          <w:sz w:val="20"/>
        </w:rPr>
        <w:t>PART II. OTHER INFORMATION</w:t>
      </w:r>
    </w:p>
    <w:p>
      <w:pPr>
        <w:pStyle w:val="TextBody"/>
        <w:bidi w:val="0"/>
        <w:spacing w:before="120" w:after="0"/>
        <w:ind w:left="0" w:right="0" w:hanging="0"/>
        <w:jc w:val="left"/>
        <w:rPr>
          <w:rFonts w:ascii="Times New Roman;Times;serif" w:hAnsi="Times New Roman;Times;serif"/>
          <w:b/>
          <w:sz w:val="20"/>
        </w:rPr>
      </w:pPr>
      <w:bookmarkStart w:id="1029" w:name="Item1LegalProceedings_952142"/>
      <w:bookmarkEnd w:id="1029"/>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See discussion under Note 8, </w:t>
      </w:r>
      <w:r>
        <w:rPr>
          <w:rFonts w:ascii="Times New Roman;Times;serif" w:hAnsi="Times New Roman;Times;serif"/>
          <w:i/>
          <w:sz w:val="20"/>
        </w:rPr>
        <w:t>Commitments and Contingencies</w:t>
      </w:r>
      <w:r>
        <w:rPr>
          <w:rFonts w:ascii="Times New Roman;Times;serif" w:hAnsi="Times New Roman;Times;serif"/>
          <w:sz w:val="20"/>
        </w:rPr>
        <w:t xml:space="preserve">, to the Condensed Consolidated Financial Statements included in Part I, Item 1, </w:t>
      </w:r>
      <w:r>
        <w:rPr>
          <w:rFonts w:ascii="Times New Roman;Times;serif" w:hAnsi="Times New Roman;Times;serif"/>
          <w:i/>
          <w:sz w:val="20"/>
        </w:rPr>
        <w:t>Financial Statements</w:t>
      </w:r>
      <w:r>
        <w:rPr>
          <w:rFonts w:ascii="Times New Roman;Times;serif" w:hAnsi="Times New Roman;Times;serif"/>
          <w:sz w:val="20"/>
        </w:rPr>
        <w:t>, of this Quarterly Report on Form 10-Q, which is incorporated herein by reference.</w:t>
      </w:r>
    </w:p>
    <w:p>
      <w:pPr>
        <w:pStyle w:val="TextBody"/>
        <w:bidi w:val="0"/>
        <w:spacing w:before="360" w:after="0"/>
        <w:ind w:left="0" w:right="0" w:hanging="0"/>
        <w:jc w:val="left"/>
        <w:rPr>
          <w:rFonts w:ascii="Times New Roman;Times;serif" w:hAnsi="Times New Roman;Times;serif"/>
          <w:b/>
          <w:sz w:val="20"/>
        </w:rPr>
      </w:pPr>
      <w:bookmarkStart w:id="1030" w:name="Item1ARiskFactors_611784"/>
      <w:bookmarkStart w:id="1031" w:name="_6ff19806_153b_4e13_8a8a_c9b7df3fa3a2"/>
      <w:bookmarkEnd w:id="1030"/>
      <w:bookmarkEnd w:id="1031"/>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There have been no material changes from the risk factors previously disclosed in Part I, Item 1A, </w:t>
      </w:r>
      <w:r>
        <w:rPr>
          <w:rFonts w:ascii="Times New Roman;Times;serif" w:hAnsi="Times New Roman;Times;serif"/>
          <w:i/>
          <w:sz w:val="20"/>
        </w:rPr>
        <w:t>Risk Factors</w:t>
      </w:r>
      <w:r>
        <w:rPr>
          <w:rFonts w:ascii="Times New Roman;Times;serif" w:hAnsi="Times New Roman;Times;serif"/>
          <w:sz w:val="20"/>
        </w:rPr>
        <w:t>, of our Annual Report on Form 10-K for the year ended December 31, 2025.</w:t>
      </w:r>
    </w:p>
    <w:p>
      <w:pPr>
        <w:pStyle w:val="TextBody"/>
        <w:bidi w:val="0"/>
        <w:spacing w:before="360" w:after="0"/>
        <w:ind w:left="0" w:right="0" w:hanging="0"/>
        <w:jc w:val="left"/>
        <w:rPr>
          <w:rFonts w:ascii="Times New Roman;Times;serif" w:hAnsi="Times New Roman;Times;serif"/>
          <w:b/>
          <w:sz w:val="20"/>
        </w:rPr>
      </w:pPr>
      <w:bookmarkStart w:id="1032" w:name="Item2UnregisteredSalesofEquitySecurities"/>
      <w:bookmarkStart w:id="1033" w:name="_a07bfae4_51c8_41e4_9ac8_e05f85b683dc"/>
      <w:bookmarkEnd w:id="1032"/>
      <w:bookmarkEnd w:id="1033"/>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w:t>
      </w:r>
    </w:p>
    <w:p>
      <w:pPr>
        <w:pStyle w:val="TextBody"/>
        <w:bidi w:val="0"/>
        <w:spacing w:before="120" w:after="0"/>
        <w:ind w:left="0" w:right="0" w:firstLine="490"/>
        <w:jc w:val="both"/>
        <w:rPr>
          <w:rFonts w:ascii="Times New Roman;Times;serif" w:hAnsi="Times New Roman;Times;serif"/>
          <w:sz w:val="20"/>
        </w:rPr>
      </w:pPr>
      <w:r>
        <w:rPr>
          <w:rFonts w:ascii="inherit" w:hAnsi="inherit"/>
          <w:sz w:val="20"/>
        </w:rPr>
        <w:t>T</w:t>
      </w:r>
      <w:r>
        <w:rPr>
          <w:rFonts w:ascii="Times New Roman;Times;serif" w:hAnsi="Times New Roman;Times;serif"/>
          <w:sz w:val="20"/>
        </w:rPr>
        <w:t>he following table summarizes our repurchases of common stock in the quarterly period ended April 1, 2026 (in thousands, except number of shares and per share amounts):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99"/>
        <w:gridCol w:w="346"/>
        <w:gridCol w:w="1342"/>
        <w:gridCol w:w="233"/>
        <w:gridCol w:w="346"/>
        <w:gridCol w:w="1133"/>
        <w:gridCol w:w="346"/>
        <w:gridCol w:w="2112"/>
        <w:gridCol w:w="109"/>
        <w:gridCol w:w="346"/>
        <w:gridCol w:w="2393"/>
      </w:tblGrid>
      <w:tr>
        <w:trPr/>
        <w:tc>
          <w:tcPr>
            <w:tcW w:w="1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51865" cy="175260"/>
                      <wp:effectExtent l="0" t="0" r="0" b="0"/>
                      <wp:wrapNone/>
                      <wp:docPr id="279" name="Frame279"/>
                      <a:graphic xmlns:a="http://schemas.openxmlformats.org/drawingml/2006/main">
                        <a:graphicData uri="http://schemas.microsoft.com/office/word/2010/wordprocessingShape">
                          <wps:wsp>
                            <wps:cNvSpPr txBox="1"/>
                            <wps:spPr>
                              <a:xfrm>
                                <a:off x="0" y="0"/>
                                <a:ext cx="951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852170" cy="175260"/>
                      <wp:effectExtent l="0" t="0" r="0" b="0"/>
                      <wp:wrapNone/>
                      <wp:docPr id="281" name="Frame281"/>
                      <a:graphic xmlns:a="http://schemas.openxmlformats.org/drawingml/2006/main">
                        <a:graphicData uri="http://schemas.microsoft.com/office/word/2010/wordprocessingShape">
                          <wps:wsp>
                            <wps:cNvSpPr txBox="1"/>
                            <wps:spPr>
                              <a:xfrm>
                                <a:off x="0" y="0"/>
                                <a:ext cx="852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47955" cy="175260"/>
                      <wp:effectExtent l="0" t="0" r="0" b="0"/>
                      <wp:wrapNone/>
                      <wp:docPr id="282" name="Frame28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19455" cy="175260"/>
                      <wp:effectExtent l="0" t="0" r="0" b="0"/>
                      <wp:wrapNone/>
                      <wp:docPr id="284" name="Frame284"/>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41120" cy="175260"/>
                      <wp:effectExtent l="0" t="0" r="0" b="0"/>
                      <wp:wrapNone/>
                      <wp:docPr id="286" name="Frame286"/>
                      <a:graphic xmlns:a="http://schemas.openxmlformats.org/drawingml/2006/main">
                        <a:graphicData uri="http://schemas.microsoft.com/office/word/2010/wordprocessingShape">
                          <wps:wsp>
                            <wps:cNvSpPr txBox="1"/>
                            <wps:spPr>
                              <a:xfrm>
                                <a:off x="0" y="0"/>
                                <a:ext cx="1341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7"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519555" cy="175260"/>
                      <wp:effectExtent l="0" t="0" r="0" b="0"/>
                      <wp:wrapNone/>
                      <wp:docPr id="289" name="Frame289"/>
                      <a:graphic xmlns:a="http://schemas.openxmlformats.org/drawingml/2006/main">
                        <a:graphicData uri="http://schemas.microsoft.com/office/word/2010/wordprocessingShape">
                          <wps:wsp>
                            <wps:cNvSpPr txBox="1"/>
                            <wps:spPr>
                              <a:xfrm>
                                <a:off x="0" y="0"/>
                                <a:ext cx="151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42" w:type="dxa"/>
            <w:tcBorders/>
            <w:vAlign w:val="center"/>
          </w:tcPr>
          <w:p>
            <w:pPr>
              <w:pStyle w:val="TableContents"/>
              <w:bidi w:val="0"/>
              <w:spacing w:before="0" w:after="1"/>
              <w:ind w:left="0" w:right="0" w:hanging="0"/>
              <w:jc w:val="center"/>
              <w:rPr/>
            </w:pPr>
            <w:r>
              <w:rPr/>
              <w:t>​</w:t>
            </w:r>
          </w:p>
        </w:tc>
        <w:tc>
          <w:tcPr>
            <w:tcW w:w="2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67" w:type="dxa"/>
            <w:gridSpan w:val="3"/>
            <w:tcBorders/>
            <w:vAlign w:val="center"/>
          </w:tcPr>
          <w:p>
            <w:pPr>
              <w:pStyle w:val="TableContents"/>
              <w:bidi w:val="0"/>
              <w:spacing w:before="0" w:after="1"/>
              <w:ind w:left="0" w:right="0" w:hanging="0"/>
              <w:jc w:val="center"/>
              <w:rPr/>
            </w:pPr>
            <w:r>
              <w:rPr/>
              <w:t>​</w:t>
            </w:r>
          </w:p>
        </w:tc>
        <w:tc>
          <w:tcPr>
            <w:tcW w:w="2393" w:type="dxa"/>
            <w:tcBorders/>
            <w:vAlign w:val="center"/>
          </w:tcPr>
          <w:p>
            <w:pPr>
              <w:pStyle w:val="TableContents"/>
              <w:bidi w:val="0"/>
              <w:spacing w:before="0" w:after="1"/>
              <w:ind w:left="0" w:right="0" w:hanging="0"/>
              <w:jc w:val="left"/>
              <w:rPr/>
            </w:pPr>
            <w:r>
              <w:rPr/>
              <w:t>​</w:t>
            </w:r>
          </w:p>
        </w:tc>
      </w:tr>
      <w:tr>
        <w:trPr/>
        <w:tc>
          <w:tcPr>
            <w:tcW w:w="14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1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21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23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Be Purchased Under the Plans or Programs</w:t>
            </w:r>
          </w:p>
        </w:tc>
      </w:tr>
      <w:tr>
        <w:trPr/>
        <w:tc>
          <w:tcPr>
            <w:tcW w:w="1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1, 2026 to January 28, 2026</w:t>
            </w:r>
          </w:p>
        </w:tc>
        <w:tc>
          <w:tcPr>
            <w:tcW w:w="346" w:type="dxa"/>
            <w:tcBorders/>
            <w:shd w:fill="CCEEFF" w:val="clear"/>
            <w:vAlign w:val="center"/>
          </w:tcPr>
          <w:p>
            <w:pPr>
              <w:pStyle w:val="TableContents"/>
              <w:bidi w:val="0"/>
              <w:spacing w:before="0" w:after="1"/>
              <w:ind w:left="0" w:right="0" w:hanging="0"/>
              <w:jc w:val="left"/>
              <w:rPr/>
            </w:pPr>
            <w:r>
              <w:rPr/>
              <w:t> </w:t>
            </w:r>
          </w:p>
        </w:tc>
        <w:tc>
          <w:tcPr>
            <w:tcW w:w="1342"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3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29, 2026 to February 25, 2026</w:t>
            </w:r>
          </w:p>
        </w:tc>
        <w:tc>
          <w:tcPr>
            <w:tcW w:w="346" w:type="dxa"/>
            <w:tcBorders/>
            <w:vAlign w:val="center"/>
          </w:tcPr>
          <w:p>
            <w:pPr>
              <w:pStyle w:val="TableContents"/>
              <w:bidi w:val="0"/>
              <w:spacing w:before="0" w:after="1"/>
              <w:ind w:left="0" w:right="0" w:hanging="0"/>
              <w:jc w:val="left"/>
              <w:rPr/>
            </w:pPr>
            <w:r>
              <w:rPr/>
              <w:t> </w:t>
            </w:r>
          </w:p>
        </w:tc>
        <w:tc>
          <w:tcPr>
            <w:tcW w:w="1342"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w:t>
            </w:r>
          </w:p>
        </w:tc>
        <w:tc>
          <w:tcPr>
            <w:tcW w:w="211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3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26, 2026 to April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3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19,524</w:t>
            </w:r>
          </w:p>
        </w:tc>
        <w:tc>
          <w:tcPr>
            <w:tcW w:w="23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w:t>
            </w:r>
          </w:p>
        </w:tc>
        <w:tc>
          <w:tcPr>
            <w:tcW w:w="346" w:type="dxa"/>
            <w:tcBorders/>
            <w:shd w:fill="CCEEFF" w:val="clear"/>
            <w:vAlign w:val="center"/>
          </w:tcPr>
          <w:p>
            <w:pPr>
              <w:pStyle w:val="TableContents"/>
              <w:bidi w:val="0"/>
              <w:spacing w:before="0" w:after="1"/>
              <w:ind w:left="0" w:right="0" w:hanging="0"/>
              <w:jc w:val="right"/>
              <w:rPr/>
            </w:pPr>
            <w:r>
              <w:rPr/>
              <w:t>​</w:t>
            </w:r>
          </w:p>
        </w:tc>
        <w:tc>
          <w:tcPr>
            <w:tcW w:w="21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3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3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19,524</w:t>
            </w:r>
          </w:p>
        </w:tc>
        <w:tc>
          <w:tcPr>
            <w:tcW w:w="233"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11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93" w:type="dxa"/>
            <w:tcBorders/>
            <w:vAlign w:val="center"/>
          </w:tcPr>
          <w:p>
            <w:pPr>
              <w:pStyle w:val="TableContents"/>
              <w:bidi w:val="0"/>
              <w:spacing w:before="0" w:after="1"/>
              <w:ind w:left="0" w:right="0" w:hanging="0"/>
              <w:jc w:val="right"/>
              <w:rPr/>
            </w:pPr>
            <w:r>
              <w:rPr/>
              <w:t>​</w:t>
            </w:r>
          </w:p>
        </w:tc>
      </w:tr>
    </w:tbl>
    <w:p>
      <w:pPr>
        <w:pStyle w:val="TextBody"/>
        <w:pBdr>
          <w:bottom w:val="single" w:sz="2" w:space="1" w:color="000000"/>
        </w:pBdr>
        <w:bidi w:val="0"/>
        <w:spacing w:before="0" w:after="240"/>
        <w:ind w:left="0" w:right="7200" w:hanging="0"/>
        <w:jc w:val="left"/>
        <w:rPr/>
      </w:pPr>
      <w:r>
        <w:rPr/>
        <w:t>​</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Consists of 19,524 shares acquired by us to satisfy employee tax withholding obligations in connection with the vesting of previously issued restricted stock.</w:t>
            </w:r>
          </w:p>
        </w:tc>
      </w:tr>
    </w:tbl>
    <w:p>
      <w:pPr>
        <w:pStyle w:val="TextBody"/>
        <w:bidi w:val="0"/>
        <w:spacing w:before="360" w:after="0"/>
        <w:ind w:left="0" w:right="0" w:hanging="0"/>
        <w:jc w:val="left"/>
        <w:rPr>
          <w:rFonts w:ascii="Times New Roman;Times;serif" w:hAnsi="Times New Roman;Times;serif"/>
          <w:b/>
          <w:sz w:val="20"/>
        </w:rPr>
      </w:pPr>
      <w:bookmarkStart w:id="1034" w:name="Item3DefaultsofSeniorSecurities_13390"/>
      <w:bookmarkStart w:id="1035" w:name="_94120b2d_0888_49df_ba82_fba98389e98d"/>
      <w:bookmarkEnd w:id="1034"/>
      <w:bookmarkEnd w:id="1035"/>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120" w:after="0"/>
        <w:ind w:left="0" w:right="0" w:firstLine="49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360" w:after="0"/>
        <w:ind w:left="0" w:right="0" w:hanging="0"/>
        <w:jc w:val="left"/>
        <w:rPr>
          <w:rFonts w:ascii="Times New Roman;Times;serif" w:hAnsi="Times New Roman;Times;serif"/>
          <w:b/>
          <w:sz w:val="20"/>
        </w:rPr>
      </w:pPr>
      <w:bookmarkStart w:id="1036" w:name="Item4MineSafetyDisclosures_432267"/>
      <w:bookmarkStart w:id="1037" w:name="_90185603_ad6e_4f3e_b19f_05babac9bba0"/>
      <w:bookmarkEnd w:id="1036"/>
      <w:bookmarkEnd w:id="1037"/>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360" w:after="0"/>
        <w:ind w:left="0" w:right="0" w:hanging="0"/>
        <w:jc w:val="left"/>
        <w:rPr>
          <w:rFonts w:ascii="Times New Roman;Times;serif" w:hAnsi="Times New Roman;Times;serif"/>
          <w:b/>
          <w:sz w:val="20"/>
        </w:rPr>
      </w:pPr>
      <w:bookmarkStart w:id="1038" w:name="Item5OtherInformation_929848"/>
      <w:bookmarkStart w:id="1039" w:name="_ead2997e_5208_4fcf_b4a9_b9b7d0bf1a71"/>
      <w:bookmarkEnd w:id="1038"/>
      <w:bookmarkEnd w:id="1039"/>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120" w:after="0"/>
        <w:ind w:left="735" w:right="0" w:hanging="0"/>
        <w:jc w:val="both"/>
        <w:rPr>
          <w:rFonts w:ascii="Times New Roman;Times;serif" w:hAnsi="Times New Roman;Times;serif"/>
          <w:i/>
          <w:sz w:val="20"/>
        </w:rPr>
      </w:pPr>
      <w:r>
        <w:rPr>
          <w:rFonts w:ascii="Times New Roman;Times;serif" w:hAnsi="Times New Roman;Times;serif"/>
          <w:i/>
          <w:sz w:val="20"/>
        </w:rPr>
        <w:t>Insider Trading Arrangements</w:t>
      </w:r>
    </w:p>
    <w:p>
      <w:pPr>
        <w:pStyle w:val="TextBody"/>
        <w:bidi w:val="0"/>
        <w:spacing w:before="120" w:after="0"/>
        <w:ind w:left="735" w:right="0" w:hanging="0"/>
        <w:jc w:val="both"/>
        <w:rPr>
          <w:rFonts w:ascii="Times New Roman;Times;serif" w:hAnsi="Times New Roman;Times;serif"/>
          <w:sz w:val="20"/>
        </w:rPr>
      </w:pPr>
      <w:r>
        <w:rPr>
          <w:rFonts w:ascii="Times New Roman;Times;serif" w:hAnsi="Times New Roman;Times;serif"/>
          <w:sz w:val="20"/>
        </w:rPr>
        <w:t>No officers, as defined in Rule 16a-1(f), or directors adopted or terminated a “Rule 10b5-1 trading arrangement” or a “non-Rule 10b5-1 trading arrangement,” as defined in Regulation S-K Item 408, during the last fiscal quarter.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40" w:name="Item6Exhibits_636888"/>
      <w:bookmarkStart w:id="1041" w:name="_dc7d79c3_0d30_47f4_a674_3ec1e2f9fcf1"/>
      <w:bookmarkEnd w:id="1040"/>
      <w:bookmarkEnd w:id="1041"/>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776" w:type="dxa"/>
        <w:jc w:val="left"/>
        <w:tblInd w:w="0" w:type="dxa"/>
        <w:tblLayout w:type="fixed"/>
        <w:tblCellMar>
          <w:top w:w="28" w:type="dxa"/>
          <w:left w:w="28" w:type="dxa"/>
          <w:bottom w:w="28" w:type="dxa"/>
          <w:right w:w="28" w:type="dxa"/>
        </w:tblCellMar>
      </w:tblPr>
      <w:tblGrid>
        <w:gridCol w:w="124"/>
        <w:gridCol w:w="31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87"/>
        <w:gridCol w:w="109"/>
        <w:gridCol w:w="6520"/>
        <w:gridCol w:w="109"/>
        <w:gridCol w:w="586"/>
        <w:gridCol w:w="109"/>
        <w:gridCol w:w="736"/>
        <w:gridCol w:w="109"/>
        <w:gridCol w:w="840"/>
      </w:tblGrid>
      <w:tr>
        <w:trPr/>
        <w:tc>
          <w:tcPr>
            <w:tcW w:w="10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10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Number</w:t>
            </w:r>
          </w:p>
        </w:tc>
        <w:tc>
          <w:tcPr>
            <w:tcW w:w="109" w:type="dxa"/>
            <w:tcBorders/>
            <w:vAlign w:val="center"/>
          </w:tcPr>
          <w:p>
            <w:pPr>
              <w:pStyle w:val="TableContents"/>
              <w:bidi w:val="0"/>
              <w:spacing w:before="0" w:after="0"/>
              <w:ind w:left="0" w:right="0" w:hanging="0"/>
              <w:jc w:val="left"/>
              <w:rPr/>
            </w:pPr>
            <w:r>
              <w:rPr/>
              <w:t>​</w:t>
            </w:r>
          </w:p>
        </w:tc>
        <w:tc>
          <w:tcPr>
            <w:tcW w:w="6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c>
          <w:tcPr>
            <w:tcW w:w="109" w:type="dxa"/>
            <w:tcBorders/>
            <w:vAlign w:val="center"/>
          </w:tcPr>
          <w:p>
            <w:pPr>
              <w:pStyle w:val="TableContents"/>
              <w:bidi w:val="0"/>
              <w:spacing w:before="0" w:after="0"/>
              <w:ind w:left="0" w:right="0" w:hanging="0"/>
              <w:jc w:val="left"/>
              <w:rPr/>
            </w:pPr>
            <w:r>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109" w:type="dxa"/>
            <w:tcBorders/>
            <w:vAlign w:val="center"/>
          </w:tcPr>
          <w:p>
            <w:pPr>
              <w:pStyle w:val="TableContents"/>
              <w:bidi w:val="0"/>
              <w:spacing w:before="0" w:after="0"/>
              <w:ind w:left="0" w:right="0" w:hanging="0"/>
              <w:jc w:val="left"/>
              <w:rPr/>
            </w:pPr>
            <w:r>
              <w:rPr/>
              <w:t>​</w:t>
            </w:r>
          </w:p>
        </w:tc>
        <w:tc>
          <w:tcPr>
            <w:tcW w:w="7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9" w:type="dxa"/>
            <w:tcBorders/>
            <w:vAlign w:val="center"/>
          </w:tcPr>
          <w:p>
            <w:pPr>
              <w:pStyle w:val="TableContents"/>
              <w:bidi w:val="0"/>
              <w:spacing w:before="0" w:after="0"/>
              <w:ind w:left="0" w:right="0" w:hanging="0"/>
              <w:jc w:val="left"/>
              <w:rPr/>
            </w:pPr>
            <w:r>
              <w:rPr/>
              <w:t>​</w:t>
            </w:r>
          </w:p>
        </w:tc>
        <w:tc>
          <w:tcPr>
            <w:tcW w:w="84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r>
      <w:tr>
        <w:trPr/>
        <w:tc>
          <w:tcPr>
            <w:tcW w:w="1087"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6520"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color w:val="0000FF"/>
                  <w:sz w:val="20"/>
                </w:rPr>
                <w:t>Amended and Restated Certificate of Incorporation of El Pollo Loco Holdings, Inc.</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6/5/2025</w:t>
            </w:r>
          </w:p>
        </w:tc>
      </w:tr>
      <w:tr>
        <w:trPr/>
        <w:tc>
          <w:tcPr>
            <w:tcW w:w="10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6520"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color w:val="0000FF"/>
                  <w:sz w:val="20"/>
                </w:rPr>
                <w:t>Certificate of Designations of Series A Preferred Stock of El Pollo Loco Holdings, Inc., as filed with the Secretary of State of the State of Delaware on August 9, 2023</w:t>
              </w:r>
            </w:hyperlink>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8/9/2023</w:t>
            </w:r>
          </w:p>
        </w:tc>
      </w:tr>
      <w:tr>
        <w:trPr/>
        <w:tc>
          <w:tcPr>
            <w:tcW w:w="10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6520" w:type="dxa"/>
            <w:tcBorders/>
            <w:shd w:fill="CCEEFF" w:val="clear"/>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color w:val="0000FF"/>
                  <w:sz w:val="20"/>
                </w:rPr>
                <w:t>Amended and Restated By-Laws of El Pollo Loco Holdings, Inc.</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2/2/2024</w:t>
            </w:r>
          </w:p>
        </w:tc>
      </w:tr>
      <w:tr>
        <w:trPr/>
        <w:tc>
          <w:tcPr>
            <w:tcW w:w="10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6520" w:type="dxa"/>
            <w:tcBorders/>
            <w:vAlign w:val="center"/>
          </w:tcPr>
          <w:p>
            <w:pPr>
              <w:pStyle w:val="TableContents"/>
              <w:bidi w:val="0"/>
              <w:spacing w:before="0" w:after="0"/>
              <w:ind w:left="0" w:right="0" w:hanging="0"/>
              <w:jc w:val="both"/>
              <w:rPr/>
            </w:pPr>
            <w:hyperlink w:anchor="loco-20260401xex31d1.htm">
              <w:r>
                <w:rPr>
                  <w:rStyle w:val="InternetLink"/>
                  <w:rFonts w:ascii="Times New Roman;Times;serif" w:hAnsi="Times New Roman;Times;serif"/>
                  <w:b w:val="false"/>
                  <w:i w:val="false"/>
                  <w:caps w:val="false"/>
                  <w:smallCaps w:val="false"/>
                  <w:color w:val="0000FF"/>
                  <w:sz w:val="20"/>
                </w:rPr>
                <w:t>Rule 13a–14(a)/15d–14(a) Certification of Principal Executive Officer</w:t>
              </w:r>
            </w:hyperlink>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r>
      <w:tr>
        <w:trPr/>
        <w:tc>
          <w:tcPr>
            <w:tcW w:w="10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shd w:fill="CCEEFF" w:val="clear"/>
            <w:vAlign w:val="center"/>
          </w:tcPr>
          <w:p>
            <w:pPr>
              <w:pStyle w:val="TableContents"/>
              <w:bidi w:val="0"/>
              <w:spacing w:before="0" w:after="0"/>
              <w:ind w:left="0" w:right="0" w:hanging="0"/>
              <w:jc w:val="left"/>
              <w:rPr/>
            </w:pPr>
            <w:r>
              <w:rPr/>
              <w:t>​</w:t>
            </w:r>
          </w:p>
        </w:tc>
        <w:tc>
          <w:tcPr>
            <w:tcW w:w="6520" w:type="dxa"/>
            <w:tcBorders/>
            <w:shd w:fill="CCEEFF" w:val="clear"/>
            <w:vAlign w:val="center"/>
          </w:tcPr>
          <w:p>
            <w:pPr>
              <w:pStyle w:val="TableContents"/>
              <w:bidi w:val="0"/>
              <w:spacing w:before="0" w:after="0"/>
              <w:ind w:left="0" w:right="0" w:hanging="0"/>
              <w:jc w:val="both"/>
              <w:rPr/>
            </w:pPr>
            <w:hyperlink w:anchor="loco-20260401xex31d2.htm">
              <w:r>
                <w:rPr>
                  <w:rStyle w:val="InternetLink"/>
                  <w:rFonts w:ascii="Times New Roman;Times;serif" w:hAnsi="Times New Roman;Times;serif"/>
                  <w:b w:val="false"/>
                  <w:i w:val="false"/>
                  <w:caps w:val="false"/>
                  <w:smallCaps w:val="false"/>
                  <w:color w:val="0000FF"/>
                  <w:sz w:val="20"/>
                </w:rPr>
                <w:t>Rule 13a–14(a)/15d–14(a) Certification of Principal Financial Officer</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r>
      <w:tr>
        <w:trPr/>
        <w:tc>
          <w:tcPr>
            <w:tcW w:w="10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6520" w:type="dxa"/>
            <w:tcBorders/>
            <w:vAlign w:val="center"/>
          </w:tcPr>
          <w:p>
            <w:pPr>
              <w:pStyle w:val="TableContents"/>
              <w:bidi w:val="0"/>
              <w:spacing w:before="0" w:after="0"/>
              <w:ind w:left="0" w:right="0" w:hanging="0"/>
              <w:jc w:val="both"/>
              <w:rPr/>
            </w:pPr>
            <w:hyperlink w:anchor="loco-20260401xex32d1.htm">
              <w:r>
                <w:rPr>
                  <w:rStyle w:val="InternetLink"/>
                  <w:rFonts w:ascii="Times New Roman;Times;serif" w:hAnsi="Times New Roman;Times;serif"/>
                  <w:b w:val="false"/>
                  <w:i w:val="false"/>
                  <w:caps w:val="false"/>
                  <w:smallCaps w:val="false"/>
                  <w:color w:val="0000FF"/>
                  <w:sz w:val="20"/>
                </w:rPr>
                <w:t>Section 1350 Certification of Principal Executive Officer and Principal Financial Officer</w:t>
              </w:r>
            </w:hyperlink>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r>
      <w:tr>
        <w:trPr/>
        <w:tc>
          <w:tcPr>
            <w:tcW w:w="10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before="0" w:after="0"/>
              <w:ind w:left="0" w:right="0" w:hanging="0"/>
              <w:jc w:val="left"/>
              <w:rPr/>
            </w:pPr>
            <w:r>
              <w:rPr/>
              <w:t>​</w:t>
            </w:r>
          </w:p>
        </w:tc>
        <w:tc>
          <w:tcPr>
            <w:tcW w:w="652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r>
      <w:tr>
        <w:trPr/>
        <w:tc>
          <w:tcPr>
            <w:tcW w:w="10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6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r>
      <w:tr>
        <w:trPr/>
        <w:tc>
          <w:tcPr>
            <w:tcW w:w="10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before="0" w:after="0"/>
              <w:ind w:left="0" w:right="0" w:hanging="0"/>
              <w:jc w:val="left"/>
              <w:rPr/>
            </w:pPr>
            <w:r>
              <w:rPr/>
              <w:t>​</w:t>
            </w:r>
          </w:p>
        </w:tc>
        <w:tc>
          <w:tcPr>
            <w:tcW w:w="652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r>
      <w:tr>
        <w:trPr/>
        <w:tc>
          <w:tcPr>
            <w:tcW w:w="10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6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r>
      <w:tr>
        <w:trPr/>
        <w:tc>
          <w:tcPr>
            <w:tcW w:w="10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before="0" w:after="0"/>
              <w:ind w:left="0" w:right="0" w:hanging="0"/>
              <w:jc w:val="left"/>
              <w:rPr/>
            </w:pPr>
            <w:r>
              <w:rPr/>
              <w:t>​</w:t>
            </w:r>
          </w:p>
        </w:tc>
        <w:tc>
          <w:tcPr>
            <w:tcW w:w="652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r>
      <w:tr>
        <w:trPr/>
        <w:tc>
          <w:tcPr>
            <w:tcW w:w="10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6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r>
      <w:tr>
        <w:trPr/>
        <w:tc>
          <w:tcPr>
            <w:tcW w:w="10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0"/>
              <w:ind w:left="0" w:right="0" w:hanging="0"/>
              <w:jc w:val="left"/>
              <w:rPr>
                <w:shd w:fill="FFFFFF" w:val="clear"/>
              </w:rPr>
            </w:pPr>
            <w:r>
              <w:rPr>
                <w:shd w:fill="FFFFFF" w:val="clear"/>
              </w:rPr>
              <w:t>​</w:t>
            </w:r>
          </w:p>
        </w:tc>
        <w:tc>
          <w:tcPr>
            <w:tcW w:w="652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r>
    </w:tbl>
    <w:p>
      <w:pPr>
        <w:pStyle w:val="TextBody"/>
        <w:pBdr>
          <w:bottom w:val="single" w:sz="2" w:space="1" w:color="000000"/>
        </w:pBdr>
        <w:bidi w:val="0"/>
        <w:spacing w:before="0" w:after="240"/>
        <w:ind w:left="0" w:right="720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42" w:name="SIGNATURES_726842"/>
      <w:bookmarkStart w:id="1043" w:name="_ad4db3df_4d73_4ad7_9a02_b1b8ce0453e0"/>
      <w:bookmarkEnd w:id="1042"/>
      <w:bookmarkEnd w:id="1043"/>
      <w:r>
        <w:rPr>
          <w:rFonts w:ascii="Times New Roman;Times;serif" w:hAnsi="Times New Roman;Times;serif"/>
          <w:b/>
          <w:sz w:val="20"/>
        </w:rPr>
        <w:t>SIGNATURES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966" w:type="dxa"/>
        <w:jc w:val="left"/>
        <w:tblInd w:w="0" w:type="dxa"/>
        <w:tblLayout w:type="fixed"/>
        <w:tblCellMar>
          <w:top w:w="0" w:type="dxa"/>
          <w:left w:w="0" w:type="dxa"/>
          <w:bottom w:w="0" w:type="dxa"/>
          <w:right w:w="0" w:type="dxa"/>
        </w:tblCellMar>
      </w:tblPr>
      <w:tblGrid>
        <w:gridCol w:w="1636"/>
        <w:gridCol w:w="469"/>
        <w:gridCol w:w="2861"/>
      </w:tblGrid>
      <w:tr>
        <w:trPr/>
        <w:tc>
          <w:tcPr>
            <w:tcW w:w="163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6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330"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EL POLLO LOCO HOLDINGS, INC.</w:t>
            </w:r>
          </w:p>
        </w:tc>
      </w:tr>
      <w:tr>
        <w:trPr/>
        <w:tc>
          <w:tcPr>
            <w:tcW w:w="163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both"/>
              <w:rPr/>
            </w:pPr>
            <w:r>
              <w:rPr/>
              <w:t>​</w:t>
            </w:r>
          </w:p>
        </w:tc>
        <w:tc>
          <w:tcPr>
            <w:tcW w:w="2861" w:type="dxa"/>
            <w:tcBorders/>
            <w:vAlign w:val="center"/>
          </w:tcPr>
          <w:p>
            <w:pPr>
              <w:pStyle w:val="TableContents"/>
              <w:bidi w:val="0"/>
              <w:spacing w:before="0" w:after="0"/>
              <w:ind w:left="0" w:right="0" w:hanging="0"/>
              <w:jc w:val="both"/>
              <w:rPr/>
            </w:pPr>
            <w:r>
              <w:rPr/>
              <w:t>​</w:t>
            </w:r>
          </w:p>
        </w:tc>
      </w:tr>
      <w:tr>
        <w:trPr/>
        <w:tc>
          <w:tcPr>
            <w:tcW w:w="1636"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Date: May 8, 2026</w:t>
            </w:r>
          </w:p>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8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ELIZABETH WILLIAMS</w:t>
            </w:r>
          </w:p>
        </w:tc>
      </w:tr>
      <w:tr>
        <w:trPr/>
        <w:tc>
          <w:tcPr>
            <w:tcW w:w="163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Elizabeth Williams</w:t>
            </w:r>
          </w:p>
        </w:tc>
      </w:tr>
      <w:tr>
        <w:trPr/>
        <w:tc>
          <w:tcPr>
            <w:tcW w:w="163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61"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Executive Officer</w:t>
            </w:r>
          </w:p>
        </w:tc>
      </w:tr>
      <w:tr>
        <w:trPr/>
        <w:tc>
          <w:tcPr>
            <w:tcW w:w="163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Date: May 8, 2026</w:t>
      </w:r>
    </w:p>
    <w:p>
      <w:pPr>
        <w:pStyle w:val="TextBody"/>
        <w:bidi w:val="0"/>
        <w:spacing w:before="0" w:after="0"/>
        <w:ind w:left="0" w:right="0" w:hanging="0"/>
        <w:jc w:val="left"/>
        <w:rPr/>
      </w:pPr>
      <w:r>
        <w:rPr/>
        <w:t>​</w:t>
      </w:r>
    </w:p>
    <w:tbl>
      <w:tblPr>
        <w:tblW w:w="4296" w:type="dxa"/>
        <w:jc w:val="left"/>
        <w:tblInd w:w="0" w:type="dxa"/>
        <w:tblLayout w:type="fixed"/>
        <w:tblCellMar>
          <w:top w:w="0" w:type="dxa"/>
          <w:left w:w="0" w:type="dxa"/>
          <w:bottom w:w="0" w:type="dxa"/>
          <w:right w:w="0" w:type="dxa"/>
        </w:tblCellMar>
      </w:tblPr>
      <w:tblGrid>
        <w:gridCol w:w="124"/>
        <w:gridCol w:w="406"/>
        <w:gridCol w:w="376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IRA FILS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Ira Fils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120" w:after="0"/>
        <w:ind w:left="0" w:right="0" w:hanging="0"/>
        <w:jc w:val="left"/>
        <w:rPr/>
      </w:pPr>
      <w:r>
        <w:rPr/>
        <w:t>​</w:t>
      </w:r>
    </w:p>
    <w:p>
      <w:pPr>
        <w:pStyle w:val="TextBody"/>
        <w:bidi w:val="0"/>
        <w:spacing w:before="12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343" w:before="0" w:after="0"/>
        <w:ind w:left="0" w:right="0" w:hanging="0"/>
        <w:jc w:val="left"/>
        <w:rPr/>
      </w:pPr>
      <w:bookmarkStart w:id="1044" w:name="loco-20260401xex31d1.htm"/>
      <w:bookmarkStart w:id="1045" w:name="ksloco20260401xex31d1"/>
      <w:bookmarkEnd w:id="1044"/>
      <w:bookmarkEnd w:id="1045"/>
      <w:r>
        <w:rPr/>
        <w:t>​</w:t>
      </w:r>
      <w:r>
        <w:br w:type="page"/>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Exhibit 31.</w:t>
      </w:r>
      <w:bookmarkStart w:id="1046" w:name="New_Section_1"/>
      <w:bookmarkEnd w:id="1046"/>
      <w:r>
        <w:rPr>
          <w:rFonts w:ascii="Times New Roman;Times;serif" w:hAnsi="Times New Roman;Times;serif"/>
          <w:b/>
          <w:sz w:val="20"/>
        </w:rPr>
        <w:t>1</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RULE 13a-14(a)/15d-14(a) CERTIFICATION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Elizabeth Williams, certify that:</w:t>
      </w:r>
    </w:p>
    <w:tbl>
      <w:tblPr>
        <w:tblW w:w="7038" w:type="dxa"/>
        <w:jc w:val="left"/>
        <w:tblInd w:w="0" w:type="dxa"/>
        <w:tblLayout w:type="fixed"/>
        <w:tblCellMar>
          <w:top w:w="0" w:type="dxa"/>
          <w:left w:w="0" w:type="dxa"/>
          <w:bottom w:w="0" w:type="dxa"/>
          <w:right w:w="0" w:type="dxa"/>
        </w:tblCellMar>
      </w:tblPr>
      <w:tblGrid>
        <w:gridCol w:w="23"/>
        <w:gridCol w:w="17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El Pollo Loco Holdings,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3006" w:type="dxa"/>
        <w:jc w:val="center"/>
        <w:tblInd w:w="0" w:type="dxa"/>
        <w:tblLayout w:type="fixed"/>
        <w:tblCellMar>
          <w:top w:w="0" w:type="dxa"/>
          <w:left w:w="0" w:type="dxa"/>
          <w:bottom w:w="0" w:type="dxa"/>
          <w:right w:w="0" w:type="dxa"/>
        </w:tblCellMar>
      </w:tblPr>
      <w:tblGrid>
        <w:gridCol w:w="124"/>
        <w:gridCol w:w="406"/>
        <w:gridCol w:w="247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ELIZABETH WILLIAMS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Elizabeth Williams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Date: May 8, 2026</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047" w:name="loco-20260401xex31d2.htm"/>
      <w:bookmarkStart w:id="1048" w:name="ksloco20260401xex31d2"/>
      <w:bookmarkEnd w:id="1047"/>
      <w:bookmarkEnd w:id="1048"/>
      <w:r>
        <w:rPr/>
        <w:t>​</w:t>
      </w:r>
      <w:r>
        <w:br w:type="page"/>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Exhibit 31.</w:t>
      </w:r>
      <w:bookmarkStart w:id="1049" w:name="New_Section_11"/>
      <w:bookmarkEnd w:id="1049"/>
      <w:r>
        <w:rPr>
          <w:rFonts w:ascii="Times New Roman;Times;serif" w:hAnsi="Times New Roman;Times;serif"/>
          <w:b/>
          <w:sz w:val="20"/>
        </w:rPr>
        <w:t>2</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RULE 13a-14(a)/15d-14(a) CERTIFICATION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Ira Fils, certify that:</w:t>
      </w:r>
    </w:p>
    <w:tbl>
      <w:tblPr>
        <w:tblW w:w="7038" w:type="dxa"/>
        <w:jc w:val="left"/>
        <w:tblInd w:w="0" w:type="dxa"/>
        <w:tblLayout w:type="fixed"/>
        <w:tblCellMar>
          <w:top w:w="0" w:type="dxa"/>
          <w:left w:w="0" w:type="dxa"/>
          <w:bottom w:w="0" w:type="dxa"/>
          <w:right w:w="0" w:type="dxa"/>
        </w:tblCellMar>
      </w:tblPr>
      <w:tblGrid>
        <w:gridCol w:w="23"/>
        <w:gridCol w:w="17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El Pollo Loco Holdings,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296" w:type="dxa"/>
        <w:jc w:val="center"/>
        <w:tblInd w:w="0" w:type="dxa"/>
        <w:tblLayout w:type="fixed"/>
        <w:tblCellMar>
          <w:top w:w="0" w:type="dxa"/>
          <w:left w:w="0" w:type="dxa"/>
          <w:bottom w:w="0" w:type="dxa"/>
          <w:right w:w="0" w:type="dxa"/>
        </w:tblCellMar>
      </w:tblPr>
      <w:tblGrid>
        <w:gridCol w:w="124"/>
        <w:gridCol w:w="406"/>
        <w:gridCol w:w="376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IRA FILS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Ira Fils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Date: May 8, 2026</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050" w:name="loco-20260401xex32d1.htm"/>
      <w:bookmarkStart w:id="1051" w:name="ksloco20260401xex32d1"/>
      <w:bookmarkEnd w:id="1050"/>
      <w:bookmarkEnd w:id="1051"/>
      <w:r>
        <w:rPr/>
        <w:t>​</w:t>
      </w:r>
      <w:r>
        <w:br w:type="page"/>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Exhibit 32.</w:t>
      </w:r>
      <w:bookmarkStart w:id="1052" w:name="New_Section_12"/>
      <w:bookmarkEnd w:id="1052"/>
      <w:r>
        <w:rPr>
          <w:rFonts w:ascii="Times New Roman;Times;serif" w:hAnsi="Times New Roman;Times;serif"/>
          <w:b/>
          <w:sz w:val="20"/>
        </w:rPr>
        <w:t>1</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Date: May 8, 2026</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2086" w:type="dxa"/>
        <w:jc w:val="left"/>
        <w:tblInd w:w="0" w:type="dxa"/>
        <w:tblLayout w:type="fixed"/>
        <w:tblCellMar>
          <w:top w:w="0" w:type="dxa"/>
          <w:left w:w="0" w:type="dxa"/>
          <w:bottom w:w="0" w:type="dxa"/>
          <w:right w:w="0" w:type="dxa"/>
        </w:tblCellMar>
      </w:tblPr>
      <w:tblGrid>
        <w:gridCol w:w="2086"/>
      </w:tblGrid>
      <w:tr>
        <w:trPr/>
        <w:tc>
          <w:tcPr>
            <w:tcW w:w="2086" w:type="dxa"/>
            <w:tcBorders/>
            <w:vAlign w:val="center"/>
          </w:tcPr>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c>
      </w:tr>
      <w:tr>
        <w:trPr/>
        <w:tc>
          <w:tcPr>
            <w:tcW w:w="2086" w:type="dxa"/>
            <w:tcBorders>
              <w:bottom w:val="single" w:sz="8" w:space="0" w:color="000000"/>
            </w:tcBorders>
            <w:tcMar>
              <w:bottom w:w="28"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w:t>
            </w:r>
          </w:p>
        </w:tc>
      </w:tr>
      <w:tr>
        <w:trPr/>
        <w:tc>
          <w:tcPr>
            <w:tcW w:w="2086" w:type="dxa"/>
            <w:tcBorders>
              <w:top w:val="single" w:sz="8" w:space="0" w:color="000000"/>
            </w:tcBorders>
            <w:tcMar>
              <w:top w:w="28"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Elizabeth Williams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86" w:type="dxa"/>
            <w:tcBorders/>
            <w:vAlign w:val="center"/>
          </w:tcPr>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c>
      </w:tr>
      <w:tr>
        <w:trPr/>
        <w:tc>
          <w:tcPr>
            <w:tcW w:w="2086" w:type="dxa"/>
            <w:tcBorders>
              <w:bottom w:val="single" w:sz="8" w:space="0" w:color="000000"/>
            </w:tcBorders>
            <w:tcMar>
              <w:bottom w:w="28"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w:t>
            </w:r>
          </w:p>
        </w:tc>
      </w:tr>
      <w:tr>
        <w:trPr/>
        <w:tc>
          <w:tcPr>
            <w:tcW w:w="2086" w:type="dxa"/>
            <w:tcBorders>
              <w:top w:val="single" w:sz="8" w:space="0" w:color="000000"/>
            </w:tcBorders>
            <w:tcMar>
              <w:top w:w="28"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6366/000121390025051311/ea024478001ex3-1_elpollo.htm" TargetMode="External"/><Relationship Id="rId3" Type="http://schemas.openxmlformats.org/officeDocument/2006/relationships/hyperlink" Target="https://www.sec.gov/Archives/edgar/data/1606366/000138713123009442/ex3-1.htm" TargetMode="External"/><Relationship Id="rId4" Type="http://schemas.openxmlformats.org/officeDocument/2006/relationships/hyperlink" Target="https://www.sec.gov/Archives/edgar/data/1606366/000160636624000002/loco-20240130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19460</Words>
  <Characters>109593</Characters>
  <CharactersWithSpaces>130610</CharactersWithSpaces>
  <Paragraphs>5025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