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83820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04" w:lineRule="exact"/>
        <w:rPr>
          <w:sz w:val="24"/>
          <w:szCs w:val="24"/>
          <w:color w:val="auto"/>
        </w:rPr>
      </w:pPr>
    </w:p>
    <w:p>
      <w:pPr>
        <w:ind w:left="700" w:right="240" w:hanging="652"/>
        <w:spacing w:after="0" w:line="267" w:lineRule="auto"/>
        <w:tabs>
          <w:tab w:leader="none" w:pos="7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5" w:lineRule="exact"/>
        <w:rPr>
          <w:sz w:val="24"/>
          <w:szCs w:val="24"/>
          <w:color w:val="auto"/>
        </w:rPr>
      </w:pPr>
    </w:p>
    <w:p>
      <w:pPr>
        <w:ind w:left="700" w:right="220" w:hanging="645"/>
        <w:spacing w:after="0" w:line="266" w:lineRule="auto"/>
        <w:tabs>
          <w:tab w:leader="none" w:pos="7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3120"/>
        <w:spacing w:after="0"/>
        <w:tabs>
          <w:tab w:leader="none" w:pos="6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3335655</wp:posOffset>
            </wp:positionH>
            <wp:positionV relativeFrom="paragraph">
              <wp:posOffset>-4445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80645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EL POLLO LOCO HOLDINGS,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120650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tbl>
      <w:tblPr>
        <w:tblLayout w:type="fixed"/>
        <w:tblInd w:w="60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Arial" w:cs="Arial" w:eastAsia="Arial" w:hAnsi="Arial"/>
                <w:sz w:val="16"/>
                <w:szCs w:val="16"/>
                <w:b w:val="1"/>
                <w:bCs w:val="1"/>
                <w:color w:val="auto"/>
                <w:w w:val="93"/>
              </w:rPr>
              <w:t>Delaware</w:t>
            </w:r>
          </w:p>
        </w:tc>
        <w:tc>
          <w:tcPr>
            <w:tcW w:w="2060" w:type="dxa"/>
            <w:vAlign w:val="bottom"/>
          </w:tcPr>
          <w:p>
            <w:pPr>
              <w:jc w:val="right"/>
              <w:ind w:right="508"/>
              <w:spacing w:after="0"/>
              <w:rPr>
                <w:sz w:val="20"/>
                <w:szCs w:val="20"/>
                <w:color w:val="auto"/>
              </w:rPr>
            </w:pPr>
            <w:r>
              <w:rPr>
                <w:rFonts w:ascii="Arial" w:cs="Arial" w:eastAsia="Arial" w:hAnsi="Arial"/>
                <w:sz w:val="16"/>
                <w:szCs w:val="16"/>
                <w:b w:val="1"/>
                <w:bCs w:val="1"/>
                <w:color w:val="auto"/>
              </w:rPr>
              <w:t>20-3563182</w:t>
            </w:r>
          </w:p>
        </w:tc>
      </w:tr>
      <w:tr>
        <w:trPr>
          <w:trHeight w:val="164"/>
        </w:trPr>
        <w:tc>
          <w:tcPr>
            <w:tcW w:w="6060" w:type="dxa"/>
            <w:vAlign w:val="bottom"/>
          </w:tcPr>
          <w:p>
            <w:pPr>
              <w:jc w:val="center"/>
              <w:ind w:right="2288"/>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1"/>
              </w:rPr>
              <w:t>(I.R.S. Employer Identification No.)</w:t>
            </w:r>
          </w:p>
        </w:tc>
      </w:tr>
      <w:tr>
        <w:trPr>
          <w:trHeight w:val="322"/>
        </w:trPr>
        <w:tc>
          <w:tcPr>
            <w:tcW w:w="6060" w:type="dxa"/>
            <w:vAlign w:val="bottom"/>
          </w:tcPr>
          <w:p>
            <w:pPr>
              <w:jc w:val="center"/>
              <w:ind w:right="2288"/>
              <w:spacing w:after="0"/>
              <w:rPr>
                <w:sz w:val="20"/>
                <w:szCs w:val="20"/>
                <w:color w:val="auto"/>
              </w:rPr>
            </w:pPr>
            <w:r>
              <w:rPr>
                <w:rFonts w:ascii="Arial" w:cs="Arial" w:eastAsia="Arial" w:hAnsi="Arial"/>
                <w:sz w:val="16"/>
                <w:szCs w:val="16"/>
                <w:b w:val="1"/>
                <w:bCs w:val="1"/>
                <w:color w:val="auto"/>
                <w:w w:val="93"/>
              </w:rPr>
              <w:t>3535 Harbor Blvd., Suite 100, Costa Mesa, California</w:t>
            </w:r>
          </w:p>
        </w:tc>
        <w:tc>
          <w:tcPr>
            <w:tcW w:w="2060" w:type="dxa"/>
            <w:vAlign w:val="bottom"/>
          </w:tcPr>
          <w:p>
            <w:pPr>
              <w:jc w:val="right"/>
              <w:ind w:right="688"/>
              <w:spacing w:after="0"/>
              <w:rPr>
                <w:sz w:val="20"/>
                <w:szCs w:val="20"/>
                <w:color w:val="auto"/>
              </w:rPr>
            </w:pPr>
            <w:r>
              <w:rPr>
                <w:rFonts w:ascii="Arial" w:cs="Arial" w:eastAsia="Arial" w:hAnsi="Arial"/>
                <w:sz w:val="16"/>
                <w:szCs w:val="16"/>
                <w:b w:val="1"/>
                <w:bCs w:val="1"/>
                <w:color w:val="auto"/>
              </w:rPr>
              <w:t>92626</w:t>
            </w:r>
          </w:p>
        </w:tc>
      </w:tr>
      <w:tr>
        <w:trPr>
          <w:trHeight w:val="164"/>
        </w:trPr>
        <w:tc>
          <w:tcPr>
            <w:tcW w:w="6060" w:type="dxa"/>
            <w:vAlign w:val="bottom"/>
          </w:tcPr>
          <w:p>
            <w:pPr>
              <w:jc w:val="center"/>
              <w:ind w:right="226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060" w:type="dxa"/>
            <w:vAlign w:val="bottom"/>
          </w:tcPr>
          <w:p>
            <w:pPr>
              <w:jc w:val="center"/>
              <w:ind w:left="48"/>
              <w:spacing w:after="0"/>
              <w:rPr>
                <w:sz w:val="20"/>
                <w:szCs w:val="20"/>
                <w:color w:val="auto"/>
              </w:rPr>
            </w:pPr>
            <w:r>
              <w:rPr>
                <w:rFonts w:ascii="Arial" w:cs="Arial" w:eastAsia="Arial" w:hAnsi="Arial"/>
                <w:sz w:val="13"/>
                <w:szCs w:val="13"/>
                <w:b w:val="1"/>
                <w:bCs w:val="1"/>
                <w:color w:val="auto"/>
                <w:w w:val="90"/>
              </w:rPr>
              <w:t>(Zip Code)</w:t>
            </w:r>
          </w:p>
        </w:tc>
      </w:tr>
      <w:tr>
        <w:trPr>
          <w:trHeight w:val="322"/>
        </w:trPr>
        <w:tc>
          <w:tcPr>
            <w:tcW w:w="6060" w:type="dxa"/>
            <w:vAlign w:val="bottom"/>
          </w:tcPr>
          <w:p>
            <w:pPr>
              <w:jc w:val="right"/>
              <w:ind w:right="968"/>
              <w:spacing w:after="0"/>
              <w:rPr>
                <w:sz w:val="20"/>
                <w:szCs w:val="20"/>
                <w:color w:val="auto"/>
              </w:rPr>
            </w:pPr>
            <w:r>
              <w:rPr>
                <w:rFonts w:ascii="Arial" w:cs="Arial" w:eastAsia="Arial" w:hAnsi="Arial"/>
                <w:sz w:val="16"/>
                <w:szCs w:val="16"/>
                <w:b w:val="1"/>
                <w:bCs w:val="1"/>
                <w:color w:val="auto"/>
              </w:rPr>
              <w:t>(714) 599-5000</w:t>
            </w:r>
          </w:p>
        </w:tc>
        <w:tc>
          <w:tcPr>
            <w:tcW w:w="2060" w:type="dxa"/>
            <w:vAlign w:val="bottom"/>
          </w:tcPr>
          <w:p>
            <w:pPr>
              <w:spacing w:after="0"/>
              <w:rPr>
                <w:sz w:val="24"/>
                <w:szCs w:val="24"/>
                <w:color w:val="auto"/>
              </w:rPr>
            </w:pPr>
          </w:p>
        </w:tc>
      </w:tr>
      <w:tr>
        <w:trPr>
          <w:trHeight w:val="164"/>
        </w:trPr>
        <w:tc>
          <w:tcPr>
            <w:tcW w:w="6060" w:type="dxa"/>
            <w:vAlign w:val="bottom"/>
          </w:tcPr>
          <w:p>
            <w:pPr>
              <w:jc w:val="center"/>
              <w:ind w:left="2868"/>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060" w:type="dxa"/>
            <w:vAlign w:val="bottom"/>
          </w:tcPr>
          <w:p>
            <w:pPr>
              <w:spacing w:after="0"/>
              <w:rPr>
                <w:sz w:val="14"/>
                <w:szCs w:val="14"/>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0"/>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2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0"/>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LOCO</w:t>
            </w:r>
          </w:p>
        </w:tc>
        <w:tc>
          <w:tcPr>
            <w:tcW w:w="20" w:type="dxa"/>
            <w:vAlign w:val="bottom"/>
            <w:tcBorders>
              <w:bottom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176"/>
        </w:trPr>
        <w:tc>
          <w:tcPr>
            <w:tcW w:w="3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r>
    </w:tbl>
    <w:p>
      <w:pPr>
        <w:spacing w:after="0" w:line="152" w:lineRule="exact"/>
        <w:rPr>
          <w:sz w:val="24"/>
          <w:szCs w:val="24"/>
          <w:color w:val="auto"/>
        </w:rPr>
      </w:pPr>
    </w:p>
    <w:p>
      <w:pPr>
        <w:jc w:val="both"/>
        <w:ind w:right="160" w:firstLine="506"/>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47" w:lineRule="exact"/>
        <w:rPr>
          <w:sz w:val="24"/>
          <w:szCs w:val="24"/>
          <w:color w:val="auto"/>
        </w:rPr>
      </w:pPr>
    </w:p>
    <w:p>
      <w:pPr>
        <w:ind w:right="40" w:firstLine="506"/>
        <w:spacing w:after="0" w:line="304"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300" w:hanging="229"/>
        <w:spacing w:after="0" w:line="184" w:lineRule="exact"/>
        <w:tabs>
          <w:tab w:leader="none" w:pos="3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6" w:lineRule="exact"/>
        <w:rPr>
          <w:sz w:val="24"/>
          <w:szCs w:val="24"/>
          <w:color w:val="auto"/>
        </w:rPr>
      </w:pPr>
    </w:p>
    <w:p>
      <w:pPr>
        <w:ind w:right="80" w:firstLine="506"/>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60" w:firstLine="50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120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As of April 30, 2021, there were 36,477,479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664210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106680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Arial" w:cs="Arial" w:eastAsia="Arial" w:hAnsi="Arial"/>
                <w:sz w:val="14"/>
                <w:szCs w:val="14"/>
                <w:b w:val="1"/>
                <w:bCs w:val="1"/>
                <w:color w:val="auto"/>
                <w:w w:val="89"/>
              </w:rPr>
              <w:t>Table of Contents</w:t>
            </w:r>
          </w:p>
        </w:tc>
        <w:tc>
          <w:tcPr>
            <w:tcW w:w="7340" w:type="dxa"/>
            <w:vAlign w:val="bottom"/>
            <w:gridSpan w:val="20"/>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I—FINANCIAL INFORMATION</w:t>
              </w:r>
            </w:hyperlink>
          </w:p>
        </w:tc>
        <w:tc>
          <w:tcPr>
            <w:tcW w:w="1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3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8"/>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Financial Statements.</w:t>
              </w:r>
            </w:hyperlink>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8"/>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40" w:type="dxa"/>
            <w:vAlign w:val="bottom"/>
            <w:gridSpan w:val="13"/>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20" w:type="dxa"/>
            <w:vAlign w:val="bottom"/>
            <w:gridSpan w:val="14"/>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w:t>
              </w:r>
            </w:hyperlink>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4"/>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500" w:type="dxa"/>
            <w:vAlign w:val="bottom"/>
            <w:gridSpan w:val="19"/>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(Unaudited)</w:t>
              </w:r>
            </w:hyperlink>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160" w:type="dxa"/>
            <w:vAlign w:val="bottom"/>
            <w:gridSpan w:val="20"/>
            <w:vMerge w:val="restart"/>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Changes in Stockholders’ Equity (Unaudited)</w:t>
              </w:r>
            </w:hyperlink>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EE"/>
            </w:tcBorders>
            <w:gridSpan w:val="20"/>
            <w:vMerge w:val="continue"/>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40" w:type="dxa"/>
            <w:vAlign w:val="bottom"/>
            <w:gridSpan w:val="17"/>
            <w:vMerge w:val="restart"/>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w:t>
              </w:r>
            </w:hyperlink>
          </w:p>
        </w:tc>
        <w:tc>
          <w:tcPr>
            <w:tcW w:w="26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40" w:type="dxa"/>
            <w:vAlign w:val="bottom"/>
            <w:tcBorders>
              <w:bottom w:val="single" w:sz="8" w:color="0000EE"/>
            </w:tcBorders>
            <w:gridSpan w:val="17"/>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18"/>
            <w:vMerge w:val="restart"/>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1800" w:type="dxa"/>
            <w:vAlign w:val="bottom"/>
            <w:gridSpan w:val="3"/>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bottom w:val="single" w:sz="8" w:color="0000EE"/>
            </w:tcBorders>
            <w:gridSpan w:val="18"/>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7040" w:type="dxa"/>
            <w:vAlign w:val="bottom"/>
            <w:gridSpan w:val="23"/>
            <w:vMerge w:val="restart"/>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2. Management’s Discussion and Analysis of Financial Condition and Results of Operations.</w:t>
              </w:r>
            </w:hyperlink>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0000EE"/>
            </w:tcBorders>
            <w:gridSpan w:val="23"/>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61"/>
        </w:trPr>
        <w:tc>
          <w:tcPr>
            <w:tcW w:w="4960" w:type="dxa"/>
            <w:vAlign w:val="bottom"/>
            <w:gridSpan w:val="18"/>
            <w:vMerge w:val="restart"/>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3. Quantitative and Qualitative Disclosures About Market Risk.</w:t>
              </w:r>
            </w:hyperlink>
          </w:p>
        </w:tc>
        <w:tc>
          <w:tcPr>
            <w:tcW w:w="2080" w:type="dxa"/>
            <w:vAlign w:val="bottom"/>
            <w:gridSpan w:val="5"/>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0000EE"/>
            </w:tcBorders>
            <w:gridSpan w:val="18"/>
            <w:vMerge w:val="continue"/>
          </w:tcPr>
          <w:p>
            <w:pPr>
              <w:spacing w:after="0"/>
              <w:rPr>
                <w:sz w:val="15"/>
                <w:szCs w:val="15"/>
                <w:color w:val="auto"/>
              </w:rPr>
            </w:pPr>
          </w:p>
        </w:tc>
        <w:tc>
          <w:tcPr>
            <w:tcW w:w="3460" w:type="dxa"/>
            <w:vAlign w:val="bottom"/>
            <w:gridSpan w:val="6"/>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4. Controls and Procedures.</w:t>
              </w:r>
            </w:hyperlink>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4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0000EE"/>
            </w:tcBorders>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1"/>
        </w:trPr>
        <w:tc>
          <w:tcPr>
            <w:tcW w:w="2640" w:type="dxa"/>
            <w:vAlign w:val="bottom"/>
            <w:gridSpan w:val="12"/>
            <w:vMerge w:val="restart"/>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PART II—OTHER INFORMATION</w:t>
              </w:r>
            </w:hyperlink>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2640" w:type="dxa"/>
            <w:vAlign w:val="bottom"/>
            <w:tcBorders>
              <w:bottom w:val="single" w:sz="8" w:color="0000EE"/>
            </w:tcBorders>
            <w:gridSpan w:val="12"/>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2020" w:type="dxa"/>
            <w:vAlign w:val="bottom"/>
            <w:gridSpan w:val="4"/>
            <w:vMerge w:val="restart"/>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1920" w:type="dxa"/>
            <w:vAlign w:val="bottom"/>
            <w:gridSpan w:val="8"/>
            <w:vMerge w:val="restart"/>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Item 1. Legal Proceedings.</w:t>
              </w:r>
            </w:hyperlink>
          </w:p>
        </w:tc>
        <w:tc>
          <w:tcPr>
            <w:tcW w:w="4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0000EE"/>
            </w:tcBorders>
            <w:gridSpan w:val="8"/>
            <w:vMerge w:val="continue"/>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560" w:type="dxa"/>
            <w:vAlign w:val="bottom"/>
            <w:gridSpan w:val="3"/>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1620" w:type="dxa"/>
            <w:vAlign w:val="bottom"/>
            <w:gridSpan w:val="6"/>
            <w:vMerge w:val="restart"/>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1A. Risk Factors.</w:t>
              </w:r>
            </w:hyperlink>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2020" w:type="dxa"/>
            <w:vAlign w:val="bottom"/>
            <w:gridSpan w:val="4"/>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4940" w:type="dxa"/>
            <w:vAlign w:val="bottom"/>
            <w:gridSpan w:val="17"/>
            <w:vMerge w:val="restart"/>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2. Unregistered Sales of Equity Securities and Use of Proceeds.</w:t>
              </w:r>
            </w:hyperlink>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940" w:type="dxa"/>
            <w:vAlign w:val="bottom"/>
            <w:tcBorders>
              <w:bottom w:val="single" w:sz="8" w:color="0000EE"/>
            </w:tcBorders>
            <w:gridSpan w:val="17"/>
            <w:vMerge w:val="continue"/>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3. Defaults Upon Senior Securities.</w:t>
              </w:r>
            </w:hyperlink>
          </w:p>
        </w:tc>
        <w:tc>
          <w:tcPr>
            <w:tcW w:w="2020" w:type="dxa"/>
            <w:vAlign w:val="bottom"/>
            <w:gridSpan w:val="4"/>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920" w:type="dxa"/>
            <w:vAlign w:val="bottom"/>
            <w:tcBorders>
              <w:bottom w:val="single" w:sz="8" w:color="0000EE"/>
            </w:tcBorders>
            <w:gridSpan w:val="13"/>
            <w:vMerge w:val="continue"/>
          </w:tcPr>
          <w:p>
            <w:pPr>
              <w:spacing w:after="0"/>
              <w:rPr>
                <w:sz w:val="15"/>
                <w:szCs w:val="15"/>
                <w:color w:val="auto"/>
              </w:rPr>
            </w:pPr>
          </w:p>
        </w:tc>
        <w:tc>
          <w:tcPr>
            <w:tcW w:w="5500" w:type="dxa"/>
            <w:vAlign w:val="bottom"/>
            <w:gridSpan w:val="1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2360" w:type="dxa"/>
            <w:vAlign w:val="bottom"/>
            <w:gridSpan w:val="10"/>
            <w:vMerge w:val="restart"/>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 Mine Safety Disclosures.</w:t>
              </w:r>
            </w:hyperlink>
          </w:p>
        </w:tc>
        <w:tc>
          <w:tcPr>
            <w:tcW w:w="560" w:type="dxa"/>
            <w:vAlign w:val="bottom"/>
            <w:gridSpan w:val="3"/>
          </w:tcPr>
          <w:p>
            <w:pPr>
              <w:spacing w:after="0"/>
              <w:rPr>
                <w:sz w:val="5"/>
                <w:szCs w:val="5"/>
                <w:color w:val="auto"/>
              </w:rPr>
            </w:pPr>
          </w:p>
        </w:tc>
        <w:tc>
          <w:tcPr>
            <w:tcW w:w="55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4"/>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1900" w:type="dxa"/>
            <w:vAlign w:val="bottom"/>
            <w:gridSpan w:val="7"/>
            <w:vMerge w:val="restart"/>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5. Other Information.</w:t>
              </w:r>
            </w:hyperlink>
          </w:p>
        </w:tc>
        <w:tc>
          <w:tcPr>
            <w:tcW w:w="460" w:type="dxa"/>
            <w:vAlign w:val="bottom"/>
            <w:gridSpan w:val="3"/>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vMerge w:val="continue"/>
          </w:tcPr>
          <w:p>
            <w:pPr>
              <w:spacing w:after="0"/>
              <w:rPr>
                <w:sz w:val="15"/>
                <w:szCs w:val="15"/>
                <w:color w:val="auto"/>
              </w:rPr>
            </w:pPr>
          </w:p>
        </w:tc>
        <w:tc>
          <w:tcPr>
            <w:tcW w:w="6520" w:type="dxa"/>
            <w:vAlign w:val="bottom"/>
            <w:gridSpan w:val="1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1180" w:type="dxa"/>
            <w:vAlign w:val="bottom"/>
            <w:gridSpan w:val="5"/>
            <w:vMerge w:val="restart"/>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6. Exhibits.</w:t>
              </w:r>
            </w:hyperlink>
          </w:p>
        </w:tc>
        <w:tc>
          <w:tcPr>
            <w:tcW w:w="720" w:type="dxa"/>
            <w:vAlign w:val="bottom"/>
            <w:gridSpan w:val="2"/>
          </w:tcPr>
          <w:p>
            <w:pPr>
              <w:spacing w:after="0"/>
              <w:rPr>
                <w:sz w:val="5"/>
                <w:szCs w:val="5"/>
                <w:color w:val="auto"/>
              </w:rPr>
            </w:pPr>
          </w:p>
        </w:tc>
        <w:tc>
          <w:tcPr>
            <w:tcW w:w="652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80" w:type="dxa"/>
            <w:vAlign w:val="bottom"/>
            <w:tcBorders>
              <w:bottom w:val="single" w:sz="8" w:color="0000EE"/>
            </w:tcBorders>
            <w:gridSpan w:val="5"/>
            <w:vMerge w:val="continue"/>
          </w:tcPr>
          <w:p>
            <w:pPr>
              <w:spacing w:after="0"/>
              <w:rPr>
                <w:sz w:val="15"/>
                <w:szCs w:val="15"/>
                <w:color w:val="auto"/>
              </w:rPr>
            </w:pPr>
          </w:p>
        </w:tc>
        <w:tc>
          <w:tcPr>
            <w:tcW w:w="7240" w:type="dxa"/>
            <w:vAlign w:val="bottom"/>
            <w:gridSpan w:val="19"/>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1"/>
        </w:trPr>
        <w:tc>
          <w:tcPr>
            <w:tcW w:w="740" w:type="dxa"/>
            <w:vAlign w:val="bottom"/>
            <w:gridSpan w:val="3"/>
            <w:vMerge w:val="restart"/>
          </w:tcPr>
          <w:p>
            <w:pPr>
              <w:spacing w:after="0"/>
              <w:rPr>
                <w:rFonts w:ascii="Arial" w:cs="Arial" w:eastAsia="Arial" w:hAnsi="Arial"/>
                <w:sz w:val="18"/>
                <w:szCs w:val="18"/>
                <w:color w:val="0000EE"/>
                <w:w w:val="83"/>
              </w:rPr>
            </w:pPr>
            <w:hyperlink w:anchor="page46">
              <w:r>
                <w:rPr>
                  <w:rFonts w:ascii="Arial" w:cs="Arial" w:eastAsia="Arial" w:hAnsi="Arial"/>
                  <w:sz w:val="18"/>
                  <w:szCs w:val="18"/>
                  <w:color w:val="0000EE"/>
                  <w:w w:val="83"/>
                </w:rPr>
                <w:t>Signatures</w:t>
              </w:r>
            </w:hyperlink>
          </w:p>
        </w:tc>
        <w:tc>
          <w:tcPr>
            <w:tcW w:w="440" w:type="dxa"/>
            <w:vAlign w:val="bottom"/>
            <w:gridSpan w:val="2"/>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vMerge w:val="continue"/>
          </w:tcPr>
          <w:p>
            <w:pPr>
              <w:spacing w:after="0"/>
              <w:rPr>
                <w:sz w:val="15"/>
                <w:szCs w:val="15"/>
                <w:color w:val="auto"/>
              </w:rPr>
            </w:pPr>
          </w:p>
        </w:tc>
        <w:tc>
          <w:tcPr>
            <w:tcW w:w="7680" w:type="dxa"/>
            <w:vAlign w:val="bottom"/>
            <w:gridSpan w:val="2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1"/>
        </w:trPr>
        <w:tc>
          <w:tcPr>
            <w:tcW w:w="740" w:type="dxa"/>
            <w:vAlign w:val="bottom"/>
            <w:gridSpan w:val="3"/>
          </w:tcPr>
          <w:p>
            <w:pPr>
              <w:spacing w:after="0"/>
              <w:rPr>
                <w:sz w:val="5"/>
                <w:szCs w:val="5"/>
                <w:color w:val="auto"/>
              </w:rPr>
            </w:pPr>
          </w:p>
        </w:tc>
        <w:tc>
          <w:tcPr>
            <w:tcW w:w="768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4" w:lineRule="auto"/>
        <w:rPr>
          <w:sz w:val="20"/>
          <w:szCs w:val="20"/>
          <w:color w:val="auto"/>
        </w:rPr>
      </w:pPr>
      <w:r>
        <w:rPr>
          <w:rFonts w:ascii="Arial" w:cs="Arial" w:eastAsia="Arial" w:hAnsi="Arial"/>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50"/>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00"/>
              <w:spacing w:after="0" w:line="150"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20" w:type="dxa"/>
            <w:vAlign w:val="bottom"/>
          </w:tcPr>
          <w:p>
            <w:pPr>
              <w:jc w:val="right"/>
              <w:ind w:right="79"/>
              <w:spacing w:after="0" w:line="150" w:lineRule="exact"/>
              <w:rPr>
                <w:sz w:val="20"/>
                <w:szCs w:val="20"/>
                <w:color w:val="auto"/>
              </w:rPr>
            </w:pPr>
            <w:r>
              <w:rPr>
                <w:rFonts w:ascii="Arial" w:cs="Arial" w:eastAsia="Arial" w:hAnsi="Arial"/>
                <w:sz w:val="14"/>
                <w:szCs w:val="14"/>
                <w:b w:val="1"/>
                <w:bCs w:val="1"/>
                <w:color w:val="auto"/>
                <w:w w:val="92"/>
              </w:rPr>
              <w:t>December 30,</w:t>
            </w:r>
          </w:p>
        </w:tc>
      </w:tr>
      <w:tr>
        <w:trPr>
          <w:trHeight w:val="171"/>
        </w:trPr>
        <w:tc>
          <w:tcPr>
            <w:tcW w:w="6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13,219</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Accounts and other receivables, net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11,018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9,963</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4,438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3,865</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receivable</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2,522</w:t>
            </w:r>
          </w:p>
        </w:tc>
      </w:tr>
      <w:tr>
        <w:trPr>
          <w:trHeight w:val="196"/>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24,668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31,669</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80,059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79,642</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Property and equipment held under finance lease, net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1,661</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held under operating leases, net (“ROU asset”)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176,838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177,129</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248,674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248,674</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61,888</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3,193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3,166</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r>
      <w:tr>
        <w:trPr>
          <w:trHeight w:val="23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598,581</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605,221</w:t>
            </w:r>
          </w:p>
        </w:tc>
      </w:tr>
      <w:tr>
        <w:trPr>
          <w:trHeight w:val="183"/>
        </w:trPr>
        <w:tc>
          <w:tcPr>
            <w:tcW w:w="63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Current portion of obligations under operating leases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19,949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19,907</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9,622</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7,472</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Accrued salaries and vacation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10,166</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10,416</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income tax receivable agreement payable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r>
      <w:tr>
        <w:trPr>
          <w:trHeight w:val="20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expenses and current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17,587</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16,715</w:t>
            </w: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66,412</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Revolver loan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53,800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62,800</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Obligations under finance leases, net of current portion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Obligations under operating leases, net of current portion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178,648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178,658</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Income tax receivable agreement payable, net of current portion</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1,562</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11,292</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315,719</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327,643</w:t>
            </w:r>
          </w:p>
        </w:tc>
      </w:tr>
      <w:tr>
        <w:trPr>
          <w:trHeight w:val="19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7)</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Preferred stock, $0.01 par value, 100,000,000 shares authorized; none issued or outstanding</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color w:val="auto"/>
                <w:w w:val="95"/>
              </w:rPr>
              <w:t>Common stock, $0.01 par value, 200,000,000 shares authorized; 36,478,683 and 36,423,505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9"/>
        </w:trPr>
        <w:tc>
          <w:tcPr>
            <w:tcW w:w="6320" w:type="dxa"/>
            <w:vAlign w:val="bottom"/>
          </w:tcPr>
          <w:p>
            <w:pPr>
              <w:ind w:left="20"/>
              <w:spacing w:after="0"/>
              <w:rPr>
                <w:sz w:val="20"/>
                <w:szCs w:val="20"/>
                <w:color w:val="auto"/>
              </w:rPr>
            </w:pPr>
            <w:r>
              <w:rPr>
                <w:rFonts w:ascii="Arial" w:cs="Arial" w:eastAsia="Arial" w:hAnsi="Arial"/>
                <w:sz w:val="16"/>
                <w:szCs w:val="16"/>
                <w:color w:val="auto"/>
                <w:w w:val="97"/>
              </w:rPr>
              <w:t>shares issued and outstanding as of March 31, 2021 and December 30, 2020, respectively</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0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340,739</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339,561</w:t>
            </w:r>
          </w:p>
        </w:tc>
      </w:tr>
      <w:tr>
        <w:trPr>
          <w:trHeight w:val="203"/>
        </w:trPr>
        <w:tc>
          <w:tcPr>
            <w:tcW w:w="63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(57,550)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(61,514)</w:t>
            </w:r>
          </w:p>
        </w:tc>
      </w:tr>
      <w:tr>
        <w:trPr>
          <w:trHeight w:val="20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282,862</w:t>
            </w:r>
          </w:p>
        </w:tc>
        <w:tc>
          <w:tcPr>
            <w:tcW w:w="2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277,578</w:t>
            </w:r>
          </w:p>
        </w:tc>
      </w:tr>
      <w:tr>
        <w:trPr>
          <w:trHeight w:val="19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598,581</w:t>
            </w: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605,221</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58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6"/>
              </w:rPr>
              <w:t>March 31, 2021</w:t>
            </w: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8"/>
              </w:rPr>
              <w:t>March 25, 2020</w:t>
            </w:r>
          </w:p>
        </w:tc>
        <w:tc>
          <w:tcPr>
            <w:tcW w:w="240" w:type="dxa"/>
            <w:vAlign w:val="bottom"/>
          </w:tcPr>
          <w:p>
            <w:pPr>
              <w:spacing w:after="0"/>
              <w:rPr>
                <w:sz w:val="12"/>
                <w:szCs w:val="12"/>
                <w:color w:val="auto"/>
              </w:rPr>
            </w:pPr>
          </w:p>
        </w:tc>
      </w:tr>
      <w:tr>
        <w:trPr>
          <w:trHeight w:val="209"/>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Company-operated restaurant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94,161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92,634</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Franchise advertising fee revenue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240" w:type="dxa"/>
            <w:vAlign w:val="bottom"/>
            <w:tcBorders>
              <w:bottom w:val="single" w:sz="8" w:color="CCEEFF"/>
            </w:tcBorders>
          </w:tcPr>
          <w:p>
            <w:pPr>
              <w:spacing w:after="0"/>
              <w:rPr>
                <w:sz w:val="18"/>
                <w:szCs w:val="18"/>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107,721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105,163</w:t>
            </w:r>
          </w:p>
        </w:tc>
        <w:tc>
          <w:tcPr>
            <w:tcW w:w="240" w:type="dxa"/>
            <w:vAlign w:val="bottom"/>
            <w:shd w:val="clear" w:color="auto" w:fill="CCEEFF"/>
          </w:tcPr>
          <w:p>
            <w:pPr>
              <w:spacing w:after="0"/>
              <w:rPr>
                <w:sz w:val="18"/>
                <w:szCs w:val="18"/>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Cost of operations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paper cost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25,562</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28,693</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 and other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23,844</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240" w:type="dxa"/>
            <w:vAlign w:val="bottom"/>
            <w:shd w:val="clear" w:color="auto" w:fill="CCEEFF"/>
          </w:tcPr>
          <w:p>
            <w:pPr>
              <w:spacing w:after="0"/>
              <w:rPr>
                <w:sz w:val="18"/>
                <w:szCs w:val="18"/>
                <w:color w:val="auto"/>
              </w:rPr>
            </w:pP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Company restaurant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78,967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76,364</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Franchise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6,911</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Loss on disposal of assets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and closed-store reserves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40" w:type="dxa"/>
            <w:vAlign w:val="bottom"/>
            <w:shd w:val="clear" w:color="auto" w:fill="CCEEFF"/>
          </w:tcPr>
          <w:p>
            <w:pPr>
              <w:spacing w:after="0"/>
              <w:rPr>
                <w:sz w:val="18"/>
                <w:szCs w:val="18"/>
                <w:color w:val="auto"/>
              </w:rPr>
            </w:pPr>
          </w:p>
        </w:tc>
      </w:tr>
      <w:tr>
        <w:trPr>
          <w:trHeight w:val="21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99,477</w:t>
            </w:r>
          </w:p>
        </w:tc>
        <w:tc>
          <w:tcPr>
            <w:tcW w:w="240" w:type="dxa"/>
            <w:vAlign w:val="bottom"/>
            <w:tcBorders>
              <w:bottom w:val="single" w:sz="8" w:color="CCEEFF"/>
            </w:tcBorders>
          </w:tcPr>
          <w:p>
            <w:pPr>
              <w:spacing w:after="0"/>
              <w:rPr>
                <w:sz w:val="18"/>
                <w:szCs w:val="18"/>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 agreement income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r>
      <w:tr>
        <w:trPr>
          <w:trHeight w:val="21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shd w:val="clear" w:color="auto" w:fill="CCEEFF"/>
          </w:tcPr>
          <w:p>
            <w:pPr>
              <w:spacing w:after="0"/>
              <w:rPr>
                <w:sz w:val="18"/>
                <w:szCs w:val="18"/>
                <w:color w:val="auto"/>
              </w:rPr>
            </w:pPr>
          </w:p>
        </w:tc>
      </w:tr>
      <w:tr>
        <w:trPr>
          <w:trHeight w:val="24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Borders>
              <w:bottom w:val="single" w:sz="8" w:color="CCEEFF"/>
            </w:tcBorders>
          </w:tcPr>
          <w:p>
            <w:pPr>
              <w:spacing w:after="0"/>
              <w:rPr>
                <w:sz w:val="21"/>
                <w:szCs w:val="21"/>
                <w:color w:val="auto"/>
              </w:rPr>
            </w:pPr>
          </w:p>
        </w:tc>
      </w:tr>
      <w:tr>
        <w:trPr>
          <w:trHeight w:val="197"/>
        </w:trPr>
        <w:tc>
          <w:tcPr>
            <w:tcW w:w="5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income per share</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used in computing net income per share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35,795,205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34,659,160</w:t>
            </w:r>
          </w:p>
        </w:tc>
        <w:tc>
          <w:tcPr>
            <w:tcW w:w="240" w:type="dxa"/>
            <w:vAlign w:val="bottom"/>
            <w:shd w:val="clear" w:color="auto" w:fill="CCEEFF"/>
          </w:tcPr>
          <w:p>
            <w:pPr>
              <w:spacing w:after="0"/>
              <w:rPr>
                <w:sz w:val="18"/>
                <w:szCs w:val="18"/>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36,424,068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35,347,456</w:t>
            </w:r>
          </w:p>
        </w:tc>
        <w:tc>
          <w:tcPr>
            <w:tcW w:w="240" w:type="dxa"/>
            <w:vAlign w:val="bottom"/>
          </w:tcPr>
          <w:p>
            <w:pPr>
              <w:spacing w:after="0"/>
              <w:rPr>
                <w:sz w:val="20"/>
                <w:szCs w:val="20"/>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March 31, 2021</w:t>
            </w: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25, 2020</w:t>
            </w:r>
          </w:p>
        </w:tc>
        <w:tc>
          <w:tcPr>
            <w:tcW w:w="240" w:type="dxa"/>
            <w:vAlign w:val="bottom"/>
          </w:tcPr>
          <w:p>
            <w:pPr>
              <w:spacing w:after="0"/>
              <w:rPr>
                <w:sz w:val="12"/>
                <w:szCs w:val="12"/>
                <w:color w:val="auto"/>
              </w:rPr>
            </w:pP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derivative instruments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Unrealized net gains arising during the period from interest rate swap</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1,459</w:t>
            </w:r>
          </w:p>
        </w:tc>
        <w:tc>
          <w:tcPr>
            <w:tcW w:w="24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Reclassifications of losses into net income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(403)</w:t>
            </w:r>
          </w:p>
        </w:tc>
      </w:tr>
      <w:tr>
        <w:trPr>
          <w:trHeight w:val="209"/>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(1,095)</w:t>
            </w:r>
          </w:p>
        </w:tc>
        <w:tc>
          <w:tcPr>
            <w:tcW w:w="240" w:type="dxa"/>
            <w:vAlign w:val="bottom"/>
            <w:tcBorders>
              <w:top w:val="single" w:sz="8" w:color="CCEEFF"/>
            </w:tcBorders>
            <w:shd w:val="clear" w:color="auto" w:fill="CCEEFF"/>
          </w:tcPr>
          <w:p>
            <w:pPr>
              <w:spacing w:after="0"/>
              <w:rPr>
                <w:sz w:val="18"/>
                <w:szCs w:val="18"/>
                <w:color w:val="auto"/>
              </w:rPr>
            </w:pP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4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Thirteen Weeks Ended March 31, 2021</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7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70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0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2"/>
                <w:szCs w:val="12"/>
                <w:color w:val="auto"/>
              </w:rPr>
            </w:pPr>
          </w:p>
        </w:tc>
        <w:tc>
          <w:tcPr>
            <w:tcW w:w="7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36,423,505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$ 339,561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(61,514)</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277,578</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upon exercise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restricted shares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36,478,683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$ 340,739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(57,550)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282,862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Thirteen Weeks Ended March 25, 2020</w:t>
            </w: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70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700" w:type="dxa"/>
            <w:vAlign w:val="bottom"/>
            <w:gridSpan w:val="4"/>
            <w:vMerge w:val="restart"/>
          </w:tcPr>
          <w:p>
            <w:pPr>
              <w:jc w:val="right"/>
              <w:ind w:right="252"/>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0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14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2"/>
                <w:szCs w:val="12"/>
                <w:color w:val="auto"/>
              </w:rPr>
            </w:pPr>
          </w:p>
        </w:tc>
        <w:tc>
          <w:tcPr>
            <w:tcW w:w="70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25,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35,126,582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$ 330,950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(85,988)</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245,566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of common stock related to</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(36,599)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7"/>
              </w:rPr>
              <w:t>Other comprehensive income, net of tax</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8"/>
                <w:szCs w:val="18"/>
                <w:b w:val="1"/>
                <w:bCs w:val="1"/>
                <w:color w:val="auto"/>
              </w:rPr>
              <w:t>Balance, March 25,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35,089,983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$ 331,484</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(82,388)</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248,605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9"/>
          </w:tcPr>
          <w:p>
            <w:pPr>
              <w:ind w:left="30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March 31, 2021</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4"/>
              </w:rPr>
              <w:t>March 25, 2020</w:t>
            </w:r>
          </w:p>
        </w:tc>
        <w:tc>
          <w:tcPr>
            <w:tcW w:w="180" w:type="dxa"/>
            <w:vAlign w:val="bottom"/>
          </w:tcPr>
          <w:p>
            <w:pPr>
              <w:spacing w:after="0"/>
              <w:rPr>
                <w:sz w:val="12"/>
                <w:szCs w:val="12"/>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50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3,964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Adjustments to reconcile net income to net cash flows provided by operating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3,938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4,369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2"/>
        </w:trPr>
        <w:tc>
          <w:tcPr>
            <w:tcW w:w="6020" w:type="dxa"/>
            <w:vAlign w:val="bottom"/>
          </w:tcPr>
          <w:p>
            <w:pPr>
              <w:ind w:left="20"/>
              <w:spacing w:after="0"/>
              <w:rPr>
                <w:sz w:val="20"/>
                <w:szCs w:val="20"/>
                <w:color w:val="auto"/>
              </w:rPr>
            </w:pPr>
            <w:r>
              <w:rPr>
                <w:rFonts w:ascii="Arial" w:cs="Arial" w:eastAsia="Arial" w:hAnsi="Arial"/>
                <w:sz w:val="16"/>
                <w:szCs w:val="16"/>
                <w:color w:val="auto"/>
              </w:rPr>
              <w:t>Income tax receivable agreement income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(120)</w:t>
            </w: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disposal of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Impairment of property and equipment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Accounts and other receivables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(3,569)</w:t>
            </w: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(83)</w:t>
            </w: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receivable/payable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1,907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2,811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Accrued salaries and vacation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(3,444)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(999)</w:t>
            </w:r>
          </w:p>
        </w:tc>
      </w:tr>
      <w:tr>
        <w:trPr>
          <w:trHeight w:val="202"/>
        </w:trPr>
        <w:tc>
          <w:tcPr>
            <w:tcW w:w="6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insurance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120"/>
              <w:spacing w:after="0"/>
              <w:rPr>
                <w:sz w:val="20"/>
                <w:szCs w:val="20"/>
                <w:color w:val="auto"/>
              </w:rPr>
            </w:pPr>
            <w:r>
              <w:rPr>
                <w:rFonts w:ascii="Arial" w:cs="Arial" w:eastAsia="Arial" w:hAnsi="Arial"/>
                <w:sz w:val="16"/>
                <w:szCs w:val="16"/>
                <w:color w:val="auto"/>
              </w:rPr>
              <w:t>Other accrued expenses and liabilities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(16,539)</w:t>
            </w: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provided by (used in)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7,398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(7,526)</w:t>
            </w:r>
          </w:p>
        </w:tc>
        <w:tc>
          <w:tcPr>
            <w:tcW w:w="180" w:type="dxa"/>
            <w:vAlign w:val="bottom"/>
            <w:tcBorders>
              <w:top w:val="single" w:sz="8" w:color="CCEEFF"/>
            </w:tcBorders>
            <w:shd w:val="clear" w:color="auto" w:fill="CCEEFF"/>
          </w:tcPr>
          <w:p>
            <w:pPr>
              <w:spacing w:after="0"/>
              <w:rPr>
                <w:sz w:val="17"/>
                <w:szCs w:val="17"/>
                <w:color w:val="auto"/>
              </w:rPr>
            </w:pPr>
          </w:p>
        </w:tc>
      </w:tr>
      <w:tr>
        <w:trPr>
          <w:trHeight w:val="19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5"/>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(5,257)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(1,632)</w:t>
            </w:r>
          </w:p>
        </w:tc>
      </w:tr>
      <w:tr>
        <w:trPr>
          <w:trHeight w:val="19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flows used in investing activities</w:t>
            </w:r>
          </w:p>
        </w:tc>
        <w:tc>
          <w:tcPr>
            <w:tcW w:w="3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(5,257)</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(1,632)</w:t>
            </w:r>
          </w:p>
        </w:tc>
        <w:tc>
          <w:tcPr>
            <w:tcW w:w="180" w:type="dxa"/>
            <w:vAlign w:val="bottom"/>
            <w:tcBorders>
              <w:bottom w:val="single" w:sz="8" w:color="CCEEFF"/>
            </w:tcBorders>
          </w:tcPr>
          <w:p>
            <w:pPr>
              <w:spacing w:after="0"/>
              <w:rPr>
                <w:sz w:val="17"/>
                <w:szCs w:val="17"/>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rPr>
              <w:t>Proceeds from borrowings on revolver and swingline loans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52,500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revolver and swingline loan</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(9,000)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(8,000)</w:t>
            </w:r>
          </w:p>
        </w:tc>
      </w:tr>
      <w:tr>
        <w:trPr>
          <w:trHeight w:val="203"/>
        </w:trPr>
        <w:tc>
          <w:tcPr>
            <w:tcW w:w="6020" w:type="dxa"/>
            <w:vAlign w:val="bottom"/>
          </w:tcPr>
          <w:p>
            <w:pPr>
              <w:ind w:left="20"/>
              <w:spacing w:after="0"/>
              <w:rPr>
                <w:sz w:val="20"/>
                <w:szCs w:val="20"/>
                <w:color w:val="auto"/>
              </w:rPr>
            </w:pPr>
            <w:r>
              <w:rPr>
                <w:rFonts w:ascii="Arial" w:cs="Arial" w:eastAsia="Arial" w:hAnsi="Arial"/>
                <w:sz w:val="16"/>
                <w:szCs w:val="16"/>
                <w:color w:val="auto"/>
                <w:w w:val="93"/>
              </w:rPr>
              <w:t>Proceeds from issuance of common stock upon exercise of stock options, net of expenses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326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obligations under finance leases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w:t>
            </w:r>
          </w:p>
        </w:tc>
      </w:tr>
      <w:tr>
        <w:trPr>
          <w:trHeight w:val="19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flows (used in) provided by financing activities</w:t>
            </w:r>
          </w:p>
        </w:tc>
        <w:tc>
          <w:tcPr>
            <w:tcW w:w="3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(8,691)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44,492</w:t>
            </w:r>
          </w:p>
        </w:tc>
        <w:tc>
          <w:tcPr>
            <w:tcW w:w="40" w:type="dxa"/>
            <w:vAlign w:val="bottom"/>
            <w:tcBorders>
              <w:top w:val="single" w:sz="8" w:color="auto"/>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Increase (decrease) in cash and cash equivalents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35,334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beginning of period</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13,219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8,070</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r>
      <w:tr>
        <w:trPr>
          <w:trHeight w:val="19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end of period</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6,669</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43,404</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9"/>
          </w:tcPr>
          <w:p>
            <w:pPr>
              <w:ind w:left="14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6020" w:type="dxa"/>
            <w:vAlign w:val="bottom"/>
          </w:tcPr>
          <w:p>
            <w:pPr>
              <w:spacing w:after="0"/>
              <w:rPr>
                <w:sz w:val="12"/>
                <w:szCs w:val="12"/>
                <w:color w:val="auto"/>
              </w:rPr>
            </w:pPr>
          </w:p>
        </w:tc>
        <w:tc>
          <w:tcPr>
            <w:tcW w:w="1420" w:type="dxa"/>
            <w:vAlign w:val="bottom"/>
            <w:tcBorders>
              <w:top w:val="single" w:sz="8" w:color="auto"/>
            </w:tcBorders>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March 31, 2021</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March 25, 2020</w:t>
            </w:r>
          </w:p>
        </w:tc>
        <w:tc>
          <w:tcPr>
            <w:tcW w:w="220" w:type="dxa"/>
            <w:vAlign w:val="bottom"/>
            <w:gridSpan w:val="2"/>
          </w:tcPr>
          <w:p>
            <w:pPr>
              <w:spacing w:after="0"/>
              <w:rPr>
                <w:sz w:val="12"/>
                <w:szCs w:val="12"/>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4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paid during the period for interest</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Unpaid purchases of property and equipment</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left="60" w:right="199"/>
        <w:spacing w:after="0" w:line="296"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referred to herein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March 31, 2021, the Company operated 198 and franchised 283 El Pollo Loco restaurants.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30,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uses a 52- or 53-week fiscal year ending on the last Wednesday of the calendar year. In a 52-week</w:t>
      </w:r>
    </w:p>
    <w:p>
      <w:pPr>
        <w:spacing w:after="0" w:line="35"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2021 is a 52-week year ending on December 29, 2021, and fiscal 2020 was a 53-week year ended on December 30, 2020. Revenues, expenses, and other financial and operational figures may be elevated in a 53-week year.</w:t>
      </w:r>
    </w:p>
    <w:p>
      <w:pPr>
        <w:spacing w:after="0" w:line="191"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Holdings has no material assets or operations. Holdings and Holdings’ direct subsidiary, EPL Intermediate, Inc. (“Intermediate”), guarantee EPL’s 2018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left="60" w:right="359"/>
        <w:spacing w:after="0" w:line="308" w:lineRule="auto"/>
        <w:rPr>
          <w:sz w:val="20"/>
          <w:szCs w:val="20"/>
          <w:color w:val="auto"/>
        </w:rPr>
      </w:pPr>
      <w:r>
        <w:rPr>
          <w:rFonts w:ascii="Arial" w:cs="Arial" w:eastAsia="Arial" w:hAnsi="Arial"/>
          <w:sz w:val="17"/>
          <w:szCs w:val="17"/>
          <w:color w:val="auto"/>
        </w:rPr>
        <w:t>The accompanying condensed consolidated financial statements include the accounts of Holdings and its wholly owned subsidiaries. All intercompany balances and transactions have been eliminated in consolidation.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the Company’s sales are associated with dine-in service. Many state and local governments continue to periodically implement certain restrictions to try and contain the spread of the virus. As of March 31, 2021, the majority of the Company’s restaurants have dining rooms open at a limited capacity and continue to maintain take-away, mobile pick-up, delivery, and drive-thru operations where available. During the last two months of 2020 and early 2021, the Los Angeles market was heavily impacted by an increase in COVID-19 cases. Due to our high concentration of restaurants in this market, the Company was disproportionately impacted by this spike. During the thirteen weeks ended March 31, 2021, the Company temporarily closed 45 restaurants, of which all have reopened as of March 31, 2021. Similarly, during the thirteen weeks ended March 31, 2021, certain of the Company’s franchisees temporarily closed 15 restaurants, all of which have reopened as of March 31, 2021. For both franchise-operated and company-operated restaurants, this represents total temporary closures and may include more than one closure for the same restaurant. These closures typically lasted from one to three days. As of March 31, 2021, the Company had not permanently closed any restaurants due to the COVID-19 pandemic. See “Subsequent Events” below for the status of temporary restaurant closures after March 31, 2021</w:t>
      </w:r>
    </w:p>
    <w:p>
      <w:pPr>
        <w:spacing w:after="0" w:line="1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During the thirteen weeks ended March 31, 2021, the Company incurred $2.8 million in COVID-19 related expenses, primarily due to leaves of absence and overtime pay.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Subsequent to March 31, 2021, the Company has temporarily closed two restaurants, typically for one to three days, and franchisees have not temporarily closed any restaurants. As of May 6, 2021, all company-operated and franchise locations remained open.</w:t>
      </w:r>
    </w:p>
    <w:p>
      <w:pPr>
        <w:spacing w:after="0" w:line="184"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 has evaluated subsequent events that have occurred after March 31, 2021, and determined that there were no other events or transactions occurring during this reporting period that require recognition or disclosure in the condensed consolidated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The Company considers all liquid instruments with an original maturity of three months or less at the date of purchase to be cash equivalents.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 xml:space="preserve">The Company’s principal liquidity and capital requirements are new restaurants, existing restaurant capital investments (remodels and maintenance), interest payments on our debt, lease obligations and working capital and general corporate needs. At March 31, 2021, the Company’s total debt was $53.8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$6.7 million at March 31, 2021 will be adequate to meet the Company’s liquidity needs for the next twelve months from the date of filing of these condensed consolidated financial statements. However, </w:t>
      </w:r>
      <w:r>
        <w:rPr>
          <w:rFonts w:ascii="Arial" w:cs="Arial" w:eastAsia="Arial" w:hAnsi="Arial"/>
          <w:sz w:val="16"/>
          <w:szCs w:val="16"/>
          <w:color w:val="212529"/>
        </w:rPr>
        <w:t>depending on the severity and longevity of the COVID-19 pandemic,</w:t>
      </w:r>
      <w:r>
        <w:rPr>
          <w:rFonts w:ascii="Arial" w:cs="Arial" w:eastAsia="Arial" w:hAnsi="Arial"/>
          <w:sz w:val="16"/>
          <w:szCs w:val="16"/>
          <w:color w:val="auto"/>
        </w:rPr>
        <w:t xml:space="preserve"> the Company’s financial performance and liquidity could be further impacted and could impact the Company’s ability to meet certain covenants required in its 2018 Credit Agreement (as defined below), specifically the lease-adjusted coverage ratio and fixed-charge coverage ratio.</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60" w:right="499"/>
        <w:spacing w:after="0" w:line="342" w:lineRule="auto"/>
        <w:rPr>
          <w:sz w:val="20"/>
          <w:szCs w:val="20"/>
          <w:color w:val="auto"/>
        </w:rPr>
      </w:pPr>
      <w:r>
        <w:rPr>
          <w:rFonts w:ascii="Arial" w:cs="Arial" w:eastAsia="Arial" w:hAnsi="Arial"/>
          <w:sz w:val="16"/>
          <w:szCs w:val="16"/>
          <w:color w:val="auto"/>
        </w:rPr>
        <w:t>In January 2021, the Financial Accounting Standards Board (“FASB”) issued Accounting Standards Update (“ASU”) No. 2021-01, “Reference Rate Reform (Topic 848): Scope” which clarifies the FASB’s recent rate reform guidance in</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Topic 848, Reference Rate Reform, that optional expedients and exceptions therein for contract modification and hedge accounting apply to derivatives that are affected by the discontinuation of the London Interbank Offered Rate (“LIBOR”) and the use of new interest rate benchmarks. ASU 2021-01 is effective immediately. Entities may choose to apply the amendments retrospectively as of any date from the beginning of an interim period that includes or is subsequent to March 12, 2020, or prospectively to new modifications from any date within an interim period that includes or is subsequent to January 7, 2021, up to the date that financial statements are available to be issued. The Company adopted this ASU on January 7, 2021. The adoption of ASU 2021-01 did not have a significant impact on the Company’s consolidated financial position or results of operations.</w:t>
      </w:r>
    </w:p>
    <w:p>
      <w:pPr>
        <w:spacing w:after="0" w:line="178"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In October 2020, the FASB issued ASU No. 2020-10, “Codification Improvements,” which improve the consistency of the codification by including all disclosure guidance in the appropriate Disclosure Section (Section 50). ASU 2020-10 is effective for annual periods beginning after December 15, 2020, and for interim periods within annual periods beginning after December 15, 2020. The Company adopted this ASU during the first quarter of 2021. The adoption of ASU 2020-10 did not have a significant impact on the Company’s consolidated financial position or results of operations.</w:t>
      </w:r>
    </w:p>
    <w:p>
      <w:pPr>
        <w:spacing w:after="0" w:line="161"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modifies Topic 740 to simplify the accounting for income taxes. ASU 2019-12 is effective for financial statements issued for annual periods beginning after December 15, 2020, and for the interim periods therein. The Company adopted this ASU during the first quarter of 2021. The adoption of ASU 2019-12 did not have a significant impact on the Company’s consolidated financial position or results of operations.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Cash and cash equivalents are maintained at financial institutions and, at times, these balances may exceed federally-insured limits. The Company has never experienced any losses related to these balances.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had one supplier to whom amounts due totaled 28.5% of the Company’s accounts payable at</w:t>
      </w:r>
    </w:p>
    <w:p>
      <w:pPr>
        <w:spacing w:after="0" w:line="23" w:lineRule="exact"/>
        <w:rPr>
          <w:sz w:val="20"/>
          <w:szCs w:val="20"/>
          <w:color w:val="auto"/>
        </w:rPr>
      </w:pPr>
    </w:p>
    <w:p>
      <w:pPr>
        <w:ind w:left="60" w:right="119"/>
        <w:spacing w:after="0" w:line="302" w:lineRule="auto"/>
        <w:rPr>
          <w:sz w:val="20"/>
          <w:szCs w:val="20"/>
          <w:color w:val="auto"/>
        </w:rPr>
      </w:pPr>
      <w:r>
        <w:rPr>
          <w:rFonts w:ascii="Arial" w:cs="Arial" w:eastAsia="Arial" w:hAnsi="Arial"/>
          <w:sz w:val="16"/>
          <w:szCs w:val="16"/>
          <w:color w:val="auto"/>
        </w:rPr>
        <w:t>March 31, 2021. At December 30, 2020, the Company had two suppliers to whom amounts due totaled 24.2% and 11.4% of the Company’s accounts payable. Purchases from the Company’s largest supplier totaled 25.5% of total expenses for the thirteen weeks ended March 31, 2021, and 27.4% of total expenses for the thirteen weeks ended March 25, 2020.</w:t>
      </w:r>
    </w:p>
    <w:p>
      <w:pPr>
        <w:spacing w:after="0" w:line="155"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70.1% of total revenue for the thirteen weeks ended March 31, 2021, and 72.4% for the thirteen weeks ended March 25,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7"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 The Company determined there was no decrement of goodwill related to the disposition of restaurants during the thirteen weeks ended March 25, 2020.</w:t>
      </w:r>
    </w:p>
    <w:p>
      <w:pPr>
        <w:spacing w:after="0" w:line="157"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The Company performs an annual impairment test for goodwill during the fourth fiscal quarter of each year, or more frequently if impairment indicators arise.</w:t>
      </w:r>
    </w:p>
    <w:p>
      <w:pPr>
        <w:spacing w:after="0" w:line="170"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4" w:lineRule="exact"/>
        <w:rPr>
          <w:sz w:val="20"/>
          <w:szCs w:val="20"/>
          <w:color w:val="auto"/>
        </w:rPr>
      </w:pPr>
    </w:p>
    <w:p>
      <w:pPr>
        <w:jc w:val="both"/>
        <w:ind w:left="60" w:right="159"/>
        <w:spacing w:after="0" w:line="259" w:lineRule="auto"/>
        <w:rPr>
          <w:sz w:val="20"/>
          <w:szCs w:val="20"/>
          <w:color w:val="auto"/>
        </w:rPr>
      </w:pPr>
      <w:r>
        <w:rPr>
          <w:rFonts w:ascii="Arial" w:cs="Arial" w:eastAsia="Arial" w:hAnsi="Arial"/>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7"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49" w:lineRule="exact"/>
        <w:rPr>
          <w:sz w:val="20"/>
          <w:szCs w:val="20"/>
          <w:color w:val="auto"/>
        </w:rPr>
      </w:pPr>
    </w:p>
    <w:p>
      <w:pPr>
        <w:ind w:left="60" w:right="499"/>
        <w:spacing w:after="0" w:line="275" w:lineRule="auto"/>
        <w:rPr>
          <w:sz w:val="20"/>
          <w:szCs w:val="20"/>
          <w:color w:val="auto"/>
        </w:rPr>
      </w:pPr>
      <w:r>
        <w:rPr>
          <w:rFonts w:ascii="Arial" w:cs="Arial" w:eastAsia="Arial" w:hAnsi="Arial"/>
          <w:sz w:val="17"/>
          <w:szCs w:val="17"/>
          <w:color w:val="auto"/>
        </w:rPr>
        <w:t>The Company determined that there were no indicators of potential impairment of its goodwill and indefinite-lived intangible assets during the thirteen weeks ended March 31, 2021. Accordingly, the Company did not record any impairment to its goodwill or indefinite-lived intangible assets during the thirteen weeks ended March 31, 2021. T</w:t>
      </w:r>
      <w:r>
        <w:rPr>
          <w:rFonts w:ascii="Arial" w:cs="Arial" w:eastAsia="Arial" w:hAnsi="Arial"/>
          <w:sz w:val="17"/>
          <w:szCs w:val="17"/>
          <w:color w:val="212529"/>
        </w:rPr>
        <w:t>he</w:t>
      </w:r>
      <w:r>
        <w:rPr>
          <w:rFonts w:ascii="Arial" w:cs="Arial" w:eastAsia="Arial" w:hAnsi="Arial"/>
          <w:sz w:val="17"/>
          <w:szCs w:val="17"/>
          <w:color w:val="auto"/>
        </w:rPr>
        <w:t xml:space="preserve"> </w:t>
      </w:r>
      <w:r>
        <w:rPr>
          <w:rFonts w:ascii="Arial" w:cs="Arial" w:eastAsia="Arial" w:hAnsi="Arial"/>
          <w:sz w:val="17"/>
          <w:szCs w:val="17"/>
          <w:color w:val="212529"/>
        </w:rPr>
        <w:t xml:space="preserve">ultimate severity and longevity of the COVID-19 pandemic is unknown, and therefore, </w:t>
      </w:r>
      <w:r>
        <w:rPr>
          <w:rFonts w:ascii="Arial" w:cs="Arial" w:eastAsia="Arial" w:hAnsi="Arial"/>
          <w:sz w:val="17"/>
          <w:szCs w:val="17"/>
          <w:color w:val="000000"/>
        </w:rPr>
        <w:t>it is possible that impairments</w:t>
      </w:r>
      <w:r>
        <w:rPr>
          <w:rFonts w:ascii="Arial" w:cs="Arial" w:eastAsia="Arial" w:hAnsi="Arial"/>
          <w:sz w:val="17"/>
          <w:szCs w:val="17"/>
          <w:color w:val="212529"/>
        </w:rPr>
        <w:t xml:space="preserve"> </w:t>
      </w:r>
      <w:r>
        <w:rPr>
          <w:rFonts w:ascii="Arial" w:cs="Arial" w:eastAsia="Arial" w:hAnsi="Arial"/>
          <w:sz w:val="17"/>
          <w:szCs w:val="17"/>
          <w:color w:val="000000"/>
        </w:rPr>
        <w:t>could be identified in future periods, and such amounts could be material.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84"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225"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225"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 key inputs for the valuation models are observable market prices, discount rates, and forward yield curves. See Note 4, “Long-Term Debt” for further discussion regarding our interest rate swaps.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fair value for the interest rate swap at March 31, 2021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2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3"/>
              </w:rPr>
              <w:t>Fair Value Measurements Using</w:t>
            </w:r>
          </w:p>
        </w:tc>
        <w:tc>
          <w:tcPr>
            <w:tcW w:w="0" w:type="dxa"/>
            <w:vAlign w:val="bottom"/>
          </w:tcPr>
          <w:p>
            <w:pPr>
              <w:spacing w:after="0"/>
              <w:rPr>
                <w:sz w:val="1"/>
                <w:szCs w:val="1"/>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2"/>
              </w:rPr>
              <w:t>Level 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 - Interest rate swap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fair value for the interest rate swap at December 30, 2020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30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 Using</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470"/>
              <w:spacing w:after="0" w:line="142" w:lineRule="exact"/>
              <w:rPr>
                <w:sz w:val="20"/>
                <w:szCs w:val="20"/>
                <w:color w:val="auto"/>
              </w:rPr>
            </w:pPr>
            <w:r>
              <w:rPr>
                <w:rFonts w:ascii="Arial" w:cs="Arial" w:eastAsia="Arial" w:hAnsi="Arial"/>
                <w:sz w:val="14"/>
                <w:szCs w:val="14"/>
                <w:b w:val="1"/>
                <w:bCs w:val="1"/>
                <w:color w:val="auto"/>
              </w:rPr>
              <w:t>Level 1</w:t>
            </w:r>
          </w:p>
        </w:tc>
        <w:tc>
          <w:tcPr>
            <w:tcW w:w="920" w:type="dxa"/>
            <w:vAlign w:val="bottom"/>
            <w:tcBorders>
              <w:top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2"/>
              </w:rPr>
              <w:t>Level 2</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 - Interest rate swap</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379"/>
        <w:spacing w:after="0" w:line="263" w:lineRule="auto"/>
        <w:rPr>
          <w:sz w:val="20"/>
          <w:szCs w:val="20"/>
          <w:color w:val="auto"/>
        </w:rPr>
      </w:pPr>
      <w:r>
        <w:rPr>
          <w:rFonts w:ascii="Arial" w:cs="Arial" w:eastAsia="Arial" w:hAnsi="Arial"/>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00"/>
        <w:spacing w:after="0" w:line="259"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weeks ended March 31, 2021 reflecting certain property and equipment assets and right-of-use (“ROU”) assets, for which an impairment loss was recognized during the corresponding periods, as discussed immediately below under “Impairment of Long-Lived Assets and ROU Assets”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136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Impairment Losses</w:t>
            </w: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Certain property and equipment,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Certain ROU assets,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1,147</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0" w:lineRule="exact"/>
        <w:rPr>
          <w:sz w:val="20"/>
          <w:szCs w:val="20"/>
          <w:color w:val="auto"/>
        </w:rPr>
      </w:pPr>
    </w:p>
    <w:p>
      <w:pPr>
        <w:spacing w:after="0" w:line="203" w:lineRule="exact"/>
        <w:rPr>
          <w:sz w:val="20"/>
          <w:szCs w:val="20"/>
          <w:color w:val="auto"/>
        </w:rPr>
      </w:pPr>
    </w:p>
    <w:p>
      <w:pPr>
        <w:ind w:left="60" w:right="320"/>
        <w:spacing w:after="0" w:line="259"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weeks ended March 25, 2020 reflecting certain property and equipment assets for which an impairment loss was recognized during the corresponding periods, as discussed immediately below under “Impairment of Long-Lived Assets and ROU Assets”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vMerge w:val="restart"/>
          </w:tcPr>
          <w:p>
            <w:pPr>
              <w:ind w:left="20"/>
              <w:spacing w:after="0"/>
              <w:rPr>
                <w:sz w:val="20"/>
                <w:szCs w:val="20"/>
                <w:color w:val="auto"/>
              </w:rPr>
            </w:pPr>
            <w:r>
              <w:rPr>
                <w:rFonts w:ascii="Arial" w:cs="Arial" w:eastAsia="Arial" w:hAnsi="Arial"/>
                <w:sz w:val="18"/>
                <w:szCs w:val="18"/>
                <w:color w:val="auto"/>
              </w:rPr>
              <w:t>Certain property and equipment, net</w:t>
            </w: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7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88"/>
              </w:rPr>
              <w:t>Level 1</w:t>
            </w:r>
          </w:p>
        </w:tc>
        <w:tc>
          <w:tcPr>
            <w:tcW w:w="86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w w:val="88"/>
              </w:rPr>
              <w:t>Level 2</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0"/>
              </w:rPr>
              <w:t>Impairment Losses</w:t>
            </w:r>
          </w:p>
        </w:tc>
        <w:tc>
          <w:tcPr>
            <w:tcW w:w="0" w:type="dxa"/>
            <w:vAlign w:val="bottom"/>
          </w:tcPr>
          <w:p>
            <w:pPr>
              <w:spacing w:after="0"/>
              <w:rPr>
                <w:sz w:val="1"/>
                <w:szCs w:val="1"/>
                <w:color w:val="auto"/>
              </w:rPr>
            </w:pPr>
          </w:p>
        </w:tc>
      </w:tr>
      <w:tr>
        <w:trPr>
          <w:trHeight w:val="209"/>
        </w:trPr>
        <w:tc>
          <w:tcPr>
            <w:tcW w:w="408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Certain ROU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 and ROU Assets</w:t>
      </w:r>
    </w:p>
    <w:p>
      <w:pPr>
        <w:spacing w:after="0" w:line="229" w:lineRule="exact"/>
        <w:rPr>
          <w:sz w:val="20"/>
          <w:szCs w:val="20"/>
          <w:color w:val="auto"/>
        </w:rPr>
      </w:pPr>
    </w:p>
    <w:p>
      <w:pPr>
        <w:ind w:left="60" w:right="100"/>
        <w:spacing w:after="0" w:line="285" w:lineRule="auto"/>
        <w:rPr>
          <w:sz w:val="20"/>
          <w:szCs w:val="20"/>
          <w:color w:val="auto"/>
        </w:rPr>
      </w:pPr>
      <w:r>
        <w:rPr>
          <w:rFonts w:ascii="Arial" w:cs="Arial" w:eastAsia="Arial" w:hAnsi="Arial"/>
          <w:sz w:val="16"/>
          <w:szCs w:val="16"/>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weeks ended March 31, 2021 that required an impairment review of certain of the Company’s long-lived and ROU assets. Based on the results of the analysis, the Company recorded non-cash impairment charges of $0.3 million for the thirteen weeks ended March 31, 2021, primarily related to the carrying value of the ROU assets of one restaurant in Texas closed in 2019 and the long-lived assets of three restaurants in California.</w:t>
      </w:r>
    </w:p>
    <w:p>
      <w:pPr>
        <w:spacing w:after="0" w:line="171" w:lineRule="exact"/>
        <w:rPr>
          <w:sz w:val="20"/>
          <w:szCs w:val="20"/>
          <w:color w:val="auto"/>
        </w:rPr>
      </w:pPr>
    </w:p>
    <w:p>
      <w:pPr>
        <w:ind w:left="60" w:right="240"/>
        <w:spacing w:after="0" w:line="293" w:lineRule="auto"/>
        <w:rPr>
          <w:sz w:val="20"/>
          <w:szCs w:val="20"/>
          <w:color w:val="auto"/>
        </w:rPr>
      </w:pPr>
      <w:r>
        <w:rPr>
          <w:rFonts w:ascii="Arial" w:cs="Arial" w:eastAsia="Arial" w:hAnsi="Arial"/>
          <w:sz w:val="16"/>
          <w:szCs w:val="16"/>
          <w:color w:val="auto"/>
        </w:rPr>
        <w:t>The Company recorded a non-cash impairment charge of $1.9 million for the thirteen weeks ended March 25, 2020, primarily related to the carrying value of the ROU assets of one restaurant in California and the long-lived assets of three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Closed-Store Reserves</w:t>
      </w:r>
    </w:p>
    <w:p>
      <w:pPr>
        <w:spacing w:after="0" w:line="229" w:lineRule="exact"/>
        <w:rPr>
          <w:sz w:val="20"/>
          <w:szCs w:val="20"/>
          <w:color w:val="auto"/>
        </w:rPr>
      </w:pPr>
    </w:p>
    <w:p>
      <w:pPr>
        <w:ind w:left="60" w:right="80"/>
        <w:spacing w:after="0" w:line="293" w:lineRule="auto"/>
        <w:rPr>
          <w:sz w:val="20"/>
          <w:szCs w:val="20"/>
          <w:color w:val="auto"/>
        </w:rPr>
      </w:pPr>
      <w:r>
        <w:rPr>
          <w:rFonts w:ascii="Arial" w:cs="Arial" w:eastAsia="Arial" w:hAnsi="Arial"/>
          <w:sz w:val="16"/>
          <w:szCs w:val="16"/>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weeks ended March 31, 2021, the Company recognized $0.3 million of closed-store reserve expense related to the amortization of ROU assets, property taxes and CAM payments for its closed locations. During the thirteen weeks ended March 25, 2020, the Company</w:t>
      </w:r>
    </w:p>
    <w:p>
      <w:pPr>
        <w:sectPr>
          <w:pgSz w:w="11900" w:h="16838" w:orient="portrait"/>
          <w:cols w:equalWidth="0" w:num="1">
            <w:col w:w="9020"/>
          </w:cols>
          <w:pgMar w:left="1440" w:top="517" w:right="1439" w:bottom="1440" w:gutter="0" w:footer="0" w:header="0"/>
        </w:sect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recognized $0.5 million of closed-store reserve expense, primarily related to the amortization of ROU assets, property taxes and CAM payments for its closed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uses an interest rate swap, a derivative instrument, to hedge interest rate risk and not for trading purposes.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derivative contract is entered into with a financial institution.</w:t>
      </w:r>
    </w:p>
    <w:p>
      <w:pPr>
        <w:spacing w:after="0" w:line="211" w:lineRule="exact"/>
        <w:rPr>
          <w:sz w:val="20"/>
          <w:szCs w:val="20"/>
          <w:color w:val="auto"/>
        </w:rPr>
      </w:pPr>
    </w:p>
    <w:p>
      <w:pPr>
        <w:ind w:left="60" w:right="199"/>
        <w:spacing w:after="0" w:line="272" w:lineRule="auto"/>
        <w:rPr>
          <w:sz w:val="20"/>
          <w:szCs w:val="20"/>
          <w:color w:val="auto"/>
        </w:rPr>
      </w:pPr>
      <w:r>
        <w:rPr>
          <w:rFonts w:ascii="Arial" w:cs="Arial" w:eastAsia="Arial" w:hAnsi="Arial"/>
          <w:sz w:val="17"/>
          <w:szCs w:val="17"/>
          <w:color w:val="auto"/>
        </w:rPr>
        <w:t>The Company records the derivative instrument on its condensed consolidated balance sheets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77"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As a result of the use of an interest rate swap, the Company is exposed to risk that the counterparty will fail to meet their contractual obligations. To mitigate the counterparty credit risk, the Company will only enter into contracts with major financial institutions, based upon their credit ratings and other factors, and will continue to assess the creditworthiness of the counterparty. As of March 31, 2021, the counterparty to the Company’s interest rate swap has performed in accordance with its contractual obligation.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6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170" w:lineRule="exact"/>
        <w:rPr>
          <w:sz w:val="20"/>
          <w:szCs w:val="20"/>
          <w:color w:val="auto"/>
        </w:rPr>
      </w:pPr>
    </w:p>
    <w:p>
      <w:pPr>
        <w:jc w:val="both"/>
        <w:ind w:left="60" w:right="319"/>
        <w:spacing w:after="0" w:line="287" w:lineRule="auto"/>
        <w:rPr>
          <w:sz w:val="20"/>
          <w:szCs w:val="20"/>
          <w:color w:val="auto"/>
        </w:rPr>
      </w:pPr>
      <w:r>
        <w:rPr>
          <w:rFonts w:ascii="Arial" w:cs="Arial" w:eastAsia="Arial" w:hAnsi="Arial"/>
          <w:sz w:val="16"/>
          <w:szCs w:val="16"/>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94"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Company’s policy is to recognize interest and penalties related to income tax matters in income tax expense. The Company had no accrual for interest or penalties at March 31, 2021 or at December 30, 2020. During fiscal 2020 the Company recognized interest of $0.1 million related to the Notice of Proposed Adjustment (“NOPA”), discussed below. The Company did not recognize interest or penalties during the thirteen weeks ended March 25, 2020, since there were no material unrecognized tax benefits. Management believes no significant changes to the amount of unrecognized tax benefits will occur within the next twelve months.</w:t>
      </w:r>
    </w:p>
    <w:p>
      <w:pPr>
        <w:spacing w:after="0" w:line="178"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weeks ended March 31, 2021, the Company recorded income tax receivable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agreement income of less than $0.1 million, and for the thirteen weeks ended March 25, 2020, the Company recorded income tax receivable agreement income of $0.1 million, related to the amortization of interest expense related to the total expected TRA payments and changes in estimates for actual tax returns filed and future forecasted taxable income.</w:t>
      </w:r>
    </w:p>
    <w:p>
      <w:pPr>
        <w:spacing w:after="0" w:line="149"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On March 27, 2020, President Trump signed into a law a stimulus package, the Coronavirus Aid, Relief and Economic Security Act (the “CARES Act”), which contains several tax provisions and deferral of employer Social Security taxes that are otherwise owed for wage payments. The tax provisions include a correction of a previous drafting error related to quality improvement property (“QIP”) and immediate refundability of all remaining alternative minimum tax (“AMT”) credits. The new provisions did not have a material impact on the Company’s condensed consolidated financial statements.</w:t>
      </w:r>
    </w:p>
    <w:p>
      <w:pPr>
        <w:spacing w:after="0" w:line="161"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During the thirteen weeks ended March 25, 2020, the Company received a NOPA for the years ended December 27, 2017 and December 28, 2016, related to the Company’s methodology regarding its ordering of utilization of AMT NOL. This resulted in payment of $0.4 million, and the audit is closed. As a result of the CARES Act, discussed above, this amount is immediately refundable upon filing of a Form 1139, which the Company filed during fiscal 2020 and recognized a receivable, included in Accounts and other receivables within the condensed consolidated balance sheet as of March 31, 2021. Subsequent to March 31, 2021, the Company received a refund totaling $0.5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PROPERTY AND EQUIPMENT</w:t>
      </w:r>
    </w:p>
    <w:p>
      <w:pPr>
        <w:spacing w:after="0" w:line="229"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March 31, 2021</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December 30, 2020</w:t>
            </w:r>
          </w:p>
        </w:tc>
      </w:tr>
      <w:tr>
        <w:trPr>
          <w:trHeight w:val="210"/>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12,323</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149,923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147,939</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equipment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77,177</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r>
      <w:tr>
        <w:trPr>
          <w:trHeight w:val="209"/>
        </w:trPr>
        <w:tc>
          <w:tcPr>
            <w:tcW w:w="6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245,013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241,006</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(164,954)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(161,364)</w:t>
            </w:r>
          </w:p>
        </w:tc>
      </w:tr>
      <w:tr>
        <w:trPr>
          <w:trHeight w:val="210"/>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79,642</w:t>
            </w: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Depreciation expense was $3.9 million and $4.4 million for the thirteen weeks ended March 31, 2021 and March 25, 2020, respectively.</w:t>
      </w:r>
    </w:p>
    <w:p>
      <w:pPr>
        <w:spacing w:after="0" w:line="170"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$0.2 million for the thirteen weeks ended March 31, 2021, primarily related to the carrying value of the assets of three restaurants in California. During the thirteen weeks ended March 25, 2020, the Company recorded non-cash impairment charges of $1.4 million, primarily related to the carrying value of the assets of three restaurants in California. D</w:t>
      </w:r>
      <w:r>
        <w:rPr>
          <w:rFonts w:ascii="Arial" w:cs="Arial" w:eastAsia="Arial" w:hAnsi="Arial"/>
          <w:sz w:val="18"/>
          <w:szCs w:val="18"/>
          <w:color w:val="212529"/>
        </w:rPr>
        <w:t>epending on the severity and longevity of the COVID-19 pandemic,</w:t>
      </w:r>
      <w:r>
        <w:rPr>
          <w:rFonts w:ascii="Arial" w:cs="Arial" w:eastAsia="Arial" w:hAnsi="Arial"/>
          <w:sz w:val="18"/>
          <w:szCs w:val="18"/>
          <w:color w:val="auto"/>
        </w:rPr>
        <w:t xml:space="preserve"> the Company’s financial performance could be further impacted and it is possible that material impairments could be identified in future periods. See Note 1, “Basis of Presentation and Summary of Significant Accounting Policies – Impairment of Long-Lived Assets and ROU Assets” for additional information.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At March 31, 2021, options to purchase 969,447 shares of common stock were outstanding, including 623,588 that are vested and 345,859 that are unvested. Unvested options vest over time; however, upon a change in control, the Board of Directors may accelerate vesting. At March 31, 2021, 260,967 premium options, which are options granted above the stock price at date of grant, remained outstanding. A summary of stock option activity as of March 31, 2021 and changes during the thirteen weeks ended March 31, 2021 is as follows: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Weighted-Average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3"/>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30,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1,030,866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(61,419)</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March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969,447</w:t>
            </w:r>
          </w:p>
        </w:tc>
        <w:tc>
          <w:tcPr>
            <w:tcW w:w="1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5.51</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20"/>
              <w:spacing w:after="0"/>
              <w:rPr>
                <w:sz w:val="20"/>
                <w:szCs w:val="20"/>
                <w:color w:val="auto"/>
              </w:rPr>
            </w:pPr>
            <w:r>
              <w:rPr>
                <w:rFonts w:ascii="Arial" w:cs="Arial" w:eastAsia="Arial" w:hAnsi="Arial"/>
                <w:sz w:val="18"/>
                <w:szCs w:val="18"/>
                <w:color w:val="auto"/>
              </w:rPr>
              <w:t>Vested and expected to vest at March 31, 2021</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color w:val="auto"/>
              </w:rPr>
              <w:t>5.50</w:t>
            </w: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966,137</w:t>
            </w:r>
          </w:p>
        </w:tc>
        <w:tc>
          <w:tcPr>
            <w:tcW w:w="1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10.10</w:t>
            </w:r>
          </w:p>
        </w:tc>
        <w:tc>
          <w:tcPr>
            <w:tcW w:w="104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Exercisable at March 31, 2021</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623,588</w:t>
            </w:r>
          </w:p>
        </w:tc>
        <w:tc>
          <w:tcPr>
            <w:tcW w:w="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9.39</w:t>
            </w:r>
          </w:p>
        </w:tc>
        <w:tc>
          <w:tcPr>
            <w:tcW w:w="1040" w:type="dxa"/>
            <w:vAlign w:val="bottom"/>
            <w:tcBorders>
              <w:bottom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4.29</w:t>
            </w:r>
          </w:p>
        </w:tc>
        <w:tc>
          <w:tcPr>
            <w:tcW w:w="400" w:type="dxa"/>
            <w:vAlign w:val="bottom"/>
            <w:tcBorders>
              <w:bottom w:val="single" w:sz="8" w:color="CCEEFF"/>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At March 31, 2021, the Company had total unrecognized compensation expense of $0.9 million related to unvested stock options, which it expects to recognize over a weighted-average period of 1.77 years.</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 summary of restricted share activity as of March 31, 2021 and changes during the thirteen weeks ended March 31, 2021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1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17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December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742,404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Forfeited, cancelled, or expired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(6,241)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shares at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736,163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Unvested shares at March 31, 2021, included 652,027 unvested restricted shares, 36,058 unvested performance stock units and 48,078 unvested restricted units.</w:t>
      </w:r>
    </w:p>
    <w:p>
      <w:pPr>
        <w:spacing w:after="0" w:line="170"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At March 31, 2021, the Company had unrecognized compensation expense of $5.6 million related to unvested restricted shares, which it expects to recognize over a weighted-average period of 2.58 years, unrecognized compensation expense of $0.1 million related to performance stock units, which it expects to recognize over a weighted-average period of 2.11 years and unrecognized compensation expense of $0.3 million related to unvested restricted units, which it expects to recognize over a weighted-average period of 1.11 years.</w:t>
      </w:r>
    </w:p>
    <w:p>
      <w:pPr>
        <w:spacing w:after="0" w:line="188"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Total stock-based compensation expense was $0.9 million for the thirteen weeks ended March 31, 2021, and $0.5 million for the thirteen weeks ended March 25,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LONG-TERM DEBT</w:t>
      </w:r>
    </w:p>
    <w:p>
      <w:pPr>
        <w:spacing w:after="0" w:line="22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July 13, 2018, the Company refinanced a credit agreement with Bank of America, N.A., initially entered into on December 11, 2014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w:t>
      </w:r>
    </w:p>
    <w:p>
      <w:pPr>
        <w:spacing w:after="0" w:line="46" w:lineRule="exact"/>
        <w:rPr>
          <w:sz w:val="20"/>
          <w:szCs w:val="20"/>
          <w:color w:val="auto"/>
        </w:rPr>
      </w:pPr>
    </w:p>
    <w:p>
      <w:pPr>
        <w:jc w:val="both"/>
        <w:ind w:left="60" w:right="339" w:hanging="10"/>
        <w:spacing w:after="0" w:line="281" w:lineRule="auto"/>
        <w:tabs>
          <w:tab w:leader="none" w:pos="275"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rFonts w:ascii="Arial" w:cs="Arial" w:eastAsia="Arial" w:hAnsi="Arial"/>
          <w:sz w:val="16"/>
          <w:szCs w:val="16"/>
          <w:color w:val="auto"/>
        </w:rPr>
      </w:pPr>
    </w:p>
    <w:p>
      <w:pPr>
        <w:ind w:left="60" w:right="139" w:hanging="10"/>
        <w:spacing w:after="0" w:line="281" w:lineRule="auto"/>
        <w:tabs>
          <w:tab w:leader="none" w:pos="325"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spacing w:after="0" w:line="1" w:lineRule="exact"/>
        <w:rPr>
          <w:rFonts w:ascii="Arial" w:cs="Arial" w:eastAsia="Arial" w:hAnsi="Arial"/>
          <w:sz w:val="16"/>
          <w:szCs w:val="16"/>
          <w:color w:val="auto"/>
        </w:rPr>
      </w:pPr>
    </w:p>
    <w:p>
      <w:pPr>
        <w:ind w:left="60" w:right="179"/>
        <w:spacing w:after="0" w:line="252" w:lineRule="auto"/>
        <w:rPr>
          <w:rFonts w:ascii="Arial" w:cs="Arial" w:eastAsia="Arial" w:hAnsi="Arial"/>
          <w:sz w:val="16"/>
          <w:szCs w:val="16"/>
          <w:color w:val="auto"/>
        </w:rPr>
      </w:pPr>
      <w:r>
        <w:rPr>
          <w:rFonts w:ascii="Arial" w:cs="Arial" w:eastAsia="Arial" w:hAnsi="Arial"/>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4"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1.36% to 1.65% for the thirteen weeks ended March 31, 2021 respectively, and 3.11% to 3.29% for the thirteen weeks ended March 25, 2020.</w:t>
      </w:r>
    </w:p>
    <w:p>
      <w:pPr>
        <w:spacing w:after="0" w:line="157" w:lineRule="exact"/>
        <w:rPr>
          <w:sz w:val="20"/>
          <w:szCs w:val="20"/>
          <w:color w:val="auto"/>
        </w:rPr>
      </w:pPr>
    </w:p>
    <w:p>
      <w:pPr>
        <w:ind w:left="60" w:right="319"/>
        <w:spacing w:after="0" w:line="257" w:lineRule="auto"/>
        <w:rPr>
          <w:sz w:val="20"/>
          <w:szCs w:val="20"/>
          <w:color w:val="auto"/>
        </w:rPr>
      </w:pPr>
      <w:r>
        <w:rPr>
          <w:rFonts w:ascii="Arial" w:cs="Arial" w:eastAsia="Arial" w:hAnsi="Arial"/>
          <w:sz w:val="18"/>
          <w:szCs w:val="18"/>
          <w:color w:val="auto"/>
        </w:rPr>
        <w:t xml:space="preserve">The 2018 Credit Agreement contains certain financial covenants. The Company was in compliance with the financial covenants as of March 31, 2021. However, </w:t>
      </w:r>
      <w:r>
        <w:rPr>
          <w:rFonts w:ascii="Arial" w:cs="Arial" w:eastAsia="Arial" w:hAnsi="Arial"/>
          <w:sz w:val="18"/>
          <w:szCs w:val="18"/>
          <w:color w:val="212529"/>
        </w:rPr>
        <w:t>depending on the severity and longevity of the COVID-19 pandemic,</w:t>
      </w:r>
      <w:r>
        <w:rPr>
          <w:rFonts w:ascii="Arial" w:cs="Arial" w:eastAsia="Arial" w:hAnsi="Arial"/>
          <w:sz w:val="18"/>
          <w:szCs w:val="18"/>
          <w:color w:val="auto"/>
        </w:rPr>
        <w:t xml:space="preserve"> the Company’s financial performance and liquidity could be further impacted and could impact the Company’s ability to comply with certain financial covenants required in the 2018 Credit Agreement, specifically the lease-adjusted coverage ratio and fixed-charge coverage ratio.</w:t>
      </w:r>
    </w:p>
    <w:p>
      <w:pPr>
        <w:spacing w:after="0" w:line="188"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color w:val="auto"/>
        </w:rPr>
        <w:t>At March 31, 2021, $8.4 million of letters of credit and $53.8 million in borrowings under the 2018 Revolver were outstanding. The Company had $87.8 million in borrowing availability under the 2018 Revolver at March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Maturities</w:t>
      </w:r>
    </w:p>
    <w:p>
      <w:pPr>
        <w:spacing w:after="0" w:line="229"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During the thirteen weeks ended March 31, 2021, the Company elected to pay down $9.0 million on its 2018 Revolver. During the thirteen weeks ended March 25, 2020, the Company borrowed $44.5 million, net of pay downs of $8.0 million on the Company’s 2018 Revolver, primarily as a precautionary measure to bolster its existing cash position, related to the uncertainty regarding the COVID-19 pandemic, as well as to fund settlement payments. There are no required principal payments prior to maturity for the 2018 Revolver.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Swap</w:t>
      </w:r>
    </w:p>
    <w:p>
      <w:pPr>
        <w:spacing w:after="0" w:line="229"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was converted to a fixed rate of 1.31%, plus applicable margin, which was 1.5% for the thirteen weeks ended March 31, 2021. The interest rate swap was designated as a cash flow hedge, as the changes in the future cash flows of the swap were expected to offset changes in expected future interest payments on the related variable-rate debt, in accordance with Accounting Standards Codification (“ASC”) 815 “Derivatives and Hedging.”</w:t>
      </w:r>
    </w:p>
    <w:p>
      <w:pPr>
        <w:spacing w:after="0" w:line="178"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thirteen weeks ended March 31, 2021, the swap was a highly effective cash flow hedge.</w:t>
      </w:r>
    </w:p>
    <w:p>
      <w:pPr>
        <w:spacing w:after="0" w:line="225" w:lineRule="exact"/>
        <w:rPr>
          <w:sz w:val="20"/>
          <w:szCs w:val="20"/>
          <w:color w:val="auto"/>
        </w:rPr>
      </w:pPr>
    </w:p>
    <w:p>
      <w:pPr>
        <w:ind w:left="60" w:right="499"/>
        <w:spacing w:after="0" w:line="308" w:lineRule="auto"/>
        <w:rPr>
          <w:sz w:val="20"/>
          <w:szCs w:val="20"/>
          <w:color w:val="auto"/>
        </w:rPr>
      </w:pPr>
      <w:r>
        <w:rPr>
          <w:rFonts w:ascii="Arial" w:cs="Arial" w:eastAsia="Arial" w:hAnsi="Arial"/>
          <w:sz w:val="17"/>
          <w:szCs w:val="17"/>
          <w:color w:val="auto"/>
        </w:rPr>
        <w:t>As of March 31, 2021, the estimated net loss included in AOCI related to the Company’s cash flow hedge that will be reclassified into earnings in the next 12 months is $0.5 million, based on current LIBOR interest rates.</w:t>
      </w:r>
    </w:p>
    <w:p>
      <w:pPr>
        <w:spacing w:after="0" w:line="14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following table shows the financial statement line item and amount of the Company’s cash flow hedge accounting on the condensed consolidated balance sheets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rPr>
              <w:t>December 30, 2020</w:t>
            </w:r>
          </w:p>
        </w:tc>
      </w:tr>
      <w:tr>
        <w:trPr>
          <w:trHeight w:val="142"/>
        </w:trPr>
        <w:tc>
          <w:tcPr>
            <w:tcW w:w="5420" w:type="dxa"/>
            <w:vAlign w:val="bottom"/>
          </w:tcPr>
          <w:p>
            <w:pPr>
              <w:spacing w:after="0"/>
              <w:rPr>
                <w:sz w:val="12"/>
                <w:szCs w:val="12"/>
                <w:color w:val="auto"/>
              </w:rPr>
            </w:pPr>
          </w:p>
        </w:tc>
        <w:tc>
          <w:tcPr>
            <w:tcW w:w="8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Notional</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8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Notional</w:t>
            </w: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Fair value</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 Interest rate swap</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6"/>
              </w:rPr>
              <w:t>$ 40,000</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96"/>
              </w:rPr>
              <w:t>$ 40,000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1,139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the condensed consolidated statements of income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124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March 31, 2021</w:t>
            </w: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March 25, 2020</w:t>
            </w:r>
          </w:p>
        </w:tc>
        <w:tc>
          <w:tcPr>
            <w:tcW w:w="180" w:type="dxa"/>
            <w:vAlign w:val="bottom"/>
          </w:tcPr>
          <w:p>
            <w:pPr>
              <w:spacing w:after="0"/>
              <w:rPr>
                <w:sz w:val="12"/>
                <w:szCs w:val="12"/>
                <w:color w:val="auto"/>
              </w:rPr>
            </w:pPr>
          </w:p>
        </w:tc>
      </w:t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hedged portion of debt</w:t>
            </w: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429</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Interest expense (income) on interest rate swap</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r>
      <w:tr>
        <w:trPr>
          <w:trHeight w:val="209"/>
        </w:trPr>
        <w:tc>
          <w:tcPr>
            <w:tcW w:w="6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on debt and derivatives, net</w:t>
            </w: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table summarizes the effect of the Company’s cash flow hedge accounting on AOCI for the thirteen weeks ended March 31, 2021 and March 25, 2020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Thirteen Weeks Ended</w:t>
            </w: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Net (Loss) Gain Recognized in OCI</w:t>
            </w:r>
          </w:p>
        </w:tc>
        <w:tc>
          <w:tcPr>
            <w:tcW w:w="100" w:type="dxa"/>
            <w:vAlign w:val="bottom"/>
          </w:tcPr>
          <w:p>
            <w:pPr>
              <w:spacing w:after="0"/>
              <w:rPr>
                <w:sz w:val="10"/>
                <w:szCs w:val="10"/>
                <w:color w:val="auto"/>
              </w:rPr>
            </w:pPr>
          </w:p>
        </w:tc>
        <w:tc>
          <w:tcPr>
            <w:tcW w:w="2440" w:type="dxa"/>
            <w:vAlign w:val="bottom"/>
            <w:gridSpan w:val="3"/>
          </w:tcPr>
          <w:p>
            <w:pPr>
              <w:jc w:val="center"/>
              <w:ind w:right="19"/>
              <w:spacing w:after="0" w:line="119" w:lineRule="exact"/>
              <w:rPr>
                <w:sz w:val="20"/>
                <w:szCs w:val="20"/>
                <w:color w:val="auto"/>
              </w:rPr>
            </w:pPr>
            <w:r>
              <w:rPr>
                <w:rFonts w:ascii="Arial" w:cs="Arial" w:eastAsia="Arial" w:hAnsi="Arial"/>
                <w:sz w:val="13"/>
                <w:szCs w:val="13"/>
                <w:b w:val="1"/>
                <w:bCs w:val="1"/>
                <w:color w:val="auto"/>
                <w:w w:val="99"/>
              </w:rPr>
              <w:t>Loss (Gain) Reclassified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AOCI into Interest expense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March 31, 2021</w:t>
            </w:r>
          </w:p>
        </w:tc>
        <w:tc>
          <w:tcPr>
            <w:tcW w:w="110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March 25, 2020</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March 31, 2021</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25, 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See Note 1, “Basis of Presentation and Summary of Significant Accounting Policies” for information about the fair value of the Company’s derivative asset.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6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March 31, 2021</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December 30, 2020</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property taxes</w:t>
            </w:r>
          </w:p>
        </w:tc>
        <w:tc>
          <w:tcPr>
            <w:tcW w:w="8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Gift card liability</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Accrued legal settlements and professional fees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Deferred franchise and development fees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 payment deferrals</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Current portion of employer social security tax deferral</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Total other accrued expenses and current liabilities</w:t>
            </w:r>
          </w:p>
        </w:tc>
        <w:tc>
          <w:tcPr>
            <w:tcW w:w="880" w:type="dxa"/>
            <w:vAlign w:val="bottom"/>
          </w:tcPr>
          <w:p>
            <w:pPr>
              <w:spacing w:after="0"/>
              <w:rPr>
                <w:sz w:val="18"/>
                <w:szCs w:val="18"/>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16,715</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7"/>
          </w:tcPr>
          <w:p>
            <w:pPr>
              <w:spacing w:after="0"/>
              <w:rPr>
                <w:sz w:val="20"/>
                <w:szCs w:val="20"/>
                <w:color w:val="auto"/>
              </w:rPr>
            </w:pPr>
            <w:r>
              <w:rPr>
                <w:rFonts w:ascii="Arial" w:cs="Arial" w:eastAsia="Arial" w:hAnsi="Arial"/>
                <w:sz w:val="14"/>
                <w:szCs w:val="14"/>
                <w:b w:val="1"/>
                <w:bCs w:val="1"/>
                <w:color w:val="auto"/>
                <w:w w:val="97"/>
              </w:rPr>
              <w:t>March 31, 2021  December 30, 2020</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franchise and development fees</w:t>
            </w:r>
          </w:p>
        </w:tc>
        <w:tc>
          <w:tcPr>
            <w:tcW w:w="94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Derivative liability</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Employer social security tax deferral</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noncurrent liabilities</w:t>
            </w:r>
          </w:p>
        </w:tc>
        <w:tc>
          <w:tcPr>
            <w:tcW w:w="94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3" w:lineRule="auto"/>
        <w:rPr>
          <w:sz w:val="20"/>
          <w:szCs w:val="20"/>
          <w:color w:val="auto"/>
        </w:rPr>
      </w:pPr>
      <w:r>
        <w:rPr>
          <w:rFonts w:ascii="Arial" w:cs="Arial" w:eastAsia="Arial" w:hAnsi="Arial"/>
          <w:sz w:val="16"/>
          <w:szCs w:val="16"/>
          <w:color w:val="auto"/>
        </w:rPr>
        <w:t xml:space="preserve">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parties reached a settlement in principle on January 24, 2019 of all claims brought on behalf of the 32,000+ putative class members in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as well as all claims for failure to pay overtime compensation, failure to provide meal periods and rest breaks, and failure to provide itemized wage statements brought in the class actions captioned </w:t>
      </w:r>
      <w:r>
        <w:rPr>
          <w:rFonts w:ascii="Arial" w:cs="Arial" w:eastAsia="Arial" w:hAnsi="Arial"/>
          <w:sz w:val="16"/>
          <w:szCs w:val="16"/>
          <w:u w:val="single" w:color="auto"/>
          <w:color w:val="auto"/>
        </w:rPr>
        <w:t>Martha Perez v. El Pollo</w:t>
      </w:r>
      <w:r>
        <w:rPr>
          <w:rFonts w:ascii="Arial" w:cs="Arial" w:eastAsia="Arial" w:hAnsi="Arial"/>
          <w:sz w:val="16"/>
          <w:szCs w:val="16"/>
          <w:color w:val="auto"/>
        </w:rPr>
        <w:t xml:space="preserve"> </w:t>
      </w:r>
      <w:r>
        <w:rPr>
          <w:rFonts w:ascii="Arial" w:cs="Arial" w:eastAsia="Arial" w:hAnsi="Arial"/>
          <w:sz w:val="16"/>
          <w:szCs w:val="16"/>
          <w:u w:val="single" w:color="auto"/>
          <w:color w:val="auto"/>
        </w:rPr>
        <w:t>Loco, Inc.</w:t>
      </w:r>
      <w:r>
        <w:rPr>
          <w:rFonts w:ascii="Arial" w:cs="Arial" w:eastAsia="Arial" w:hAnsi="Arial"/>
          <w:sz w:val="16"/>
          <w:szCs w:val="16"/>
          <w:color w:val="auto"/>
        </w:rPr>
        <w:t xml:space="preserve"> (Los Angeles Superior Court Case No. BC624001), </w:t>
      </w:r>
      <w:r>
        <w:rPr>
          <w:rFonts w:ascii="Arial" w:cs="Arial" w:eastAsia="Arial" w:hAnsi="Arial"/>
          <w:sz w:val="16"/>
          <w:szCs w:val="16"/>
          <w:u w:val="single" w:color="auto"/>
          <w:color w:val="auto"/>
        </w:rPr>
        <w:t>Maria Vega, et al. v. El Pollo Loco, Inc.</w:t>
      </w:r>
      <w:r>
        <w:rPr>
          <w:rFonts w:ascii="Arial" w:cs="Arial" w:eastAsia="Arial" w:hAnsi="Arial"/>
          <w:sz w:val="16"/>
          <w:szCs w:val="16"/>
          <w:color w:val="auto"/>
        </w:rPr>
        <w:t xml:space="preserve"> (Los Angeles Superior Court Case No. BC649719), and </w:t>
      </w:r>
      <w:r>
        <w:rPr>
          <w:rFonts w:ascii="Arial" w:cs="Arial" w:eastAsia="Arial" w:hAnsi="Arial"/>
          <w:sz w:val="16"/>
          <w:szCs w:val="16"/>
          <w:u w:val="single" w:color="auto"/>
          <w:color w:val="auto"/>
        </w:rPr>
        <w:t>Gonzalez v. El Pollo Loco, Inc.</w:t>
      </w:r>
      <w:r>
        <w:rPr>
          <w:rFonts w:ascii="Arial" w:cs="Arial" w:eastAsia="Arial" w:hAnsi="Arial"/>
          <w:sz w:val="16"/>
          <w:szCs w:val="16"/>
          <w:color w:val="auto"/>
        </w:rPr>
        <w:t xml:space="preserve"> (Los Angeles Superior Court Case</w:t>
      </w:r>
    </w:p>
    <w:p>
      <w:pPr>
        <w:spacing w:after="0" w:line="6"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 xml:space="preserve">No. BC712867). The settlement reached in principle in the </w:t>
      </w:r>
      <w:r>
        <w:rPr>
          <w:rFonts w:ascii="Arial" w:cs="Arial" w:eastAsia="Arial" w:hAnsi="Arial"/>
          <w:sz w:val="17"/>
          <w:szCs w:val="17"/>
          <w:u w:val="single" w:color="auto"/>
          <w:color w:val="auto"/>
        </w:rPr>
        <w:t>Olvera</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Perez</w:t>
      </w:r>
      <w:r>
        <w:rPr>
          <w:rFonts w:ascii="Arial" w:cs="Arial" w:eastAsia="Arial" w:hAnsi="Arial"/>
          <w:sz w:val="17"/>
          <w:szCs w:val="17"/>
          <w:color w:val="auto"/>
        </w:rPr>
        <w:t xml:space="preserve">, </w:t>
      </w:r>
      <w:r>
        <w:rPr>
          <w:rFonts w:ascii="Arial" w:cs="Arial" w:eastAsia="Arial" w:hAnsi="Arial"/>
          <w:sz w:val="17"/>
          <w:szCs w:val="17"/>
          <w:u w:val="single" w:color="auto"/>
          <w:color w:val="auto"/>
        </w:rPr>
        <w:t>Vega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Gonzalez</w:t>
      </w:r>
      <w:r>
        <w:rPr>
          <w:rFonts w:ascii="Arial" w:cs="Arial" w:eastAsia="Arial" w:hAnsi="Arial"/>
          <w:sz w:val="17"/>
          <w:szCs w:val="17"/>
          <w:color w:val="auto"/>
        </w:rPr>
        <w:t xml:space="preserve"> actions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183"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8"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 xml:space="preserve">On March 17, 2017, the Delaware court granted in part, and denied in part, the motion to stay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7"/>
          <w:szCs w:val="17"/>
          <w:u w:val="single" w:color="auto"/>
          <w:color w:val="auto"/>
        </w:rPr>
        <w:t>Diep</w:t>
      </w:r>
      <w:r>
        <w:rPr>
          <w:rFonts w:ascii="Arial" w:cs="Arial" w:eastAsia="Arial" w:hAnsi="Arial"/>
          <w:sz w:val="17"/>
          <w:szCs w:val="17"/>
          <w:color w:val="auto"/>
        </w:rPr>
        <w:t xml:space="preserve"> action for five months or until the completion of an investigation of the allegations in the action by a special litigation committee of the Holdings board of directors (the “SLC”). On February 13, 2019, after concluding its investigation, the SLC filed a motion to dismiss the Diep action. The SLC filed its investigative report under seal as an exhibit to the motion to dismiss. Following discovery related to the SLC’s motion, on September 25, 2020, the SLC filed a motion to dismiss the Diep action. On April 23, 2021, the court held a hearing on the SLC’s motion to dismiss, and the court’s ruling is pending. The Company believes that a loss is currently not probable or estimable under ASC 450, "Contingencies", and as of March 31, 2021 no accrual has been made with regard to this case.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Janice P. Handlers-Bryman and Michael D. Bryman v. El Pollo Loco, Inc.</w:t>
      </w:r>
      <w:r>
        <w:rPr>
          <w:rFonts w:ascii="Arial" w:cs="Arial" w:eastAsia="Arial" w:hAnsi="Arial"/>
          <w:sz w:val="18"/>
          <w:szCs w:val="18"/>
          <w:color w:val="auto"/>
        </w:rPr>
        <w:t>, Los Angeles Superior Court (Case</w:t>
      </w:r>
    </w:p>
    <w:p>
      <w:pPr>
        <w:spacing w:after="0" w:line="23"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company-operated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company-operated locations to Plaintiffs or to continuously disgorge to Plaintiffs the unjust enrichment allegedly obtained by us through the operation of the company-operated restaurants in Lancaster. We denied Plaintiffs’ allegations as the franchise agreement did not grant Plaintiffs any exclusive territorial rights and, instead, expressly reserved for us the right to open and operate - and the right to grant others the right to open and operate - El</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Pollo Loco restaurants “in the immediate vicinity of or adjacent to” Plaintiffs’ restaurant in Lancaster.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w:t>
      </w:r>
    </w:p>
    <w:p>
      <w:pPr>
        <w:spacing w:after="0" w:line="1"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2017. The trial in the case was bifurcated between the liability and damages phases. The liability phase commenced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§17200 et seq.,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company-operated El Pollo Loco restaurants in Lancaster, and (2) not offering the two new company-operated El Pollo Loco restaurants in Lancaster to Plaintiffs. Because the trial was bifurcated, the December 11, 2017 verdict did not include a determination of damages.</w:t>
      </w:r>
    </w:p>
    <w:p>
      <w:pPr>
        <w:spacing w:after="0" w:line="169" w:lineRule="exact"/>
        <w:rPr>
          <w:sz w:val="20"/>
          <w:szCs w:val="20"/>
          <w:color w:val="auto"/>
        </w:rPr>
      </w:pPr>
    </w:p>
    <w:p>
      <w:pPr>
        <w:ind w:left="60" w:right="139"/>
        <w:spacing w:after="0" w:line="286" w:lineRule="auto"/>
        <w:rPr>
          <w:sz w:val="20"/>
          <w:szCs w:val="20"/>
          <w:color w:val="auto"/>
        </w:rPr>
      </w:pPr>
      <w:r>
        <w:rPr>
          <w:rFonts w:ascii="Arial" w:cs="Arial" w:eastAsia="Arial" w:hAnsi="Arial"/>
          <w:sz w:val="16"/>
          <w:szCs w:val="16"/>
          <w:color w:val="auto"/>
        </w:rPr>
        <w:t>The damages phase of the trial commenced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company-operated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 $4,356,600 for “impact damages” arising out of our construction of the two new company-operated El Pollo Loco restaurants in Lancaster. The court, reversing its previous position, held that these damages could be awarded in addition to the “lost opportunity damages” awarded by the jury. Thus, the court entered a total monetary judgment of $8,837,806. There was no ruling on the causes of action for reformation due to mistake and declaratory relief, and on January 27, 2020, the court entered an amended judgment dismissing these claims. The trial court subsequently awarded the Plaintiffs $249,728 in costs and $1,391,703 in attorney fees. Post judgment interest is running at 10% simple interest per year on the total amount of the monetary judgment, costs, and attorney fees.</w:t>
      </w:r>
    </w:p>
    <w:p>
      <w:pPr>
        <w:spacing w:after="0" w:line="17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On August 27, 2018, the Company filed a notice of appeal as to the entire judgment. As required by California law, on or about August 16, 2018, the Company obtained an appeal bond through a Surety company to secure the trial court’s judgment during the pendency of the appeal.</w:t>
      </w:r>
    </w:p>
    <w:p>
      <w:pPr>
        <w:spacing w:after="0" w:line="184"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On March 19, 2020, the Surety, One Beacon, from whom the Company procured the appeal bond to secure the judgment against the Company in the matter of Janice P. Handlers-Bryman and Michael D. Bryman v. El Pollo Loco, Inc., issued a collateral demand to the Company. On April 17, 2020, the Company provided to One Beacon a Letter of Credit in the amount of $2,651,342 to satisfy the Surety’s collateral demand. On July 13, 2020, One Beacon agreed to release its collateral demand and returned the Letter of Credit to the Company.</w:t>
      </w:r>
    </w:p>
    <w:p>
      <w:pPr>
        <w:spacing w:after="0" w:line="176"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During fiscal 2020, the Company reached an agreement with the Plaintiffs to resolve the lawsuit for a payment by the Company of $2.5 million, which was recorded within operating expenses in the Company’s statement of operations for the fiscal year ended December 30, 2020. Additionally, during fiscal 2020, the matter was formally resolved. On September 2, 2020, the California Court of Appeals entered an order, following a motion for stipulated reversal of the trial court’s judgment jointly filed by the parties, reversing the trial court’s judgment in the case and instructing the trial court to dismiss the matter with prejudice. On September 10, 2020, the trial court entered an order reversing its judgment and dismissing the case with prejudice. The settlement payment of $2.5 million has been made in the third quarter of 2020 and the appeal bond has been released.</w:t>
      </w:r>
    </w:p>
    <w:p>
      <w:pPr>
        <w:spacing w:after="0" w:line="192" w:lineRule="exact"/>
        <w:rPr>
          <w:sz w:val="20"/>
          <w:szCs w:val="20"/>
          <w:color w:val="auto"/>
        </w:rPr>
      </w:pPr>
    </w:p>
    <w:p>
      <w:pPr>
        <w:ind w:left="60" w:right="339"/>
        <w:spacing w:after="0" w:line="291" w:lineRule="auto"/>
        <w:rPr>
          <w:sz w:val="20"/>
          <w:szCs w:val="20"/>
          <w:color w:val="auto"/>
        </w:rPr>
      </w:pPr>
      <w:r>
        <w:rPr>
          <w:rFonts w:ascii="Arial" w:cs="Arial" w:eastAsia="Arial" w:hAnsi="Arial"/>
          <w:sz w:val="16"/>
          <w:szCs w:val="16"/>
          <w:color w:val="auto"/>
        </w:rPr>
        <w:t xml:space="preserve">On or about November 9, 2020, a former employee filed a representative action for violation of the Private Attorneys General Act of 2004 (“PAGA”) pursuant to Labor Code sections 2698 </w:t>
      </w:r>
      <w:r>
        <w:rPr>
          <w:rFonts w:ascii="Arial" w:cs="Arial" w:eastAsia="Arial" w:hAnsi="Arial"/>
          <w:sz w:val="16"/>
          <w:szCs w:val="16"/>
          <w:i w:val="1"/>
          <w:iCs w:val="1"/>
          <w:color w:val="auto"/>
        </w:rPr>
        <w:t>et seq.</w:t>
      </w:r>
      <w:r>
        <w:rPr>
          <w:rFonts w:ascii="Arial" w:cs="Arial" w:eastAsia="Arial" w:hAnsi="Arial"/>
          <w:sz w:val="16"/>
          <w:szCs w:val="16"/>
          <w:color w:val="auto"/>
        </w:rPr>
        <w:t xml:space="preserve"> in the Superior Court of the State of California, County of Los Angeles, under the caption Kenneth E. Reising, et al v. El Pollo Loco, Inc., et al (Case No. 20STCV42951) on behalf of all non-exempt employees from June 19, 2020 to the present, alleging certain violations of California labor laws. The claims include failure to pay overtime compensation, failure to provide meal periods and rest breaks, failure to reimburse employees for business expenses, failure to provide suitable seating, and failure to provide accurate itemized wage statements. The requested remedies include statutory penalties and reasonable attorneys’ fees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and costs. No specific amount of damages sought was specified in the complaint. The Company filed an Answer to the complaint on or about January 5, 2021. Based on the assessment by management of the numerous legal arguments that can be raised on this claim, the Company believes that a loss is currently not probable or estimable under ASC 450, “Contingencies”, and as of March 31, 2021 no accrual has been made with regard to the verdict.</w:t>
      </w:r>
    </w:p>
    <w:p>
      <w:pPr>
        <w:spacing w:after="0" w:line="171"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On or about February 4, 2021, a former employee filed a class action in the Superior Court of the State of California, County of Riverside, under the caption Brandie Crispin, et al v. El Pollo Loco, Inc. et al (Case No. CVRI2100490) on behalf of all putative class members (all non-exempt General Managers from February 4, 2017 to the present) alleging certain violations of California labor laws. The claims include failure to pay overtime compensation, failure to provide meal periods and rest breaks, and failure to provide accurate itemized wage statements. The putative lead plaintiff’s requested remedies include compensatory damages, statutory penalties, injunctive relief, and reasonable attorneys’ fees and costs. No specific amount of damages sought was specified in the complaint. Plaintiff filed a first amended complaint on April 12, 2021, which dismissed the class action claims and added a representative action for violation of the Private Attorneys General Act of 2004 (“PAGA”) pursuant to Labor Code sections 2698. The Company will file a responsive pleading to the first amended complaint on or before May 12, 2021. Based on the assessment by management of the numerous legal arguments that can be raised on this claim, the Company believes that a loss is currently not probable or estimable under ASC 450, “Contingencies”, and as of March 31, 2021 no accrual has been made with regard to the verdict.</w:t>
      </w:r>
    </w:p>
    <w:p>
      <w:pPr>
        <w:spacing w:after="0" w:line="168"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Purchasing Commitments</w:t>
      </w:r>
    </w:p>
    <w:p>
      <w:pPr>
        <w:spacing w:after="0" w:line="229"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March 31, 2021, the Company’s total estimated commitment to purchase chicken was $25.7 million.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Contingent Lease Obligations</w:t>
      </w:r>
    </w:p>
    <w:p>
      <w:pPr>
        <w:spacing w:after="0" w:line="229"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March 31, 2021, the potential amount of undiscounted payments the Company could be required to make in the event of non-payment by the primary lessee was $2.9 million. The present value of these potential payments discounted at the Company’s estimated pre-tax cost of debt at March 31, 2021 was $2.7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Due to the current uncertainty related to the COVID-19 pandemic and the impact it has had on the ability of the Company’s franchisees to make their lease payments, the Company has recorded a $0.1 million liability in the Company’s condensed consolidated financial statements related to these contingent liabilities.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0" w:right="459"/>
        <w:spacing w:after="0" w:line="263" w:lineRule="auto"/>
        <w:rPr>
          <w:sz w:val="20"/>
          <w:szCs w:val="20"/>
          <w:color w:val="auto"/>
        </w:rPr>
      </w:pPr>
      <w:r>
        <w:rPr>
          <w:rFonts w:ascii="Arial" w:cs="Arial" w:eastAsia="Arial" w:hAnsi="Arial"/>
          <w:sz w:val="18"/>
          <w:szCs w:val="18"/>
          <w:color w:val="auto"/>
        </w:rPr>
        <w:t>The Company has employment agreements with three of the officers of the Company. These agreements provide for minimum salary levels, possible annual adjustments for cost-of-living changes, and incentive bonuses that are payable under certain business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60" w:right="160"/>
        <w:spacing w:after="0" w:line="257"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EARNINGS PER SHARE</w:t>
      </w:r>
    </w:p>
    <w:p>
      <w:pPr>
        <w:spacing w:after="0" w:line="229" w:lineRule="exact"/>
        <w:rPr>
          <w:sz w:val="20"/>
          <w:szCs w:val="20"/>
          <w:color w:val="auto"/>
        </w:rPr>
      </w:pPr>
    </w:p>
    <w:p>
      <w:pPr>
        <w:ind w:left="60" w:right="180"/>
        <w:spacing w:after="0" w:line="259" w:lineRule="auto"/>
        <w:rPr>
          <w:sz w:val="20"/>
          <w:szCs w:val="20"/>
          <w:color w:val="auto"/>
        </w:rPr>
      </w:pPr>
      <w:r>
        <w:rPr>
          <w:rFonts w:ascii="Arial" w:cs="Arial" w:eastAsia="Arial" w:hAnsi="Arial"/>
          <w:sz w:val="18"/>
          <w:szCs w:val="18"/>
          <w:color w:val="auto"/>
        </w:rPr>
        <w:t>Basic earnings per share (“EPS”) is calculated using the weighted-average number of shares of common stock outstanding during the thirteen weeks ended March 31, 2021 and March 25, 2020. Diluted EPS is calculated using the weighted-average number of shares of common stock outstanding and potentially dilutive during the period, using the treasury stock method.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Below are basic and diluted EPS data for the periods indicated (in thousands except for share and per share data):</w:t>
      </w: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7"/>
          </w:tcPr>
          <w:p>
            <w:pPr>
              <w:ind w:left="30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6520" w:type="dxa"/>
            <w:vAlign w:val="bottom"/>
          </w:tcPr>
          <w:p>
            <w:pPr>
              <w:spacing w:after="0"/>
              <w:rPr>
                <w:sz w:val="12"/>
                <w:szCs w:val="12"/>
                <w:color w:val="auto"/>
              </w:rPr>
            </w:pPr>
          </w:p>
        </w:tc>
        <w:tc>
          <w:tcPr>
            <w:tcW w:w="1220" w:type="dxa"/>
            <w:vAlign w:val="bottom"/>
            <w:tcBorders>
              <w:top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March 31, 2021</w:t>
            </w:r>
          </w:p>
        </w:tc>
        <w:tc>
          <w:tcPr>
            <w:tcW w:w="106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8"/>
              </w:rPr>
              <w:t>March 25, 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35,795,205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34,659,160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36,424,068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35,347,456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Net income per share—basic</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share—diluted</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Anti-dilutive securities not considered in diluted EPS calculation</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474,373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6"/>
        </w:trPr>
        <w:tc>
          <w:tcPr>
            <w:tcW w:w="6520" w:type="dxa"/>
            <w:vAlign w:val="bottom"/>
          </w:tcPr>
          <w:p>
            <w:pPr>
              <w:ind w:left="20"/>
              <w:spacing w:after="0"/>
              <w:rPr>
                <w:sz w:val="20"/>
                <w:szCs w:val="20"/>
                <w:color w:val="auto"/>
              </w:rPr>
            </w:pPr>
            <w:r>
              <w:rPr>
                <w:rFonts w:ascii="Arial" w:cs="Arial" w:eastAsia="Arial" w:hAnsi="Arial"/>
                <w:sz w:val="18"/>
                <w:szCs w:val="18"/>
                <w:color w:val="auto"/>
              </w:rPr>
              <w:t>Below is a reconciliation of basic and diluted share counts: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6"/>
        </w:trPr>
        <w:tc>
          <w:tcPr>
            <w:tcW w:w="6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7"/>
          </w:tcPr>
          <w:p>
            <w:pPr>
              <w:ind w:left="28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6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2021</w:t>
            </w: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March 25, 2020</w:t>
            </w:r>
          </w:p>
        </w:tc>
        <w:tc>
          <w:tcPr>
            <w:tcW w:w="280" w:type="dxa"/>
            <w:vAlign w:val="bottom"/>
            <w:gridSpan w:val="3"/>
          </w:tcPr>
          <w:p>
            <w:pPr>
              <w:spacing w:after="0"/>
              <w:rPr>
                <w:sz w:val="12"/>
                <w:szCs w:val="12"/>
                <w:color w:val="auto"/>
              </w:rPr>
            </w:pPr>
          </w:p>
        </w:tc>
      </w:tr>
      <w:tr>
        <w:trPr>
          <w:trHeight w:val="209"/>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35,795,205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34,659,160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 options and restricted shares</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628,863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688,296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36,424,068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35,347,456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RELATED PARTY TRANSACTIONS</w:t>
      </w:r>
    </w:p>
    <w:p>
      <w:pPr>
        <w:spacing w:after="0" w:line="229" w:lineRule="exact"/>
        <w:rPr>
          <w:sz w:val="20"/>
          <w:szCs w:val="20"/>
          <w:color w:val="auto"/>
        </w:rPr>
      </w:pPr>
    </w:p>
    <w:p>
      <w:pPr>
        <w:ind w:left="60" w:right="100"/>
        <w:spacing w:after="0" w:line="284" w:lineRule="auto"/>
        <w:rPr>
          <w:sz w:val="20"/>
          <w:szCs w:val="20"/>
          <w:color w:val="auto"/>
        </w:rPr>
      </w:pPr>
      <w:r>
        <w:rPr>
          <w:rFonts w:ascii="Arial" w:cs="Arial" w:eastAsia="Arial" w:hAnsi="Arial"/>
          <w:sz w:val="16"/>
          <w:szCs w:val="16"/>
          <w:color w:val="auto"/>
        </w:rPr>
        <w:t>Trimaran Pollo Partners, L.L.C. (“LLC”) owns approximately 45.9% of the Company’s outstanding common stock. This large position means that LLC and its majority owners—predecessors and affiliates of, and certain funds managed by, Trimaran Capital Partners and Freeman Spogli &amp; Co. (collectively, “Trimaran” and “Freeman Spogli,” respectively)— 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w:t>
      </w:r>
    </w:p>
    <w:p>
      <w:pPr>
        <w:spacing w:after="0" w:line="2" w:lineRule="exact"/>
        <w:rPr>
          <w:sz w:val="20"/>
          <w:szCs w:val="20"/>
          <w:color w:val="auto"/>
        </w:rPr>
      </w:pPr>
    </w:p>
    <w:p>
      <w:pPr>
        <w:ind w:left="60" w:right="100" w:hanging="10"/>
        <w:spacing w:after="0" w:line="292"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ectPr>
          <w:pgSz w:w="11900" w:h="16838" w:orient="portrait"/>
          <w:cols w:equalWidth="0" w:num="1">
            <w:col w:w="9040"/>
          </w:cols>
          <w:pgMar w:left="1440" w:top="517" w:right="14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319" w:hanging="10"/>
        <w:spacing w:after="0" w:line="503" w:lineRule="auto"/>
        <w:tabs>
          <w:tab w:leader="none" w:pos="33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ind w:left="60"/>
        <w:spacing w:after="0"/>
        <w:rPr>
          <w:sz w:val="20"/>
          <w:szCs w:val="20"/>
          <w:color w:val="auto"/>
        </w:rPr>
      </w:pPr>
      <w:r>
        <w:rPr>
          <w:rFonts w:ascii="Arial" w:cs="Arial" w:eastAsia="Arial" w:hAnsi="Arial"/>
          <w:sz w:val="18"/>
          <w:szCs w:val="18"/>
          <w:i w:val="1"/>
          <w:iCs w:val="1"/>
          <w:color w:val="auto"/>
        </w:rPr>
        <w:t>Nature of products and services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Company-operated restaurant revenue</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84" w:lineRule="exact"/>
        <w:rPr>
          <w:sz w:val="20"/>
          <w:szCs w:val="20"/>
          <w:color w:val="auto"/>
        </w:rPr>
      </w:pPr>
    </w:p>
    <w:p>
      <w:pPr>
        <w:ind w:left="60" w:right="79"/>
        <w:spacing w:after="0" w:line="283" w:lineRule="auto"/>
        <w:rPr>
          <w:sz w:val="20"/>
          <w:szCs w:val="20"/>
          <w:color w:val="auto"/>
        </w:rPr>
      </w:pPr>
      <w:r>
        <w:rPr>
          <w:rFonts w:ascii="Arial" w:cs="Arial" w:eastAsia="Arial" w:hAnsi="Arial"/>
          <w:sz w:val="16"/>
          <w:szCs w:val="16"/>
          <w:color w:val="auto"/>
        </w:rPr>
        <w:t>The Company offers a loyalty rewards program, which awards a customer points for dollars spent.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w:t>
      </w:r>
    </w:p>
    <w:p>
      <w:pPr>
        <w:spacing w:after="0" w:line="5"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March 31, 2021 and December 30, 2020, the revenue allocated to loyalty points that have not been redeemed was $0.7 million and $0.9 million, respectively, which is reflected in the Company’s accompanying condensed consolidated balance sheets within other accrued expenses and current liabilities. The Company expects the loyalty points to be redeemed and recognized over a one-year period.</w:t>
      </w:r>
    </w:p>
    <w:p>
      <w:pPr>
        <w:spacing w:after="0" w:line="193"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 Unredeemed gift card balances are deferred and recorded as other accrued expenses on the accompanying condensed consolidated balance sheets.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225" w:lineRule="exact"/>
        <w:rPr>
          <w:sz w:val="20"/>
          <w:szCs w:val="20"/>
          <w:color w:val="auto"/>
        </w:rPr>
      </w:pPr>
    </w:p>
    <w:p>
      <w:pPr>
        <w:ind w:left="60" w:right="99"/>
        <w:spacing w:after="0" w:line="311" w:lineRule="auto"/>
        <w:rPr>
          <w:sz w:val="20"/>
          <w:szCs w:val="20"/>
          <w:color w:val="auto"/>
        </w:rPr>
      </w:pPr>
      <w:r>
        <w:rPr>
          <w:rFonts w:ascii="Arial" w:cs="Arial" w:eastAsia="Arial" w:hAnsi="Arial"/>
          <w:sz w:val="16"/>
          <w:szCs w:val="16"/>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49" w:lineRule="exact"/>
        <w:rPr>
          <w:sz w:val="20"/>
          <w:szCs w:val="20"/>
          <w:color w:val="auto"/>
        </w:rPr>
      </w:pPr>
    </w:p>
    <w:p>
      <w:pPr>
        <w:ind w:left="720" w:right="239" w:hanging="319"/>
        <w:spacing w:after="0" w:line="25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211"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76"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regarding disclosure of the aggregate amount of the transaction price allocated to the performance obligations that are unsatisfied for sales-based royalties.</w:t>
      </w:r>
    </w:p>
    <w:p>
      <w:pPr>
        <w:spacing w:after="0" w:line="170"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8"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March 31, 2021, there were no performance obligations related to hardware services that were unsatisfied or partially satisfied.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revenues disaggregated by revenue source and market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Thirteen Weeks Ended</w:t>
            </w: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March 25,</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Core Market</w:t>
            </w:r>
            <w:r>
              <w:rPr>
                <w:rFonts w:ascii="Arial" w:cs="Arial" w:eastAsia="Arial" w:hAnsi="Arial"/>
                <w:sz w:val="24"/>
                <w:szCs w:val="24"/>
                <w:b w:val="1"/>
                <w:bCs w:val="1"/>
                <w:color w:val="auto"/>
                <w:vertAlign w:val="superscript"/>
              </w:rPr>
              <w:t>(1)</w:t>
            </w:r>
            <w:r>
              <w:rPr>
                <w:rFonts w:ascii="Arial" w:cs="Arial" w:eastAsia="Arial" w:hAnsi="Arial"/>
                <w:sz w:val="17"/>
                <w:szCs w:val="17"/>
                <w:b w:val="1"/>
                <w:bCs w:val="1"/>
                <w:color w:val="auto"/>
              </w:rPr>
              <w:t>:</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Company-operated restaurant revenue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87,224</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85,915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 revenue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Franchise advertising fee revenue</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core market</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92,065</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line="210" w:lineRule="exact"/>
              <w:rPr>
                <w:sz w:val="20"/>
                <w:szCs w:val="20"/>
                <w:color w:val="auto"/>
              </w:rPr>
            </w:pPr>
            <w:r>
              <w:rPr>
                <w:rFonts w:ascii="Arial" w:cs="Arial" w:eastAsia="Arial" w:hAnsi="Arial"/>
                <w:sz w:val="17"/>
                <w:szCs w:val="17"/>
                <w:b w:val="1"/>
                <w:bCs w:val="1"/>
                <w:color w:val="auto"/>
              </w:rPr>
              <w:t>Non-Core Market</w:t>
            </w:r>
            <w:r>
              <w:rPr>
                <w:rFonts w:ascii="Arial" w:cs="Arial" w:eastAsia="Arial" w:hAnsi="Arial"/>
                <w:sz w:val="24"/>
                <w:szCs w:val="24"/>
                <w:b w:val="1"/>
                <w:bCs w:val="1"/>
                <w:color w:val="auto"/>
                <w:vertAlign w:val="superscript"/>
              </w:rPr>
              <w:t>(2)</w:t>
            </w:r>
            <w:r>
              <w:rPr>
                <w:rFonts w:ascii="Arial" w:cs="Arial" w:eastAsia="Arial" w:hAnsi="Arial"/>
                <w:sz w:val="17"/>
                <w:szCs w:val="17"/>
                <w:b w:val="1"/>
                <w:bCs w:val="1"/>
                <w:color w:val="auto"/>
              </w:rPr>
              <w: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Company-operated restaurant 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3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Franchise revenue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Franchise advertising fee revenue</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non-core market</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107,721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67" w:lineRule="exact"/>
        <w:rPr>
          <w:sz w:val="20"/>
          <w:szCs w:val="20"/>
          <w:color w:val="auto"/>
        </w:rPr>
      </w:pPr>
    </w:p>
    <w:p>
      <w:pPr>
        <w:ind w:left="380" w:right="319" w:hanging="330"/>
        <w:spacing w:after="0" w:line="207" w:lineRule="auto"/>
        <w:tabs>
          <w:tab w:leader="none" w:pos="3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Core Market includes markets with existing company-operated restaurants at the time of the Company’s on July 28, 2014.</w:t>
      </w:r>
    </w:p>
    <w:p>
      <w:pPr>
        <w:ind w:left="380" w:hanging="330"/>
        <w:spacing w:after="0" w:line="180" w:lineRule="auto"/>
        <w:tabs>
          <w:tab w:leader="none" w:pos="380" w:val="left"/>
        </w:tabs>
        <w:numPr>
          <w:ilvl w:val="0"/>
          <w:numId w:val="10"/>
        </w:numPr>
        <w:rPr>
          <w:rFonts w:ascii="Arial" w:cs="Arial" w:eastAsia="Arial" w:hAnsi="Arial"/>
          <w:sz w:val="25"/>
          <w:szCs w:val="25"/>
          <w:color w:val="auto"/>
          <w:vertAlign w:val="superscript"/>
        </w:rPr>
      </w:pPr>
      <w:r>
        <w:rPr>
          <w:rFonts w:ascii="Arial" w:cs="Arial" w:eastAsia="Arial" w:hAnsi="Arial"/>
          <w:sz w:val="17"/>
          <w:szCs w:val="17"/>
          <w:color w:val="auto"/>
        </w:rPr>
        <w:t>Non-Core Market includes markets entered into by the Company subsequent to the IPO date.</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March 31, 2021</w:t>
            </w: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March 25, 2020</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Greater Los Angeles area market</w:t>
            </w:r>
          </w:p>
        </w:tc>
        <w:tc>
          <w:tcPr>
            <w:tcW w:w="28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Other markets</w:t>
            </w:r>
          </w:p>
        </w:tc>
        <w:tc>
          <w:tcPr>
            <w:tcW w:w="4240" w:type="dxa"/>
            <w:vAlign w:val="bottom"/>
            <w:gridSpan w:val="3"/>
          </w:tcPr>
          <w:p>
            <w:pPr>
              <w:jc w:val="right"/>
              <w:ind w:right="30"/>
              <w:spacing w:after="0"/>
              <w:rPr>
                <w:sz w:val="20"/>
                <w:szCs w:val="20"/>
                <w:color w:val="auto"/>
              </w:rPr>
            </w:pPr>
            <w:r>
              <w:rPr>
                <w:rFonts w:ascii="Arial" w:cs="Arial" w:eastAsia="Arial" w:hAnsi="Arial"/>
                <w:sz w:val="18"/>
                <w:szCs w:val="18"/>
                <w:color w:val="auto"/>
              </w:rPr>
              <w:t>29.9 %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27.6 %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3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20" w:type="dxa"/>
            <w:vAlign w:val="bottom"/>
            <w:vMerge w:val="restart"/>
          </w:tcPr>
          <w:p>
            <w:pPr>
              <w:jc w:val="right"/>
              <w:ind w:right="1550"/>
              <w:spacing w:after="0"/>
              <w:rPr>
                <w:sz w:val="20"/>
                <w:szCs w:val="20"/>
                <w:color w:val="auto"/>
              </w:rPr>
            </w:pPr>
            <w:r>
              <w:rPr>
                <w:rFonts w:ascii="Arial" w:cs="Arial" w:eastAsia="Arial" w:hAnsi="Arial"/>
                <w:sz w:val="18"/>
                <w:szCs w:val="18"/>
                <w:color w:val="auto"/>
              </w:rPr>
              <w:t>23</w:t>
            </w: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thirteen weeks ended March 31, 2021 and March 25, 2020 (in thousands)</w:t>
      </w:r>
      <w:r>
        <w:rPr>
          <w:rFonts w:ascii="Arial" w:cs="Arial" w:eastAsia="Arial" w:hAnsi="Arial"/>
          <w:sz w:val="18"/>
          <w:szCs w:val="18"/>
          <w:b w:val="1"/>
          <w:bCs w:val="1"/>
          <w:color w:val="auto"/>
        </w:rPr>
        <w:t>:</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30, 2020</w:t>
            </w: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rPr>
              <w:t>Revenue recognized - beginning balance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contract liability</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9"/>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March 31, 2021</w:t>
            </w:r>
          </w:p>
        </w:tc>
        <w:tc>
          <w:tcPr>
            <w:tcW w:w="20" w:type="dxa"/>
            <w:vAlign w:val="bottom"/>
          </w:tcPr>
          <w:p>
            <w:pPr>
              <w:spacing w:after="0"/>
              <w:rPr>
                <w:sz w:val="21"/>
                <w:szCs w:val="21"/>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December 25, 2019</w:t>
            </w: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Revenue recognized - beginning balance</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9"/>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March 25, 2020</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9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future periods related to performance obligations under the applicable contracts that are unsatisfied as of March 31, 2021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Franchise revenues: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16"/>
        </w:trPr>
        <w:tc>
          <w:tcPr>
            <w:tcW w:w="7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16"/>
        </w:trPr>
        <w:tc>
          <w:tcPr>
            <w:tcW w:w="7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r>
      <w:tr>
        <w:trPr>
          <w:trHeight w:val="209"/>
        </w:trPr>
        <w:tc>
          <w:tcPr>
            <w:tcW w:w="7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5,642</w:t>
            </w:r>
          </w:p>
        </w:tc>
      </w:tr>
      <w:tr>
        <w:trPr>
          <w:trHeight w:val="20"/>
        </w:trPr>
        <w:tc>
          <w:tcPr>
            <w:tcW w:w="7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March 31,</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30,</w:t>
            </w:r>
          </w:p>
        </w:tc>
      </w:tr>
      <w:tr>
        <w:trPr>
          <w:trHeight w:val="234"/>
        </w:trPr>
        <w:tc>
          <w:tcPr>
            <w:tcW w:w="6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rewards liability, 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spacing w:after="0"/>
              <w:rPr>
                <w:sz w:val="18"/>
                <w:szCs w:val="18"/>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8"/>
                <w:szCs w:val="18"/>
                <w:color w:val="auto"/>
              </w:rPr>
              <w:t>Revenue deferred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2,463</w:t>
            </w:r>
          </w:p>
        </w:tc>
        <w:tc>
          <w:tcPr>
            <w:tcW w:w="140" w:type="dxa"/>
            <w:vAlign w:val="bottom"/>
          </w:tcPr>
          <w:p>
            <w:pPr>
              <w:spacing w:after="0"/>
              <w:rPr>
                <w:sz w:val="18"/>
                <w:szCs w:val="18"/>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(2,647)</w:t>
            </w:r>
          </w:p>
        </w:tc>
      </w:tr>
      <w:tr>
        <w:trPr>
          <w:trHeight w:val="209"/>
        </w:trPr>
        <w:tc>
          <w:tcPr>
            <w:tcW w:w="6320" w:type="dxa"/>
            <w:vAlign w:val="bottom"/>
          </w:tcPr>
          <w:p>
            <w:pPr>
              <w:ind w:left="20"/>
              <w:spacing w:after="0"/>
              <w:rPr>
                <w:sz w:val="20"/>
                <w:szCs w:val="20"/>
                <w:color w:val="auto"/>
              </w:rPr>
            </w:pPr>
            <w:r>
              <w:rPr>
                <w:rFonts w:ascii="Arial" w:cs="Arial" w:eastAsia="Arial" w:hAnsi="Arial"/>
                <w:sz w:val="18"/>
                <w:szCs w:val="18"/>
                <w:color w:val="auto"/>
              </w:rPr>
              <w:t>Loyalty rewards liability, 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c>
          <w:tcPr>
            <w:tcW w:w="14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expects all loyalty points revenue related to performance obligations unsatisfied as of March 31, 2021 to be recognized within one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Gift Cards</w:t>
      </w:r>
    </w:p>
    <w:p>
      <w:pPr>
        <w:spacing w:after="0" w:line="22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 gift card liability included in other accrued expenses and current liabilities on the condensed consolidated balance sheets was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December 30,</w:t>
            </w:r>
          </w:p>
        </w:tc>
      </w:tr>
      <w:tr>
        <w:trPr>
          <w:trHeight w:val="234"/>
        </w:trPr>
        <w:tc>
          <w:tcPr>
            <w:tcW w:w="6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Gift card liability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0"/>
        </w:trPr>
        <w:tc>
          <w:tcPr>
            <w:tcW w:w="6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19"/>
        <w:spacing w:after="0" w:line="277" w:lineRule="auto"/>
        <w:rPr>
          <w:sz w:val="20"/>
          <w:szCs w:val="20"/>
          <w:color w:val="auto"/>
        </w:rPr>
      </w:pPr>
      <w:r>
        <w:rPr>
          <w:rFonts w:ascii="Arial" w:cs="Arial" w:eastAsia="Arial" w:hAnsi="Arial"/>
          <w:sz w:val="18"/>
          <w:szCs w:val="18"/>
          <w:color w:val="auto"/>
        </w:rPr>
        <w:t>Revenue recognized from the redemption of gift cards that was included in other accrued expenses and current liabilities at the beginning of the year was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25,</w:t>
            </w:r>
          </w:p>
        </w:tc>
        <w:tc>
          <w:tcPr>
            <w:tcW w:w="0" w:type="dxa"/>
            <w:vAlign w:val="bottom"/>
          </w:tcPr>
          <w:p>
            <w:pPr>
              <w:spacing w:after="0"/>
              <w:rPr>
                <w:sz w:val="1"/>
                <w:szCs w:val="1"/>
                <w:color w:val="auto"/>
              </w:rPr>
            </w:pPr>
          </w:p>
        </w:tc>
      </w:tr>
      <w:tr>
        <w:trPr>
          <w:trHeight w:val="234"/>
        </w:trPr>
        <w:tc>
          <w:tcPr>
            <w:tcW w:w="58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8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Revenue recognized from gift card liability balance at the beginning of the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left="60" w:right="319"/>
        <w:spacing w:after="0" w:line="277" w:lineRule="auto"/>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Nature of leases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8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As of March 31, 2021, the Company had one lease that it had entered into, but had not yet commenced. The Company does not have control of the property until lease commencement.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Building and facility leases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 majority of the Company’s building and facilities leases are classified as operating leases; however, the Company currently has two facility and six equipment leases that are classified as finance leases.</w:t>
      </w:r>
    </w:p>
    <w:p>
      <w:pPr>
        <w:spacing w:after="0" w:line="170"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66"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92" w:lineRule="exact"/>
        <w:rPr>
          <w:sz w:val="20"/>
          <w:szCs w:val="20"/>
          <w:color w:val="auto"/>
        </w:rPr>
      </w:pPr>
    </w:p>
    <w:p>
      <w:pPr>
        <w:ind w:left="60" w:right="279"/>
        <w:spacing w:after="0" w:line="311" w:lineRule="auto"/>
        <w:rPr>
          <w:sz w:val="20"/>
          <w:szCs w:val="20"/>
          <w:color w:val="auto"/>
        </w:rPr>
      </w:pPr>
      <w:r>
        <w:rPr>
          <w:rFonts w:ascii="Arial" w:cs="Arial" w:eastAsia="Arial" w:hAnsi="Arial"/>
          <w:sz w:val="16"/>
          <w:szCs w:val="16"/>
          <w:color w:val="auto"/>
        </w:rPr>
        <w:t>During the thirteen weeks ended March 31, 2021, the Company reassessed the lease terms on seven restaurants due to certain triggering events, such as the addition of significant leasehold improvements, the decision to terminate a lease, or the decision to renew. As a result of the reassessment, an additional $4.7 million of ROU asset and lease liabilities for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the thirteen weeks ended March 31, 2021, were recognized and will be amortized over the new lease term. During the thirteen weeks ended March 25, 2020, the Company reassessed the lease terms on three restaurants due to the addition of significant leasehold improvements with useful lives that extend past the current lease expiration, the decision to terminate a lease or the decision to renew leases. This resulted in an additional $0.3 million of ROU asset and lease liability for the thirteen weeks ended March 31, 2020, which will be recognized over the new lease term. The reassessments did not have any impact on the original lease classification. Additionally, as the Company adopted all practical expedients available under Topic 842, no reallocation between lease and non-lease components was necessary.</w:t>
      </w:r>
    </w:p>
    <w:p>
      <w:pPr>
        <w:spacing w:after="0" w:line="16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57"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During the thirteen weeks ended March 31, 2021, the Company determined that the carrying value of ROU assets at one restaurant was not recoverable. As a result, the Company recorded a less than $0.1 million non-cash impairment charge for the thirteen weeks ended March 31, 2021, related to one restaurant closed in 2019. The Company recorded a $0.5 million non-cash impairment charge for the thirteen weeks ended March 25, 2020, primarily related to one restaurant in Texas, sold to franchisees in the prior year. See Note 1, “Basis of Presentation and Summary of Significant Accounting Policies – Impairment of Long-Lived Assets and ROU Assets” for additional information.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Significant Assumptions and Judgments</w:t>
      </w:r>
    </w:p>
    <w:p>
      <w:pPr>
        <w:spacing w:after="0" w:line="225" w:lineRule="exact"/>
        <w:rPr>
          <w:sz w:val="20"/>
          <w:szCs w:val="20"/>
          <w:color w:val="auto"/>
        </w:rPr>
      </w:pPr>
    </w:p>
    <w:p>
      <w:pPr>
        <w:ind w:left="60" w:right="939"/>
        <w:spacing w:after="0" w:line="308" w:lineRule="auto"/>
        <w:rPr>
          <w:sz w:val="20"/>
          <w:szCs w:val="20"/>
          <w:color w:val="auto"/>
        </w:rPr>
      </w:pPr>
      <w:r>
        <w:rPr>
          <w:rFonts w:ascii="Arial" w:cs="Arial" w:eastAsia="Arial" w:hAnsi="Arial"/>
          <w:sz w:val="17"/>
          <w:szCs w:val="17"/>
          <w:color w:val="auto"/>
        </w:rPr>
        <w:t>In applying the requirements of Topic 842 the Company made significant assumptions and judgments related to determination of whether a contract contains a lease and the discount rate used for the lease.</w:t>
      </w:r>
    </w:p>
    <w:p>
      <w:pPr>
        <w:spacing w:after="0" w:line="146"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84"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 utilizes a third-party valuation firm in determining the discount rate, based on the above assumptions. For all other leases, the Company uses the discount rate implicit in the lease, or the Company’s incremental borrowing rate.</w:t>
      </w:r>
    </w:p>
    <w:p>
      <w:pPr>
        <w:spacing w:after="0" w:line="161" w:lineRule="exact"/>
        <w:rPr>
          <w:sz w:val="20"/>
          <w:szCs w:val="20"/>
          <w:color w:val="auto"/>
        </w:rPr>
      </w:pPr>
    </w:p>
    <w:p>
      <w:pPr>
        <w:ind w:left="60" w:right="659"/>
        <w:spacing w:after="0" w:line="263" w:lineRule="auto"/>
        <w:rPr>
          <w:sz w:val="20"/>
          <w:szCs w:val="20"/>
          <w:color w:val="auto"/>
        </w:rPr>
      </w:pPr>
      <w:r>
        <w:rPr>
          <w:rFonts w:ascii="Arial" w:cs="Arial" w:eastAsia="Arial" w:hAnsi="Arial"/>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Company’s total lease cost, disaggregated by underlying asset (in thousands):</w:t>
      </w: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Thirteen Weeks Ended</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6"/>
              </w:rPr>
              <w:t>March 31, 2021</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March 25, 2020</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Property</w:t>
            </w:r>
          </w:p>
        </w:tc>
        <w:tc>
          <w:tcPr>
            <w:tcW w:w="10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Equipment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Property</w:t>
            </w:r>
          </w:p>
        </w:tc>
        <w:tc>
          <w:tcPr>
            <w:tcW w:w="180" w:type="dxa"/>
            <w:vAlign w:val="bottom"/>
          </w:tcPr>
          <w:p>
            <w:pPr>
              <w:spacing w:after="0"/>
              <w:rPr>
                <w:sz w:val="10"/>
                <w:szCs w:val="10"/>
                <w:color w:val="auto"/>
              </w:rPr>
            </w:pPr>
          </w:p>
        </w:tc>
        <w:tc>
          <w:tcPr>
            <w:tcW w:w="8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Equipment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88"/>
              </w:rPr>
              <w:t>Leases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88"/>
              </w:rPr>
              <w:t>Leases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Leases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Amortization of right-of-use assets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lease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Operating lease cost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Variable lease cost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Sublease income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8"/>
                <w:szCs w:val="18"/>
                <w:color w:val="auto"/>
              </w:rPr>
              <w:t>Total lease cost</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620"/>
        <w:spacing w:after="0" w:line="277" w:lineRule="auto"/>
        <w:rPr>
          <w:sz w:val="20"/>
          <w:szCs w:val="20"/>
          <w:color w:val="auto"/>
        </w:rPr>
      </w:pPr>
      <w:r>
        <w:rPr>
          <w:rFonts w:ascii="Arial" w:cs="Arial" w:eastAsia="Arial" w:hAnsi="Arial"/>
          <w:sz w:val="18"/>
          <w:szCs w:val="18"/>
          <w:color w:val="auto"/>
        </w:rPr>
        <w:t>The following table presents the Company’s total lease cost on the condensed consolidated statements of income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4"/>
                <w:szCs w:val="14"/>
                <w:b w:val="1"/>
                <w:bCs w:val="1"/>
                <w:color w:val="auto"/>
                <w:w w:val="98"/>
              </w:rPr>
              <w:t>March 25, 2020</w:t>
            </w: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cost – Occupancy and other operating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Lease cost – General &amp; administrative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Depreciation and amortization</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20"/>
              <w:spacing w:after="0"/>
              <w:rPr>
                <w:sz w:val="20"/>
                <w:szCs w:val="20"/>
                <w:color w:val="auto"/>
              </w:rPr>
            </w:pPr>
            <w:r>
              <w:rPr>
                <w:rFonts w:ascii="Arial" w:cs="Arial" w:eastAsia="Arial" w:hAnsi="Arial"/>
                <w:sz w:val="18"/>
                <w:szCs w:val="18"/>
                <w:color w:val="auto"/>
              </w:rPr>
              <w:t>Lease cost – Interest expense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cost – Closed-store reserve</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9"/>
        </w:trPr>
        <w:tc>
          <w:tcPr>
            <w:tcW w:w="61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w:t>
            </w:r>
          </w:p>
        </w:tc>
      </w:tr>
    </w:tbl>
    <w:p>
      <w:pPr>
        <w:spacing w:after="0" w:line="202" w:lineRule="exact"/>
        <w:rPr>
          <w:sz w:val="20"/>
          <w:szCs w:val="20"/>
          <w:color w:val="auto"/>
        </w:rPr>
      </w:pPr>
    </w:p>
    <w:p>
      <w:pPr>
        <w:ind w:left="60" w:right="220"/>
        <w:spacing w:after="0" w:line="277" w:lineRule="auto"/>
        <w:rPr>
          <w:sz w:val="20"/>
          <w:szCs w:val="20"/>
          <w:color w:val="auto"/>
        </w:rPr>
      </w:pPr>
      <w:r>
        <w:rPr>
          <w:rFonts w:ascii="Arial" w:cs="Arial" w:eastAsia="Arial" w:hAnsi="Arial"/>
          <w:sz w:val="18"/>
          <w:szCs w:val="18"/>
          <w:color w:val="auto"/>
        </w:rPr>
        <w:t>During the thirteen weeks ended March 31, 2021 and March 25, 2020, the Company had the following cash and non-cash activities associated with its leases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25, 2020</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860" w:type="dxa"/>
            <w:vAlign w:val="bottom"/>
            <w:gridSpan w:val="3"/>
          </w:tcPr>
          <w:p>
            <w:pPr>
              <w:jc w:val="right"/>
              <w:ind w:right="188"/>
              <w:spacing w:after="0" w:line="119" w:lineRule="exact"/>
              <w:rPr>
                <w:sz w:val="20"/>
                <w:szCs w:val="20"/>
                <w:color w:val="auto"/>
              </w:rPr>
            </w:pPr>
            <w:r>
              <w:rPr>
                <w:rFonts w:ascii="Arial" w:cs="Arial" w:eastAsia="Arial" w:hAnsi="Arial"/>
                <w:sz w:val="13"/>
                <w:szCs w:val="13"/>
                <w:b w:val="1"/>
                <w:bCs w:val="1"/>
                <w:color w:val="auto"/>
              </w:rPr>
              <w:t>Property</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Equipment</w:t>
            </w:r>
          </w:p>
        </w:tc>
        <w:tc>
          <w:tcPr>
            <w:tcW w:w="140" w:type="dxa"/>
            <w:vAlign w:val="bottom"/>
          </w:tcPr>
          <w:p>
            <w:pPr>
              <w:spacing w:after="0"/>
              <w:rPr>
                <w:sz w:val="10"/>
                <w:szCs w:val="10"/>
                <w:color w:val="auto"/>
              </w:rPr>
            </w:pPr>
          </w:p>
        </w:tc>
        <w:tc>
          <w:tcPr>
            <w:tcW w:w="4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5"/>
              </w:rPr>
              <w:t>Total</w:t>
            </w:r>
          </w:p>
        </w:tc>
        <w:tc>
          <w:tcPr>
            <w:tcW w:w="860" w:type="dxa"/>
            <w:vAlign w:val="bottom"/>
            <w:gridSpan w:val="3"/>
          </w:tcPr>
          <w:p>
            <w:pPr>
              <w:jc w:val="right"/>
              <w:ind w:right="188"/>
              <w:spacing w:after="0" w:line="119" w:lineRule="exact"/>
              <w:rPr>
                <w:sz w:val="20"/>
                <w:szCs w:val="20"/>
                <w:color w:val="auto"/>
              </w:rPr>
            </w:pPr>
            <w:r>
              <w:rPr>
                <w:rFonts w:ascii="Arial" w:cs="Arial" w:eastAsia="Arial" w:hAnsi="Arial"/>
                <w:sz w:val="13"/>
                <w:szCs w:val="13"/>
                <w:b w:val="1"/>
                <w:bCs w:val="1"/>
                <w:color w:val="auto"/>
              </w:rPr>
              <w:t>Property</w:t>
            </w:r>
          </w:p>
        </w:tc>
        <w:tc>
          <w:tcPr>
            <w:tcW w:w="9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Equipment</w:t>
            </w:r>
          </w:p>
        </w:tc>
        <w:tc>
          <w:tcPr>
            <w:tcW w:w="140" w:type="dxa"/>
            <w:vAlign w:val="bottom"/>
          </w:tcPr>
          <w:p>
            <w:pPr>
              <w:spacing w:after="0"/>
              <w:rPr>
                <w:sz w:val="10"/>
                <w:szCs w:val="10"/>
                <w:color w:val="auto"/>
              </w:rPr>
            </w:pPr>
          </w:p>
        </w:tc>
        <w:tc>
          <w:tcPr>
            <w:tcW w:w="5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79"/>
              </w:rPr>
              <w:t>Leases</w:t>
            </w:r>
          </w:p>
        </w:tc>
        <w:tc>
          <w:tcPr>
            <w:tcW w:w="1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1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Cash paid for amounts included in the measurement</w:t>
            </w: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 lease liabilities</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100"/>
              <w:spacing w:after="0"/>
              <w:rPr>
                <w:sz w:val="20"/>
                <w:szCs w:val="20"/>
                <w:color w:val="auto"/>
              </w:rPr>
            </w:pPr>
            <w:r>
              <w:rPr>
                <w:rFonts w:ascii="Arial" w:cs="Arial" w:eastAsia="Arial" w:hAnsi="Arial"/>
                <w:sz w:val="18"/>
                <w:szCs w:val="18"/>
                <w:color w:val="auto"/>
              </w:rPr>
              <w:t>Operating cash flows used for operating leases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5,377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5,673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6,260</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6,569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Financing cash flows used for finance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w w:val="95"/>
              </w:rPr>
              <w:t>Operating lease ROU assets obtained in exchange for</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ROU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w w:val="99"/>
              </w:rPr>
              <w:t>Finance lease ROU assets obtained in exchange for</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 ROU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Derecognition of ROU assets due to terminations,</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impairment or modifications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(543)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Weighted-average remaining years in lease term—</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60" w:type="dxa"/>
            <w:vAlign w:val="bottom"/>
          </w:tcPr>
          <w:p>
            <w:pPr>
              <w:ind w:left="100"/>
              <w:spacing w:after="0" w:line="201" w:lineRule="exact"/>
              <w:rPr>
                <w:sz w:val="20"/>
                <w:szCs w:val="20"/>
                <w:color w:val="auto"/>
              </w:rPr>
            </w:pPr>
            <w:r>
              <w:rPr>
                <w:rFonts w:ascii="Arial" w:cs="Arial" w:eastAsia="Arial" w:hAnsi="Arial"/>
                <w:sz w:val="18"/>
                <w:szCs w:val="18"/>
                <w:color w:val="auto"/>
                <w:w w:val="99"/>
              </w:rPr>
              <w:t>Weighted-average remaining years in lease term—</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11.38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11.94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discount rate—finance leases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2.51 %</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1.54 %</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6"/>
              </w:rPr>
              <w:t>11.10 %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00"/>
              <w:spacing w:after="0"/>
              <w:rPr>
                <w:sz w:val="20"/>
                <w:szCs w:val="20"/>
                <w:color w:val="auto"/>
              </w:rPr>
            </w:pPr>
            <w:r>
              <w:rPr>
                <w:rFonts w:ascii="Arial" w:cs="Arial" w:eastAsia="Arial" w:hAnsi="Arial"/>
                <w:sz w:val="18"/>
                <w:szCs w:val="18"/>
                <w:color w:val="auto"/>
                <w:w w:val="99"/>
              </w:rPr>
              <w:t>Weighted-average discount rate—operating leases</w:t>
            </w:r>
          </w:p>
        </w:tc>
        <w:tc>
          <w:tcPr>
            <w:tcW w:w="100" w:type="dxa"/>
            <w:vAlign w:val="bottom"/>
          </w:tcPr>
          <w:p>
            <w:pPr>
              <w:spacing w:after="0"/>
              <w:rPr>
                <w:sz w:val="20"/>
                <w:szCs w:val="20"/>
                <w:color w:val="auto"/>
              </w:rPr>
            </w:pPr>
          </w:p>
        </w:tc>
        <w:tc>
          <w:tcPr>
            <w:tcW w:w="760" w:type="dxa"/>
            <w:vAlign w:val="bottom"/>
            <w:gridSpan w:val="2"/>
          </w:tcPr>
          <w:p>
            <w:pPr>
              <w:jc w:val="right"/>
              <w:ind w:right="28"/>
              <w:spacing w:after="0"/>
              <w:rPr>
                <w:sz w:val="20"/>
                <w:szCs w:val="20"/>
                <w:color w:val="auto"/>
              </w:rPr>
            </w:pPr>
            <w:r>
              <w:rPr>
                <w:rFonts w:ascii="Arial" w:cs="Arial" w:eastAsia="Arial" w:hAnsi="Arial"/>
                <w:sz w:val="18"/>
                <w:szCs w:val="18"/>
                <w:color w:val="auto"/>
              </w:rPr>
              <w:t>4.35 %</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3.92 %</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8"/>
              <w:spacing w:after="0"/>
              <w:rPr>
                <w:sz w:val="20"/>
                <w:szCs w:val="20"/>
                <w:color w:val="auto"/>
              </w:rPr>
            </w:pPr>
            <w:r>
              <w:rPr>
                <w:rFonts w:ascii="Arial" w:cs="Arial" w:eastAsia="Arial" w:hAnsi="Arial"/>
                <w:sz w:val="18"/>
                <w:szCs w:val="18"/>
                <w:color w:val="auto"/>
              </w:rPr>
              <w:t>4.35 %</w:t>
            </w: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3.95 %</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Information regarding the Company’s minimum future lease obligations as of March 31, 2021 is as follows (in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Finance</w:t>
            </w:r>
          </w:p>
        </w:tc>
        <w:tc>
          <w:tcPr>
            <w:tcW w:w="100" w:type="dxa"/>
            <w:vAlign w:val="bottom"/>
          </w:tcPr>
          <w:p>
            <w:pPr>
              <w:spacing w:after="0"/>
              <w:rPr>
                <w:sz w:val="14"/>
                <w:szCs w:val="14"/>
                <w:color w:val="auto"/>
              </w:rPr>
            </w:pPr>
          </w:p>
        </w:tc>
        <w:tc>
          <w:tcPr>
            <w:tcW w:w="176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Minimum</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Minimum</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rPr>
              <w:t>Minimum</w:t>
            </w:r>
          </w:p>
        </w:tc>
        <w:tc>
          <w:tcPr>
            <w:tcW w:w="0" w:type="dxa"/>
            <w:vAlign w:val="bottom"/>
          </w:tcPr>
          <w:p>
            <w:pPr>
              <w:spacing w:after="0"/>
              <w:rPr>
                <w:sz w:val="1"/>
                <w:szCs w:val="1"/>
                <w:color w:val="auto"/>
              </w:rPr>
            </w:pPr>
          </w:p>
        </w:tc>
      </w:tr>
      <w:tr>
        <w:trPr>
          <w:trHeight w:val="148"/>
        </w:trPr>
        <w:tc>
          <w:tcPr>
            <w:tcW w:w="6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Years Ending</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Lease</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Lease</w:t>
            </w:r>
          </w:p>
        </w:tc>
        <w:tc>
          <w:tcPr>
            <w:tcW w:w="10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4"/>
              </w:rPr>
              <w:t>Sublease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09"/>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29, 2021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December 28, 2022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27, 2023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December 25, 2024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129,774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24,475</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245,653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20"/>
              <w:spacing w:after="0"/>
              <w:rPr>
                <w:sz w:val="20"/>
                <w:szCs w:val="20"/>
                <w:color w:val="auto"/>
              </w:rPr>
            </w:pPr>
            <w:r>
              <w:rPr>
                <w:rFonts w:ascii="Arial" w:cs="Arial" w:eastAsia="Arial" w:hAnsi="Arial"/>
                <w:sz w:val="18"/>
                <w:szCs w:val="18"/>
                <w:color w:val="auto"/>
              </w:rPr>
              <w:t>Less: imputed interest (1.54% - 4.35%)</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w:t>
            </w:r>
          </w:p>
        </w:tc>
        <w:tc>
          <w:tcPr>
            <w:tcW w:w="1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(47,056)</w:t>
            </w:r>
          </w:p>
        </w:tc>
        <w:tc>
          <w:tcPr>
            <w:tcW w:w="1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obligations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Arial" w:cs="Arial" w:eastAsia="Arial" w:hAnsi="Arial"/>
                <w:sz w:val="18"/>
                <w:szCs w:val="18"/>
                <w:color w:val="auto"/>
              </w:rPr>
              <w:t>Less: current maturities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(19,949)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Short-Term Leases</w:t>
      </w:r>
    </w:p>
    <w:p>
      <w:pPr>
        <w:spacing w:after="0" w:line="225"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Company has multiple short-term leases, which have terms of less than 12 months, and thus were excluded from the recognition requirements of Topic 842. The Company has recognized these lease payments in its consolidated statements of operations on a straight-line basis over the lease term and variable lease payments in the period in which the obligation for those payments was incurred.</w:t>
      </w:r>
    </w:p>
    <w:p>
      <w:pPr>
        <w:spacing w:after="0" w:line="187" w:lineRule="exact"/>
        <w:rPr>
          <w:sz w:val="20"/>
          <w:szCs w:val="20"/>
          <w:color w:val="auto"/>
        </w:rPr>
      </w:pPr>
    </w:p>
    <w:p>
      <w:pPr>
        <w:ind w:left="60" w:right="299"/>
        <w:spacing w:after="0" w:line="271" w:lineRule="auto"/>
        <w:rPr>
          <w:sz w:val="20"/>
          <w:szCs w:val="20"/>
          <w:color w:val="auto"/>
        </w:rPr>
      </w:pPr>
      <w:r>
        <w:rPr>
          <w:rFonts w:ascii="Arial" w:cs="Arial" w:eastAsia="Arial" w:hAnsi="Arial"/>
          <w:sz w:val="17"/>
          <w:szCs w:val="17"/>
          <w:color w:val="auto"/>
        </w:rPr>
        <w:t>In April 2020, the FASB issued guidance allowing entities to make a policy election whether to account for lease concessions related to the COVID-19 pandemic as lease modifications. The election applies to any lessor-provided lease concession related to the impact of the COVID-19 pandemic, provided the concession does not result in a substantial increase in the rights of the lessor or in the obligations of the lessee. During the fiscal 2020, the Company received non-substantial concessions from certain landlords in the form of rent deferrals and abatements. The Company elected to not account for these rent concessions as lease modifications. The rent concessions are recorded as part of other accrued expenses. The recognition of rent concessions did not have a material impact on the Company’s condensed consolidated financial statements as of March 31,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Lessor</w:t>
      </w:r>
    </w:p>
    <w:p>
      <w:pPr>
        <w:spacing w:after="0" w:line="229"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pacing w:after="0" w:line="18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84"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The Company received $0.1 million of lease income from company-owned locations for both thirteen weeks ended March 31, 2021 and March 25,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1" w:lineRule="auto"/>
        <w:rPr>
          <w:sz w:val="20"/>
          <w:szCs w:val="20"/>
          <w:color w:val="auto"/>
        </w:rPr>
      </w:pPr>
      <w:r>
        <w:rPr>
          <w:rFonts w:ascii="Arial" w:cs="Arial" w:eastAsia="Arial" w:hAnsi="Arial"/>
          <w:sz w:val="17"/>
          <w:szCs w:val="17"/>
          <w:color w:val="auto"/>
        </w:rPr>
        <w:t>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78"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8" w:lineRule="exact"/>
        <w:rPr>
          <w:sz w:val="20"/>
          <w:szCs w:val="20"/>
          <w:color w:val="auto"/>
        </w:rPr>
      </w:pPr>
    </w:p>
    <w:p>
      <w:pPr>
        <w:ind w:left="720" w:right="13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of the COVID-19 pandemic on our company, our employees, our customers, our partners, our industry and the economy as a whole, as well as our franchisees’ ability to maintain operations in their individual restaurants;</w:t>
      </w:r>
    </w:p>
    <w:p>
      <w:pPr>
        <w:spacing w:after="0" w:line="2"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successfully with other quick-service and fast casual restaurants;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changes in consumer preferences and economic conditions;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vulnerability to political and social factors, including regarding trade, immigration or customer preferences;</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conditions in the greater Los Angeles area;</w:t>
      </w:r>
    </w:p>
    <w:p>
      <w:pPr>
        <w:spacing w:after="0" w:line="9"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vulnerability to natural disasters given the geographic concentration and real estate intensive nature of our business;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identify and secure appropriate new sites for restaurants;</w:t>
      </w:r>
    </w:p>
    <w:p>
      <w:pPr>
        <w:spacing w:after="0" w:line="9" w:lineRule="exact"/>
        <w:rPr>
          <w:rFonts w:ascii="Arial" w:cs="Arial" w:eastAsia="Arial" w:hAnsi="Arial"/>
          <w:sz w:val="18"/>
          <w:szCs w:val="18"/>
          <w:color w:val="auto"/>
        </w:rPr>
      </w:pPr>
    </w:p>
    <w:p>
      <w:pPr>
        <w:ind w:left="720" w:right="2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that we may continue to incur significant impairment of certain of our assets, in particular in our new markets;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food and supply costs, especially for chicken;</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continue to expand our digital business, delivery orders and catering;</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about food safety and quality and about food-borne illness, particularly avian flu;</w:t>
      </w:r>
    </w:p>
    <w:p>
      <w:pPr>
        <w:spacing w:after="0" w:line="9" w:lineRule="exact"/>
        <w:rPr>
          <w:rFonts w:ascii="Arial" w:cs="Arial" w:eastAsia="Arial" w:hAnsi="Arial"/>
          <w:sz w:val="18"/>
          <w:szCs w:val="18"/>
          <w:color w:val="auto"/>
        </w:rPr>
      </w:pPr>
    </w:p>
    <w:p>
      <w:pPr>
        <w:ind w:left="720" w:right="3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dependence on frequent and timely deliveries of food and supplies and our dependence on a single supplier to distribute substantially all of our products to our restaurants;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service our level of indebtedness;</w:t>
      </w:r>
    </w:p>
    <w:p>
      <w:pPr>
        <w:spacing w:after="0" w:line="9" w:lineRule="exact"/>
        <w:rPr>
          <w:rFonts w:ascii="Arial" w:cs="Arial" w:eastAsia="Arial" w:hAnsi="Arial"/>
          <w:sz w:val="18"/>
          <w:szCs w:val="18"/>
          <w:color w:val="auto"/>
        </w:rPr>
      </w:pPr>
    </w:p>
    <w:p>
      <w:pPr>
        <w:ind w:left="720" w:right="65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related to the success of our marketing programs, new menu items, advertising campaigns and restaurant designs and remodels;</w:t>
      </w:r>
    </w:p>
    <w:p>
      <w:pPr>
        <w:ind w:left="720" w:right="459" w:hanging="319"/>
        <w:spacing w:after="0" w:line="28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reliance on our franchisees, who may incur financial hardships, lose access to credit, close restaurants, or declare bankruptcy, and our limited control over our franchisees and potential liability for their acts;</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exposure to unexpected costs and losses from our self-insurance programs;</w:t>
      </w:r>
    </w:p>
    <w:p>
      <w:pPr>
        <w:spacing w:after="0" w:line="9" w:lineRule="exact"/>
        <w:rPr>
          <w:rFonts w:ascii="Arial" w:cs="Arial" w:eastAsia="Arial" w:hAnsi="Arial"/>
          <w:sz w:val="18"/>
          <w:szCs w:val="18"/>
          <w:color w:val="auto"/>
        </w:rPr>
      </w:pPr>
    </w:p>
    <w:p>
      <w:pPr>
        <w:ind w:left="720" w:right="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obligations under long-term and non-cancelable leases, and our ability to renew leases at the end of their terms;</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failure of our information technology system or any breach of our network security;</w:t>
      </w:r>
    </w:p>
    <w:p>
      <w:pPr>
        <w:spacing w:after="0" w:line="9" w:lineRule="exact"/>
        <w:rPr>
          <w:rFonts w:ascii="Arial" w:cs="Arial" w:eastAsia="Arial" w:hAnsi="Arial"/>
          <w:sz w:val="18"/>
          <w:szCs w:val="18"/>
          <w:color w:val="auto"/>
        </w:rPr>
      </w:pPr>
    </w:p>
    <w:p>
      <w:pPr>
        <w:ind w:left="720" w:right="1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any security breaches of confidential customer data or personal information in connection with our electronic process of credit and debit card transactions;</w:t>
      </w:r>
    </w:p>
    <w:p>
      <w:pPr>
        <w:ind w:left="720" w:hanging="319"/>
        <w:spacing w:after="0"/>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enforce and maintain our trademarks and protect our other proprietary intellectual property;</w:t>
      </w:r>
    </w:p>
    <w:p>
      <w:pPr>
        <w:spacing w:after="0" w:line="20" w:lineRule="exact"/>
        <w:rPr>
          <w:rFonts w:ascii="Arial" w:cs="Arial" w:eastAsia="Arial" w:hAnsi="Arial"/>
          <w:sz w:val="17"/>
          <w:szCs w:val="17"/>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government regulation and litigation, including employment and labor laws; and</w:t>
      </w:r>
    </w:p>
    <w:p>
      <w:pPr>
        <w:spacing w:after="0" w:line="9" w:lineRule="exact"/>
        <w:rPr>
          <w:rFonts w:ascii="Arial" w:cs="Arial" w:eastAsia="Arial" w:hAnsi="Arial"/>
          <w:sz w:val="18"/>
          <w:szCs w:val="18"/>
          <w:color w:val="auto"/>
        </w:rPr>
      </w:pPr>
    </w:p>
    <w:p>
      <w:pPr>
        <w:ind w:left="720" w:right="279" w:hanging="319"/>
        <w:spacing w:after="0" w:line="255"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other risks set forth in our filings with the SEC from time to time, including under Item 1A, Risk Factors in our annual report on Form 10-K for the year ended December 30, 2020, which filings are available online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90"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LSR segment. We strive to offer food that integrates the culinary traditions of Mexico with the healthier lifestyle of Los Angeles, a combination that we call “LA-Mex.” Our distinctive menu features our signature product-- 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w:t>
      </w:r>
    </w:p>
    <w:p>
      <w:pPr>
        <w:spacing w:after="0" w:line="229"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The COVID-19 pandemic has significantly disrupted our restaurant operations. Following the pandemic declaration in March 2020, federal, state and local governments began to respond to the public health crisis by requiring social distancing, “stay at home” directives, and restaurant restrictions - including government-mandated dining room closures - that limited business to off-premise services only (take-out, drive-thru and delivery). Historically, approximately 20% of our sales are associated with dine-in service. Many state and local governments continue to periodically implement certain restrictions to try and contain the spread of the virus. As of March 31, 2021, the majority of our restaurants have dining rooms open at a limited capacity and continue to maintain take-away, mobile pick-up, delivery, and drive-thru operations where available. During the last two months of 2020 and early 2021, the Los Angeles market was heavily impacted by an increase in COVID-19 cases. Due to our high concentration of restaurants in this market, we were disproportionately impacted by this spike. During the thirteen weeks ended March 31, 2021, we temporarily closed 45 restaurants, of which all have reopened as of March 31, 2021. Similarly, during the thirteen weeks ended March 31, 2021, our franchisees temporarily closed 15 restaurants, of which all have reopened as of March 31, 2021. For both franchise-operated and company-operated restaurants, this represents total temporary closures and may include more than one closure for the same restaurant. These closures typically lasted from one to three days. As of March 31, 2021, we had not permanently closed any restaurants due to the COVID-19 pandemic. Subsequent to March 31, 2021, the Company has temporarily closed two restaurants, typically for one to three days, and franchisees have not temporarily closed any restaurants.</w:t>
      </w:r>
    </w:p>
    <w:p>
      <w:pPr>
        <w:spacing w:after="0" w:line="1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During the thirteen weeks ended March 31, 2021, we incurred 2.8 million in COVID-19 related expenses, primarily due to leaves of absence and overtime pay.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Strategies and Outlook</w:t>
      </w:r>
    </w:p>
    <w:p>
      <w:pPr>
        <w:spacing w:after="0" w:line="229"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As of March 31, 2021, we had 481 locations in six states. In fiscal 2020, we opened one new company-operated restaurant in Nevada, which was in process prior to the COVID-19 pandemic and our franchisees opened three new restaurants, two in California and one in Arizona. For the thirteen weeks ended March 31, 2021, two new company-operated restaurants were opened, one in Nevada and one in California, and no new franchised restaurants were opened.</w:t>
      </w:r>
    </w:p>
    <w:p>
      <w:pPr>
        <w:spacing w:after="0" w:line="15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We plan to continue to expand our business, drive restaurant sales growth, and enhance our competitive positioning, by executing the following strategies:</w:t>
      </w:r>
    </w:p>
    <w:p>
      <w:pPr>
        <w:spacing w:after="0" w:line="170"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To increase comparable restaurant sales, we plan to increase customer frequency, attract new customers, and improve per-person spend. Success of these growth plans is not guaranteed.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Highlights and Trends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For the thirteen weeks ended March 31, 2021, system-wide comparable restaurant sales increased by 7.4%, from the comparable period in the prior year. For company-operated restaurants, comparable restaurant sales for the thirteen weeks ended March 31, 2021 increased by 3.3%. For company-operated restaurants, the quarter’s change in comparable restaurant sales consisted of an approximately 15.7% increase in average check size, partially offset by a decline in transactions of 10.7%. For franchised restaurants, comparable restaurant sales increased 10.5% for the thirteen weeks ended March 31, 2021. Refer to Comparable Restaurant Sales definition in “Key Performance Indicators” section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restaurant counts at the beginning and end of each of the last three fiscal years and the thirteen weeks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were as follows: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Thirteen Weeks Ended</w:t>
            </w:r>
          </w:p>
        </w:tc>
        <w:tc>
          <w:tcPr>
            <w:tcW w:w="1720" w:type="dxa"/>
            <w:vAlign w:val="bottom"/>
            <w:gridSpan w:val="5"/>
          </w:tcPr>
          <w:p>
            <w:pPr>
              <w:ind w:left="560"/>
              <w:spacing w:after="0"/>
              <w:rPr>
                <w:sz w:val="20"/>
                <w:szCs w:val="20"/>
                <w:color w:val="auto"/>
              </w:rPr>
            </w:pPr>
            <w:r>
              <w:rPr>
                <w:rFonts w:ascii="Arial" w:cs="Arial" w:eastAsia="Arial" w:hAnsi="Arial"/>
                <w:sz w:val="14"/>
                <w:szCs w:val="14"/>
                <w:b w:val="1"/>
                <w:bCs w:val="1"/>
                <w:color w:val="auto"/>
                <w:w w:val="94"/>
              </w:rPr>
              <w:t>Fiscal Year Ended</w:t>
            </w:r>
          </w:p>
        </w:tc>
        <w:tc>
          <w:tcPr>
            <w:tcW w:w="540" w:type="dxa"/>
            <w:vAlign w:val="bottom"/>
          </w:tcPr>
          <w:p>
            <w:pPr>
              <w:spacing w:after="0"/>
              <w:rPr>
                <w:sz w:val="14"/>
                <w:szCs w:val="14"/>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Company-operated restaurant activity: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Beginning of period</w:t>
            </w:r>
          </w:p>
        </w:tc>
        <w:tc>
          <w:tcPr>
            <w:tcW w:w="144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504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Franchised restaurant activity: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Beginning of period</w:t>
            </w:r>
          </w:p>
        </w:tc>
        <w:tc>
          <w:tcPr>
            <w:tcW w:w="144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Restaurant sale to franchisee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Closures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5040" w:type="dxa"/>
            <w:vAlign w:val="bottom"/>
          </w:tcPr>
          <w:p>
            <w:pPr>
              <w:spacing w:after="0"/>
              <w:rPr>
                <w:sz w:val="20"/>
                <w:szCs w:val="20"/>
                <w:color w:val="auto"/>
              </w:rPr>
            </w:pPr>
            <w:r>
              <w:rPr>
                <w:rFonts w:ascii="Arial" w:cs="Arial" w:eastAsia="Arial" w:hAnsi="Arial"/>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System-wide restaurant activity: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Beginning of period</w:t>
            </w:r>
          </w:p>
        </w:tc>
        <w:tc>
          <w:tcPr>
            <w:tcW w:w="144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Openings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Closures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Restaurants at end of period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 xml:space="preserve">In 2020, we finalized a new restaurant design that we believe will clearly differentiate and communicate our brand, both on the exterior and interior. We believe that our remodels using this new design will result in higher restaurant revenue and a strengthened brand. As of March 31, 2021 we have completed five remodels using the new asset design. </w:t>
      </w:r>
      <w:r>
        <w:rPr>
          <w:rFonts w:ascii="Arial" w:cs="Arial" w:eastAsia="Arial" w:hAnsi="Arial"/>
          <w:sz w:val="17"/>
          <w:szCs w:val="17"/>
          <w:color w:val="212529"/>
        </w:rPr>
        <w:t>In fiscal 2021, we</w:t>
      </w:r>
      <w:r>
        <w:rPr>
          <w:rFonts w:ascii="Arial" w:cs="Arial" w:eastAsia="Arial" w:hAnsi="Arial"/>
          <w:sz w:val="17"/>
          <w:szCs w:val="17"/>
          <w:color w:val="auto"/>
        </w:rPr>
        <w:t xml:space="preserve"> </w:t>
      </w:r>
      <w:r>
        <w:rPr>
          <w:rFonts w:ascii="Arial" w:cs="Arial" w:eastAsia="Arial" w:hAnsi="Arial"/>
          <w:sz w:val="17"/>
          <w:szCs w:val="17"/>
          <w:color w:val="212529"/>
        </w:rPr>
        <w:t>plan to complete a total of 15 company and 40 franchise remodels using the new design.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Loco Rewards</w:t>
      </w:r>
    </w:p>
    <w:p>
      <w:pPr>
        <w:spacing w:after="0" w:line="229" w:lineRule="exact"/>
        <w:rPr>
          <w:sz w:val="20"/>
          <w:szCs w:val="20"/>
          <w:color w:val="auto"/>
        </w:rPr>
      </w:pPr>
    </w:p>
    <w:p>
      <w:pPr>
        <w:ind w:left="60" w:right="339"/>
        <w:spacing w:after="0" w:line="291" w:lineRule="auto"/>
        <w:rPr>
          <w:sz w:val="20"/>
          <w:szCs w:val="20"/>
          <w:color w:val="auto"/>
        </w:rPr>
      </w:pPr>
      <w:r>
        <w:rPr>
          <w:rFonts w:ascii="Arial" w:cs="Arial" w:eastAsia="Arial" w:hAnsi="Arial"/>
          <w:sz w:val="16"/>
          <w:szCs w:val="16"/>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points for each dollar spent and as of August 4, 2020, 50 points can be redeemed for a $5 reward to be used for a future purchase. Prior to August 4, 2020, 100 points could be redeemed for a $10 reward.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w:t>
      </w:r>
    </w:p>
    <w:p>
      <w:pPr>
        <w:spacing w:after="0" w:line="188"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both March 31, 2021 and December 30, 2020, the revenue allocated to loyalty points that have not been redeemed is $0.7 million and $0.9 million, respectively, which is reflected in the Company’s accompanying condensed consolidated balance sheets within other accrued expenses and current liabilities. The Company had over 2.2 million loyalty program members as of March 31,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78"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30, 2020.</w:t>
      </w:r>
    </w:p>
    <w:p>
      <w:pPr>
        <w:spacing w:after="0" w:line="177"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919"/>
        <w:spacing w:after="0" w:line="308" w:lineRule="auto"/>
        <w:rPr>
          <w:sz w:val="20"/>
          <w:szCs w:val="20"/>
          <w:color w:val="auto"/>
        </w:rPr>
      </w:pPr>
      <w:r>
        <w:rPr>
          <w:rFonts w:ascii="Arial" w:cs="Arial" w:eastAsia="Arial" w:hAnsi="Arial"/>
          <w:sz w:val="17"/>
          <w:szCs w:val="17"/>
          <w:color w:val="auto"/>
        </w:rPr>
        <w:t>Recent accounting pronouncements are described in Note 1, “Basis of Presentation and Summary of Significant Accounting Policies” in the Notes to Condensed Consolidated Financial Statements above.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Financial Definitions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699"/>
        <w:spacing w:after="0" w:line="342" w:lineRule="auto"/>
        <w:rPr>
          <w:sz w:val="20"/>
          <w:szCs w:val="20"/>
          <w:color w:val="auto"/>
        </w:rPr>
      </w:pPr>
      <w:r>
        <w:rPr>
          <w:rFonts w:ascii="Arial" w:cs="Arial" w:eastAsia="Arial" w:hAnsi="Arial"/>
          <w:sz w:val="16"/>
          <w:szCs w:val="16"/>
          <w:color w:val="auto"/>
        </w:rPr>
        <w:t>restaurant revenue grows. Factors that influence labor costs include minimum wage and payroll tax legislation, the frequency and severity of workers’ compensation claims, health care costs, and the performance of our restaurants.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225"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Occupancy costs include rent, CAM, and real estate taxes. Other restaurant operating expenses include the costs of utilities, advertising, credit card processing fees, restaurant supplies, repairs and maintenance, and other restaurant operating costs.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Settlements</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Legal settlements include expenses such as judgments or settlements related to legal matters, legal claims and class action lawsuits.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225"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Depreciation and amortization primarily consists of the depreciation of property and equipment, including leasehold improvements and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2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68" w:lineRule="exact"/>
        <w:rPr>
          <w:sz w:val="20"/>
          <w:szCs w:val="20"/>
          <w:color w:val="auto"/>
        </w:rPr>
      </w:pPr>
    </w:p>
    <w:p>
      <w:pPr>
        <w:ind w:left="60" w:right="319"/>
        <w:spacing w:after="0" w:line="311" w:lineRule="auto"/>
        <w:rPr>
          <w:sz w:val="20"/>
          <w:szCs w:val="20"/>
          <w:color w:val="auto"/>
        </w:rPr>
      </w:pPr>
      <w:r>
        <w:rPr>
          <w:rFonts w:ascii="Arial" w:cs="Arial" w:eastAsia="Arial" w:hAnsi="Arial"/>
          <w:sz w:val="16"/>
          <w:szCs w:val="16"/>
          <w:color w:val="auto"/>
        </w:rPr>
        <w:t>When the Company closes a restaurant, it will evaluate the right-of-use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Interest expense, net, consists primarily of interest on our outstanding debt. Debt issuance costs are amortized at cost over the life of the related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Results of Operations</w:t>
      </w:r>
    </w:p>
    <w:p>
      <w:pPr>
        <w:spacing w:after="0" w:line="229" w:lineRule="exact"/>
        <w:rPr>
          <w:sz w:val="20"/>
          <w:szCs w:val="20"/>
          <w:color w:val="auto"/>
        </w:rPr>
      </w:pPr>
    </w:p>
    <w:p>
      <w:pPr>
        <w:ind w:left="60" w:right="339"/>
        <w:spacing w:after="0" w:line="263" w:lineRule="auto"/>
        <w:rPr>
          <w:sz w:val="20"/>
          <w:szCs w:val="20"/>
          <w:color w:val="auto"/>
        </w:rPr>
      </w:pPr>
      <w:r>
        <w:rPr>
          <w:rFonts w:ascii="Arial" w:cs="Arial" w:eastAsia="Arial" w:hAnsi="Arial"/>
          <w:sz w:val="18"/>
          <w:szCs w:val="18"/>
          <w:color w:val="auto"/>
        </w:rPr>
        <w:t>Our operating results for the thirteen weeks ended March 31, 2021 and March 25, 2020 and expressed as percentages of total revenue, with the exception of cost of operations and company restaurant expenses, which are expressed as a percentage of company-operated restaurant revenue, are compared below.</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5"/>
              </w:rPr>
              <w:t>Thirteen Weeks Ended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March 31, 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March 25, 2020</w:t>
            </w:r>
          </w:p>
        </w:tc>
        <w:tc>
          <w:tcPr>
            <w:tcW w:w="13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2"/>
              </w:rPr>
              <w:t>Increase / (Decrease)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Statements of Income Data</w:t>
            </w: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($,000)</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Company-operated restaurant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Franchise revenue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7,612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107,721</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100.0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2"/>
              </w:rPr>
              <w:t>105,163</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93"/>
              </w:rPr>
              <w:t>100.0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2,558</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Food and paper costs (1)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24,391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25,562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(1,171)</w:t>
            </w: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Labor and related expenses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Occupancy and other operating expenses (1)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23,844</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22,109</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 restaurant expenses (1)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78,967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76,364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2,603</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10,474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9,331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5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Impairment and closed-store reserves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(1,838)</w:t>
            </w:r>
          </w:p>
        </w:tc>
        <w:tc>
          <w:tcPr>
            <w:tcW w:w="500" w:type="dxa"/>
            <w:vAlign w:val="bottom"/>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101,720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99,477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6,001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5,686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Income tax receivable agreement income</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4,901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3,964</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3,600</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w:t>
            </w: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819" w:hanging="330"/>
        <w:spacing w:after="0" w:line="342"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Percentages for line items relating to cost of operations and company restaurant expenses are calculated with company-operated restaurant revenue as the denominator. All other percentages use total revenue.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For the quarter, company-operated restaurant revenue increased $1.5 million, or 1.6%, from the comparable period in the prior year. The increase in company-operated restaurant sales was primarily due to a 3.3% increase in company-operated comparable restaurant sales and an increase of $0.5 million of non-comparable restaurant sales. The company-operated comparable restaurant sales increase consisted of an approximately 15.7% increase in average check size, partially offset by a decline in transactions of 10.7%. It is uncertain whether the increase in average check size will persist once the pandemic ends. This company-operated restaurant sales increase was partially offset by a $1.0 million decrease in revenue due to temporary restaurant closures resulting from the COVID-19 pandemic, and a less than $0.1 million decrease in revenue recognized for our loyalty points program. See above under “COVID-19 Impact” for additional information related to the impact of the COVID-19 pandemic on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225" w:lineRule="exact"/>
        <w:rPr>
          <w:sz w:val="20"/>
          <w:szCs w:val="20"/>
          <w:color w:val="auto"/>
        </w:rPr>
      </w:pPr>
    </w:p>
    <w:p>
      <w:pPr>
        <w:jc w:val="both"/>
        <w:ind w:left="60" w:right="459"/>
        <w:spacing w:after="0" w:line="279" w:lineRule="auto"/>
        <w:rPr>
          <w:sz w:val="20"/>
          <w:szCs w:val="20"/>
          <w:color w:val="auto"/>
        </w:rPr>
      </w:pPr>
      <w:r>
        <w:rPr>
          <w:rFonts w:ascii="Arial" w:cs="Arial" w:eastAsia="Arial" w:hAnsi="Arial"/>
          <w:sz w:val="17"/>
          <w:szCs w:val="17"/>
          <w:color w:val="auto"/>
        </w:rPr>
        <w:t>For the quarter, franchise revenue increased $0.6 million, or 7.8%, from the comparable period in the prior year. This increase was primarily due to a franchise comparable restaurant sales increase of 10.5% and the opening of three units during or subsequent to the first quarter of 2020. This franchise revenue increase was partially offset by the closure of seven franchise locations during or subsequent to the first quarter of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225"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For the quarter, franchise advertising fee revenue increased $0.5 million, or 8.8%, from the comparable period in the prior year. As advertising fee revenue is a percentage of franchisees’ revenue, the quarter-to-date fluctuations were due to the increases and decreases noted in franchise revenue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225" w:lineRule="exact"/>
        <w:rPr>
          <w:sz w:val="20"/>
          <w:szCs w:val="20"/>
          <w:color w:val="auto"/>
        </w:rPr>
      </w:pPr>
    </w:p>
    <w:p>
      <w:pPr>
        <w:ind w:left="60" w:right="279"/>
        <w:spacing w:after="0" w:line="254" w:lineRule="auto"/>
        <w:rPr>
          <w:sz w:val="20"/>
          <w:szCs w:val="20"/>
          <w:color w:val="auto"/>
        </w:rPr>
      </w:pPr>
      <w:r>
        <w:rPr>
          <w:rFonts w:ascii="Arial" w:cs="Arial" w:eastAsia="Arial" w:hAnsi="Arial"/>
          <w:sz w:val="18"/>
          <w:szCs w:val="18"/>
          <w:color w:val="auto"/>
        </w:rPr>
        <w:t>For the quarter, food and paper costs decreased $1.2 million, or 4.6%, from the comparable period in the prior year, primarily due to a $1.2 million decrease in food costs. The decrease in food and paper costs for the quarter resulted primarily from lower company transactions and more effective waste management, partially offset by sales mix and commodity inflation. For the quarter, food and paper costs as a percentage of company-operated restaurant revenue were 25.9%, down from 27.6% in the comparable period of the prior year. The percentage decrease for the quarter was due primarily to an increase in pricing, lower food usage and effective waste management, partially offset by sales mix and commodity inflation.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25" w:lineRule="exact"/>
        <w:rPr>
          <w:sz w:val="20"/>
          <w:szCs w:val="20"/>
          <w:color w:val="auto"/>
        </w:rPr>
      </w:pPr>
    </w:p>
    <w:p>
      <w:pPr>
        <w:ind w:left="60" w:right="279"/>
        <w:spacing w:after="0" w:line="257" w:lineRule="auto"/>
        <w:rPr>
          <w:sz w:val="20"/>
          <w:szCs w:val="20"/>
          <w:color w:val="auto"/>
        </w:rPr>
      </w:pPr>
      <w:r>
        <w:rPr>
          <w:rFonts w:ascii="Arial" w:cs="Arial" w:eastAsia="Arial" w:hAnsi="Arial"/>
          <w:sz w:val="18"/>
          <w:szCs w:val="18"/>
          <w:color w:val="auto"/>
        </w:rPr>
        <w:t>For the quarter, labor and related expenses increased $2.0 million, or 7.1%, from the comparable period in the prior year. The increase for the quarter was due to $2.8 million increase in labor costs associated with the COVID-19 pandemic and $0.5 million higher wages primarily due to minimum wage increases in California during fiscal 2020 and 2021. These increases were partially offset by $1.0 million in labor efficiencies and $0.3 million decrease in workers compensation expense due to decreased claims activity.</w:t>
      </w:r>
    </w:p>
    <w:p>
      <w:pPr>
        <w:spacing w:after="0" w:line="188" w:lineRule="exact"/>
        <w:rPr>
          <w:sz w:val="20"/>
          <w:szCs w:val="20"/>
          <w:color w:val="auto"/>
        </w:rPr>
      </w:pPr>
    </w:p>
    <w:p>
      <w:pPr>
        <w:jc w:val="both"/>
        <w:ind w:left="60" w:right="99"/>
        <w:spacing w:after="0" w:line="311" w:lineRule="auto"/>
        <w:rPr>
          <w:sz w:val="20"/>
          <w:szCs w:val="20"/>
          <w:color w:val="auto"/>
        </w:rPr>
      </w:pPr>
      <w:r>
        <w:rPr>
          <w:rFonts w:ascii="Arial" w:cs="Arial" w:eastAsia="Arial" w:hAnsi="Arial"/>
          <w:sz w:val="16"/>
          <w:szCs w:val="16"/>
          <w:color w:val="auto"/>
        </w:rPr>
        <w:t>For the quarter, labor and related expenses as a percentage of company-operated restaurant revenue were 32.6%, consistent with the comparable period in the prior year. This percentage was impacted by wage increases in California and labor costs associated with the COVID-19 pandemic, offset by an increase in pricing and labor efficiencies.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22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For the quarter, occupancy and other operating expenses increased $1.7 million, or 7.8%, from the comparable period of the prior year. Fluctuations in occupancy and other expenses consisted primarily of a $0.6 million increase in market place delivery fees, a $0.3 million increase in occupancy costs, primarily related to rent expense and higher general liability claims, a $0.3 million increase in repairs and maintenance costs, a $0.3 million increase in operating supplies, a $0.1 million increase in advertising fees, a $0.1 million increase in credit card charges and a $0.1 million increase in utilities. These increases were partially offset by a $0.1 million decrease in other operating expenses.</w:t>
      </w:r>
    </w:p>
    <w:p>
      <w:pPr>
        <w:spacing w:after="0" w:line="178"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For the quarter, occupancy and other operating expenses as a percentage of company-operated restaurant revenue were 25.3% up from 23.9% in the comparable period in the prior year. The increases for the quarter resulted primarily from the increases noted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For the quarter, general and administrative expenses increased $1.1 million, or 12.2%, from the comparable period in the prior year. The increase for the quarter was due primarily to a $0.6 million increase in labor related costs, primarily related to an increase in management bonus expense, a $0.3 million increase in legal and professional expenses, a $0.3 million increase in stock compensation expenses and a $0.1 million increase in restaurant pre-opening costs. This increase was partially offset by $0.1 million decrease in recruiting costs and a $0.1 million decrease in other general and administrative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For the quarter, general and administrative expenses as a percentage of total revenue were 9.7%, up from 8.9% in the comparable period of the prior year. The percentage increase for the quarter-to-date period resulted primarily from the cost increases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and Closed-Store Reserves</w:t>
      </w:r>
    </w:p>
    <w:p>
      <w:pPr>
        <w:spacing w:after="0" w:line="225"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color w:val="auto"/>
        </w:rPr>
        <w:t>During the thirteen weeks ended March 31, 2021, we recorded non-cash impairment charges of $0.3 million, primarily related to the carrying value of the ROU assets of one restaurant in Texas closed in 2019 and the long-lived assets of three restaurants in California. During the thirteen weeks ended March 25, 2020, we recorded a non-cash impairment charge of $1.9 million, primarily related to the carrying value of the assets of one restaurant in Texas and the long-lived assets of three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65"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weeks ended March 31, 2021, we recognized $0.3 million of closed-store reserve expense related to the amortization of ROU assets, property taxes and CAM payments for our closed locations. During the thirteen weeks ended March 25, 2020, we recognized $0.5 million of closed-store reserve expense, primarily related to the amortization of ROU assets, property taxes and CAM payments for our closed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For the quarter, interest expense, net, decreased $0.4 million from the comparable period in the prior year. The decrease is primarily related to lower interest rates and lower outstanding balances on our 2018 Revolver.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On July 30, 2014, we entered into the TRA. The TRA calls for us to pay to our pre-IPO stockholders 85% of the savings in cash that we realize in our taxes as a result of utilizing our NOLs and other tax attributes attributable to preceding periods. For the thirteen weeks ended March 31, 2021, we recorded income tax receivable agreement income of less than $0.1 million, and for the thirteen weeks ended March 25, 2020 we recorded income tax receivable agreement income of $0.1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For the quarter ended March 31, 2021, we recorded an income tax provision of $1.6 million, reflecting an estimated effective tax rate of 28.7%. For the quarter ended March 25, 2020, we recorded an income tax provision of $1.3 million, reflecting an estimated effective tax rate of approximately 26.5%. The difference between the 21.0% statutory rate and the Company’s effective tax rate of 28.7% for the quarter ended March 31, 2021 is primarily a result of state taxes, a Work Opportunity Tax Credit benefit, the change in valuation allowance against certain state credits, a windfall tax benefit related to stock options exercised and non-deductible executive compensation.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jc w:val="both"/>
        <w:ind w:left="60" w:right="659"/>
        <w:spacing w:after="0" w:line="311" w:lineRule="auto"/>
        <w:rPr>
          <w:sz w:val="20"/>
          <w:szCs w:val="20"/>
          <w:color w:val="auto"/>
        </w:rPr>
      </w:pPr>
      <w:r>
        <w:rPr>
          <w:rFonts w:ascii="Arial" w:cs="Arial" w:eastAsia="Arial" w:hAnsi="Arial"/>
          <w:sz w:val="16"/>
          <w:szCs w:val="16"/>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System-Wide Sales</w:t>
      </w:r>
    </w:p>
    <w:p>
      <w:pPr>
        <w:spacing w:after="0" w:line="225"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System-wide sales are neither required by, nor presented in accordance with, accounting principles generally accepted in the United States of America (“GAAP”). System-wide sales are the sum of company-operated restaurant revenue and sales from franchised restaurants. Our total revenue in our consolidated statements of operations is limited to company-operated restaurant revenue and franchise revenue from our franchisees. Accordingly, system-wide sales should not be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system-wide sales to company-operated restaurant revenue and total revenue: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80" w:type="dxa"/>
            <w:vAlign w:val="bottom"/>
          </w:tcPr>
          <w:p>
            <w:pPr>
              <w:spacing w:after="0"/>
              <w:rPr>
                <w:sz w:val="14"/>
                <w:szCs w:val="14"/>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128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March 31, 2021</w:t>
            </w: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25, 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Franchise revenue</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advertising fee revenue</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107,721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Franchise revenue</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(7,612)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Franchise advertising fee revenue</w:t>
            </w:r>
          </w:p>
        </w:tc>
        <w:tc>
          <w:tcPr>
            <w:tcW w:w="2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(5,948)</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from franchised restaurants</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132,965</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System-wide sales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227,126</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225" w:lineRule="exact"/>
        <w:rPr>
          <w:sz w:val="20"/>
          <w:szCs w:val="20"/>
          <w:color w:val="auto"/>
        </w:rPr>
      </w:pPr>
    </w:p>
    <w:p>
      <w:pPr>
        <w:jc w:val="both"/>
        <w:ind w:left="60" w:right="499"/>
        <w:spacing w:after="0" w:line="259"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7" w:lineRule="exact"/>
        <w:rPr>
          <w:sz w:val="20"/>
          <w:szCs w:val="20"/>
          <w:color w:val="auto"/>
        </w:rPr>
      </w:pPr>
    </w:p>
    <w:p>
      <w:pPr>
        <w:ind w:left="60" w:right="219"/>
        <w:spacing w:after="0" w:line="272" w:lineRule="auto"/>
        <w:rPr>
          <w:sz w:val="20"/>
          <w:szCs w:val="20"/>
          <w:color w:val="auto"/>
        </w:rPr>
      </w:pPr>
      <w:r>
        <w:rPr>
          <w:rFonts w:ascii="Arial" w:cs="Arial" w:eastAsia="Arial" w:hAnsi="Arial"/>
          <w:sz w:val="17"/>
          <w:szCs w:val="17"/>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 In addition, we expect our quarterly company-operated restaurant revenue and comparable restaurant sales to continue to fluctuate significantly due to the current COVID-19 pandemic. See above under “COVID-19 Impact” for additional information related to the impact of the COVID-19 pandemic on our business.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31, 2021 and March 25, 2020, there were 465 and 472 comparable restaurants, 191 and 191 company-operated restaurants and 274 and 281 franchised restaurants, respectively. Comparable restaurant sales indicate the performance of existing restaurants, since new restaurants are excluded.</w:t>
      </w:r>
    </w:p>
    <w:p>
      <w:pPr>
        <w:spacing w:after="0" w:line="178"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72"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 amounts in thousands)</w:t>
            </w:r>
          </w:p>
        </w:tc>
        <w:tc>
          <w:tcPr>
            <w:tcW w:w="240" w:type="dxa"/>
            <w:vAlign w:val="bottom"/>
          </w:tcPr>
          <w:p>
            <w:pPr>
              <w:spacing w:after="0"/>
              <w:rPr>
                <w:sz w:val="14"/>
                <w:szCs w:val="14"/>
                <w:color w:val="auto"/>
              </w:rPr>
            </w:pPr>
          </w:p>
        </w:tc>
        <w:tc>
          <w:tcPr>
            <w:tcW w:w="25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128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8"/>
              </w:rPr>
              <w:t>March 31, 2021</w:t>
            </w:r>
          </w:p>
        </w:tc>
        <w:tc>
          <w:tcPr>
            <w:tcW w:w="11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25, 2020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6,001</w:t>
            </w:r>
          </w:p>
        </w:tc>
        <w:tc>
          <w:tcPr>
            <w:tcW w:w="24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5,686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 (less):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Franchise revenue</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(7,612)</w:t>
            </w:r>
          </w:p>
        </w:tc>
        <w:tc>
          <w:tcPr>
            <w:tcW w:w="2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Impairment and closed-store reserves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Restaurant contribution</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15,194</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107,721</w:t>
            </w:r>
          </w:p>
        </w:tc>
        <w:tc>
          <w:tcPr>
            <w:tcW w:w="24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105,163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120"/>
              <w:spacing w:after="0"/>
              <w:rPr>
                <w:sz w:val="20"/>
                <w:szCs w:val="20"/>
                <w:color w:val="auto"/>
              </w:rPr>
            </w:pPr>
            <w:r>
              <w:rPr>
                <w:rFonts w:ascii="Arial" w:cs="Arial" w:eastAsia="Arial" w:hAnsi="Arial"/>
                <w:sz w:val="18"/>
                <w:szCs w:val="18"/>
                <w:color w:val="auto"/>
              </w:rPr>
              <w:t>Franchise revenue</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(7,612)</w:t>
            </w:r>
          </w:p>
        </w:tc>
        <w:tc>
          <w:tcPr>
            <w:tcW w:w="2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(5,948)</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Company-operated restaurant revenue</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94,161</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92,634</w:t>
            </w: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Restaurant contribution margin (%)</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16.1 %</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225"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8"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84"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reconciliations of our net income to our EBITDA and Adjusted EBITDA: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6"/>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March 31, 2021</w:t>
            </w:r>
          </w:p>
        </w:tc>
        <w:tc>
          <w:tcPr>
            <w:tcW w:w="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March 25, 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Interest expense, net of interest income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EBITDA</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10,016</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10,175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 (a)</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Loss on disposal of assets (b)</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closed-store reserves (c)</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Income tax receivable agreement income (d)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class action legal expense (e)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Legal settlements (f)</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 (g)</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Includes non-cash, stock-based compensation.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59" w:hanging="330"/>
        <w:spacing w:after="0" w:line="258"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spacing w:after="0" w:line="1" w:lineRule="exact"/>
        <w:rPr>
          <w:rFonts w:ascii="Arial" w:cs="Arial" w:eastAsia="Arial" w:hAnsi="Arial"/>
          <w:sz w:val="18"/>
          <w:szCs w:val="18"/>
          <w:color w:val="auto"/>
        </w:rPr>
      </w:pPr>
    </w:p>
    <w:p>
      <w:pPr>
        <w:ind w:left="380" w:right="219" w:hanging="330"/>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costs related to impairment of long-lived and ROU assets and closing restaurants. During the thirteen weeks ended March 31, 2021, we recorded non-cash impairment charges of $0.3 million, primarily related to the carrying value of the ROU assets of one restaurant in Texas closed in 2019 and the long-lived assets of three restaurants in California. During the thirteen weeks ended March 25, 2020, we recorded a non-cash impairment charge of $1.9 million, primarily related to the carrying value of the ROU assets of one restaurant in Texas and the long-lived assets of three restaurants in California.</w:t>
      </w:r>
    </w:p>
    <w:p>
      <w:pPr>
        <w:spacing w:after="0" w:line="2" w:lineRule="exact"/>
        <w:rPr>
          <w:rFonts w:ascii="Arial" w:cs="Arial" w:eastAsia="Arial" w:hAnsi="Arial"/>
          <w:sz w:val="18"/>
          <w:szCs w:val="18"/>
          <w:color w:val="auto"/>
        </w:rPr>
      </w:pPr>
    </w:p>
    <w:p>
      <w:pPr>
        <w:ind w:left="380" w:right="219"/>
        <w:spacing w:after="0" w:line="265" w:lineRule="auto"/>
        <w:rPr>
          <w:rFonts w:ascii="Arial" w:cs="Arial" w:eastAsia="Arial" w:hAnsi="Arial"/>
          <w:sz w:val="18"/>
          <w:szCs w:val="18"/>
          <w:color w:val="auto"/>
        </w:rPr>
      </w:pPr>
      <w:r>
        <w:rPr>
          <w:rFonts w:ascii="Arial" w:cs="Arial" w:eastAsia="Arial" w:hAnsi="Arial"/>
          <w:sz w:val="17"/>
          <w:szCs w:val="17"/>
          <w:color w:val="auto"/>
        </w:rPr>
        <w:t>During the thirteen weeks ended March 31, 2021, we recognized $0.3 million of closed-store reserve expense related to the amortization of ROU assets, property taxes and CAM payments for our closed locations. During the thirteen weeks ended March 25, 2020, we recognized $0.5 million of closed-store reserve expense, primarily related to the amortization of ROU assets, property taxes and CAM payments for our closed locations.</w:t>
      </w:r>
    </w:p>
    <w:p>
      <w:pPr>
        <w:ind w:left="380" w:right="119" w:hanging="330"/>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July 30, 2014, we entered into the TRA. This agreement calls for us to pay to our pre-IPO stockholders 85% of the savings in cash that we realize in our taxes as a result of utilizing our NOL and other tax attributes attributable to preceding periods. For the thirteen weeks ended March 31, 2021 and March 25, 2020, income tax receivable agreement (income) expense consisted of the amortization of interest expense and changes in estimates for actual tax returns filed, related to our total expected TRA payments.</w:t>
      </w:r>
    </w:p>
    <w:p>
      <w:pPr>
        <w:spacing w:after="0" w:line="1" w:lineRule="exact"/>
        <w:rPr>
          <w:rFonts w:ascii="Arial" w:cs="Arial" w:eastAsia="Arial" w:hAnsi="Arial"/>
          <w:sz w:val="18"/>
          <w:szCs w:val="18"/>
          <w:color w:val="auto"/>
        </w:rPr>
      </w:pPr>
    </w:p>
    <w:p>
      <w:pPr>
        <w:ind w:left="380" w:right="359" w:hanging="330"/>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Note 7, “Commitments and Contingencies, Legal Matters” in the Notes to Condensed Consolidated Financial Statements above.</w:t>
      </w:r>
    </w:p>
    <w:p>
      <w:pPr>
        <w:ind w:left="380" w:right="419" w:hanging="330"/>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amounts incurred related to the payment of the final settlement amounts for multiple wage and hour class action suits.</w:t>
      </w:r>
    </w:p>
    <w:p>
      <w:pPr>
        <w:ind w:left="380" w:right="99" w:hanging="330"/>
        <w:spacing w:after="0" w:line="271"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 xml:space="preserve">Our primary sources of liquidity and capital resources have been cash provided from operations, cash and cash equivalents, and the 2018 Revolver.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for at least the next 12 months from the issuance of the consolidated financial statements. However, </w:t>
      </w:r>
      <w:r>
        <w:rPr>
          <w:rFonts w:ascii="Arial" w:cs="Arial" w:eastAsia="Arial" w:hAnsi="Arial"/>
          <w:sz w:val="16"/>
          <w:szCs w:val="16"/>
          <w:color w:val="212529"/>
        </w:rPr>
        <w:t>depending on the severity and longevity of the</w:t>
      </w:r>
      <w:r>
        <w:rPr>
          <w:rFonts w:ascii="Arial" w:cs="Arial" w:eastAsia="Arial" w:hAnsi="Arial"/>
          <w:sz w:val="16"/>
          <w:szCs w:val="16"/>
          <w:color w:val="auto"/>
        </w:rPr>
        <w:t xml:space="preserve"> </w:t>
      </w:r>
      <w:r>
        <w:rPr>
          <w:rFonts w:ascii="Arial" w:cs="Arial" w:eastAsia="Arial" w:hAnsi="Arial"/>
          <w:sz w:val="16"/>
          <w:szCs w:val="16"/>
          <w:color w:val="212529"/>
        </w:rPr>
        <w:t xml:space="preserve">COVID-19 pandemic, the efforts taken to reduce its spread and the possibility of a subsequent resurgence of the COVID-19 outbreak after the current outbreak subsides, our </w:t>
      </w:r>
      <w:r>
        <w:rPr>
          <w:rFonts w:ascii="Arial" w:cs="Arial" w:eastAsia="Arial" w:hAnsi="Arial"/>
          <w:sz w:val="16"/>
          <w:szCs w:val="16"/>
          <w:color w:val="000000"/>
        </w:rPr>
        <w:t>financial performance and liquidity could be further impacted and</w:t>
      </w:r>
      <w:r>
        <w:rPr>
          <w:rFonts w:ascii="Arial" w:cs="Arial" w:eastAsia="Arial" w:hAnsi="Arial"/>
          <w:sz w:val="16"/>
          <w:szCs w:val="16"/>
          <w:color w:val="212529"/>
        </w:rPr>
        <w:t xml:space="preserve"> </w:t>
      </w:r>
      <w:r>
        <w:rPr>
          <w:rFonts w:ascii="Arial" w:cs="Arial" w:eastAsia="Arial" w:hAnsi="Arial"/>
          <w:sz w:val="16"/>
          <w:szCs w:val="16"/>
          <w:color w:val="000000"/>
        </w:rPr>
        <w:t>could impact our ability to meet certain financial covenants required in our 2018 Credit Agreement (as defined below), specifically the lease-adjusted coverage ratio and fixed-charge coverage ratio.</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300" w:type="dxa"/>
            <w:vAlign w:val="bottom"/>
          </w:tcPr>
          <w:p>
            <w:pPr>
              <w:spacing w:after="0"/>
              <w:rPr>
                <w:sz w:val="14"/>
                <w:szCs w:val="14"/>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120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8"/>
              </w:rPr>
              <w:t>March 31, 2021</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4"/>
              </w:rPr>
              <w:t>March 25, 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7,398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(8,691)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For the thirteen weeks ended March 31, 2021, net cash from operating activities changed by approximately $15.0 million from the comparable period of the prior year. This change was due primarily to a $16.3 million payment made in the first quarter of 2020 related to our wage and hour class action settlements for the thirteen weeks ended March 25, 2020, slightly offset by unfavorable working capital fluctuations.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For the thirteen weeks ended March 31, 2021, net cash used in investing activities increased by $3.7 million from the comparable period of the prior year. This increase was due primarily to opening two new company-operated restaurant and remodeling three restaurants in the thirteen weeks ended March 31, 2021 compared to opening no new company-operated restaurants and completing no new remodels in the thirteen weeks ended March 25,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For the thirteen weeks ended March 31, 2021, net cash from in financing activities changed by $53.2 million from the comparable period of the prior year. This change was due primarily to an increase in net borrowings of $44.5 million on the 2018 Revolver during the thirteen weeks ended March 25, 2020, primarily as a precautionary measure to bolster our existing cash position in light of the COVID-19 pandemic, as well as to provide for the $16.3 million litigation settlement payment. In addition, during the thirteen weeks ended March 31, 2021, the Company paid down $9.0 million on the 2018 Revolver.</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25"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The 2018 Revolver, which is available pursuant to the 2018 Credit Agreement,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2018 Revolver, Holdings may not make certain payments such as cash dividends, except that it may, inter alia,</w:t>
      </w:r>
    </w:p>
    <w:p>
      <w:pPr>
        <w:spacing w:after="0" w:line="46" w:lineRule="exact"/>
        <w:rPr>
          <w:sz w:val="20"/>
          <w:szCs w:val="20"/>
          <w:color w:val="auto"/>
        </w:rPr>
      </w:pPr>
    </w:p>
    <w:p>
      <w:pPr>
        <w:jc w:val="both"/>
        <w:ind w:left="60" w:right="339" w:hanging="10"/>
        <w:spacing w:after="0" w:line="281" w:lineRule="auto"/>
        <w:tabs>
          <w:tab w:leader="none" w:pos="2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pay up to $1.0 million per year to repurchase or redeem qualified equity interests of Holdings held by past or present officers, directors, or employees (or their estates) of the Company upon death, disability, or termination of employment,</w:t>
      </w:r>
    </w:p>
    <w:p>
      <w:pPr>
        <w:spacing w:after="0" w:line="1" w:lineRule="exact"/>
        <w:rPr>
          <w:rFonts w:ascii="Arial" w:cs="Arial" w:eastAsia="Arial" w:hAnsi="Arial"/>
          <w:sz w:val="16"/>
          <w:szCs w:val="16"/>
          <w:color w:val="auto"/>
        </w:rPr>
      </w:pPr>
    </w:p>
    <w:p>
      <w:pPr>
        <w:ind w:left="60" w:right="139" w:hanging="10"/>
        <w:spacing w:after="0" w:line="281" w:lineRule="auto"/>
        <w:tabs>
          <w:tab w:leader="none" w:pos="3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spacing w:after="0" w:line="1" w:lineRule="exact"/>
        <w:rPr>
          <w:rFonts w:ascii="Arial" w:cs="Arial" w:eastAsia="Arial" w:hAnsi="Arial"/>
          <w:sz w:val="16"/>
          <w:szCs w:val="16"/>
          <w:color w:val="auto"/>
        </w:rPr>
      </w:pPr>
    </w:p>
    <w:p>
      <w:pPr>
        <w:ind w:left="60" w:right="179"/>
        <w:spacing w:after="0" w:line="252" w:lineRule="auto"/>
        <w:rPr>
          <w:rFonts w:ascii="Arial" w:cs="Arial" w:eastAsia="Arial" w:hAnsi="Arial"/>
          <w:sz w:val="16"/>
          <w:szCs w:val="16"/>
          <w:color w:val="auto"/>
        </w:rPr>
      </w:pPr>
      <w:r>
        <w:rPr>
          <w:rFonts w:ascii="Arial" w:cs="Arial" w:eastAsia="Arial" w:hAnsi="Arial"/>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4"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1.36% to 1.65% for the thirteen weeks ended March 31, 2021, and 3.11% to 3.29% for the thirteen weeks ended March 25, 2020.</w:t>
      </w:r>
    </w:p>
    <w:p>
      <w:pPr>
        <w:spacing w:after="0" w:line="166"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 xml:space="preserve">The 2018 Credit Agreement contains certain financial covenants. The Company was in compliance with the financial covenants as of March 31, 2021. However, </w:t>
      </w:r>
      <w:r>
        <w:rPr>
          <w:rFonts w:ascii="Arial" w:cs="Arial" w:eastAsia="Arial" w:hAnsi="Arial"/>
          <w:sz w:val="16"/>
          <w:szCs w:val="16"/>
          <w:color w:val="212529"/>
        </w:rPr>
        <w:t>depending on the severity and longevity of the COVID-19 pandemic, the efforts</w:t>
      </w:r>
      <w:r>
        <w:rPr>
          <w:rFonts w:ascii="Arial" w:cs="Arial" w:eastAsia="Arial" w:hAnsi="Arial"/>
          <w:sz w:val="16"/>
          <w:szCs w:val="16"/>
          <w:color w:val="auto"/>
        </w:rPr>
        <w:t xml:space="preserve"> </w:t>
      </w:r>
      <w:r>
        <w:rPr>
          <w:rFonts w:ascii="Arial" w:cs="Arial" w:eastAsia="Arial" w:hAnsi="Arial"/>
          <w:sz w:val="16"/>
          <w:szCs w:val="16"/>
          <w:color w:val="212529"/>
        </w:rPr>
        <w:t xml:space="preserve">taken to reduce its spread and the possibility of a resurgence of the COVID-19 outbreak after the initial outbreak subside, </w:t>
      </w:r>
      <w:r>
        <w:rPr>
          <w:rFonts w:ascii="Arial" w:cs="Arial" w:eastAsia="Arial" w:hAnsi="Arial"/>
          <w:sz w:val="16"/>
          <w:szCs w:val="16"/>
          <w:color w:val="000000"/>
        </w:rPr>
        <w:t>the Company’s financial performance and liquidity could be further impacted and could impact the Company’s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ability to comply with certain financial covenants required in our 2018 Credit Agreement, specifically the lease-adjusted coverage ratio and fixed-charge coverage ratio.</w:t>
      </w:r>
    </w:p>
    <w:p>
      <w:pPr>
        <w:spacing w:after="0" w:line="170"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At March 31, 2021, $8.4 million of letters of credit and $53.8 million of borrowings were outstanding under the 2018 Revolver. There were $87.8 million remaining borrowings available under the 2018 Revolver at March 31, 2021.</w:t>
      </w:r>
    </w:p>
    <w:p>
      <w:pPr>
        <w:spacing w:after="0" w:line="124"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was 1.5% for the thirteen weeks ended March 31, 2021. The interest rate swap matures in June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Other than our paydown of $9.0 million on the 2018 Revolver during the thirteen weeks ended March 31, 2021 described above, our contractual obligations outstanding on March 31, 2021 have not changed materially since those disclosed under “Debt and Other Obligations – Contractual Obligations” in Part II, Item 7 of our annual report on Form 10-K for the year ended December 30, 2020. Our contractual commitments relate to future (i) debt payments, including expected interest expense, calculated based on current interest rates, (ii) restaurant operating lease payments, (iii) income tax receivable agreement payments, and (iv) purchasing commitments for chicken.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As of March 31, 2021 and December 25, 2020, we were using $8.4 million of borrowing capacity on the 2018 Revolver for letters of credit in support of our insurance programs.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We are exposed to market risk from changes in interest rates on our debt, which bears interest, at USD LIBOR plus a margin between 1.25% and 2.25%. As of March 31, 2021, we had outstanding borrowings of $53.8 million under our 2018 Revolver, $8.4 million of letters of credit in support of our insurance programs, and the applicable margin on outstanding borrowings under 2018 Revolver was 1.5%. In addition, LIBOR is expected to be phased out beginning after 2021. Organizations are currently working on industry wide and company specific transition plans as it relates to financial and other derivative contracts exposed to LIBOR. When LIBOR ceases to exist, we may need to enter into an amendment to the 2018 Credit Agreement and we cannot predict what alternative index would be negotiated with our lenders. If future rates based upon a successor rate are higher than LIBOR rates as currently determined or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described below, we effectively had $13.8 million of long-term debt subject to variations in interest rates as of March 31, 2021 and a one percent increase in the variable rate of interest would increase annual interest expense by $0.1 million.</w:t>
      </w:r>
    </w:p>
    <w:p>
      <w:pPr>
        <w:spacing w:after="0" w:line="186" w:lineRule="exact"/>
        <w:rPr>
          <w:sz w:val="20"/>
          <w:szCs w:val="20"/>
          <w:color w:val="auto"/>
        </w:rPr>
      </w:pPr>
    </w:p>
    <w:p>
      <w:pPr>
        <w:ind w:left="60" w:right="239"/>
        <w:spacing w:after="0" w:line="273" w:lineRule="auto"/>
        <w:rPr>
          <w:sz w:val="20"/>
          <w:szCs w:val="20"/>
          <w:color w:val="auto"/>
        </w:rPr>
      </w:pPr>
      <w:r>
        <w:rPr>
          <w:rFonts w:ascii="Arial" w:cs="Arial" w:eastAsia="Arial" w:hAnsi="Arial"/>
          <w:sz w:val="17"/>
          <w:szCs w:val="17"/>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outstanding borrowings under our 2018 Revolver. The interest rate swap was designated as a cash flow hedge and effectively converted a portion of our outstanding borrowings to a fixed rate of 1.31%, plus applicable margin, which was 1.5% for the thirteen weeks ended March 31, 2021. The interest rate swap matures in June 2023.</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by increasing menu prices, managing menu mix, improving productivity, or making other adjustments. We may not be able to offset cost increases in the future.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We maintain disclosure controls and procedures (as such term is defined in Rules 13a-15(e) of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57"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at the reasonable assurance level, as of March 31, 2021.</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399"/>
        <w:spacing w:after="0" w:line="308" w:lineRule="auto"/>
        <w:rPr>
          <w:sz w:val="20"/>
          <w:szCs w:val="20"/>
          <w:color w:val="auto"/>
        </w:rPr>
      </w:pPr>
      <w:r>
        <w:rPr>
          <w:rFonts w:ascii="Arial" w:cs="Arial" w:eastAsia="Arial" w:hAnsi="Arial"/>
          <w:sz w:val="17"/>
          <w:szCs w:val="17"/>
          <w:color w:val="auto"/>
        </w:rPr>
        <w:t>No changes in our internal control over financial reporting occurred during the quarter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For information regarding legal proceedings, see Note 7, “Commitments and Contingencies—Legal Matters” in the “Notes to Condensed Consolidated Financial Statements” above, which information is incorporated by reference into this Item 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30, 2020 filed with the SEC on March 15, 2021.</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4"/>
                <w:szCs w:val="14"/>
                <w:color w:val="auto"/>
                <w:w w:val="98"/>
              </w:rPr>
              <w:t>Filed</w:t>
            </w:r>
          </w:p>
        </w:tc>
        <w:tc>
          <w:tcPr>
            <w:tcW w:w="860" w:type="dxa"/>
            <w:vAlign w:val="bottom"/>
            <w:gridSpan w:val="4"/>
          </w:tcPr>
          <w:p>
            <w:pPr>
              <w:jc w:val="center"/>
              <w:spacing w:after="0"/>
              <w:rPr>
                <w:sz w:val="20"/>
                <w:szCs w:val="20"/>
                <w:color w:val="auto"/>
              </w:rPr>
            </w:pPr>
            <w:r>
              <w:rPr>
                <w:rFonts w:ascii="Arial" w:cs="Arial" w:eastAsia="Arial" w:hAnsi="Arial"/>
                <w:sz w:val="14"/>
                <w:szCs w:val="14"/>
                <w:color w:val="auto"/>
                <w:w w:val="93"/>
              </w:rPr>
              <w:t>Period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4"/>
                <w:szCs w:val="14"/>
                <w:color w:val="auto"/>
              </w:rPr>
              <w:t>SEC File</w:t>
            </w:r>
          </w:p>
        </w:tc>
      </w:tr>
      <w:tr>
        <w:trPr>
          <w:trHeight w:val="128"/>
        </w:trPr>
        <w:tc>
          <w:tcPr>
            <w:tcW w:w="840" w:type="dxa"/>
            <w:vAlign w:val="bottom"/>
            <w:gridSpan w:val="2"/>
          </w:tcPr>
          <w:p>
            <w:pPr>
              <w:spacing w:after="0" w:line="129" w:lineRule="exact"/>
              <w:rPr>
                <w:sz w:val="20"/>
                <w:szCs w:val="20"/>
                <w:color w:val="auto"/>
              </w:rPr>
            </w:pPr>
            <w:r>
              <w:rPr>
                <w:rFonts w:ascii="Arial" w:cs="Arial" w:eastAsia="Arial" w:hAnsi="Arial"/>
                <w:sz w:val="14"/>
                <w:szCs w:val="14"/>
                <w:color w:val="auto"/>
              </w:rPr>
              <w:t>Number</w:t>
            </w: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gridSpan w:val="12"/>
          </w:tcPr>
          <w:p>
            <w:pPr>
              <w:ind w:left="40"/>
              <w:spacing w:after="0" w:line="129" w:lineRule="exact"/>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1"/>
                <w:szCs w:val="11"/>
                <w:color w:val="auto"/>
              </w:rPr>
            </w:pPr>
          </w:p>
        </w:tc>
        <w:tc>
          <w:tcPr>
            <w:tcW w:w="30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75"/>
              </w:rPr>
              <w:t>Herewith</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7"/>
              </w:rPr>
              <w:t>Form</w:t>
            </w:r>
          </w:p>
        </w:tc>
        <w:tc>
          <w:tcPr>
            <w:tcW w:w="260" w:type="dxa"/>
            <w:vAlign w:val="bottom"/>
          </w:tcPr>
          <w:p>
            <w:pPr>
              <w:spacing w:after="0"/>
              <w:rPr>
                <w:sz w:val="11"/>
                <w:szCs w:val="11"/>
                <w:color w:val="auto"/>
              </w:rPr>
            </w:pPr>
          </w:p>
        </w:tc>
        <w:tc>
          <w:tcPr>
            <w:tcW w:w="38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color w:val="auto"/>
                <w:w w:val="88"/>
              </w:rPr>
              <w:t>Ended</w:t>
            </w:r>
          </w:p>
        </w:tc>
        <w:tc>
          <w:tcPr>
            <w:tcW w:w="220" w:type="dxa"/>
            <w:vAlign w:val="bottom"/>
          </w:tcPr>
          <w:p>
            <w:pPr>
              <w:spacing w:after="0"/>
              <w:rPr>
                <w:sz w:val="11"/>
                <w:szCs w:val="11"/>
                <w:color w:val="auto"/>
              </w:rPr>
            </w:pPr>
          </w:p>
        </w:tc>
        <w:tc>
          <w:tcPr>
            <w:tcW w:w="58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Exhibit</w:t>
            </w:r>
          </w:p>
        </w:tc>
        <w:tc>
          <w:tcPr>
            <w:tcW w:w="840" w:type="dxa"/>
            <w:vAlign w:val="bottom"/>
            <w:gridSpan w:val="3"/>
          </w:tcPr>
          <w:p>
            <w:pPr>
              <w:ind w:left="100"/>
              <w:spacing w:after="0" w:line="129" w:lineRule="exact"/>
              <w:rPr>
                <w:sz w:val="20"/>
                <w:szCs w:val="20"/>
                <w:color w:val="auto"/>
              </w:rPr>
            </w:pPr>
            <w:r>
              <w:rPr>
                <w:rFonts w:ascii="Arial" w:cs="Arial" w:eastAsia="Arial" w:hAnsi="Arial"/>
                <w:sz w:val="14"/>
                <w:szCs w:val="14"/>
                <w:color w:val="auto"/>
              </w:rPr>
              <w:t>Filing Date</w:t>
            </w: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w w:val="96"/>
              </w:rPr>
              <w:t>Number</w:t>
            </w:r>
          </w:p>
        </w:tc>
        <w:tc>
          <w:tcPr>
            <w:tcW w:w="60" w:type="dxa"/>
            <w:vAlign w:val="bottom"/>
          </w:tcPr>
          <w:p>
            <w:pPr>
              <w:spacing w:after="0"/>
              <w:rPr>
                <w:sz w:val="11"/>
                <w:szCs w:val="1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3580" w:type="dxa"/>
            <w:vAlign w:val="bottom"/>
            <w:gridSpan w:val="14"/>
          </w:tcPr>
          <w:p>
            <w:pPr>
              <w:spacing w:after="0"/>
              <w:rPr>
                <w:rFonts w:ascii="Arial" w:cs="Arial" w:eastAsia="Arial" w:hAnsi="Arial"/>
                <w:sz w:val="18"/>
                <w:szCs w:val="18"/>
                <w:color w:val="0000EE"/>
              </w:rPr>
            </w:pPr>
            <w:hyperlink r:id="rId60">
              <w:r>
                <w:rPr>
                  <w:rFonts w:ascii="Arial" w:cs="Arial" w:eastAsia="Arial" w:hAnsi="Arial"/>
                  <w:sz w:val="18"/>
                  <w:szCs w:val="18"/>
                  <w:color w:val="0000EE"/>
                </w:rPr>
                <w:t>Amended and Restated Certificate of</w:t>
              </w:r>
            </w:hyperlink>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4"/>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Incorporation of El Pollo Loco Holdings, Inc.</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8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2"/>
              </w:rPr>
              <w:t>6/25/2014</w:t>
            </w:r>
          </w:p>
        </w:tc>
        <w:tc>
          <w:tcPr>
            <w:tcW w:w="5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17"/>
                <w:szCs w:val="17"/>
                <w:color w:val="auto"/>
              </w:rPr>
            </w:pP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5"/>
              </w:rPr>
              <w:t>001-36556</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r:id="rId61">
              <w:r>
                <w:rPr>
                  <w:rFonts w:ascii="Arial" w:cs="Arial" w:eastAsia="Arial" w:hAnsi="Arial"/>
                  <w:sz w:val="18"/>
                  <w:szCs w:val="18"/>
                  <w:color w:val="0000EE"/>
                  <w:w w:val="91"/>
                </w:rPr>
                <w:t>Amended and Restated By-Laws of El Pollo</w:t>
              </w:r>
            </w:hyperlink>
          </w:p>
        </w:tc>
        <w:tc>
          <w:tcPr>
            <w:tcW w:w="80" w:type="dxa"/>
            <w:vAlign w:val="bottom"/>
            <w:tcBorders>
              <w:top w:val="single" w:sz="8" w:color="0000EE"/>
            </w:tcBorders>
            <w:gridSpan w:val="2"/>
          </w:tcPr>
          <w:p>
            <w:pPr>
              <w:spacing w:after="0"/>
              <w:rPr>
                <w:sz w:val="24"/>
                <w:szCs w:val="24"/>
                <w:color w:val="auto"/>
              </w:rPr>
            </w:pPr>
          </w:p>
        </w:tc>
        <w:tc>
          <w:tcPr>
            <w:tcW w:w="30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Loco Holdings, Inc.</w:t>
              </w:r>
            </w:hyperlink>
          </w:p>
        </w:tc>
        <w:tc>
          <w:tcPr>
            <w:tcW w:w="214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86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2"/>
              </w:rPr>
              <w:t>6/25/2014</w:t>
            </w:r>
          </w:p>
        </w:tc>
        <w:tc>
          <w:tcPr>
            <w:tcW w:w="5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9/5/2014</w:t>
            </w:r>
          </w:p>
        </w:tc>
        <w:tc>
          <w:tcPr>
            <w:tcW w:w="80" w:type="dxa"/>
            <w:vAlign w:val="bottom"/>
          </w:tcPr>
          <w:p>
            <w:pPr>
              <w:spacing w:after="0"/>
              <w:rPr>
                <w:sz w:val="17"/>
                <w:szCs w:val="17"/>
                <w:color w:val="auto"/>
              </w:rPr>
            </w:pP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5"/>
              </w:rPr>
              <w:t>001-36556</w:t>
            </w: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31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Certification of Principal Executive Officer</w:t>
              </w:r>
            </w:hyperlink>
          </w:p>
        </w:tc>
        <w:tc>
          <w:tcPr>
            <w:tcW w:w="4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4"/>
          </w:tcPr>
          <w:p>
            <w:pPr>
              <w:spacing w:after="0" w:line="196"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under section 302 of the Sarbanes–Oxley Act</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of 2002</w:t>
              </w:r>
            </w:hyperlink>
          </w:p>
        </w:tc>
        <w:tc>
          <w:tcPr>
            <w:tcW w:w="3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5"/>
          </w:tcPr>
          <w:p>
            <w:pPr>
              <w:jc w:val="center"/>
              <w:ind w:right="720"/>
              <w:spacing w:after="0" w:line="196" w:lineRule="exact"/>
              <w:rPr>
                <w:sz w:val="20"/>
                <w:szCs w:val="20"/>
                <w:color w:val="auto"/>
              </w:rPr>
            </w:pPr>
            <w:r>
              <w:rPr>
                <w:rFonts w:ascii="Arial" w:cs="Arial" w:eastAsia="Arial" w:hAnsi="Arial"/>
                <w:sz w:val="18"/>
                <w:szCs w:val="18"/>
                <w:color w:val="auto"/>
              </w:rPr>
              <w:t>X</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3580" w:type="dxa"/>
            <w:vAlign w:val="bottom"/>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Certification of Principal Financial Officer</w:t>
              </w:r>
            </w:hyperlink>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80" w:type="dxa"/>
            <w:vAlign w:val="bottom"/>
            <w:gridSpan w:val="14"/>
          </w:tcPr>
          <w:p>
            <w:pPr>
              <w:spacing w:after="0" w:line="196"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under section 302 of the Sarbanes–Oxley Act</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of 2002</w:t>
              </w:r>
            </w:hyperlink>
          </w:p>
        </w:tc>
        <w:tc>
          <w:tcPr>
            <w:tcW w:w="32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3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Certification of Chief Executive Officer and</w:t>
              </w:r>
            </w:hyperlink>
          </w:p>
        </w:tc>
        <w:tc>
          <w:tcPr>
            <w:tcW w:w="400" w:type="dxa"/>
            <w:vAlign w:val="bottom"/>
            <w:gridSpan w:val="6"/>
          </w:tcPr>
          <w:p>
            <w:pPr>
              <w:spacing w:after="0"/>
              <w:rPr>
                <w:sz w:val="24"/>
                <w:szCs w:val="24"/>
                <w:color w:val="auto"/>
              </w:rPr>
            </w:pPr>
          </w:p>
        </w:tc>
        <w:tc>
          <w:tcPr>
            <w:tcW w:w="42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Chief Financial Officer under 18 U.S.C. section</w:t>
              </w:r>
            </w:hyperlink>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1350, adopted by section 906 of the Sarbanes–</w:t>
              </w:r>
            </w:hyperlink>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Oxley Act of 2002</w:t>
              </w:r>
            </w:hyperlink>
          </w:p>
        </w:tc>
        <w:tc>
          <w:tcPr>
            <w:tcW w:w="224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580" w:type="dxa"/>
            <w:vAlign w:val="bottom"/>
            <w:gridSpan w:val="14"/>
          </w:tcPr>
          <w:p>
            <w:pPr>
              <w:spacing w:after="0"/>
              <w:rPr>
                <w:sz w:val="20"/>
                <w:szCs w:val="20"/>
                <w:color w:val="auto"/>
              </w:rPr>
            </w:pPr>
            <w:r>
              <w:rPr>
                <w:rFonts w:ascii="Arial" w:cs="Arial" w:eastAsia="Arial" w:hAnsi="Arial"/>
                <w:sz w:val="18"/>
                <w:szCs w:val="18"/>
                <w:color w:val="auto"/>
                <w:w w:val="96"/>
              </w:rPr>
              <w:t>Inline XBRL Instance Document - the instance</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document does not appear in the Interactive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w w:val="93"/>
              </w:rPr>
              <w:t>Data File because its XBRL tags are embedded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580" w:type="dxa"/>
            <w:vAlign w:val="bottom"/>
            <w:gridSpan w:val="14"/>
          </w:tcPr>
          <w:p>
            <w:pPr>
              <w:spacing w:after="0"/>
              <w:rPr>
                <w:sz w:val="20"/>
                <w:szCs w:val="20"/>
                <w:color w:val="auto"/>
              </w:rPr>
            </w:pPr>
            <w:r>
              <w:rPr>
                <w:rFonts w:ascii="Arial" w:cs="Arial" w:eastAsia="Arial" w:hAnsi="Arial"/>
                <w:sz w:val="18"/>
                <w:szCs w:val="18"/>
                <w:color w:val="auto"/>
              </w:rPr>
              <w:t>XBRL Taxonomy Extension Schema</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580" w:type="dxa"/>
            <w:vAlign w:val="bottom"/>
            <w:gridSpan w:val="14"/>
          </w:tcPr>
          <w:p>
            <w:pPr>
              <w:spacing w:after="0"/>
              <w:rPr>
                <w:sz w:val="20"/>
                <w:szCs w:val="20"/>
                <w:color w:val="auto"/>
              </w:rPr>
            </w:pPr>
            <w:r>
              <w:rPr>
                <w:rFonts w:ascii="Arial" w:cs="Arial" w:eastAsia="Arial" w:hAnsi="Arial"/>
                <w:sz w:val="18"/>
                <w:szCs w:val="18"/>
                <w:color w:val="auto"/>
              </w:rPr>
              <w:t>XBRL Taxonomy Extension Calculation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580" w:type="dxa"/>
            <w:vAlign w:val="bottom"/>
            <w:gridSpan w:val="14"/>
          </w:tcPr>
          <w:p>
            <w:pPr>
              <w:spacing w:after="0"/>
              <w:rPr>
                <w:sz w:val="20"/>
                <w:szCs w:val="20"/>
                <w:color w:val="auto"/>
              </w:rPr>
            </w:pPr>
            <w:r>
              <w:rPr>
                <w:rFonts w:ascii="Arial" w:cs="Arial" w:eastAsia="Arial" w:hAnsi="Arial"/>
                <w:sz w:val="18"/>
                <w:szCs w:val="18"/>
                <w:color w:val="auto"/>
              </w:rPr>
              <w:t>XBRL Taxonomy Extension Definition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58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58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4"/>
                <w:szCs w:val="24"/>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Cover Page Interactive Data File - the cover</w:t>
            </w:r>
          </w:p>
        </w:tc>
        <w:tc>
          <w:tcPr>
            <w:tcW w:w="120" w:type="dxa"/>
            <w:vAlign w:val="bottom"/>
          </w:tcPr>
          <w:p>
            <w:pPr>
              <w:spacing w:after="0"/>
              <w:rPr>
                <w:sz w:val="24"/>
                <w:szCs w:val="24"/>
                <w:color w:val="auto"/>
              </w:rPr>
            </w:pPr>
          </w:p>
        </w:tc>
        <w:tc>
          <w:tcPr>
            <w:tcW w:w="1020" w:type="dxa"/>
            <w:vAlign w:val="bottom"/>
            <w:gridSpan w:val="5"/>
          </w:tcPr>
          <w:p>
            <w:pPr>
              <w:jc w:val="center"/>
              <w:ind w:right="720"/>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w w:val="93"/>
              </w:rPr>
              <w:t>page interactive data file does not appear in the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w w:val="94"/>
              </w:rPr>
              <w:t>Interactive Data File because its XBRL tags 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gridSpan w:val="14"/>
          </w:tcPr>
          <w:p>
            <w:pPr>
              <w:spacing w:after="0"/>
              <w:rPr>
                <w:sz w:val="20"/>
                <w:szCs w:val="20"/>
                <w:color w:val="auto"/>
              </w:rPr>
            </w:pPr>
            <w:r>
              <w:rPr>
                <w:rFonts w:ascii="Arial" w:cs="Arial" w:eastAsia="Arial" w:hAnsi="Arial"/>
                <w:sz w:val="18"/>
                <w:szCs w:val="18"/>
                <w:color w:val="auto"/>
              </w:rPr>
              <w:t>embedded within the Inline XBRL Document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59" w:hanging="330"/>
        <w:spacing w:after="0" w:line="259"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El Pollo Loco Holdings, Inc.</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86" w:lineRule="exact"/>
        <w:rPr>
          <w:sz w:val="20"/>
          <w:szCs w:val="20"/>
          <w:color w:val="auto"/>
        </w:rPr>
      </w:pPr>
    </w:p>
    <w:p>
      <w:pPr>
        <w:ind w:left="100"/>
        <w:spacing w:after="0"/>
        <w:tabs>
          <w:tab w:leader="none" w:pos="462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6"/>
          <w:szCs w:val="16"/>
          <w:color w:val="auto"/>
        </w:rPr>
        <w:t>/s/ Bernard Acoca</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(duly authorized officer)</w:t>
      </w:r>
    </w:p>
    <w:p>
      <w:pPr>
        <w:spacing w:after="0" w:line="293" w:lineRule="exact"/>
        <w:rPr>
          <w:sz w:val="20"/>
          <w:szCs w:val="20"/>
          <w:color w:val="auto"/>
        </w:rPr>
      </w:pPr>
    </w:p>
    <w:p>
      <w:pPr>
        <w:ind w:left="100"/>
        <w:spacing w:after="0"/>
        <w:tabs>
          <w:tab w:leader="none" w:pos="4620" w:val="left"/>
        </w:tabs>
        <w:rPr>
          <w:sz w:val="20"/>
          <w:szCs w:val="20"/>
          <w:color w:val="auto"/>
        </w:rPr>
      </w:pPr>
      <w:r>
        <w:rPr>
          <w:rFonts w:ascii="Arial" w:cs="Arial" w:eastAsia="Arial" w:hAnsi="Arial"/>
          <w:sz w:val="18"/>
          <w:szCs w:val="18"/>
          <w:color w:val="auto"/>
        </w:rPr>
        <w:t>Date: May 7, 2021</w:t>
      </w:r>
      <w:r>
        <w:rPr>
          <w:sz w:val="20"/>
          <w:szCs w:val="20"/>
          <w:color w:val="auto"/>
        </w:rPr>
        <w:tab/>
      </w:r>
      <w:r>
        <w:rPr>
          <w:rFonts w:ascii="Arial" w:cs="Arial" w:eastAsia="Arial" w:hAnsi="Arial"/>
          <w:sz w:val="16"/>
          <w:szCs w:val="16"/>
          <w:color w:val="auto"/>
        </w:rPr>
        <w:t>/s/ Laurance Roberts</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-130175</wp:posOffset>
            </wp:positionV>
            <wp:extent cx="27686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70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66" w:lineRule="exact"/>
        <w:rPr>
          <w:sz w:val="20"/>
          <w:szCs w:val="20"/>
          <w:color w:val="auto"/>
        </w:rPr>
      </w:pPr>
    </w:p>
    <w:p>
      <w:pPr>
        <w:ind w:left="180" w:hanging="174"/>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100" w:firstLine="6"/>
        <w:spacing w:after="0" w:line="310"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00" w:firstLine="6"/>
        <w:spacing w:after="0" w:line="310" w:lineRule="auto"/>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0"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right="780" w:firstLine="6"/>
        <w:spacing w:after="0" w:line="324"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/s/Bernard Acoca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-113665</wp:posOffset>
            </wp:positionV>
            <wp:extent cx="59664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794385</wp:posOffset>
            </wp:positionV>
            <wp:extent cx="596646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966460"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59664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400"/>
          </w:cols>
          <w:pgMar w:left="1240" w:top="405" w:right="12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66" w:lineRule="exact"/>
        <w:rPr>
          <w:sz w:val="20"/>
          <w:szCs w:val="20"/>
          <w:color w:val="auto"/>
        </w:rPr>
      </w:pPr>
    </w:p>
    <w:p>
      <w:pPr>
        <w:ind w:left="180" w:hanging="174"/>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65" w:lineRule="exact"/>
        <w:rPr>
          <w:rFonts w:ascii="Arial" w:cs="Arial" w:eastAsia="Arial" w:hAnsi="Arial"/>
          <w:sz w:val="18"/>
          <w:szCs w:val="18"/>
          <w:color w:val="auto"/>
        </w:rPr>
      </w:pPr>
    </w:p>
    <w:p>
      <w:pPr>
        <w:jc w:val="both"/>
        <w:ind w:right="340" w:firstLine="6"/>
        <w:spacing w:after="0" w:line="310"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60" w:firstLine="6"/>
        <w:spacing w:after="0" w:line="310"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100" w:firstLine="6"/>
        <w:spacing w:after="0" w:line="310"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firstLine="6"/>
        <w:spacing w:after="0" w:line="336" w:lineRule="auto"/>
        <w:tabs>
          <w:tab w:leader="none" w:pos="2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right="60" w:firstLine="6"/>
        <w:spacing w:after="0" w:line="336"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jc w:val="both"/>
        <w:ind w:right="100" w:firstLine="6"/>
        <w:spacing w:after="0" w:line="310"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right="340" w:firstLine="6"/>
        <w:spacing w:after="0" w:line="306"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sz w:val="20"/>
          <w:szCs w:val="20"/>
          <w:color w:val="auto"/>
        </w:rPr>
      </w:pPr>
    </w:p>
    <w:p>
      <w:pPr>
        <w:ind w:right="500" w:firstLine="6"/>
        <w:spacing w:after="0" w:line="310"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sz w:val="20"/>
          <w:szCs w:val="20"/>
          <w:color w:val="auto"/>
        </w:rPr>
      </w:pPr>
    </w:p>
    <w:p>
      <w:pPr>
        <w:ind w:right="420" w:firstLine="6"/>
        <w:spacing w:after="0" w:line="310"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right="780" w:firstLine="6"/>
        <w:spacing w:after="0" w:line="324"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674370</wp:posOffset>
            </wp:positionV>
            <wp:extent cx="596646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p>
      <w:pPr>
        <w:sectPr>
          <w:pgSz w:w="11900" w:h="16838" w:orient="portrait"/>
          <w:cols w:equalWidth="0" w:num="1">
            <w:col w:w="9400"/>
          </w:cols>
          <w:pgMar w:left="1240" w:top="405" w:right="1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66" w:lineRule="exact"/>
        <w:rPr>
          <w:sz w:val="20"/>
          <w:szCs w:val="20"/>
          <w:color w:val="auto"/>
        </w:rPr>
      </w:pPr>
    </w:p>
    <w:p>
      <w:pPr>
        <w:ind w:right="240"/>
        <w:spacing w:after="0" w:line="329" w:lineRule="auto"/>
        <w:rPr>
          <w:sz w:val="20"/>
          <w:szCs w:val="20"/>
          <w:color w:val="auto"/>
        </w:rPr>
      </w:pPr>
      <w:r>
        <w:rPr>
          <w:rFonts w:ascii="Arial" w:cs="Arial" w:eastAsia="Arial" w:hAnsi="Arial"/>
          <w:sz w:val="17"/>
          <w:szCs w:val="17"/>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President and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14605</wp:posOffset>
            </wp:positionV>
            <wp:extent cx="59321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966460" cy="25400"/>
                    </a:xfrm>
                    <a:prstGeom prst="rect">
                      <a:avLst/>
                    </a:prstGeom>
                    <a:noFill/>
                  </pic:spPr>
                </pic:pic>
              </a:graphicData>
            </a:graphic>
          </wp:anchor>
        </w:drawing>
      </w:r>
    </w:p>
    <w:sectPr>
      <w:pgSz w:w="11900" w:h="16838" w:orient="portrait"/>
      <w:cols w:equalWidth="0" w:num="1">
        <w:col w:w="9400"/>
      </w:cols>
      <w:pgMar w:left="1240" w:top="405"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lowerRoman"/>
      <w:start w:val="1"/>
    </w:lvl>
  </w:abstractNum>
  <w:abstractNum w:abstractNumId="6">
    <w:nsid w:val="6B68079A"/>
    <w:multiLevelType w:val="hybridMultilevel"/>
    <w:lvl w:ilvl="0">
      <w:lvlJc w:val="left"/>
      <w:lvlText w:val="(%1)"/>
      <w:numFmt w:val="lowerRoman"/>
      <w:start w:val="1"/>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Letter"/>
      <w:start w:val="2"/>
    </w:lvl>
  </w:abstractNum>
  <w:abstractNum w:abstractNumId="15">
    <w:nsid w:val="436C6125"/>
    <w:multiLevelType w:val="hybridMultilevel"/>
    <w:lvl w:ilvl="0">
      <w:lvlJc w:val="left"/>
      <w:lvlText w:val="(%1)"/>
      <w:numFmt w:val="lowerRoman"/>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0" Type="http://schemas.openxmlformats.org/officeDocument/2006/relationships/hyperlink" Target="https://www.sec.gov/Archives/edgar/data/1606366/000119312514332367/d779664dex31.htm" TargetMode="External"/><Relationship Id="rId61" Type="http://schemas.openxmlformats.org/officeDocument/2006/relationships/hyperlink" Target="https://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2021-05-07T14:43:48Z</dcterms:created>
  <dcterms:modified xsi:type="dcterms:W3CDTF">2021-05-07T14:43:48Z</dcterms:modified>
</cp:coreProperties>
</file>