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247015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1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27, 2017</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1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240665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tcPr>
          <w:p>
            <w:pPr>
              <w:jc w:val="center"/>
              <w:ind w:right="25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8"/>
        </w:trPr>
        <w:tc>
          <w:tcPr>
            <w:tcW w:w="6760" w:type="dxa"/>
            <w:vAlign w:val="bottom"/>
          </w:tcPr>
          <w:p>
            <w:pPr>
              <w:jc w:val="center"/>
              <w:ind w:right="25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760" w:type="dxa"/>
            <w:vAlign w:val="bottom"/>
          </w:tcPr>
          <w:p>
            <w:pPr>
              <w:jc w:val="center"/>
              <w:ind w:right="257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760" w:type="dxa"/>
            <w:vAlign w:val="bottom"/>
          </w:tcPr>
          <w:p>
            <w:pPr>
              <w:jc w:val="center"/>
              <w:ind w:right="2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760" w:type="dxa"/>
            <w:vAlign w:val="bottom"/>
          </w:tcPr>
          <w:p>
            <w:pPr>
              <w:jc w:val="right"/>
              <w:ind w:right="1099"/>
              <w:spacing w:after="0"/>
              <w:rPr>
                <w:sz w:val="20"/>
                <w:szCs w:val="20"/>
                <w:color w:val="auto"/>
              </w:rPr>
            </w:pPr>
            <w:r>
              <w:rPr>
                <w:rFonts w:ascii="Arial" w:cs="Arial" w:eastAsia="Arial" w:hAnsi="Arial"/>
                <w:sz w:val="18"/>
                <w:szCs w:val="18"/>
                <w:b w:val="1"/>
                <w:bCs w:val="1"/>
                <w:color w:val="auto"/>
              </w:rPr>
              <w:t>(714) 599-5000</w:t>
            </w:r>
          </w:p>
        </w:tc>
        <w:tc>
          <w:tcPr>
            <w:tcW w:w="2300" w:type="dxa"/>
            <w:vAlign w:val="bottom"/>
          </w:tcPr>
          <w:p>
            <w:pPr>
              <w:spacing w:after="0"/>
              <w:rPr>
                <w:sz w:val="24"/>
                <w:szCs w:val="24"/>
                <w:color w:val="auto"/>
              </w:rPr>
            </w:pPr>
          </w:p>
        </w:tc>
      </w:tr>
      <w:tr>
        <w:trPr>
          <w:trHeight w:val="186"/>
        </w:trPr>
        <w:tc>
          <w:tcPr>
            <w:tcW w:w="6760" w:type="dxa"/>
            <w:vAlign w:val="bottom"/>
          </w:tcPr>
          <w:p>
            <w:pPr>
              <w:jc w:val="center"/>
              <w:ind w:left="31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00" w:type="dxa"/>
            <w:vAlign w:val="bottom"/>
          </w:tcPr>
          <w:p>
            <w:pPr>
              <w:spacing w:after="0"/>
              <w:rPr>
                <w:sz w:val="16"/>
                <w:szCs w:val="16"/>
                <w:color w:val="auto"/>
              </w:rPr>
            </w:pPr>
          </w:p>
        </w:tc>
      </w:tr>
    </w:tbl>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18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5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360"/>
          </w:cols>
          <w:pgMar w:left="240" w:top="1044" w:right="299" w:bottom="1440" w:gutter="0" w:footer="0" w:header="0"/>
        </w:sectPr>
      </w:pPr>
    </w:p>
    <w:bookmarkStart w:id="1" w:name="page2"/>
    <w:bookmarkEnd w:id="1"/>
    <w:p>
      <w:pPr>
        <w:ind w:firstLine="500"/>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0" w:right="1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October 23, 2017, there were 38,652,918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40"/>
          </w:cols>
          <w:pgMar w:left="240" w:top="8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9"/>
              </w:rPr>
              <w:t>Table of Contents</w:t>
            </w:r>
          </w:p>
        </w:tc>
        <w:tc>
          <w:tcPr>
            <w:tcW w:w="7900" w:type="dxa"/>
            <w:vAlign w:val="bottom"/>
            <w:gridSpan w:val="15"/>
          </w:tcPr>
          <w:p>
            <w:pPr>
              <w:spacing w:after="0"/>
              <w:rPr>
                <w:sz w:val="14"/>
                <w:szCs w:val="14"/>
                <w:color w:val="auto"/>
              </w:rPr>
            </w:pPr>
          </w:p>
        </w:tc>
        <w:tc>
          <w:tcPr>
            <w:tcW w:w="23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4"/>
          </w:tcPr>
          <w:p>
            <w:pPr>
              <w:spacing w:after="0"/>
              <w:rPr>
                <w:sz w:val="21"/>
                <w:szCs w:val="21"/>
                <w:color w:val="auto"/>
              </w:rPr>
            </w:pPr>
          </w:p>
        </w:tc>
        <w:tc>
          <w:tcPr>
            <w:tcW w:w="6020" w:type="dxa"/>
            <w:vAlign w:val="bottom"/>
            <w:gridSpan w:val="7"/>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60" w:type="dxa"/>
            <w:vAlign w:val="bottom"/>
            <w:gridSpan w:val="16"/>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 Management’s Discussion and Analysis of Financial Condition and Results of Operations.</w:t>
              </w:r>
            </w:hyperlink>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5"/>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40" w:type="dxa"/>
            <w:vAlign w:val="bottom"/>
            <w:tcBorders>
              <w:left w:val="single" w:sz="8" w:color="0000EE"/>
            </w:tcBorders>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4. Controls and Procedures.</w:t>
              </w:r>
            </w:hyperlink>
          </w:p>
        </w:tc>
        <w:tc>
          <w:tcPr>
            <w:tcW w:w="2580" w:type="dxa"/>
            <w:vAlign w:val="bottom"/>
            <w:gridSpan w:val="8"/>
          </w:tcPr>
          <w:p>
            <w:pPr>
              <w:spacing w:after="0"/>
              <w:rPr>
                <w:sz w:val="21"/>
                <w:szCs w:val="21"/>
                <w:color w:val="auto"/>
              </w:rPr>
            </w:pPr>
          </w:p>
        </w:tc>
        <w:tc>
          <w:tcPr>
            <w:tcW w:w="4040" w:type="dxa"/>
            <w:vAlign w:val="bottom"/>
            <w:gridSpan w:val="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PART II—OTHER INFORMATION</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 Legal Proceedings.</w:t>
              </w:r>
            </w:hyperlink>
          </w:p>
        </w:tc>
        <w:tc>
          <w:tcPr>
            <w:tcW w:w="63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260" w:type="dxa"/>
            <w:vAlign w:val="bottom"/>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9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Unregistered Sales of Equity Securities and Use of Proceeds.</w:t>
              </w:r>
            </w:hyperlink>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 Defaults Upon Senior Securities.</w:t>
              </w:r>
            </w:hyperlink>
          </w:p>
        </w:tc>
        <w:tc>
          <w:tcPr>
            <w:tcW w:w="2020" w:type="dxa"/>
            <w:vAlign w:val="bottom"/>
            <w:gridSpan w:val="6"/>
          </w:tcPr>
          <w:p>
            <w:pPr>
              <w:spacing w:after="0"/>
              <w:rPr>
                <w:sz w:val="21"/>
                <w:szCs w:val="21"/>
                <w:color w:val="auto"/>
              </w:rPr>
            </w:pPr>
          </w:p>
        </w:tc>
        <w:tc>
          <w:tcPr>
            <w:tcW w:w="4040" w:type="dxa"/>
            <w:vAlign w:val="bottom"/>
            <w:gridSpan w:val="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 Mine Safety Disclosures.</w:t>
              </w:r>
            </w:hyperlink>
          </w:p>
        </w:tc>
        <w:tc>
          <w:tcPr>
            <w:tcW w:w="6060" w:type="dxa"/>
            <w:vAlign w:val="bottom"/>
            <w:gridSpan w:val="8"/>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10"/>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5. Other Information.</w:t>
              </w:r>
            </w:hyperlink>
          </w:p>
        </w:tc>
        <w:tc>
          <w:tcPr>
            <w:tcW w:w="6620" w:type="dxa"/>
            <w:vAlign w:val="bottom"/>
            <w:gridSpan w:val="10"/>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80" w:type="dxa"/>
            <w:vAlign w:val="bottom"/>
            <w:gridSpan w:val="1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7080" w:type="dxa"/>
            <w:vAlign w:val="bottom"/>
            <w:gridSpan w:val="1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Signatures</w:t>
              </w:r>
            </w:hyperlink>
          </w:p>
        </w:tc>
        <w:tc>
          <w:tcPr>
            <w:tcW w:w="440" w:type="dxa"/>
            <w:vAlign w:val="bottom"/>
            <w:gridSpan w:val="2"/>
          </w:tcPr>
          <w:p>
            <w:pPr>
              <w:spacing w:after="0"/>
              <w:rPr>
                <w:sz w:val="21"/>
                <w:szCs w:val="21"/>
                <w:color w:val="auto"/>
              </w:rPr>
            </w:pPr>
          </w:p>
        </w:tc>
        <w:tc>
          <w:tcPr>
            <w:tcW w:w="7780" w:type="dxa"/>
            <w:vAlign w:val="bottom"/>
            <w:gridSpan w:val="14"/>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723"/>
        </w:trPr>
        <w:tc>
          <w:tcPr>
            <w:tcW w:w="760" w:type="dxa"/>
            <w:vAlign w:val="bottom"/>
            <w:tcBorders>
              <w:top w:val="single" w:sz="8" w:color="0000EE"/>
            </w:tcBorders>
          </w:tcPr>
          <w:p>
            <w:pPr>
              <w:spacing w:after="0"/>
              <w:rPr>
                <w:sz w:val="24"/>
                <w:szCs w:val="24"/>
                <w:color w:val="auto"/>
              </w:rPr>
            </w:pPr>
          </w:p>
        </w:tc>
        <w:tc>
          <w:tcPr>
            <w:tcW w:w="6300" w:type="dxa"/>
            <w:vAlign w:val="bottom"/>
            <w:gridSpan w:val="15"/>
          </w:tcPr>
          <w:p>
            <w:pPr>
              <w:jc w:val="right"/>
              <w:ind w:right="134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20" w:type="dxa"/>
            <w:vAlign w:val="bottom"/>
          </w:tcPr>
          <w:p>
            <w:pPr>
              <w:spacing w:after="0"/>
              <w:rPr>
                <w:sz w:val="16"/>
                <w:szCs w:val="16"/>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3"/>
              </w:rPr>
              <w:t>December 28, 2016</w:t>
            </w: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700" w:type="dxa"/>
            <w:vAlign w:val="bottom"/>
            <w:tcBorders>
              <w:bottom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other receivables, net</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2,112</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14,428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118,470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Property held under capital leases, net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248,674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61,888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61,888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25,905</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3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453,672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471,305</w:t>
            </w: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3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obligations under capital leases</w:t>
            </w:r>
          </w:p>
        </w:tc>
        <w:tc>
          <w:tcPr>
            <w:tcW w:w="3700" w:type="dxa"/>
            <w:vAlign w:val="bottom"/>
            <w:tcBorders>
              <w:bottom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11,637</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and vacation</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5,444</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 payable</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22,021</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45,318</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104,000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liabilities, net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1,012</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3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179,003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206,123</w:t>
            </w: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3700" w:type="dxa"/>
            <w:vAlign w:val="bottom"/>
            <w:gridSpan w:val="2"/>
            <w:shd w:val="clear" w:color="auto" w:fill="CCEEFF"/>
          </w:tcPr>
          <w:p>
            <w:pPr>
              <w:jc w:val="right"/>
              <w:ind w:right="2936"/>
              <w:spacing w:after="0"/>
              <w:rPr>
                <w:sz w:val="20"/>
                <w:szCs w:val="20"/>
                <w:color w:val="auto"/>
              </w:rPr>
            </w:pPr>
            <w:r>
              <w:rPr>
                <w:rFonts w:ascii="Arial" w:cs="Arial" w:eastAsia="Arial" w:hAnsi="Arial"/>
                <w:sz w:val="18"/>
                <w:szCs w:val="18"/>
                <w:color w:val="auto"/>
                <w:w w:val="90"/>
              </w:rPr>
              <w:t>issued or</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3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9"/>
        </w:trPr>
        <w:tc>
          <w:tcPr>
            <w:tcW w:w="8820" w:type="dxa"/>
            <w:vAlign w:val="bottom"/>
            <w:gridSpan w:val="3"/>
          </w:tcPr>
          <w:p>
            <w:pPr>
              <w:ind w:left="40"/>
              <w:spacing w:after="0"/>
              <w:rPr>
                <w:sz w:val="20"/>
                <w:szCs w:val="20"/>
                <w:color w:val="auto"/>
              </w:rPr>
            </w:pPr>
            <w:r>
              <w:rPr>
                <w:rFonts w:ascii="Arial" w:cs="Arial" w:eastAsia="Arial" w:hAnsi="Arial"/>
                <w:sz w:val="18"/>
                <w:szCs w:val="18"/>
                <w:color w:val="auto"/>
              </w:rPr>
              <w:t>Common stock, $0.01 par value—200,000,000 shares authorized; 38,652,918</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and 38,473,772 shares issued and outstanding</w:t>
            </w:r>
          </w:p>
        </w:tc>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385</w:t>
            </w: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372,671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371,843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(107,046)</w:t>
            </w: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3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265,182</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3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453,672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471,305</w:t>
            </w:r>
          </w:p>
        </w:tc>
      </w:tr>
      <w:tr>
        <w:trPr>
          <w:trHeight w:val="20"/>
        </w:trPr>
        <w:tc>
          <w:tcPr>
            <w:tcW w:w="5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360"/>
          </w:cols>
          <w:pgMar w:left="240" w:top="580"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80"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2016</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28, 2016</w:t>
            </w: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94,982</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89,738</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287,316</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268,984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95,816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306,499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287,644</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Food and paper cost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84,069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80,760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64,358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58,401</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lost profit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70,984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229,366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211,982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2,960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fire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6"/>
              </w:rPr>
              <w:t>Loss (gain) on recovery of insurance proceeds, property, equipment and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16,038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2,624</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254,969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gain on disposition of restaurants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32,703</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2"/>
              </w:rPr>
              <w:t>Interest expense, net of interest income of $6 and $7 for the quarters ended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620" w:type="dxa"/>
            <w:vAlign w:val="bottom"/>
          </w:tcPr>
          <w:p>
            <w:pPr>
              <w:ind w:left="40"/>
              <w:spacing w:after="0"/>
              <w:rPr>
                <w:sz w:val="20"/>
                <w:szCs w:val="20"/>
                <w:color w:val="auto"/>
              </w:rPr>
            </w:pPr>
            <w:r>
              <w:rPr>
                <w:rFonts w:ascii="Arial" w:cs="Arial" w:eastAsia="Arial" w:hAnsi="Arial"/>
                <w:sz w:val="18"/>
                <w:szCs w:val="18"/>
                <w:color w:val="auto"/>
                <w:w w:val="90"/>
              </w:rPr>
              <w:t>September 27, 2017 and September 28, 2016, respectively and $17 and $22</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620" w:type="dxa"/>
            <w:vAlign w:val="bottom"/>
          </w:tcPr>
          <w:p>
            <w:pPr>
              <w:ind w:left="40"/>
              <w:spacing w:after="0"/>
              <w:rPr>
                <w:sz w:val="20"/>
                <w:szCs w:val="20"/>
                <w:color w:val="auto"/>
              </w:rPr>
            </w:pPr>
            <w:r>
              <w:rPr>
                <w:rFonts w:ascii="Arial" w:cs="Arial" w:eastAsia="Arial" w:hAnsi="Arial"/>
                <w:sz w:val="18"/>
                <w:szCs w:val="18"/>
                <w:color w:val="auto"/>
              </w:rPr>
              <w:t>for year-to-date ended September 27, 2017 and September 28, 2016,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(Loss) income before (benefit) provision for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29,851</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11,930</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17,921</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0.47</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89"/>
              </w:rPr>
              <w:t>Weighted-average shares used in computing net (loss) income per share</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38,462,100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38,415,189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38,449,453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38,331,400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38,462,100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39,083,577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39,101,214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39,020,127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27, 2017</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b w:val="1"/>
                <w:bCs w:val="1"/>
                <w:color w:val="auto"/>
                <w:w w:val="90"/>
              </w:rPr>
              <w:t>September 28,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17,921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13,646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11,796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Fire insurance proceeds for expenses paid and lost profit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disposition of restaurants</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recovery of insurance proceeds, property, equipment and expenses</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lost profits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of property and equipment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Closed-store reserve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and other 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Income taxes (receivable) payable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(6,269)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salaries and vacation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restaurant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Fire insurance proceeds for property and equipment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(24,257)</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on revolver loan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upon exercise of stock options, net of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obligations under capital leases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6,101</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6,529</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688" w:right="239" w:bottom="1440" w:gutter="0" w:footer="0" w:header="0"/>
          <w:type w:val="continuous"/>
        </w:sectPr>
      </w:pPr>
    </w:p>
    <w:bookmarkStart w:id="6" w:name="page7"/>
    <w:bookmarkEnd w:id="6"/>
    <w:p>
      <w:pPr>
        <w:ind w:left="9100"/>
        <w:spacing w:after="0"/>
        <w:rPr>
          <w:sz w:val="20"/>
          <w:szCs w:val="20"/>
          <w:color w:val="auto"/>
        </w:rPr>
      </w:pPr>
      <w:r>
        <w:rPr>
          <w:rFonts w:ascii="Arial" w:cs="Arial" w:eastAsia="Arial" w:hAnsi="Arial"/>
          <w:sz w:val="14"/>
          <w:szCs w:val="14"/>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27, 2017</w:t>
            </w:r>
          </w:p>
        </w:tc>
        <w:tc>
          <w:tcPr>
            <w:tcW w:w="140" w:type="dxa"/>
            <w:vAlign w:val="bottom"/>
          </w:tcPr>
          <w:p>
            <w:pPr>
              <w:spacing w:after="0"/>
              <w:rPr>
                <w:sz w:val="16"/>
                <w:szCs w:val="16"/>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September 28, 2016</w:t>
            </w:r>
          </w:p>
        </w:tc>
      </w:tr>
      <w:tr>
        <w:trPr>
          <w:trHeight w:val="26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2,355</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173</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4,599</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3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7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200"/>
        <w:spacing w:after="0" w:line="302"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September 27, 2017, the Company operated 208 and franchised 265 El Pollo Loco restaurants.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28, 2016.</w:t>
      </w:r>
    </w:p>
    <w:p>
      <w:pPr>
        <w:spacing w:after="0" w:line="19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2016 and 2017 are both 52-week years, ending on December 28, 2016 and December 27, 2017, respectively. Revenues, expenses, and other financial and operational figures may be elevated in a 53-week year.</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ind w:right="380"/>
        <w:spacing w:after="0" w:line="277" w:lineRule="auto"/>
        <w:rPr>
          <w:sz w:val="20"/>
          <w:szCs w:val="20"/>
          <w:color w:val="auto"/>
        </w:rPr>
      </w:pPr>
      <w:r>
        <w:rPr>
          <w:rFonts w:ascii="Arial" w:cs="Arial" w:eastAsia="Arial" w:hAnsi="Arial"/>
          <w:sz w:val="18"/>
          <w:szCs w:val="18"/>
          <w:color w:val="auto"/>
        </w:rPr>
        <w:t>impairment of goodwill, intangible assets and property and equipment, insurance reserves, lease termination liabilities, closed-store reserves, stock-based compensation, income tax receivable agreement liability, and income tax valuation allowances.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The Company’s restricted cash represented cash collateral to one commercial bank for Company credit cards. During the thirty-nine weeks ended September 27, 2017, the cash collateral was returned by the bank, and the Company reclassified such amounts to cash and cash equivalents.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Company’s principal liquidity requirements are to service its debt and to meet capital expenditure needs. At September 27, 2017, the Company’s total debt (including capital lease liabilities) was $85.3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$7.1 million at September 27, 2017, and available borrowings under the 2014 Revolver (which availability was approximately $106.9 million at September 27, 2017) will be adequate to meet the Company’s liquidity needs for the next 12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Gain on Recovery of Insurance Proceeds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November 2015, one of the Company’s restaurants incurred damage resulting from a fire. During the thirty-nine weeks ended September 28, 2016, the Company incurred costs directly related to the fire of less than $0.1 million, disposed of an additional $0.1 million in assets, and recognized gains of $0.7 million, related to the reimbursement of property and equipment, and $0.5 million, related to the reimbursement of lost profits. The reimbursement of lost profits is included in the accompanying consolidated financial statements of operations, for the thirteen and thirty-nine weeks ended September 28, 2016, as a reduction of company restaurant expenses. The Company received from the insurance company cash of $1.0 million during the thirty-nine weeks ended September 28, 2016, and $0.4 million on October 5, 2016, net of the insurance deductible. The $0.4 million is included in accounts and other receivables in the condensed consolidated balance sheet as of September 28, 2016. The restaurant was reopened for business on March 14,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thirteen and thirty-nine weeks ended September 27, 2017, the Company received insurance proceeds of $0.6 million and $1.1 million, respectively, related to the reimbursement of certain legal expenses paid in prior years for the defense of securities lawsuits. The Company subsequently received an additional $0.5 million of insurance reimbursements on October 12, 2017. See Note 7, Commitments and Contingencies, Legal Matters.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May 2017, the FASB issued ASU 2017-09,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ASU 2017-09 is effective for financial statements issued for annual periods beginning after December 15, 2017. The adoption of ASU 2017-09 is not expected to have a significant impact on the Company’s consolidated financial position or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ind w:right="120"/>
        <w:spacing w:after="0" w:line="312" w:lineRule="auto"/>
        <w:rPr>
          <w:sz w:val="20"/>
          <w:szCs w:val="20"/>
          <w:color w:val="auto"/>
        </w:rPr>
      </w:pPr>
      <w:r>
        <w:rPr>
          <w:rFonts w:ascii="Arial" w:cs="Arial" w:eastAsia="Arial" w:hAnsi="Arial"/>
          <w:sz w:val="16"/>
          <w:szCs w:val="16"/>
          <w:color w:val="auto"/>
        </w:rPr>
        <w:t>In January 2017, the FASB issued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January 2017, the FASB issued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The adoption of ASU 2017-01 is not expected to have a significant impact on the Company’s consolidated financial position or results of operations.</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 for financial statements issued for annual periods beginning after December 15, 2017, including interim periods within those annual periods. The adoption of ASU 2016-18 is not expected to have a significant impact on the Company’s consolidated financial position or results of operations.</w:t>
      </w:r>
    </w:p>
    <w:p>
      <w:pPr>
        <w:spacing w:after="0" w:line="16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the Company’s consolidated financial position or results of operations.</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the Company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$307.5 million of operating lease obligations as of September 27, 2017 and upon adoption of this standard will record a ROU asset and lease liability equal to the present value of these leases, which will have a material impact on the consolidated balance sheet. However, the recognition of lease expense in the consolidated statement of operations is not expected to change from the current methodology.</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those fiscal years. The adoption of ASU 2016-01 is not expected to have a significant impact on the Company’s consolidated financial position or results of operations.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with the cumulative effect of initially adopting ASU 2014-09 recognized at the date of adoption (which includes additional footnote disclosures).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the FASB has issued the following Technical Corrections, Practical Expedients and Improvements to Topic 606, Revenue from Contracts with Customers: ASU 2017-13 in September 2017,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15, 2016.</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generates a substantial amount of its revenues from company-operated restaurants. This revenue stream is not expected to be impacted by the adoption of ASU No. 2014-09, or any of the subsequent related ASU’s. The Company has completed its initial analysis of the impact of the standard on franchise revenue. The revenue recognition for franchise fees that are based on future sales is not impacted. However, revenue recognition for franchise and development fees that are not related to subsequent sales will be impacted. The Company does not believe the adoption of ASU 2014-09 will have a material impact to future results of operations. In addition, the Company has determined to take a modified retrospective approach of transition and will recognize an adjustment to retained earnings, related to the cumulative effect of adopting ASU 2014-09 at the date of adoption. The Company is in the process of analyzing the disclosure requirements and the impact on advertising fees, and plans to complete its analysis by the end of fiscal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Subsequent to September 27, 2017, the Company received an additional $0.5 million of insurance proceeds related to the reimbursement of certain legal expenses paid in prior years for the defense of securities lawsuits. In addition one of our franchisees closed one restaurant in California.</w:t>
      </w:r>
    </w:p>
    <w:p>
      <w:pPr>
        <w:spacing w:after="0" w:line="12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evaluated subsequent events that have occurred after September 27, 2017, and determined that there were no other events or transactions occurring during this reporting period that require recognition or disclosure in the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had one supplier for which amounts due totaled 17.4% of the Company's accounts payable at September 27, 2017. As of December 28, 2016, the Company had one supplier for which amounts due totaled 16% of the Company’s accounts payable. Purchases from the Company’s largest supplier totaled 27% of total expenses for the thirteen weeks ended September 27, 2017, and 33% of total expenses for the thirteen weeks ended September 28, 2016. Purchases from the Company’s largest supplier totaled 30% of total expenses for the thirty-nine weeks ended September 27, 2017, and 33% of total expenses for the thirty-nine weeks ended September 28, 2016, of the Company’s purchases. Company-operated and franchised restaurants in the greater Los Angeles area generated, in the aggregate, approximately 73% and 75% of total revenue for the thirteen and thirty-nine weeks ended September 27, 2017 and September 28, 2016,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historical acquisitions.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Upon a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performs annual impairment tests for goodwill during the fourth fiscal quarter of each fiscal year, or more frequently if impairment indicators arise.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140"/>
        <w:spacing w:after="0" w:line="276" w:lineRule="auto"/>
        <w:rPr>
          <w:sz w:val="20"/>
          <w:szCs w:val="20"/>
          <w:color w:val="auto"/>
        </w:rPr>
      </w:pPr>
      <w:r>
        <w:rPr>
          <w:rFonts w:ascii="Arial" w:cs="Arial" w:eastAsia="Arial" w:hAnsi="Arial"/>
          <w:sz w:val="17"/>
          <w:szCs w:val="17"/>
          <w:color w:val="auto"/>
        </w:rPr>
        <w:t>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performs annual impairment tests for indefinite lived intangible assets during the fourth fiscal quarter of each fiscal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did not identify any indicators of potential impairment of its goodwill or indefinite-lived intangible assets during the thirteen and thirty-nine weeks ended September 27, 2017 or September 28, 2016, and therefore did not record any impairment during the respective periods.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27, 2017 and December 28, 2016, the Company had no assets or liabilities measured at fair value on a recurring basis.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thirty-nine weeks</w:t>
      </w:r>
    </w:p>
    <w:p>
      <w:pPr>
        <w:spacing w:after="0" w:line="23"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ended September 27, 2017 and September 28, 2016 (in thousands), reflecting certain property and equipment assets for which an impairment loss was recognized during the corresponding period, as discussed immediately below under "Impairment of Long-Lived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3"/>
              </w:rPr>
              <w:t>Fair Value Measurements at September</w:t>
            </w:r>
          </w:p>
        </w:tc>
        <w:tc>
          <w:tcPr>
            <w:tcW w:w="220" w:type="dxa"/>
            <w:vAlign w:val="bottom"/>
          </w:tcPr>
          <w:p>
            <w:pPr>
              <w:spacing w:after="0"/>
              <w:rPr>
                <w:sz w:val="14"/>
                <w:szCs w:val="14"/>
                <w:color w:val="auto"/>
              </w:rPr>
            </w:pPr>
          </w:p>
        </w:tc>
        <w:tc>
          <w:tcPr>
            <w:tcW w:w="3980" w:type="dxa"/>
            <w:vAlign w:val="bottom"/>
            <w:gridSpan w:val="3"/>
            <w:vMerge w:val="restart"/>
          </w:tcPr>
          <w:p>
            <w:pPr>
              <w:jc w:val="right"/>
              <w:ind w:right="1482"/>
              <w:spacing w:after="0"/>
              <w:rPr>
                <w:sz w:val="20"/>
                <w:szCs w:val="20"/>
                <w:color w:val="auto"/>
              </w:rPr>
            </w:pPr>
            <w:r>
              <w:rPr>
                <w:rFonts w:ascii="Arial" w:cs="Arial" w:eastAsia="Arial" w:hAnsi="Arial"/>
                <w:sz w:val="14"/>
                <w:szCs w:val="14"/>
                <w:b w:val="1"/>
                <w:bCs w:val="1"/>
                <w:color w:val="auto"/>
              </w:rPr>
              <w:t>Impairment Loss</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0"/>
              </w:rPr>
              <w:t>27, 2017 Using</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Thirteen Weeks Ended</w:t>
            </w:r>
          </w:p>
        </w:tc>
        <w:tc>
          <w:tcPr>
            <w:tcW w:w="2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Thirty-Nine Weeks Ended</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September 27, 2017</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27, 2017</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15,035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15,480</w:t>
            </w:r>
          </w:p>
        </w:tc>
        <w:tc>
          <w:tcPr>
            <w:tcW w:w="0" w:type="dxa"/>
            <w:vAlign w:val="bottom"/>
          </w:tcPr>
          <w:p>
            <w:pPr>
              <w:spacing w:after="0"/>
              <w:rPr>
                <w:sz w:val="1"/>
                <w:szCs w:val="1"/>
                <w:color w:val="auto"/>
              </w:rPr>
            </w:pPr>
          </w:p>
        </w:tc>
      </w:tr>
      <w:tr>
        <w:trPr>
          <w:trHeight w:val="783"/>
        </w:trPr>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4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93"/>
              </w:rPr>
              <w:t>Fair Value Measurements at September</w:t>
            </w:r>
          </w:p>
        </w:tc>
        <w:tc>
          <w:tcPr>
            <w:tcW w:w="3980" w:type="dxa"/>
            <w:vAlign w:val="bottom"/>
            <w:gridSpan w:val="3"/>
            <w:vMerge w:val="restart"/>
          </w:tcPr>
          <w:p>
            <w:pPr>
              <w:jc w:val="right"/>
              <w:ind w:right="1482"/>
              <w:spacing w:after="0"/>
              <w:rPr>
                <w:sz w:val="20"/>
                <w:szCs w:val="20"/>
                <w:color w:val="auto"/>
              </w:rPr>
            </w:pPr>
            <w:r>
              <w:rPr>
                <w:rFonts w:ascii="Arial" w:cs="Arial" w:eastAsia="Arial" w:hAnsi="Arial"/>
                <w:sz w:val="14"/>
                <w:szCs w:val="14"/>
                <w:b w:val="1"/>
                <w:bCs w:val="1"/>
                <w:color w:val="auto"/>
              </w:rPr>
              <w:t>Impairment Loss</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0"/>
              </w:rPr>
              <w:t>28, 2016 Using</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Thirteen Weeks Ended</w:t>
            </w:r>
          </w:p>
        </w:tc>
        <w:tc>
          <w:tcPr>
            <w:tcW w:w="2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Thirty-Nine Weeks Ended</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September 28, 2016</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28, 2016</w:t>
            </w: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08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18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the Company's impairment review analysis. If actual performance does not achieve the projections, the Company may recognize impairment charges in future periods, and such charges could be material. Based on the results of the analysis, during the thirteen weeks ended September 27, 2017, the Company recorded a non-cash impairment charge of $15.0 million, primarily related to the non-recoverable assets of 10 stores in Texas and California. In addition, for the thirty-nine weeks ended September 27, 2017 the Company recorded a non-cash impairment charge of $15.5 million, primarily related to the non-recoverable assets of 11 stores, in Texas and California. For the thirteen and thirty-nine weeks ended September 28, 2016, the Company recorded a $2.5 million non-cash impairment charge, primarily related to non-recoverable assets of two restaurants in Arizona and Texas. The Company continues to monitor the recoverability of the carrying value of the assets of several restaurants on an ongoing basis. In particular, most of the Company’s (and its franchisees’) restaurants in Texas have been open since the beginning of 2015, and many since the beginning of 2016. Accordingly, given the difficulty in projecting results for newer restaurants in newer markets, the Company intends to continue to closely monitor the performance of its Texas portfolio. Based on the most recent results in the Texas market, if management's plans to grow sales and improve profitability are not successful, future significant impairment to the Company’s assets may occur as a result of the performance of these restaurants and the related future cash flow assumptions over the remaining lease term.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Closed-Store Reserves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When the Company makes the determination to close a restaurant, it reviews the future minimum lease payments and related ancillary costs from the date of the restaurant closure to the end of the remaining lease term and records a lease charge for the lease liabilities to be incurred, net of any estimated sublease recoveries. There is uncertainty in the estimates of future lease costs and sublease recoveries. In addition an impairment charge is recognized for any remaining carrying value of certain restaurant assets. During the thirteen weeks ended September 27, 2017, the Company closed three restaurants in Texas, recognizing a closed-store reserve of $1.0 million. During the thirty-nine weeks ended September 27, 2017, the Company closed four restaurants in Texas and one in Arizona, recognizing a closed-store reserve of $1.8 million. For the thirty-nine weeks ended September 28, 2016, the Company recognized $0.1 million of expense related to adjustments to closed-store reserves recognized in prior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 In the first quarter of fiscal 2017 the Company implemented ASU 2015-17, "Balance Sheet Classification of Deferred Taxes," resulting in the classification of all deferred tax assets as non-current. As the Company implemented this ASU retrospectively, $21.5 million of deferred tax assets previously classified as current in fiscal year 2016 are now classified as noncurrent liabilities within the Company's consolidated balance sheets.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3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September 27, 2017 or at December 28, 2016, and did not recognize interest or penalties during the thirteen or thirty-nine weeks ended September 27, 2017 or September 28, 2016,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 For the thirteen weeks ended September 27, 2017 we recorded income tax receivable agreement income of less than $0.1 million and for the thirteen weeks ended September 28, 2016 we recorded income tax receivable agreement expense of $0.2 million, and for the thirty-nine weeks ended September 27, 2017 and September 28, 2016, we recorded income tax receivable agreement expense of $0.1 million and $0.4 million, respectively, related to the amortization of interest expense related to our total expected TRA payments and changes in estimates for actual tax returns filed.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27, 2017</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28,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132,297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125,159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11,539</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214,852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(96,382)</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118,470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gross value of assets under capital leases for buildings and improvements was $1.6 million at September 27, 2017 and December 28, 2016. Accumulated depreciation for assets under capital leases was $1.5 million as of September 27, 2017 and December 28, 2016.</w:t>
      </w:r>
    </w:p>
    <w:p>
      <w:pPr>
        <w:spacing w:after="0" w:line="17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Depreciation expense was $4.7 million and $4.1 million for the thirteen weeks ended September 27, 2017 and September 28, 2016, respectively, and $13.6 million and $11.8 million for the thirty-nine weeks ended September 27, 2017 and September 28, 2016, respectively. For the thirteen weeks ended September 27, 2017, capital expenditures totaled $9.3 million, including $0.1 million for restaurant remodeling and $7.1 million for new restaurant expenditures. For the thirty-nine weeks ended September 27, 2017, capital expenditures totaled $28.3 million, including $2.9 million for restaurant remodeling and $21.0 million for new restaurant expenditures. For the thirteen weeks ended September 28, 2016, capital expenditures totaled $12.1 million, including $0.1 million for restaurant remodeling and $10.8 million for new restaurant expenditures. For the thirty-nine weeks ended September 28, 2016, capital expenditures totaled $26.5 million, including $1.6 million for restaurant remodeling and $20.8 million for new restaurant expenditures. Capital expenditures for these periods exclude unpaid purchases of property and equipment.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ind w:right="180"/>
        <w:spacing w:after="0" w:line="312" w:lineRule="auto"/>
        <w:rPr>
          <w:sz w:val="20"/>
          <w:szCs w:val="20"/>
          <w:color w:val="auto"/>
        </w:rPr>
      </w:pPr>
      <w:r>
        <w:rPr>
          <w:rFonts w:ascii="Arial" w:cs="Arial" w:eastAsia="Arial" w:hAnsi="Arial"/>
          <w:sz w:val="16"/>
          <w:szCs w:val="16"/>
          <w:color w:val="auto"/>
        </w:rPr>
        <w:t>Based on the Company’s review of its long-lived assets for impairment, the Company recorded non-cash impairment charges of $15.0 million and $15.5 million for the thirteen and thirty-nine weeks ended September 27, 2017, respectively. For the thirteen and thirty-nine weeks ended September 28, 2016, the Company recorded a $2.5 million non-cash impairment charge, primarily related to non-recoverable assets of two restaurants in Arizona and Texas.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At September 27, 2017, options to purchase 2,302,319 shares of common stock were outstanding, including 1,892,062 vested and 410,257 unvested. Unvested options vest over time. However, upon a change in control, the board may accelerate vesting. At September 27, 2017, 1,563,549 premium options, options granted above the stock price at date of grant, remained outstanding. There were no stock option exercises during the thirteen weeks ended September 27, 2017 and 17,661 stock option exercises during the thirty-nine weeks ended September 27, 2017. For the thirteen and thirty-nine weeks ended September 28, 2016, there were stock option exercises of 32,386 and 147,726 shares, respectively. For the thirteen weeks ended September 27, 2017, there were no stock options granted, and for the thirty-nine weeks ended September 27, 2017, 128,252 stock options were granted at the fair market value on the date of grant. For the thirteen and thirty-nine weeks ended September 28, 2016, there were stock option grants of 9,875 and 329,673, respectively, granted at the fair market value on the date of grant. At September 27, 2017, the Company had total unrecognized compensation expense of $1.4 million related to unvested stock options, which it expects to recognize over a weighted-average period of 2.9 years.</w:t>
      </w:r>
    </w:p>
    <w:p>
      <w:pPr>
        <w:spacing w:after="0" w:line="16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thirteen and thirty-nine weeks ended September 27, 2017, 1,248 and 170,924 restricted shares were granted, respectively, at the fair market value on the date of grant. There were 21,453 and 29,259 restricted shares granted at the fair market value on the date of grant during the thirteen and thirty-nine weeks ended September 28, 2016, respectively. The restricted shares will vest ratably over four years for employees and three years for directors, from their grant date. At September 27, 2017, there were 187,710 unvested restricted shares outstanding. At September 27, 2017, the Company had total unrecognized compensation expense of $2.4 million related to unvested restricted shares, which it expects to recognize over a weighted-average period of 3.4 years.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Total stock-based compensation expense was $0.3 million and $0.7 million for the thirteen and thirty-nine weeks ended September 27, 2017, respectively, and $0.1 million and $0.2 million for the thirteen and thirty-nine weeks ended September 28, 2016, respectively. In connection with the separation of its former audit committee chair, during the thirty-nine weeks ended September 27, 2017, the Company modified previously granted equity awards to allow for additional time to exercise previously vested awards following his separation date. As a result, the Company incurred incremental stock-based compensation expense of less than $0.1 million for the thirty-nine weeks ended September 27,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$200.0 million five-year senior secured revolving facility (the “2014 Revolver”). The 2014 Revolver includes a sub limit of $15.0 million for letters of credit and a sub limit of $15.0 million for swingline loans. At September 27, 2017, $8.1 million of letters of credit, and $85.0 million of the revolving line of credit were outstanding. The amount available under the revolving line of credit was $106.9 million at September 27, 2017. The 2014 Revolver will mature on or about December 11, 2019.</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2.96% to 2.99% and 2.44% to 2.99% for the thirteen and thirty-nine weeks ended September 27, 2017, respectively, and 2.20% to 2.27% and 2.02% to 2.27% for the thirteen and thirty-nine weeks ended September 28, 2016, respectively.</w:t>
      </w:r>
    </w:p>
    <w:p>
      <w:pPr>
        <w:spacing w:after="0" w:line="19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September 27, 2017. See Note 1 for restrictions on the payment of dividends under the 2014 Revolver.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There are no required principal payments prior to maturity for the 2014 Revolver. During the thirteen and thirty-nine weeks ended September 27, 2017, the Company elected to pay down $9.5 million and $19.0 million, respectively, of outstanding borrowings on the Company's 2014 Revolver, primarily from its cash flow from operations. During the thirteen and thirty-nine weeks ended September 28, 2016, the Company elected to pay down $9.5 million and $16.0 million, respectively, of outstanding borrowings on the Company's 2014 Revolver.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27, 2017</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receivable agreement payable</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20,506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Gift card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32,732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22,021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27, 2017</w:t>
            </w:r>
          </w:p>
        </w:tc>
        <w:tc>
          <w:tcPr>
            <w:tcW w:w="14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receivable agreement payable</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26,306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30,739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36,988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7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100"/>
        <w:spacing w:after="0" w:line="253" w:lineRule="auto"/>
        <w:rPr>
          <w:sz w:val="20"/>
          <w:szCs w:val="20"/>
          <w:color w:val="auto"/>
        </w:rPr>
      </w:pPr>
      <w:r>
        <w:rPr>
          <w:rFonts w:ascii="Arial" w:cs="Arial" w:eastAsia="Arial" w:hAnsi="Arial"/>
          <w:sz w:val="18"/>
          <w:szCs w:val="18"/>
          <w:color w:val="auto"/>
        </w:rPr>
        <w:t xml:space="preserve">On or about February 24, 2014, a former employee filed a class action in the Superior Court of the State of California, County of Orange, under the caption </w:t>
      </w:r>
      <w:r>
        <w:rPr>
          <w:rFonts w:ascii="Arial" w:cs="Arial" w:eastAsia="Arial" w:hAnsi="Arial"/>
          <w:sz w:val="18"/>
          <w:szCs w:val="18"/>
          <w:u w:val="single" w:color="auto"/>
          <w:color w:val="auto"/>
        </w:rPr>
        <w:t>Elliott Olvera, et al v. El Pollo Loco, Inc., et al</w:t>
      </w:r>
      <w:r>
        <w:rPr>
          <w:rFonts w:ascii="Arial" w:cs="Arial" w:eastAsia="Arial" w:hAnsi="Arial"/>
          <w:sz w:val="18"/>
          <w:szCs w:val="18"/>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litigation is moving forward with the filing deadline for plaintiff’s class certification motion postponed until February 1, 2018. Purported class actions alleging wage and hour violations are commonly filed against California employers. The Company has similar cases pending and fully expects to have to defend against similar lawsuits in the future.</w:t>
      </w:r>
    </w:p>
    <w:p>
      <w:pPr>
        <w:spacing w:after="0" w:line="19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4" w:right="239" w:bottom="1440" w:gutter="0" w:footer="0" w:header="0"/>
        </w:sectPr>
      </w:pPr>
    </w:p>
    <w:bookmarkStart w:id="16" w:name="page17"/>
    <w:bookmarkEnd w:id="16"/>
    <w:p>
      <w:pPr>
        <w:spacing w:after="0" w:line="276" w:lineRule="auto"/>
        <w:rPr>
          <w:sz w:val="20"/>
          <w:szCs w:val="20"/>
          <w:color w:val="auto"/>
        </w:rPr>
      </w:pPr>
      <w:r>
        <w:rPr>
          <w:rFonts w:ascii="Arial" w:cs="Arial" w:eastAsia="Arial" w:hAnsi="Arial"/>
          <w:sz w:val="17"/>
          <w:szCs w:val="17"/>
          <w:color w:val="auto"/>
        </w:rPr>
        <w:t>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7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Defendants intend to continue to defend against the claims asserted.</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No trial date for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has been set.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September 27, 2017, the Company’s total estimated commitment to purchase chicken was $11.3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September 27, 2017, the potential amount of undiscounted payments the Company could be required to make in the event of non-payment by the primary lessee was $2.9 million. The present value of these potential payments discounted at the Company’s estimated pre-tax cost of debt at September 27, 2017 was $2.5 million. The Company’s franchisees are primarily liable on the leases. The Company has cross-default provisions 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00" w:right="259" w:bottom="1440" w:gutter="0" w:footer="0" w:header="0"/>
        </w:sectPr>
      </w:pPr>
    </w:p>
    <w:bookmarkStart w:id="17" w:name="page18"/>
    <w:bookmarkEnd w:id="17"/>
    <w:p>
      <w:pPr>
        <w:ind w:right="80"/>
        <w:spacing w:after="0" w:line="264" w:lineRule="auto"/>
        <w:rPr>
          <w:sz w:val="20"/>
          <w:szCs w:val="20"/>
          <w:color w:val="auto"/>
        </w:rPr>
      </w:pPr>
      <w:r>
        <w:rPr>
          <w:rFonts w:ascii="Arial" w:cs="Arial" w:eastAsia="Arial" w:hAnsi="Arial"/>
          <w:sz w:val="18"/>
          <w:szCs w:val="18"/>
          <w:color w:val="auto"/>
        </w:rPr>
        <w:t>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INCOME PER SHARE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Basic net (loss) income per share is calculated using the weighted-average number of shares of common stock outstanding during the thirteen weeks ended September 27, 2017 and September 28, 2016. Diluted net (loss)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(loss) income per share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260" w:type="dxa"/>
            <w:vAlign w:val="bottom"/>
          </w:tcPr>
          <w:p>
            <w:pPr>
              <w:spacing w:after="0"/>
              <w:rPr>
                <w:sz w:val="22"/>
                <w:szCs w:val="22"/>
                <w:color w:val="auto"/>
              </w:rPr>
            </w:pPr>
          </w:p>
        </w:tc>
        <w:tc>
          <w:tcPr>
            <w:tcW w:w="14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September 27, 2017</w:t>
            </w:r>
          </w:p>
        </w:tc>
        <w:tc>
          <w:tcPr>
            <w:tcW w:w="460" w:type="dxa"/>
            <w:vAlign w:val="bottom"/>
          </w:tcPr>
          <w:p>
            <w:pPr>
              <w:spacing w:after="0"/>
              <w:rPr>
                <w:sz w:val="22"/>
                <w:szCs w:val="22"/>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2016</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28, 2016</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(4,039)</w:t>
            </w:r>
          </w:p>
        </w:tc>
        <w:tc>
          <w:tcPr>
            <w:tcW w:w="7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8,657</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17,921</w:t>
            </w: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30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38,462,100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38,415,189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38,449,453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38,331,400</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38,462,100</w:t>
            </w:r>
          </w:p>
        </w:tc>
        <w:tc>
          <w:tcPr>
            <w:tcW w:w="7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(a)</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39,083,577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39,101,214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39,020,127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(loss) income per share—basic</w:t>
            </w: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460" w:type="dxa"/>
            <w:vAlign w:val="bottom"/>
          </w:tcPr>
          <w:p>
            <w:pPr>
              <w:spacing w:after="0"/>
              <w:rPr>
                <w:sz w:val="20"/>
                <w:szCs w:val="20"/>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0.47</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share—diluted</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7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09"/>
        </w:trPr>
        <w:tc>
          <w:tcPr>
            <w:tcW w:w="526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diluted EPS calculation</w:t>
            </w:r>
          </w:p>
        </w:tc>
        <w:tc>
          <w:tcPr>
            <w:tcW w:w="30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2,490,029</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451,325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749,421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451,325</w:t>
            </w:r>
          </w:p>
        </w:tc>
      </w:tr>
    </w:tbl>
    <w:p>
      <w:pPr>
        <w:spacing w:after="0" w:line="26" w:lineRule="exact"/>
        <w:rPr>
          <w:sz w:val="20"/>
          <w:szCs w:val="20"/>
          <w:color w:val="auto"/>
        </w:rPr>
      </w:pPr>
    </w:p>
    <w:p>
      <w:pPr>
        <w:ind w:right="3500" w:firstLine="53"/>
        <w:spacing w:after="0" w:line="504"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a loss for the period, zero incremental shares are included because the effect would be antidilutive. Below is a reconciliation of basic and diluted share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-550545</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5240" w:type="dxa"/>
            <w:vAlign w:val="bottom"/>
          </w:tcPr>
          <w:p>
            <w:pPr>
              <w:spacing w:after="0"/>
              <w:rPr>
                <w:sz w:val="22"/>
                <w:szCs w:val="22"/>
                <w:color w:val="auto"/>
              </w:rPr>
            </w:pPr>
          </w:p>
        </w:tc>
        <w:tc>
          <w:tcPr>
            <w:tcW w:w="138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September 27, 2017</w:t>
            </w:r>
          </w:p>
        </w:tc>
        <w:tc>
          <w:tcPr>
            <w:tcW w:w="46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28, 2016</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27, 2017</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28, 2016</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38,462,100</w:t>
            </w:r>
          </w:p>
        </w:tc>
        <w:tc>
          <w:tcPr>
            <w:tcW w:w="4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38,415,189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38,449,453</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38,331,400</w:t>
            </w:r>
          </w:p>
        </w:tc>
        <w:tc>
          <w:tcPr>
            <w:tcW w:w="0" w:type="dxa"/>
            <w:vAlign w:val="bottom"/>
          </w:tcPr>
          <w:p>
            <w:pPr>
              <w:spacing w:after="0"/>
              <w:rPr>
                <w:sz w:val="1"/>
                <w:szCs w:val="1"/>
                <w:color w:val="auto"/>
              </w:rPr>
            </w:pPr>
          </w:p>
        </w:tc>
      </w:tr>
      <w:tr>
        <w:trPr>
          <w:trHeight w:val="229"/>
        </w:trPr>
        <w:tc>
          <w:tcPr>
            <w:tcW w:w="5240" w:type="dxa"/>
            <w:vAlign w:val="bottom"/>
          </w:tcPr>
          <w:p>
            <w:pPr>
              <w:ind w:left="40"/>
              <w:spacing w:after="0"/>
              <w:rPr>
                <w:sz w:val="20"/>
                <w:szCs w:val="20"/>
                <w:color w:val="auto"/>
              </w:rPr>
            </w:pPr>
            <w:r>
              <w:rPr>
                <w:rFonts w:ascii="Arial" w:cs="Arial" w:eastAsia="Arial" w:hAnsi="Arial"/>
                <w:sz w:val="18"/>
                <w:szCs w:val="18"/>
                <w:color w:val="auto"/>
              </w:rPr>
              <w:t>Dilutive effect of stock options and</w:t>
            </w: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restricted shares</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w w:val="99"/>
              </w:rPr>
              <w:t>(a)</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668,388</w:t>
            </w:r>
          </w:p>
        </w:tc>
        <w:tc>
          <w:tcPr>
            <w:tcW w:w="12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651,761</w:t>
            </w:r>
          </w:p>
        </w:tc>
        <w:tc>
          <w:tcPr>
            <w:tcW w:w="12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688,727</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38,462,100</w:t>
            </w:r>
          </w:p>
        </w:tc>
        <w:tc>
          <w:tcPr>
            <w:tcW w:w="46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39,083,577</w:t>
            </w:r>
          </w:p>
        </w:tc>
        <w:tc>
          <w:tcPr>
            <w:tcW w:w="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39,101,214</w:t>
            </w:r>
          </w:p>
        </w:tc>
        <w:tc>
          <w:tcPr>
            <w:tcW w:w="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39,020,127</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 Due to a loss for the period, zero incremental shares are included because the effect would be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t>Trimaran Pollo Partners, L.L.C. (“LLC”), owns approximately 43.3%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692"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discussion and analysis should be read in conjunction with Item 1 above and with the consolidated financial statements contained in our annual report on Form 10-K for the year ended December 28, 2016.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we believe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24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27, 2017, we had 473 locations in five states. In fiscal 2016, we opened 18 new company-operated and 13 new franchised restaurants across Arizona, California, Nevada, Utah and Texas. For the quarter ended September 27, 2017, we opened 3 new company-operated restaurants and 1 franchised restaurant in California, Texas and Arizona. For the year-to-date period ended September 27, 2017, we opened 12 new company-operated restaurants and 6 franchised restaurants in California, Texas and Arizona. In 2017, we intend to open 15 to 16 new company-operated and 7 to 9 new franchised restaurants. To increase comparable restaurant sales, we plan to increase customer frequency, attract new customers, and improve per-person spend. These growth rates are not guaranteed.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System-wide, for the thirteen and thirty-nine weeks ended September 27, 2017, comparable restaurant sales increased 1.7% and 1.5% year over year, respectively. For company-operated restaurants, comparable restaurant sales, for the thirteen and thirty-nine weeks ended September 27, 2017, increased by 0.9% and 1.0%, respectively. For company-operated restaurants, the quarter’s change in comparable restaurant sales consisted of a 1.7% increase in average check size, partially offset by a 0.8% decline in transactions, while year to date consisted of a 1.9% increase in average check size, partially offset by a 0.8% decline in transactions. For franchised restaurants, comparable restaurant sales increased 2.4% and 1.8% for the thirteen and thirty-nine weeks ended September 27, 2017, respectively.</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restaurant counts at the beginning and end of each of the last three fiscal years and the thirty-nine weeks ended September 27, 2017,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Thirty-Nine Weeks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27, 2017</w:t>
            </w: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and our franchisees commenced our remodeling program in 2011 and, as of September 27, 2017, together we had remodeled 113 company-operated and 196 franchised restaurants, or 309 system-wide, over 75% of our restaurant system due to be remodeled. This includes 8 company-operated and 3 franchised restaurants that have been remodeled using our newest restaurant design called Vision. The Vision design elevates the brand image with exterior and interior features that embrace the brand’s authentic roots with warm textures, rustic elements and a focus on the signature open kitchen layout established in previous designs. As of September 27, 2017, including new builds and remodels, we had 33 restaurants open with the Vision design in our system. Remodeling is a use of cash and has implications for our net property and equipment owned and depreciation and amortization line items on our condensed consolidated balance sheets and consolidated statements of operations,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September 27, 2017 the amount of revenue deferred related to the earned points, net of redemptions, is $0.3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are not readily available from other sources. We evaluate our estimates on an on-going basis. Actual results may differ from these estimates under different assumptions or conditions.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28, 2016, and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critical accounting policies or uses of estimates since our annual report on Form 10-K. However, as discussed in</w:t>
      </w:r>
    </w:p>
    <w:p>
      <w:pPr>
        <w:spacing w:after="0" w:line="46" w:lineRule="exact"/>
        <w:rPr>
          <w:sz w:val="20"/>
          <w:szCs w:val="20"/>
          <w:color w:val="auto"/>
        </w:rPr>
      </w:pPr>
    </w:p>
    <w:p>
      <w:pPr>
        <w:ind w:firstLine="8"/>
        <w:spacing w:after="0" w:line="286"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annual report, in the aforementioned critical accounting policies section, “Long-Lived Assets” subsection, and (ii) “Impairment of Long-Lived Assets,” in Note 1 to Item 1 above, we evaluate our assets based on factors including economic conditions and operating performance, and our assumptions are subject to change. As described in Note 1 to Item 1 above, we intend to monitor the performance and related future cash flow assumptions of our Texas portfolio, which could result in the significant impairment of our assets. In particular, most of our (and our franchisees’) restaurants in Texas have been open since the beginning of 2015, and many since the beginning of 2016. Accordingly, given the difficulty in projecting results for newer restaurants in newer markets, we intend to continue to closely monitor the performance of our Texas portfolio. Based on the most recent results in the Texas market, if our plans to grow sales and improve profitability are not successful, future significant impairment to our assets may occur as a result of the performance of these restaurants and the related future cash flow assumptions over the remaining lease term. The combined carrying values of the restaurants in Texas is $15.6 million as of September 27, 2017. This number only applies to our current company-operated Texas portfolio. Asset impairments outside of Texas, or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May 2017, the FASB issued ASU 2017-09,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ASU 2017-09 is effective for financial statements issued for annual periods beginning after December 15, 2017. The adoption of ASU 2017-09 is not expected to have a significant impact on our consolidated financial position or results of operations.</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January 2017, the FASB issued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our consolidated financial position or results of operations.</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January 2017, the FASB issued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The adoption of ASU 2017-01 is not expected to have a significant impact on our consolidated financial position or results of operations.</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ind w:right="100"/>
        <w:spacing w:after="0" w:line="277" w:lineRule="auto"/>
        <w:rPr>
          <w:sz w:val="20"/>
          <w:szCs w:val="20"/>
          <w:color w:val="auto"/>
        </w:rPr>
      </w:pPr>
      <w:r>
        <w:rPr>
          <w:rFonts w:ascii="Arial" w:cs="Arial" w:eastAsia="Arial" w:hAnsi="Arial"/>
          <w:sz w:val="18"/>
          <w:szCs w:val="18"/>
          <w:color w:val="auto"/>
        </w:rPr>
        <w:t>for financial statements issued for annual periods beginning after December 15, 2017, including interim periods within those annual periods. The adoption of ASU 2016-18 is not expected to have a significant impact on our consolidated financial position or results of operations.</w:t>
      </w:r>
    </w:p>
    <w:p>
      <w:pPr>
        <w:spacing w:after="0" w:line="17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our consolidated financial position or results of operations.</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we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We have $307.5 million of operating lease obligations as of September 27, 2017 and upon adoption of this standard will record a ROU asset and lease liability equal to the present value of these leases, which will have a material impact on the consolidated balance sheet. However, the recognition of lease expense in the consolidated statement of operations is not expected to change from the current methodology.</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those fiscal years. The adoption of ASU 2016-01 is not expected to have a significant impact on our consolidated financial position or results of operations.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the FASB has issued the following Technical Corrections, Practical Expedients and Improvements to Topic 606, Revenue from Contracts with Customers: ASU 2017-13 in September 2017,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15, 2016.</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generate a substantial amount of our revenues from company-operated restaurants. This revenue stream is not expected to be impacted by the adoption of ASU No. 2014-09, or any of the subsequent related ASU’s. We have completed our initial analysis of the impact of the standard on franchise revenue. The revenue recognition for franchise fees that are based on future sales is not impacted. However, revenue recognition for franchise and development fees that are not related to subsequent sales will be impacted. We do not believe the adoption of ASU 2014-09 will have a material impact to future results of operations. In addition, we have determined to take a modified retrospective approach of transition and will recognize an adjustment to retained earnings, related to the cumulative effect of adopting ASU 2014-09 at the date of adoption. We are in the process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analyzing the disclosure requirements and the impact on advertising fees, and plan to complete our analysis by the end of fiscal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 Closure costs include non-cash restaurant charges such as up-front expensing the net present value of unpaid rent remaining on the life of a lease offset by assumed sublease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27, 2017 and September 28, 2016, there were 423 and 410 comparable restaurants, 179 and 170 company-operated and 244 and 240 franchised, respectively. Comparable restaurant sales indicate the performance of existing restaurants, since new restaurants are excluded.</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27, 2017</w:t>
            </w: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28, 2016</w:t>
            </w: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27, 2017</w:t>
            </w:r>
          </w:p>
        </w:tc>
        <w:tc>
          <w:tcPr>
            <w:tcW w:w="1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September 28, 2016</w:t>
            </w:r>
          </w:p>
        </w:tc>
      </w:tr>
      <w:tr>
        <w:trPr>
          <w:trHeight w:val="25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94,982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89,738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287,316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268,984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Company restaurant expenses</w:t>
            </w:r>
          </w:p>
        </w:tc>
        <w:tc>
          <w:tcPr>
            <w:tcW w:w="420" w:type="dxa"/>
            <w:vAlign w:val="bottom"/>
          </w:tcPr>
          <w:p>
            <w:pPr>
              <w:spacing w:after="0"/>
              <w:rPr>
                <w:sz w:val="21"/>
                <w:szCs w:val="21"/>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77,607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70,984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229,366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211,982</w:t>
            </w:r>
          </w:p>
        </w:tc>
      </w:tr>
      <w:tr>
        <w:trPr>
          <w:trHeight w:val="27"/>
        </w:trPr>
        <w:tc>
          <w:tcPr>
            <w:tcW w:w="5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17,375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18,754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57,950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57,002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Adjusted EBITDA should not be construed as an inference that our future results will be unaffected by unusual or nonrecurring items.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(loss)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2016</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28, 2016</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17,921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EBITDA</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(896)</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12,900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30,028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44,088</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6"/>
                <w:szCs w:val="16"/>
                <w:color w:val="auto"/>
              </w:rPr>
              <w:t>(a)</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6"/>
                <w:szCs w:val="16"/>
                <w:color w:val="auto"/>
              </w:rPr>
              <w:t>(b)(c)</w:t>
            </w: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 related to fire loss</w:t>
            </w:r>
            <w:r>
              <w:rPr>
                <w:rFonts w:ascii="Arial" w:cs="Arial" w:eastAsia="Arial" w:hAnsi="Arial"/>
                <w:sz w:val="16"/>
                <w:szCs w:val="16"/>
                <w:color w:val="auto"/>
              </w:rPr>
              <w:t>(c)</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6"/>
              </w:rPr>
              <w:t>Loss (gain) on recovery of insurance proceeds, property, equipment and</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expenses</w:t>
            </w:r>
            <w:r>
              <w:rPr>
                <w:rFonts w:ascii="Arial" w:cs="Arial" w:eastAsia="Arial" w:hAnsi="Arial"/>
                <w:sz w:val="16"/>
                <w:szCs w:val="16"/>
                <w:color w:val="auto"/>
              </w:rPr>
              <w:t>(c)</w:t>
            </w:r>
          </w:p>
        </w:tc>
        <w:tc>
          <w:tcPr>
            <w:tcW w:w="4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expense(d)</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Asset impairment and closed-store reserves</w:t>
            </w:r>
            <w:r>
              <w:rPr>
                <w:rFonts w:ascii="Arial" w:cs="Arial" w:eastAsia="Arial" w:hAnsi="Arial"/>
                <w:sz w:val="16"/>
                <w:szCs w:val="16"/>
                <w:color w:val="auto"/>
              </w:rPr>
              <w:t>(e)</w:t>
            </w: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16,038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17,293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(gain) on disposition of restaurants</w:t>
            </w:r>
            <w:r>
              <w:rPr>
                <w:rFonts w:ascii="Arial" w:cs="Arial" w:eastAsia="Arial" w:hAnsi="Arial"/>
                <w:sz w:val="16"/>
                <w:szCs w:val="16"/>
                <w:color w:val="auto"/>
              </w:rPr>
              <w:t>(f)</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receivable agreement (income) expense(g)</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Securities lawsuits related legal expense</w:t>
            </w:r>
            <w:r>
              <w:rPr>
                <w:rFonts w:ascii="Arial" w:cs="Arial" w:eastAsia="Arial" w:hAnsi="Arial"/>
                <w:sz w:val="16"/>
                <w:szCs w:val="16"/>
                <w:color w:val="auto"/>
              </w:rPr>
              <w:t>(h)</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Pre-opening costs</w:t>
            </w:r>
            <w:r>
              <w:rPr>
                <w:rFonts w:ascii="Arial" w:cs="Arial" w:eastAsia="Arial" w:hAnsi="Arial"/>
                <w:sz w:val="16"/>
                <w:szCs w:val="16"/>
                <w:color w:val="auto"/>
              </w:rPr>
              <w:t>(i)</w:t>
            </w: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Executive transition costs</w:t>
            </w:r>
            <w:r>
              <w:rPr>
                <w:rFonts w:ascii="Arial" w:cs="Arial" w:eastAsia="Arial" w:hAnsi="Arial"/>
                <w:sz w:val="16"/>
                <w:szCs w:val="16"/>
                <w:color w:val="auto"/>
              </w:rPr>
              <w:t>(j)</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16,240</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17,325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51,883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51,272</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(a)</w:t>
            </w:r>
          </w:p>
        </w:tc>
        <w:tc>
          <w:tcPr>
            <w:tcW w:w="5180" w:type="dxa"/>
            <w:vAlign w:val="bottom"/>
            <w:vMerge w:val="restart"/>
          </w:tcPr>
          <w:p>
            <w:pPr>
              <w:ind w:left="220"/>
              <w:spacing w:after="0"/>
              <w:rPr>
                <w:sz w:val="20"/>
                <w:szCs w:val="20"/>
                <w:color w:val="auto"/>
              </w:rPr>
            </w:pPr>
            <w:r>
              <w:rPr>
                <w:rFonts w:ascii="Arial" w:cs="Arial" w:eastAsia="Arial" w:hAnsi="Arial"/>
                <w:sz w:val="18"/>
                <w:szCs w:val="18"/>
                <w:color w:val="auto"/>
              </w:rPr>
              <w:t>Includes non-cash, stock-based compensation.</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40" w:type="dxa"/>
            <w:vAlign w:val="bottom"/>
            <w:vMerge w:val="continue"/>
          </w:tcPr>
          <w:p>
            <w:pPr>
              <w:spacing w:after="0"/>
              <w:rPr>
                <w:sz w:val="24"/>
                <w:szCs w:val="24"/>
                <w:color w:val="auto"/>
              </w:rPr>
            </w:pPr>
          </w:p>
        </w:tc>
        <w:tc>
          <w:tcPr>
            <w:tcW w:w="51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27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7" w:name="page28"/>
    <w:bookmarkEnd w:id="27"/>
    <w:p>
      <w:pPr>
        <w:ind w:left="660" w:right="280" w:hanging="652"/>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2015, one of our restaurants incurred damage resulting from a fire. During the thirty-nine weeks ended September 28, 2016, we incurred costs directly related to the fire of less than $0.1 million, disposed of an additional $0.1 million in assets, and recognized gains of $0.7 million, related to the reimbursement of property and equipment and $0.5 million, related to the reimbursement of lost profits. The reimbursement of lost profits is included in the accompanying consolidated financial statements of operations, for the thirteen and thirty-nine weeks ended September 28, 2016, as a reduction of company restaurant expenses. We received from the insurance company cash of $1.0 million during the thirty-nine weeks ended September 28, 2016, and $0.4 million on October 5, 2016, net of the insurance deductible. The $0.4 million is included in accounts and other receivables in the condensed consolidated balance sheet as of September 28, 2016. The restaurant was reopened for business on March 14, 2016.</w:t>
      </w:r>
    </w:p>
    <w:p>
      <w:pPr>
        <w:spacing w:after="0" w:line="3"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thirteen and thirty-nine weeks ended September 27, 2017, we received insurance proceeds of $0.6 million and $1.1 million, respectively, related to the reimbursement of certain legal expenses paid in prior years for the defense of securities lawsuits. See the Notes to the Condensed Consolidated Financial Statements, Note 7, Commitments and Contingencies, Legal Matters.</w:t>
      </w:r>
    </w:p>
    <w:p>
      <w:pPr>
        <w:spacing w:after="0" w:line="1" w:lineRule="exact"/>
        <w:rPr>
          <w:rFonts w:ascii="Arial" w:cs="Arial" w:eastAsia="Arial" w:hAnsi="Arial"/>
          <w:sz w:val="18"/>
          <w:szCs w:val="18"/>
          <w:color w:val="auto"/>
        </w:rPr>
      </w:pPr>
    </w:p>
    <w:p>
      <w:pPr>
        <w:ind w:left="660" w:right="20" w:hanging="652"/>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costs related to impairment of long-lived assets and closing restaurants. During the thirteen and thirty-nine weeks ended September 27, 2017, we determined that the carrying value of the assets of 10 and 11 restaurants, respectively, in Texas and California may not be recoverable. As a result, we recorded a $15.0 million and $15.5 million expense, respectively, related to the impairment of the assets of the restaurants. During the thirteen and thirty-nine weeks ended September 27, 2017 we closed three restaurants in Texas, one of which was fully impaired during the fourth quarter of 2016. During the thirty-nine weeks ended September 27, 2017, we closed an additional two restaurants, one in Arizona and one in Texas, which were fully impaired in the third quarter of 2016. These closures resulted in closed-store reserve expenses of $1.0 million and $1.8 million for the thirteen and thirty-nine weeks ended September 27, 2017, respectively. During the thirteen and thirty-nine weeks ended September 28, 2016, we determined the carrying value of two restaurants in Arizona and Texas may not be recoverable. As a result we recognized an expense of $2.5 million, primarily related to the impairment of the assets of the two restaurants. We continue to monitor the recoverability of the carrying value of the assets of several other restaurants.</w:t>
      </w:r>
    </w:p>
    <w:p>
      <w:pPr>
        <w:spacing w:after="0" w:line="2" w:lineRule="exact"/>
        <w:rPr>
          <w:rFonts w:ascii="Arial" w:cs="Arial" w:eastAsia="Arial" w:hAnsi="Arial"/>
          <w:sz w:val="17"/>
          <w:szCs w:val="17"/>
          <w:color w:val="auto"/>
        </w:rPr>
      </w:pPr>
    </w:p>
    <w:p>
      <w:pPr>
        <w:ind w:left="660" w:right="500" w:hanging="652"/>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 of operations. This restaurant is now included in our franchised restaurant totals.</w:t>
      </w:r>
    </w:p>
    <w:p>
      <w:pPr>
        <w:ind w:left="660" w:right="20" w:hanging="652"/>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thirty-nine weeks ended September 27, 2017 and September 28, 2016, income tax receivable agreement (income) expense consisted of the amortization of interest expense and changes in estimates for actual tax returns filed, related to our total expected TRA payments.</w:t>
      </w:r>
    </w:p>
    <w:p>
      <w:pPr>
        <w:ind w:left="660" w:right="88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the Notes to the Condensed Consolidated Financial Statements, Note 7, Commitments and Contingencies, Legal Matters.</w:t>
      </w:r>
    </w:p>
    <w:p>
      <w:pPr>
        <w:ind w:left="660" w:right="20" w:hanging="652"/>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recruiter costs.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Comparison of Results of Operations</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operating results for the thirteen weeks ended September 27, 2017 and September 28, 2016, in absolute terms, and expressed as percentages of total revenue, with the exception of cost of operations and company restaurant expenses, which are expressed as a percentage of company-operated restaurant revenue, are compared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September 27, 2017</w:t>
            </w:r>
          </w:p>
        </w:tc>
        <w:tc>
          <w:tcPr>
            <w:tcW w:w="200" w:type="dxa"/>
            <w:vAlign w:val="bottom"/>
          </w:tcPr>
          <w:p>
            <w:pPr>
              <w:spacing w:after="0"/>
              <w:rPr>
                <w:sz w:val="13"/>
                <w:szCs w:val="13"/>
                <w:color w:val="auto"/>
              </w:rPr>
            </w:pPr>
          </w:p>
        </w:tc>
        <w:tc>
          <w:tcPr>
            <w:tcW w:w="20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September 28, 2016</w:t>
            </w:r>
          </w:p>
        </w:tc>
        <w:tc>
          <w:tcPr>
            <w:tcW w:w="200" w:type="dxa"/>
            <w:vAlign w:val="bottom"/>
          </w:tcPr>
          <w:p>
            <w:pPr>
              <w:spacing w:after="0"/>
              <w:rPr>
                <w:sz w:val="13"/>
                <w:szCs w:val="13"/>
                <w:color w:val="auto"/>
              </w:rPr>
            </w:pPr>
          </w:p>
        </w:tc>
        <w:tc>
          <w:tcPr>
            <w:tcW w:w="1260" w:type="dxa"/>
            <w:vAlign w:val="bottom"/>
            <w:gridSpan w:val="3"/>
          </w:tcPr>
          <w:p>
            <w:pPr>
              <w:jc w:val="center"/>
              <w:ind w:left="41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Operations Data</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89,738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6,173</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6,078</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101,155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95,816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27,851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26,960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27,514</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24,455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22,242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Gain on recovery of insurance proceeds, lost profit</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77,607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70,984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8,285</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4,697</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8"/>
                <w:szCs w:val="18"/>
                <w:color w:val="auto"/>
                <w:w w:val="94"/>
              </w:rPr>
              <w:t>Loss on recovery of insurance proceeds, property, equipment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and expenses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16,038</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106,767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86,803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19,964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(Loss) gain on disposition of restaurants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9,008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(Loss) income before (benefit) provision for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(6,496)</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8,041</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5,211</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18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4" w:right="239" w:bottom="1440" w:gutter="0" w:footer="0" w:header="0"/>
        </w:sectPr>
      </w:pPr>
    </w:p>
    <w:bookmarkStart w:id="29" w:name="page30"/>
    <w:bookmarkEnd w:id="29"/>
    <w:p>
      <w:pPr>
        <w:ind w:right="240"/>
        <w:spacing w:after="0" w:line="264" w:lineRule="auto"/>
        <w:rPr>
          <w:sz w:val="20"/>
          <w:szCs w:val="20"/>
          <w:color w:val="auto"/>
        </w:rPr>
      </w:pPr>
      <w:r>
        <w:rPr>
          <w:rFonts w:ascii="Arial" w:cs="Arial" w:eastAsia="Arial" w:hAnsi="Arial"/>
          <w:sz w:val="18"/>
          <w:szCs w:val="18"/>
          <w:color w:val="auto"/>
        </w:rPr>
        <w:t>Our operating results for the thirty-nine weeks ended September 27, 2017 and September 28, 2016, in absolute terms, and expressed as percentages of total revenue, with the exception of cost of operations and company restaurant expenses, which are expressed as a percentage of company-operated restaurant revenue, are compared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Thirty-Nine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September 27, 2017</w:t>
            </w:r>
          </w:p>
        </w:tc>
        <w:tc>
          <w:tcPr>
            <w:tcW w:w="180" w:type="dxa"/>
            <w:vAlign w:val="bottom"/>
          </w:tcPr>
          <w:p>
            <w:pPr>
              <w:spacing w:after="0"/>
              <w:rPr>
                <w:sz w:val="13"/>
                <w:szCs w:val="13"/>
                <w:color w:val="auto"/>
              </w:rPr>
            </w:pPr>
          </w:p>
        </w:tc>
        <w:tc>
          <w:tcPr>
            <w:tcW w:w="20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September 28, 2016</w:t>
            </w:r>
          </w:p>
        </w:tc>
        <w:tc>
          <w:tcPr>
            <w:tcW w:w="200" w:type="dxa"/>
            <w:vAlign w:val="bottom"/>
          </w:tcPr>
          <w:p>
            <w:pPr>
              <w:spacing w:after="0"/>
              <w:rPr>
                <w:sz w:val="13"/>
                <w:szCs w:val="13"/>
                <w:color w:val="auto"/>
              </w:rPr>
            </w:pPr>
          </w:p>
        </w:tc>
        <w:tc>
          <w:tcPr>
            <w:tcW w:w="1260" w:type="dxa"/>
            <w:vAlign w:val="bottom"/>
            <w:gridSpan w:val="3"/>
          </w:tcPr>
          <w:p>
            <w:pPr>
              <w:jc w:val="center"/>
              <w:ind w:left="41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287,316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268,984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19,183</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18,660</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306,499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287,644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84,069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80,760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80,939</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73,323</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64,358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Gain on recovery of insurance proceeds, lost profit</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229,366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211,982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27,594</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25,776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13,646</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11,796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Expenses related to fire loss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Gain on recovery of insurance proceeds, property, equipment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17,293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290,010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254,969</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35,041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disposition of restaurants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16,489</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32,703</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Income tax receivable agreement expense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13,911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29,851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5,254</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11,930</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8,657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17,921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80" w:hanging="652"/>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quarter, company-operated restaurant revenue increased $5.2 million, or 5.8%, from the comparable period in the prior year. The growth in company-operated restaurant sales was due to $5.4 million of non-comparable restaurant sales on restaurants that had not been open the fifteen months required to be included in comparable restaurant sales and a $0.8 million increase resulting from a 0.9% increase in company-operated comparable sales. This was partially offset by the closure of three restaurants in the third quarter of 2017 and two restaurants in the first quarter of 2017, and temporary closures during the third quarter of 2017, primarily related to Hurricane Harvey. The company-operated comparable restaurant sales increase consisted of an increase in average check size of 1.7%, partially offset by a decline in transactions of 0.8%.</w:t>
      </w:r>
    </w:p>
    <w:p>
      <w:pPr>
        <w:spacing w:after="0" w:line="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Year-to-date, company-operated restaurant revenue increased $18.3 million, or 6.8%, from the comparable period in the prior year. The growth in company-operated restaurant sales was due to $19.0 million of non-comparable restaurant sales on restaurants that had not been open the fifteen months required to be included in comparable restaurant sales, a $2.7 million increase resulting from a 1.0% increase in company-operated comparable restaurant sales, and $0.7 million related to a restaurant closed during the first quarter of 2016, due to fire damage, that was open for all of 2017. These increases were partially offset by the closure of two restaurants in 2016 and five restaurants in the current year, and the sale of one restaurant</w:t>
      </w:r>
    </w:p>
    <w:p>
      <w:pPr>
        <w:sectPr>
          <w:pgSz w:w="11900" w:h="16838" w:orient="portrait"/>
          <w:cols w:equalWidth="0" w:num="1">
            <w:col w:w="11420"/>
          </w:cols>
          <w:pgMar w:left="240" w:top="692"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92" w:right="239" w:bottom="1440" w:gutter="0" w:footer="0" w:header="0"/>
          <w:type w:val="continuous"/>
        </w:sectPr>
      </w:pPr>
    </w:p>
    <w:bookmarkStart w:id="30" w:name="page31"/>
    <w:bookmarkEnd w:id="30"/>
    <w:p>
      <w:pPr>
        <w:ind w:right="40"/>
        <w:spacing w:after="0" w:line="277" w:lineRule="auto"/>
        <w:rPr>
          <w:sz w:val="20"/>
          <w:szCs w:val="20"/>
          <w:color w:val="auto"/>
        </w:rPr>
      </w:pPr>
      <w:r>
        <w:rPr>
          <w:rFonts w:ascii="Arial" w:cs="Arial" w:eastAsia="Arial" w:hAnsi="Arial"/>
          <w:sz w:val="18"/>
          <w:szCs w:val="18"/>
          <w:color w:val="auto"/>
        </w:rPr>
        <w:t>in 2016 to a franchisee. The company-operated comparable restaurant sales increase consisted of an increase in average check size of 1.9%, partially offset by a decrease in transactions of 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quarter, franchise revenue increased $0.1 million, or 1.6%, from the comparable period in the prior year. This increase was primarily due to 15 new franchised restaurants opened during or after the prior year quarter, and franchise comparable restaurant sales growth of 2.4%, partially offset by a decline in franchise agreement and development agreement fees and lower franchise fees received from franchised restaurants related to their use of our point-of-sales system.</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Year-to-date, franchise revenue increased $0.5 million, or 2.8%, from the comparable period in the prior year. This increase was primarily due to 19 new franchised restaurants opened during or after the first quarter of 2016 and franchise comparable restaurant sales growth of 1.8%, partially offset by a decline in franchise agreement and development agreement fees and lower franchise fees received from franchised restaurants related to their use of our point-of-sales system.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quarter, food and paper costs increased $0.9 million, or 3.3%, from the comparable period in the prior year, due to a $0.5 million increase in food costs and a $0.4 million increase in paper costs. Year-to-date, food and paper costs increased $3.3 million, or 4.1%, from the comparable period in the prior year, due to a $2.5 million increase in food costs and a $0.8 million increase in paper costs. The increases in food and paper costs, for the quarter and year-to-date periods, resulted primarily from higher restaurant revenue, increased food waste and loyalty program incentives, partially offset by lower commodity costs related to chicken.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quarter, food and paper costs as a percentage of company-operated restaurant revenue were 29.3%, from 30.0% in the comparable period of the prior year. Year-to-date, food and paper costs as a percentage of company-operated restaurant revenue were 29.3%, from 30.0% in the comparable period of the prior year. The percentage decrease for the quarter and year-to-date periods was due primarily to the lower commodity costs, noted above, partially offset by increased food waste and loyalty program incentives.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quarter, payroll and benefit expenses increased $3.1 million, or 12.5%, from the comparable period in the prior year. Year-to-date, payroll and benefit expenses increased $7.6 million, or 10.4%, from the comparable period in the prior year. The increase for the quarter and year-to-date periods was due primarily to increased labor costs resulting from the opening of new restaurants in fiscal 2016 and the first three quarters of fiscal 2017, the impact of the wage increases in California and Los Angeles during fiscal 2016 and the first three quarters of fiscal 2017, and higher workers' compensation expense due to increased claims activity.</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quarter, payroll and benefit expenses as a percentage of company-operated restaurant revenue were 29.0%, up from 27.3% in the comparable period in the prior year. Year-to-date, payroll and benefit expenses as a percentage of company-operated restaurant revenue were 28.2%, from 27.3% in the comparable period in the prior year. The increases for the quarter and year-to-date periods, were due primarily to wage increases in California and Los Angeles, the impact of the incremental labor required for 30 new restaurants opened during or after the first quarter of 2016, an increase in workers compensation expense due to an increase in claims and wage continuation paid to employees at our Houston locations during hurricane related closures.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quarter, occupancy and other operating expenses increased $2.2 million, or 10.8%, from the comparable period of the prior year. The increase for the quarter was primarily due to a $1.1 million increase in occupancy costs, due primarily to additional rent, a $0.4 million increase in utilities costs, a $0.2 million increase advertising costs, and a $0.5 million increase in other operating expenses, resulting primarily from an increase in credit card fees and restaurant security expenses. Year-to-date, occupancy and other operating expenses increased $6.0 million, or 10.2%, from the comparable period of the prior year. The increase for the year-to-date period was due to a $2.8 million increase in occupancy costs, due primarily to additional rent and property tax, a $1.1 million increase in utilities costs, a $0.7 million increase advertising costs, and a $1.4 million increase in other operating expenses, resulting primarily from an increase in credit card fees, restaurant security expenses and repair and maintenance costs. The increases for the quarter and year-to-date periods resulted primarily from the new restaurants opened during or after the first quarter of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ind w:right="380"/>
        <w:spacing w:after="0" w:line="291" w:lineRule="auto"/>
        <w:rPr>
          <w:sz w:val="20"/>
          <w:szCs w:val="20"/>
          <w:color w:val="auto"/>
        </w:rPr>
      </w:pPr>
      <w:r>
        <w:rPr>
          <w:rFonts w:ascii="Arial" w:cs="Arial" w:eastAsia="Arial" w:hAnsi="Arial"/>
          <w:sz w:val="16"/>
          <w:szCs w:val="16"/>
          <w:color w:val="auto"/>
        </w:rPr>
        <w:t>For the quarter, occupancy and other operating expenses as a percentage of company-operated restaurant revenue were 23.4%, up from 22.4% in the comparable period of the prior year. Year-to-date, occupancy and other operating expenses as a percentage of company-operated restaurant revenue were</w:t>
      </w:r>
    </w:p>
    <w:p>
      <w:pPr>
        <w:ind w:right="40"/>
        <w:spacing w:after="0" w:line="323" w:lineRule="auto"/>
        <w:rPr>
          <w:sz w:val="20"/>
          <w:szCs w:val="20"/>
          <w:color w:val="auto"/>
        </w:rPr>
      </w:pPr>
      <w:r>
        <w:rPr>
          <w:rFonts w:ascii="Arial" w:cs="Arial" w:eastAsia="Arial" w:hAnsi="Arial"/>
          <w:sz w:val="16"/>
          <w:szCs w:val="16"/>
          <w:color w:val="auto"/>
        </w:rPr>
        <w:t>22.4%, up from 21.7% in the comparable period of the prior year. Both the quarter and year-to-date increases resulted primarily from rent expense, relative to revenue volume generated, and other incremental costs related to opening new restaurants in 2016 and the thirty-nine weeks ended September 27,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the quarter, general and administrative expenses increased less than $0.1 million, or 0.4%, from the comparable period in the prior year. The slight increase for the quarter was due primarily to (i) a $0.8 million increase in legal expense related primarily to an increase in securities class action litigation costs, (ii) a $0.2 million increase in dead site costs related to costs incurred for potential new restaurant locations that we chose not to continue to pursue, (iii) a $0.2 million increase in stock compensation related expenses, and (iv) a $0.2 million increase in other general and administrative costs. These increases were offset by a $0.9 million decrease in our accrual for our annual bonus program and a $0.5 million decrease in restaurant pre-opening costs.</w:t>
      </w:r>
    </w:p>
    <w:p>
      <w:pPr>
        <w:spacing w:after="0" w:line="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Year-to-date, general and administrative expenses increased $1.8 million, or 7.1%, from the comparable period in the prior year. The increase for the year-to-date period was due primarily to (i) a $0.9 million increase in legal expense, (ii) a $0.5 million increase in payroll expense, due primarily to an increase in the number of corporate employees, partially offset by a decline in our accrual for our annual bonus program, (iii) a $0.5 million increase in stock compensation related expenses, and (iv) a $0.3 million increase in other general and administrative costs, primarily related to an increase in recruiting costs. These increases were partially offset by a $0.4 million decrease in travel related costs.</w:t>
      </w:r>
    </w:p>
    <w:p>
      <w:pPr>
        <w:spacing w:after="0" w:line="8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For the quarter, general and administrative expenses as a percentage of total revenue were 8.2% down from 8.6% in the comparable period of the prior year. Year-to-date general and administrative expenses as a percentage of total revenue were consistent at 9.0%, when compared to the comparable period of the prior year. The percentage decrease for the quarter is primarily due to higher total revenue, as well as the cost reductions noted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Recovery of Insurance Proceeds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2015, one of our restaurants incurred damage resulting from a fire. During the thirty-nine weeks ended September 28, 2016, we incurred costs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directly related to the fire of less than $0.1 million, disposed of an additional $0.1 million in assets, and recognized gains of $0.7 million,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reimbursement of property and equipment and $0.5 million, related to the reimbursement of lost profits. The reimbursement of lost profits is included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consolidated financial statements of operations, for the thirteen and thirty-nine weeks ended September 28, 2016, as a reduction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restaurant expenses. We received from the insurance company cash of $1.0 million during the thirty-nine weeks ended September 28, 2016,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on October 5, 2016, net of the insurance deductible. The $0.4 million is included in accounts and other receivables in the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as of September 28, 2016. The restaurant was reopened for business on March 14,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Securities Class Action Legal Expense</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thirteen and thirty-nine weeks ended September 27, 2017, we received insurance proceeds of $0.6 million and $1.1 million, respectively, related to the reimbursement of certain legal expenses paid in prior years for the defense of securities lawsuits. Subsequent to September 27, 2017, we received an additional $0.5 million. See the Notes to the Condensed Consolidated Financial Statements, Note 7, Commitments and Contingencies, Legal Matters.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left="60"/>
        <w:spacing w:after="0" w:line="271" w:lineRule="auto"/>
        <w:rPr>
          <w:sz w:val="20"/>
          <w:szCs w:val="20"/>
          <w:color w:val="auto"/>
        </w:rPr>
      </w:pPr>
      <w:r>
        <w:rPr>
          <w:rFonts w:ascii="Arial" w:cs="Arial" w:eastAsia="Arial" w:hAnsi="Arial"/>
          <w:sz w:val="17"/>
          <w:szCs w:val="17"/>
          <w:color w:val="auto"/>
        </w:rPr>
        <w:t>During the thirteen and thirty-nine weeks ended September 27, 2017, we determined that the carrying value of the assets of 10 and 11 restaurants, respectively, in Texas and California may not be recoverable. As a result, we recorded a $15.0 million and $15.5 million expense, respectively, related to the impairment of the assets of the restaurants. During the thirteen and thirty-nine weeks ended September 27, 2017, we closed three restaurants in Texas, one of which was fully impaired during the fourth quarter of 2016 and the other two are included in the impairment expense discussed above. During the thirty-nine weeks ended September 27, 2017, we closed an additional two restaurants, one in Arizona and one in Texas, which were fully impaired in the third quarter of 2016. These closures resulted in closed-store reserve expenses of $1.0 million and $1.8 million for the thirteen and thirty-nine weeks ended September 27, 2017, respectively, During the thirteen and thirty-nine weeks ended September 28, 2016, we determined the carrying value of two restaurants in Arizona and Texas may not be recoverable. As a</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0" w:right="259" w:bottom="1440" w:gutter="0" w:footer="0" w:header="0"/>
        </w:sectPr>
      </w:pPr>
    </w:p>
    <w:bookmarkStart w:id="32" w:name="page33"/>
    <w:bookmarkEnd w:id="32"/>
    <w:p>
      <w:pPr>
        <w:ind w:left="60" w:right="720"/>
        <w:spacing w:after="0" w:line="277" w:lineRule="auto"/>
        <w:rPr>
          <w:sz w:val="20"/>
          <w:szCs w:val="20"/>
          <w:color w:val="auto"/>
        </w:rPr>
      </w:pPr>
      <w:r>
        <w:rPr>
          <w:rFonts w:ascii="Arial" w:cs="Arial" w:eastAsia="Arial" w:hAnsi="Arial"/>
          <w:sz w:val="18"/>
          <w:szCs w:val="18"/>
          <w:color w:val="auto"/>
        </w:rPr>
        <w:t>result we recognized an expense of $2.5 million, primarily related to the impairment of the assets of the two restaurants. We continue to monitor the recoverability of the carrying value of the assets of several other restaurants.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Disposition of Restaurants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 of operations. This restaurant is now included in our franchised restaurant totals.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and year-to-date periods, interest expense, net was comparable with the same periods of the prior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ended September 27, 2017 we recorded income tax receivable agreement income of less than $0.1 million and for the quarter ended September 28, 2016, we recorded income tax receivable agreement expense of $0.2 million. For the year-to-date periods we recorded income tax receivable agreement expense of $0.1 million and $0.4 million, respectively, related to the amortization of interest expense related to our total expected TRA payments and changes in estimates for actual tax returns filed. During the fourth quarter of 2017 we anticipate making a TRA payment of approximately $11.0 million to our pre-IPO stockholders.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1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For the quarter ended September 27, 2017, we recorded an income tax benefit of $2.5 million, reflecting an estimated effective tax rate of 37.8%. For the quarter ended September 28, 2016, we recorded an income tax provision of $2.8 million, reflecting an estimated effective tax rate of approximately 35.2%. Year-to-date ended September 27, 2017, we recorded an income tax provision of $5.3 million, reflecting an estimated effective tax rate of approximately 37.8%. Year-to-date ended September 28, 2016, we recorded an income tax provision of $11.9 million, reflecting an estimated effective tax rate of approximately 40.0%. These rates are in line with our estimated long-term federal and state tax rates.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4"/>
          </w:tcPr>
          <w:p>
            <w:pPr>
              <w:jc w:val="right"/>
              <w:ind w:right="1434"/>
              <w:spacing w:after="0"/>
              <w:rPr>
                <w:sz w:val="20"/>
                <w:szCs w:val="20"/>
                <w:color w:val="auto"/>
              </w:rPr>
            </w:pPr>
            <w:r>
              <w:rPr>
                <w:rFonts w:ascii="Arial" w:cs="Arial" w:eastAsia="Arial" w:hAnsi="Arial"/>
                <w:sz w:val="14"/>
                <w:szCs w:val="14"/>
                <w:b w:val="1"/>
                <w:bCs w:val="1"/>
                <w:color w:val="auto"/>
              </w:rPr>
              <w:t>Thirty-Nine Weeks Ended</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9"/>
                <w:szCs w:val="19"/>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27, 2017</w:t>
            </w:r>
          </w:p>
        </w:tc>
        <w:tc>
          <w:tcPr>
            <w:tcW w:w="320" w:type="dxa"/>
            <w:vAlign w:val="bottom"/>
          </w:tcPr>
          <w:p>
            <w:pPr>
              <w:spacing w:after="0"/>
              <w:rPr>
                <w:sz w:val="19"/>
                <w:szCs w:val="19"/>
                <w:color w:val="auto"/>
              </w:rPr>
            </w:pPr>
          </w:p>
        </w:tc>
        <w:tc>
          <w:tcPr>
            <w:tcW w:w="1960" w:type="dxa"/>
            <w:vAlign w:val="bottom"/>
          </w:tcPr>
          <w:p>
            <w:pPr>
              <w:jc w:val="right"/>
              <w:ind w:right="454"/>
              <w:spacing w:after="0"/>
              <w:rPr>
                <w:sz w:val="20"/>
                <w:szCs w:val="20"/>
                <w:color w:val="auto"/>
              </w:rPr>
            </w:pPr>
            <w:r>
              <w:rPr>
                <w:rFonts w:ascii="Arial" w:cs="Arial" w:eastAsia="Arial" w:hAnsi="Arial"/>
                <w:sz w:val="14"/>
                <w:szCs w:val="14"/>
                <w:b w:val="1"/>
                <w:bCs w:val="1"/>
                <w:color w:val="auto"/>
              </w:rPr>
              <w:t>September 28,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(used) by</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52,210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39,670</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(14,985)</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ind w:right="40"/>
        <w:spacing w:after="0" w:line="308" w:lineRule="auto"/>
        <w:rPr>
          <w:sz w:val="20"/>
          <w:szCs w:val="20"/>
          <w:color w:val="auto"/>
        </w:rPr>
      </w:pPr>
      <w:r>
        <w:rPr>
          <w:rFonts w:ascii="Arial" w:cs="Arial" w:eastAsia="Arial" w:hAnsi="Arial"/>
          <w:sz w:val="17"/>
          <w:szCs w:val="17"/>
          <w:color w:val="auto"/>
        </w:rPr>
        <w:t>For the thirty-nine weeks ended September 27, 2017, net cash provided by operating activities increased by approximately $12.5 million from the comparable period of the prior year. This was due primarily to higher profitability after non-cash items and favorable working capital fluctuations.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thirty-nine weeks ended September 27, 2017, net cash used by investing activities increased by $4.0 million from the comparable period of the prior year. This was due primarily to opening 12 new company restaurants and seven remodels completed in the thirty-nine weeks ended September 27, 2017 compared to 10 new restaurants and one remodel completed in the thirty-nine weeks ended September 28, 2016, as well as insurance proceeds related to fire damage and proceeds from the sale of a restaurant received in the prior year period.</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year ending December 27, 2017, we expect to incur capital expenditures of $39.0 million to $41.0 million, consisting of $26.0 to $28.0 million related to new restaurants, $7.0 million related to the remodeling of existing restaurants, and $6.0 million related to major maintenance and other corporate capital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thirty-nine weeks ended September 27, 2017, net cash used by financing activities increased by $4.0 million from the comparable period of the prior year. This was due primarily to the prepayment of $19.0 million on the 2014 Revolver during the thirty-nine weeks ended September 27, 2017 compared to a prepayment of $16.0 million for the thirty-nine weeks ended September 28,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$15.0 million for letters of credit and a sub limit of $15.0 million for swingline loans. At September 27, 2017, $8.1 million of letters of credit were outstanding and $106.9 million was available to borrow under the revolving line of credit. The 2014 Revolver will mature on or about December 11, 2019.</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2.96% to 2.99% and 2.44% to 2.99% for the thirteen and thirty-nine weeks ended September 27, 2017, respectively, and 2.20% to 2.27% and 2.02% to 2.27% for the thirteen and thirty-nine weeks ended September 28, 2016, respectively.</w:t>
      </w:r>
    </w:p>
    <w:p>
      <w:pPr>
        <w:spacing w:after="0" w:line="19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September 27, 2017.</w:t>
      </w:r>
    </w:p>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53"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Our contractual commitments outstanding on September 27, 2017, have not changed materially since our annual report on Form 10-K for the year ended December 28, 2016. These relate to future (i) debt payments, including expected interest expense, calculated based on current interest rates, (ii) restaurant operating lease payments, (iii) income tax receivable agreement payments, and (iv) purchasing commitments for chicken and beverage. During the fourth quarter of 2017 we anticipate making a TRA payment of approximately $11.0 million to our pre-IPO stockholders.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27, 2017, we were using $8.1 million of borrowing capacity on the 2014 Revolver for letters of credit in support of our insurance programs.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exposed to market risk from changes in the interest rate on our debt, which bears interest at USD LIBOR plus a margin between 1.75% and 2.50%. As of September 27, 2017, we had outstanding borrowings of $85.0 million and another $8.1 million of letters of credit in support of our insurance programs. A 1.0% increase in the effective interest rate applied to these borrowings would result in a pre-tax interest expense increase of $0.9 million on an annualized basis.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908" w:right="259" w:bottom="1440" w:gutter="0" w:footer="0" w:header="0"/>
        </w:sectPr>
      </w:pPr>
    </w:p>
    <w:bookmarkStart w:id="35" w:name="page36"/>
    <w:bookmarkEnd w:id="35"/>
    <w:p>
      <w:pPr>
        <w:ind w:right="80"/>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than the remediation discussed below, no other change in our internal control over financial reporting occurred during the period covered by this report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 in Internal Control over Financial Reporting</w:t>
      </w:r>
    </w:p>
    <w:p>
      <w:pPr>
        <w:spacing w:after="0" w:line="3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previously reported material weaknesses that were identified as of December 28, 2016 relating to the design and operating effectiveness of our internal control over financial reporting. The material weaknesses resulted from:</w:t>
      </w:r>
    </w:p>
    <w:p>
      <w:pPr>
        <w:spacing w:after="0" w:line="170" w:lineRule="exact"/>
        <w:rPr>
          <w:sz w:val="20"/>
          <w:szCs w:val="20"/>
          <w:color w:val="auto"/>
        </w:rPr>
      </w:pPr>
    </w:p>
    <w:p>
      <w:pPr>
        <w:ind w:left="660" w:right="3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accounting staff shared accounting system password information and access with an external consultant, who was not engaged through standard Company channels and subject to standard terms and conditions of engagement, who conducted standard accounting functions and had system administrator access.</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accounting staff, on several occasions, used passwords from other Company employees to enter data for approval on those employees’ behalf and then approved the resulting transactions in the accounting system, thereby circumventing controls over segregation of duties.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findings, we have remediated these material weaknesses by:</w:t>
      </w:r>
    </w:p>
    <w:p>
      <w:pPr>
        <w:spacing w:after="0" w:line="225" w:lineRule="exact"/>
        <w:rPr>
          <w:sz w:val="20"/>
          <w:szCs w:val="20"/>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awareness among accounting and information system employees of our existing password, data security and access, and accounting entry policies.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and implemented controls over system access and password assignments so that users cannot circumvent these controls.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Changed our vendor approval and payment procedures so that accounting staff in relevant positions cannot engage or pay vendors without additional review and adherence to standard Company policies and provisions for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On or about February 24, 2014, a former employee filed a class action in the Superior Court of the State of California, County of Orange, under the caption </w:t>
      </w:r>
      <w:r>
        <w:rPr>
          <w:rFonts w:ascii="Arial" w:cs="Arial" w:eastAsia="Arial" w:hAnsi="Arial"/>
          <w:sz w:val="18"/>
          <w:szCs w:val="18"/>
          <w:u w:val="single" w:color="auto"/>
          <w:color w:val="auto"/>
        </w:rPr>
        <w:t>Elliott Olvera, et al v. El Pollo Loco, Inc., et al</w:t>
      </w:r>
      <w:r>
        <w:rPr>
          <w:rFonts w:ascii="Arial" w:cs="Arial" w:eastAsia="Arial" w:hAnsi="Arial"/>
          <w:sz w:val="18"/>
          <w:szCs w:val="18"/>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litigation is moving forward with the filing deadline for plaintiff’s class certification motion postponed until February 1, 2018. Purported class actions alleging wage and hour violations are commonly filed against California employers. The Company has similar cases pending and fully expects to have to defend against similar lawsuits in the future.</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Defendants intend to continue to defend against the claims asserted.</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CA 12760-</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580" w:right="299" w:bottom="1440" w:gutter="0" w:footer="0" w:header="0"/>
        </w:sectPr>
      </w:pPr>
    </w:p>
    <w:bookmarkStart w:id="37" w:name="page38"/>
    <w:bookmarkEnd w:id="37"/>
    <w:p>
      <w:pPr>
        <w:ind w:right="740"/>
        <w:spacing w:after="0" w:line="342" w:lineRule="auto"/>
        <w:rPr>
          <w:sz w:val="20"/>
          <w:szCs w:val="20"/>
          <w:color w:val="auto"/>
        </w:rPr>
      </w:pPr>
      <w:r>
        <w:rPr>
          <w:rFonts w:ascii="Arial" w:cs="Arial" w:eastAsia="Arial" w:hAnsi="Arial"/>
          <w:sz w:val="16"/>
          <w:szCs w:val="16"/>
          <w:color w:val="auto"/>
        </w:rPr>
        <w:t xml:space="preserve">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No trial date for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has been set.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28, 2016, except for (i) the addition of the risk factors that immediately follow, and (ii) the revision of the risk factors that follow them, which are revised and restated in their entirety.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process of finding a new CEO may negatively affect our business.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March 7, 2017, Steve Sather, our President and Chief Executive Officer, informed our board that he intends to retire on or before December 31, 2017, subject to the Company hiring his replacement. At this time, Mr. Sather retains his positions while a search for his successor is underway. As President and CEO, Mr. Sather is responsible for the general supervision of our business. Turnover in the CEO position could lead to operational or strategic uncertainty or inefficiency, or increased turnover among managers and executives, or among employees generally, affecting our operations and performance. Such effects could occur before Mr. Sather retires, after his successor’s tenure begins, and during any gap between the two. Similarly, a new CEO may require time to become familiar with our business and during this period his or her lack of familiarity with our organization could pose an impediment to the efficient operation of our business and the development and execution of our business strategy. We are not guaranteed to be able to find a replacement with suitable skills and personality promptly and for an amount of compensation that we consider appropriate. Compensation for a new CEO may include equity grants, which may result in dilution to shareholders. Any successor may be less effective than Mr. Sather, or change our Company’s direction, and any such changes could be disruptive or unsuccessful. Additionally, any retirement agreements that we may enter into with Mr. Sather may provide certain compensation or benefits that may be material, but we have not yet resolved the terms of such agreements, if any.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geographically concentrated and real estate intensive, making it vulnerable to natural disasters.</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stated in our Form 10-K risk factor, “Our business is geographically concentrated in the greater Los Angeles area, and we could be negatively affected by conditions specific to that region,” including fires, earthquakes, or other natural disasters. Additionally, outside of Los Angeles, many of our restaurants are clustered around major cities in Northern California, Texas, and elsewhere. Localized disasters, especially exacerbated by climate change, including wildfires, hurricanes, and flooding, could impair our assets and operations in those areas. For example, in the third quarter of 2017, the Houston metropolitan area was impacted by Hurricane Harvey and resultant flooding. This caused for us, among other effects, temporary store closures and food spoilage, as described in “Management’s Discussion and Analysis of Financial Condition and Results of Operations-Comparison of Results of Operations.”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Risk Factors</w:t>
      </w:r>
    </w:p>
    <w:p>
      <w:pPr>
        <w:spacing w:after="0" w:line="270"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One of the key means to achieving our growth strategy is and will be through opening new restaurants and operating those restaurants on a profitable basis. We opened 18 new company-operated restaurants in fiscal 2016 and plan to open an estimated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800" w:right="25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15 to 16 in fiscal 2017. Our franchisees opened 13 new restaurants in fiscal 2016 and plan to open 7 to 9 in fiscal 2017. The ability to open new restaurants is dependent upon a number of factors, many of which are beyond our control, including our and our franchisees’ abilities to:</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7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fiscal 2016, we determined that the carrying value of the assets of nine restaurants, in Arizona, California and Texas, may not be recoverable. As a result, we recorded a $8.3 million expense related to the impairment of the assets of the nine restaurants. In addition, during the thirty-nine weeks ended September 27, 2017, the Company recorded a non-cash impairment charge of $15.5 million primarily related to the assets of nine restaurants in Texas and two restaurants in California, and a non-cash closed-store reserve of $1.8 million related to the closure of four restaurants in Texas and one in Arizona. We continue to monitor the recoverability of the carrying value of the assets of several other restaurants. In particular, most of the Company’s (and its franchisees’) restaurants in Texas have been open since the beginning of 2015, and many since the beginning of 2016. Accordingly, given the difficulty in projecting results for newer restaurants in newer markets, the Company intends to continue to monitor the performance of its Texas portfolio. Based on the most recent results in the Texas market, if management's plans to grow sales and improve profitability are not successful, future significant impairment to the Company’s assets may occur as a result of the performance of these restaurants and the related future cash flow assumptions over the remaining lease term. The combined carrying values of the restaurants in Texas is $15.6 million as of September 27, 2017. This number only applies to our current company-operated Texas portfolio. Asset impairments outside of Texas, or impairments to new units or future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ind w:right="40"/>
        <w:spacing w:after="0" w:line="277" w:lineRule="auto"/>
        <w:rPr>
          <w:sz w:val="20"/>
          <w:szCs w:val="20"/>
          <w:color w:val="auto"/>
        </w:rPr>
      </w:pPr>
      <w:r>
        <w:rPr>
          <w:rFonts w:ascii="Arial" w:cs="Arial" w:eastAsia="Arial" w:hAnsi="Arial"/>
          <w:sz w:val="18"/>
          <w:szCs w:val="18"/>
          <w:color w:val="auto"/>
        </w:rPr>
        <w:t>capital expenditures could present additional exposure. Closures could also require additional expenditures. Furthermore, franchised unit closings could result in the loss of franchise revenue and have other adverse effects on us.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growth depends on maintaining amicable relations with our franchisees. If our relations with existing or potential franchisees deteriorate, restaurant performance and our development pipeline could suffer. Additionally, our franchisee relationships are contractual in nature, and are comprised of mutual obligations. If contracts or contractual provisions between us and our franchisees are violated by either party, legally or practically unenforceable, or judicially voided, whether with respect to one, more than one, or all of our franchisees, restaurant performance and our development pipeline could suffer. In particular, we rely on non-compete, territorial exclusivity, and other development-related provisions to provide stability to our franchisee network. For example, we are litigating with a franchisee who is challenging the enforceability of the territorial exclusivity clause in the franchise agreement. Although we think that this lawsuit is immaterial, if this or similar clauses were held unenforceable, we and other franchisors could be materially negatively impacted.</w:t>
      </w:r>
    </w:p>
    <w:p>
      <w:pPr>
        <w:spacing w:after="0" w:line="2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not be able to compete successfully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28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food service industry, and particularly its quick-service and fast casual segments, is intensely competitive. In addition, the greater Los Angeles area, the primary market in which we compete, consists of what we believe to be the most competitive Mexican-inspired quick-service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quick-service and fast casual restaurants in new and existing markets, we could lose customers and our revenue could decline. Our market position is based on balancing price and quality, and drift in our competitive position, popular perception of our position, or popular interest in our position, could harm our sales, brand, and support among customers. Our company-operated and franchised restaurants compete with national and regional quick-service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better-established in the markets where our restaurants are located or are planned to be located. These competitive factors are particularly applicable in markets in which we have expanded relatively rapidly and relatively recently, such as Texas. Any of these competitive factors may materially and adversely affect our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as we continue to offer franchises. To the extent that we have such disputes, the attention, time, and financial resources of our management and our franchisees will be diverted from our restaurants, which could have a material adverse effect on our business, financial condition, results of operations, and cash flows. For example, we are litigating with a franchisee who is challenging the enforceability of the territorial exclusivity clause in the franchise agreement. Although we think that this lawsuit is immaterial, if this or similar clauses were held unenforceable, we and other franchisors could be materially negatively impacted.</w:t>
      </w:r>
    </w:p>
    <w:p>
      <w:pPr>
        <w:spacing w:after="0" w:line="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Disputes between us and our franchisees, whether in court or otherwise, could relate to either party’s violation of its contractual obligations. Unfavorable judgments or settlements relating to franchisee disputes could result in monetary or injunctive relief against us, including the voiding of non-compete, territorial exclusivity, or other development-related provisions upon which we rely. Even our success in franchisee disputes could damage our franchisees’ finances or operations, or our relationships with them.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Information technology system failures or breaches of our network security could interrupt our operations and adversely affect our business.</w:t>
      </w:r>
    </w:p>
    <w:p>
      <w:pPr>
        <w:spacing w:after="0" w:line="1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and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steal or ransom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customers’ payment method data, we could be exposed to data loss, litigation, liability, and reputational damage</w:t>
      </w:r>
      <w:r>
        <w:rPr>
          <w:rFonts w:ascii="Arial" w:cs="Arial" w:eastAsia="Arial" w:hAnsi="Arial"/>
          <w:sz w:val="16"/>
          <w:szCs w:val="16"/>
          <w:color w:val="auto"/>
        </w:rPr>
        <w:t>.</w:t>
      </w:r>
    </w:p>
    <w:p>
      <w:pPr>
        <w:spacing w:after="0" w:line="14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(Formerly: If we are unable to protect our customers’ credit and debit card data, we could be exposed to data loss, litigation, liability, and reputational damage.)</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accept electronic payment cards from our customers in our restaurants. For the fiscal year ended December 28, 2016, approximately 51% of our sales were attributable to credit/debit card transactions, and credit/debit card usage could continue to increase. A number of restaurant operators and retailers have experienced actual or potential security breaches in which credit/debit card information may have been stolen. While we have taken reasonable steps to prevent the occurrence of security breaches in this respect, we may in the future become subject to claims for purportedly fraudulent transactions arising out of the actual or alleged theft of credit/debit card information, and we may also be subject to lawsuits or other proceedings in the future relating to these types of incidents. Proceedings related to theft of credit/debit card information may be brought by payment card providers, banks, and credit unions that issue cards, cardholders (either individually or as part of a class action lawsuit), and federal and state regulators. Any such proceedings could distract our management team members from running our business and cause us to incur significant unplanned losses and expenses.</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also sell and accept for payment El Pollo Loco gift cards, and our loyalty rewards program provides points that can be redeemed for purchases. Like credit and debit cards, gift cards and rewards points are vulnerable to theft, whether physical or electronic. We believe that our gift cards are primarily vulnerable to physical theft, as we have implemented gift card policies such as requiring a physical card to be presented when redeeming value from a gift card; however, there could be instances of non-compliance with these policies. We believe that, due to their electronic nature, rewards points are primarily vulnerable to hacking. Customers affected by any loss of data or funds could litigate against us, and security breaches or even unsuccessful attempts at hacking could harm our reputation, and guarding against or responding to hacks could require significant time and resources.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also receive and maintain certain personal information about our customers and team members. The use of this information by us is regulated at the federal and state levels. If our security and information systems are compromised or our team members fail to comply with these laws and regulations and this information is obtained by unauthorized persons or used inappropriately, it could adversely affect our reputation, as well as the results of operations, and could result in litigation against us or the imposition of penalties. In addition, our ability to accept credit/debit cards as payment in our restaurants and online depends on us maintaining our compliance status with standards set by the PCI Security Standards Council. These standards, set by a consortium of the major credit card companies, require certain levels of system security and procedures to protect our customers’ credit/debit card information as well as other personal information. Privacy and information security laws and regulations change over time, and compliance with those changes may result in cost increases due to necessary system and process changes.</w:t>
      </w:r>
    </w:p>
    <w:p>
      <w:pPr>
        <w:spacing w:after="0" w:line="1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Trimaran Pollo Partners, L.L.C. (“LLC”), owns approximately 43.3%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 Currently, three of our eight directors, including our chairman, are affiliated with Trimaran or Freeman Spogli.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spacing w:after="0" w:line="290" w:lineRule="auto"/>
        <w:rPr>
          <w:sz w:val="20"/>
          <w:szCs w:val="20"/>
          <w:color w:val="auto"/>
        </w:rPr>
      </w:pPr>
      <w:r>
        <w:rPr>
          <w:rFonts w:ascii="Arial" w:cs="Arial" w:eastAsia="Arial" w:hAnsi="Arial"/>
          <w:sz w:val="16"/>
          <w:szCs w:val="16"/>
          <w:color w:val="auto"/>
        </w:rPr>
        <w:t>This concentration of ownership may delay, deter, or prevent acts that would be favored by our other stockholders. While our board has determined that director John Roth, a general partner of Freeman Spogli and its CEO, satisfies the criteria for an independent director under NASDAQ rules,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our stockholders’ in the future.</w:t>
      </w:r>
    </w:p>
    <w:p>
      <w:pPr>
        <w:spacing w:after="0" w:line="1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Trimaran and Freeman Spogli engage in a range of investing activities, including investments in restaurants and other consumer-related companies in particular. While our board has determined that director John Roth, a general partner of Freeman Spogli and its CEO, satisfies the criteria for an independent director under NASDAQ rules,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For example, in the third quarter of 2017, Cafe Rio, a high-growth, fast-casual Mexican restaurant company, announced that Freeman Spogli had acquired a majority interest in it.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None. Additionally, as discussed above in (i) Part I, Item 1, Note 1, “Basis of Presentation”, and (ii) Part I, Item 2, “Liquidity and Capital Resources - Debt and Other Obligations - New Credit Agreement”, our 2014 Revolver limits payment of 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92"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0080" w:type="dxa"/>
            <w:vAlign w:val="bottom"/>
            <w:gridSpan w:val="5"/>
          </w:tcPr>
          <w:p>
            <w:pPr>
              <w:spacing w:after="0"/>
              <w:rPr>
                <w:sz w:val="20"/>
                <w:szCs w:val="20"/>
                <w:color w:val="auto"/>
              </w:rPr>
            </w:pPr>
            <w:r>
              <w:rPr>
                <w:rFonts w:ascii="Arial" w:cs="Arial" w:eastAsia="Arial" w:hAnsi="Arial"/>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under section 302 of the Sarbanes–Oxley Act of 2002</w:t>
              </w:r>
            </w:hyperlink>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7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Principal Financial Officer under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0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Chief Executive Officer and Chief Financial Officer under 18 U.S.C. section 1350, adopted by section 906 of the Sarbanes–</w:t>
              </w:r>
            </w:hyperlink>
          </w:p>
        </w:tc>
      </w:tr>
      <w:tr>
        <w:trPr>
          <w:trHeight w:val="196"/>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80" w:type="dxa"/>
            <w:vAlign w:val="bottom"/>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Oxley Act of 2002</w:t>
              </w:r>
            </w:hyperlink>
          </w:p>
        </w:tc>
      </w:tr>
      <w:tr>
        <w:trPr>
          <w:trHeight w:val="20"/>
        </w:trPr>
        <w:tc>
          <w:tcPr>
            <w:tcW w:w="1140" w:type="dxa"/>
            <w:vAlign w:val="bottom"/>
            <w:gridSpan w:val="2"/>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November 3, 2017</w:t>
            </w:r>
          </w:p>
        </w:tc>
        <w:tc>
          <w:tcPr>
            <w:tcW w:w="29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Stephen J. Sather</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Stephen J. Sather</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November 3, 2017</w:t>
            </w:r>
          </w:p>
        </w:tc>
        <w:tc>
          <w:tcPr>
            <w:tcW w:w="29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86"/>
        </w:trPr>
        <w:tc>
          <w:tcPr>
            <w:tcW w:w="3460" w:type="dxa"/>
            <w:vAlign w:val="bottom"/>
          </w:tcPr>
          <w:p>
            <w:pPr>
              <w:spacing w:after="0"/>
              <w:rPr>
                <w:sz w:val="24"/>
                <w:szCs w:val="24"/>
                <w:color w:val="auto"/>
              </w:rPr>
            </w:pPr>
          </w:p>
        </w:tc>
        <w:tc>
          <w:tcPr>
            <w:tcW w:w="2900" w:type="dxa"/>
            <w:vAlign w:val="bottom"/>
          </w:tcPr>
          <w:p>
            <w:pPr>
              <w:jc w:val="right"/>
              <w:ind w:right="510"/>
              <w:spacing w:after="0"/>
              <w:rPr>
                <w:sz w:val="20"/>
                <w:szCs w:val="20"/>
                <w:color w:val="auto"/>
              </w:rPr>
            </w:pPr>
            <w:r>
              <w:rPr>
                <w:rFonts w:ascii="Arial" w:cs="Arial" w:eastAsia="Arial" w:hAnsi="Arial"/>
                <w:sz w:val="18"/>
                <w:szCs w:val="18"/>
                <w:color w:val="auto"/>
              </w:rPr>
              <w:t>44</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Sather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Sather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7"/>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Roman"/>
      <w:start w:val="1"/>
    </w:lvl>
  </w:abstractNum>
  <w:abstractNum w:abstractNumId="9">
    <w:nsid w:val="519B500D"/>
    <w:multiLevelType w:val="hybridMultilevel"/>
    <w:lvl w:ilvl="0">
      <w:lvlJc w:val="left"/>
      <w:lvlText w:val="(%1)"/>
      <w:numFmt w:val="lowerLetter"/>
      <w:start w:val="2"/>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2019-12-29T03:14:17Z</dcterms:created>
  <dcterms:modified xsi:type="dcterms:W3CDTF">2019-12-29T03:14:17Z</dcterms:modified>
</cp:coreProperties>
</file>