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 Pollo Loco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Sardar Biglari</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Biglari Capital Corp., 19100 Ridgewood Pkwy, Suite 1200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Antonio, TX, 78259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210-344-3400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Michael Neidell,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BIGLARI, SARDAR</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4,124,701.00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4,124,701.00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4,124,701.00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BIGLARI CAPITAL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3,635,454.00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3,635,454.00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3,635,454.00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LION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3,635,454.00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4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3,635,454.00</w:t>
            </w:r>
          </w:p>
        </w:tc>
        <w:tc>
          <w:tcPr>
            <w:tcW w:w="0" w:type="dxa"/>
            <w:vAlign w:val="bottom"/>
          </w:tcPr>
          <w:p>
            <w:pPr>
              <w:spacing w:after="0"/>
              <w:rPr>
                <w:sz w:val="1"/>
                <w:szCs w:val="1"/>
                <w:color w:val="auto"/>
              </w:rPr>
            </w:pPr>
          </w:p>
        </w:tc>
      </w:tr>
    </w:tbl>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3,635,454.00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11.9 %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Guard Insurance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Biglari Reinsurance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489,247.00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355"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355" w:right="1440" w:bottom="0" w:gutter="0" w:footer="0" w:header="0"/>
          <w:type w:val="continuous"/>
        </w:sectPr>
      </w:pPr>
    </w:p>
    <w:bookmarkStart w:id="5" w:name="page6"/>
    <w:bookmarkEnd w:id="5"/>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Biglari Insurance Group Inc.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489,247.00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Biglari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INDIANA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489,247.00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489,247.00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22"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El Pollo Loco Holdings,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575 ANTON BLVD, STE 1100, COSTA MESA, CALIFORNIA , 92626.</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6" w:lineRule="auto"/>
        <w:rPr>
          <w:sz w:val="20"/>
          <w:szCs w:val="20"/>
          <w:color w:val="auto"/>
        </w:rPr>
      </w:pPr>
      <w:r>
        <w:rPr>
          <w:rFonts w:ascii="Times New Roman" w:cs="Times New Roman" w:eastAsia="Times New Roman" w:hAnsi="Times New Roman"/>
          <w:sz w:val="21"/>
          <w:szCs w:val="21"/>
          <w:color w:val="auto"/>
        </w:rPr>
        <w:t>Item 3 is hereby amended and restated to read as follows: The aggregate purchase price of the 3,635,454 Shares owned directly by The Lion Fund II is approximately $35,964,823. The Shares purchased by The Lion Fund II were purchased with working capital (which may, at any given time, include margin loans made by brokerage firms in the ordinary course of business) in open market purchases, except as otherwise noted. The aggregate purchase price of the 120,000 Shares owned directly by First Guard is approximately $1,223,056. The Shares purchased by First Guard were purchased with working capital (which may, at any given time, include margin loans made by brokerage firms in the ordinary course of business) in open market purchases, except as otherwise noted. The aggregate purchase price of the 369,247 Shares owned directly by Biglari Reinsurance is approximately $4,861,578. The Shares purchased by Biglari Reinsurance were purchased with working capital (which may, at any given time, include margin loans made by brokerage firms in the ordinary course of business) in open market purchases, except as otherwise noted.</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0" w:hanging="932"/>
        <w:spacing w:after="0" w:line="246" w:lineRule="auto"/>
        <w:tabs>
          <w:tab w:leader="none" w:pos="94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the Reporting Persons is based upon 30,455,298 Shares outstanding as of May 1, 2026, which is the total number of Shares outstanding as reported in the Issuer's Quarterly Report on Form 10-Q filed with the Securities and Exchange Commission on May 8, 2026. As of the close of business on July 2, 2026, The Lion Fund II owned directly 3,635,454 Shares, constituting approximately 11.9% of the Shares outstanding. By virtue of their relationships with The Lion Fund II, each of Sardar Biglari and BCC may be deemed to beneficially own the Shares owned by The Lion Fund II. As of the close of business on July 2, 2026, First Guard owned directly 120,000 Shares, constituting less than 1% of the Shares outstanding. By virtue of their relationships with First Guard, each of Sardar Biglari, Biglari Reinsurance, Biglari Insurance, and Biglari Holdings may be deemed to beneficially own the Shares owned directly by First Guard. As of the close of business on July 2, 2026, Biglari Reinsurance owned directly 369,247 Shares, constituting</w:t>
      </w:r>
    </w:p>
    <w:p>
      <w:pPr>
        <w:sectPr>
          <w:pgSz w:w="11900" w:h="16922" w:orient="portrait"/>
          <w:cols w:equalWidth="0" w:num="1">
            <w:col w:w="11160"/>
          </w:cols>
          <w:pgMar w:left="360" w:top="355" w:right="379" w:bottom="0" w:gutter="0" w:footer="0" w:header="0"/>
          <w:type w:val="continuous"/>
        </w:sectPr>
      </w:pPr>
    </w:p>
    <w:bookmarkStart w:id="7" w:name="page8"/>
    <w:bookmarkEnd w:id="7"/>
    <w:p>
      <w:pPr>
        <w:ind w:left="940" w:right="60"/>
        <w:spacing w:after="0" w:line="246" w:lineRule="auto"/>
        <w:rPr>
          <w:sz w:val="20"/>
          <w:szCs w:val="20"/>
          <w:color w:val="auto"/>
        </w:rPr>
      </w:pPr>
      <w:r>
        <w:rPr>
          <w:rFonts w:ascii="Times New Roman" w:cs="Times New Roman" w:eastAsia="Times New Roman" w:hAnsi="Times New Roman"/>
          <w:sz w:val="21"/>
          <w:szCs w:val="21"/>
          <w:color w:val="auto"/>
        </w:rPr>
        <w:t>approximately 1.2% of the Shares outstanding, and together with the 120,000 Shares owned directly by First Guard, constituting approximately 1.6% of the Shares outstanding. By virtue of their relationships with Biglari Reinsurance, each of Sardar Biglari, Biglari Insurance, and Biglari Holdings may be deemed to beneficially own the Shares owned directly by Biglari Reinsurance. An aggregate of 4,124,701 Shares, constituting approximately 13.5% of the Shares outstanding, are reported by the Reporting Persons in this statement. The filing of this Schedule 13D shall not be deemed an admission that any of the Reporting Persons is, for purposes of Section 13(d) of the Securities Exchange Act of 1934, as amended, the beneficial owner of any Shares he or it does not directly own. Each of the Reporting Persons specifically disclaims beneficial ownership of the Shares reported herein that he or it does not directly own.</w:t>
      </w:r>
    </w:p>
    <w:p>
      <w:pPr>
        <w:spacing w:after="0" w:line="18" w:lineRule="exact"/>
        <w:rPr>
          <w:sz w:val="20"/>
          <w:szCs w:val="20"/>
          <w:color w:val="auto"/>
        </w:rPr>
      </w:pPr>
    </w:p>
    <w:p>
      <w:pPr>
        <w:ind w:left="940" w:right="40" w:hanging="932"/>
        <w:spacing w:after="0" w:line="185" w:lineRule="auto"/>
        <w:tabs>
          <w:tab w:leader="none" w:pos="94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Items 5(c) is hereby amended and restated to read as follows: The transactions in the Shares by the Reporting Persons during the past sixty days are set forth in Exhibit 1 and are incorporated herein by reference.</w:t>
      </w:r>
    </w:p>
    <w:p>
      <w:pPr>
        <w:spacing w:after="0" w:line="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BIGLARI, SARDAR</w:t>
      </w:r>
    </w:p>
    <w:p>
      <w:pPr>
        <w:spacing w:after="0" w:line="152"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spacing w:after="0" w:line="4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Name/Title: Sardar Biglari</w:t>
      </w:r>
    </w:p>
    <w:p>
      <w:pPr>
        <w:spacing w:after="0" w:line="44" w:lineRule="exact"/>
        <w:rPr>
          <w:sz w:val="20"/>
          <w:szCs w:val="20"/>
          <w:color w:val="auto"/>
        </w:rPr>
      </w:pPr>
    </w:p>
    <w:p>
      <w:pPr>
        <w:ind w:left="276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BIGLARI CAPITAL CORP.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Sardar Biglari, Chairman and Chief Executive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LION FUND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Sardar Biglari, Chairman and Chief Executive</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Officer of Biglari Capital Corp., its general</w:t>
      </w:r>
    </w:p>
    <w:p>
      <w:pPr>
        <w:ind w:left="674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First Guard Insurance Company</w:t>
      </w:r>
    </w:p>
    <w:p>
      <w:pPr>
        <w:spacing w:after="0" w:line="152"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spacing w:after="0" w:line="4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Name/Title: Sardar Biglari, Authorized Signatory</w:t>
      </w:r>
    </w:p>
    <w:p>
      <w:pPr>
        <w:spacing w:after="0" w:line="44" w:lineRule="exact"/>
        <w:rPr>
          <w:sz w:val="20"/>
          <w:szCs w:val="20"/>
          <w:color w:val="auto"/>
        </w:rPr>
      </w:pPr>
    </w:p>
    <w:p>
      <w:pPr>
        <w:ind w:left="448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Biglari Reinsurance Ltd.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Sardar Biglari, Chairman and Chief Executive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Biglari Insurance Group Inc.</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Sardar Biglari, Chairman of the Board</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Biglari Holdings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Sardar Biglari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Sardar Biglari, Chairman and Chief Executive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ectPr>
          <w:pgSz w:w="11900" w:h="16838" w:orient="portrait"/>
          <w:cols w:equalWidth="0" w:num="1">
            <w:col w:w="11140"/>
          </w:cols>
          <w:pgMar w:left="360" w:top="111" w:right="399" w:bottom="721"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560" w:type="dxa"/>
            <w:vAlign w:val="bottom"/>
            <w:gridSpan w:val="10"/>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Transactions in the Shares During the Past Sixty Days</w:t>
            </w: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34"/>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gridSpan w:val="4"/>
          </w:tcPr>
          <w:p>
            <w:pPr>
              <w:jc w:val="center"/>
              <w:ind w:right="1820"/>
              <w:spacing w:after="0"/>
              <w:rPr>
                <w:sz w:val="20"/>
                <w:szCs w:val="20"/>
                <w:color w:val="auto"/>
              </w:rPr>
            </w:pPr>
            <w:r>
              <w:rPr>
                <w:rFonts w:ascii="Times New Roman" w:cs="Times New Roman" w:eastAsia="Times New Roman" w:hAnsi="Times New Roman"/>
                <w:sz w:val="18"/>
                <w:szCs w:val="18"/>
                <w:color w:val="auto"/>
              </w:rPr>
              <w:t>Securities</w:t>
            </w:r>
          </w:p>
        </w:tc>
        <w:tc>
          <w:tcPr>
            <w:tcW w:w="1040" w:type="dxa"/>
            <w:vAlign w:val="bottom"/>
            <w:tcBorders>
              <w:top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Price Per</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Purchased/(Sold)</w:t>
            </w:r>
          </w:p>
        </w:tc>
        <w:tc>
          <w:tcPr>
            <w:tcW w:w="182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u w:val="single" w:color="auto"/>
                <w:color w:val="auto"/>
                <w:w w:val="99"/>
              </w:rPr>
              <w:t>Share($</w:t>
            </w:r>
            <w:r>
              <w:rPr>
                <w:rFonts w:ascii="Times New Roman" w:cs="Times New Roman" w:eastAsia="Times New Roman" w:hAnsi="Times New Roman"/>
                <w:sz w:val="18"/>
                <w:szCs w:val="18"/>
                <w:color w:val="auto"/>
                <w:w w:val="99"/>
              </w:rPr>
              <w:t>)</w:t>
            </w:r>
          </w:p>
        </w:tc>
        <w:tc>
          <w:tcPr>
            <w:tcW w:w="116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960" w:type="dxa"/>
            <w:vAlign w:val="bottom"/>
            <w:gridSpan w:val="2"/>
          </w:tcPr>
          <w:p>
            <w:pPr>
              <w:jc w:val="center"/>
              <w:ind w:right="860"/>
              <w:spacing w:after="0" w:line="194" w:lineRule="exact"/>
              <w:rPr>
                <w:sz w:val="20"/>
                <w:szCs w:val="20"/>
                <w:color w:val="auto"/>
              </w:rPr>
            </w:pPr>
            <w:r>
              <w:rPr>
                <w:rFonts w:ascii="Times New Roman" w:cs="Times New Roman" w:eastAsia="Times New Roman" w:hAnsi="Times New Roman"/>
                <w:sz w:val="18"/>
                <w:szCs w:val="18"/>
                <w:color w:val="auto"/>
                <w:w w:val="99"/>
              </w:rPr>
              <w:t>Purchase / 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THE LION FUND II, L.P.</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7"/>
        </w:trPr>
        <w:tc>
          <w:tcPr>
            <w:tcW w:w="2940" w:type="dxa"/>
            <w:vAlign w:val="bottom"/>
            <w:gridSpan w:val="3"/>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Sale of Common Stock</w:t>
            </w:r>
            <w:r>
              <w:rPr>
                <w:rFonts w:ascii="Times New Roman" w:cs="Times New Roman" w:eastAsia="Times New Roman" w:hAnsi="Times New Roman"/>
                <w:sz w:val="29"/>
                <w:szCs w:val="29"/>
                <w:color w:val="auto"/>
                <w:vertAlign w:val="superscript"/>
              </w:rPr>
              <w:t>1</w:t>
            </w:r>
          </w:p>
        </w:tc>
        <w:tc>
          <w:tcPr>
            <w:tcW w:w="168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16.75</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06/26/2026</w:t>
            </w:r>
          </w:p>
        </w:tc>
        <w:tc>
          <w:tcPr>
            <w:tcW w:w="860" w:type="dxa"/>
            <w:vAlign w:val="bottom"/>
            <w:shd w:val="clear" w:color="auto" w:fill="CCEEFF"/>
          </w:tcPr>
          <w:p>
            <w:pPr>
              <w:spacing w:after="0"/>
              <w:rPr>
                <w:sz w:val="22"/>
                <w:szCs w:val="22"/>
                <w:color w:val="auto"/>
              </w:rPr>
            </w:pPr>
          </w:p>
        </w:tc>
      </w:tr>
      <w:tr>
        <w:trPr>
          <w:trHeight w:val="257"/>
        </w:trPr>
        <w:tc>
          <w:tcPr>
            <w:tcW w:w="2940" w:type="dxa"/>
            <w:vAlign w:val="bottom"/>
            <w:gridSpan w:val="3"/>
          </w:tcPr>
          <w:p>
            <w:pPr>
              <w:ind w:left="100"/>
              <w:spacing w:after="0" w:line="256" w:lineRule="exact"/>
              <w:rPr>
                <w:sz w:val="20"/>
                <w:szCs w:val="20"/>
                <w:color w:val="auto"/>
              </w:rPr>
            </w:pPr>
            <w:r>
              <w:rPr>
                <w:rFonts w:ascii="Times New Roman" w:cs="Times New Roman" w:eastAsia="Times New Roman" w:hAnsi="Times New Roman"/>
                <w:sz w:val="18"/>
                <w:szCs w:val="18"/>
                <w:color w:val="auto"/>
              </w:rPr>
              <w:t>Sale of Common Stock</w:t>
            </w:r>
            <w:r>
              <w:rPr>
                <w:rFonts w:ascii="Times New Roman" w:cs="Times New Roman" w:eastAsia="Times New Roman" w:hAnsi="Times New Roman"/>
                <w:sz w:val="29"/>
                <w:szCs w:val="29"/>
                <w:color w:val="auto"/>
                <w:vertAlign w:val="superscript"/>
              </w:rPr>
              <w:t>2</w:t>
            </w:r>
          </w:p>
        </w:tc>
        <w:tc>
          <w:tcPr>
            <w:tcW w:w="168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16.58</w:t>
            </w: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06/29/2026</w:t>
            </w:r>
          </w:p>
        </w:tc>
        <w:tc>
          <w:tcPr>
            <w:tcW w:w="860" w:type="dxa"/>
            <w:vAlign w:val="bottom"/>
          </w:tcPr>
          <w:p>
            <w:pPr>
              <w:spacing w:after="0"/>
              <w:rPr>
                <w:sz w:val="22"/>
                <w:szCs w:val="22"/>
                <w:color w:val="auto"/>
              </w:rPr>
            </w:pPr>
          </w:p>
        </w:tc>
      </w:tr>
      <w:tr>
        <w:trPr>
          <w:trHeight w:val="257"/>
        </w:trPr>
        <w:tc>
          <w:tcPr>
            <w:tcW w:w="2940" w:type="dxa"/>
            <w:vAlign w:val="bottom"/>
            <w:gridSpan w:val="3"/>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Sale of Common Stock</w:t>
            </w:r>
            <w:r>
              <w:rPr>
                <w:rFonts w:ascii="Times New Roman" w:cs="Times New Roman" w:eastAsia="Times New Roman" w:hAnsi="Times New Roman"/>
                <w:sz w:val="29"/>
                <w:szCs w:val="29"/>
                <w:color w:val="auto"/>
                <w:vertAlign w:val="superscript"/>
              </w:rPr>
              <w:t>3</w:t>
            </w:r>
          </w:p>
        </w:tc>
        <w:tc>
          <w:tcPr>
            <w:tcW w:w="168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(22,600)</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16.91</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06/30/2026</w:t>
            </w:r>
          </w:p>
        </w:tc>
        <w:tc>
          <w:tcPr>
            <w:tcW w:w="860" w:type="dxa"/>
            <w:vAlign w:val="bottom"/>
            <w:shd w:val="clear" w:color="auto" w:fill="CCEEFF"/>
          </w:tcPr>
          <w:p>
            <w:pPr>
              <w:spacing w:after="0"/>
              <w:rPr>
                <w:sz w:val="22"/>
                <w:szCs w:val="22"/>
                <w:color w:val="auto"/>
              </w:rPr>
            </w:pPr>
          </w:p>
        </w:tc>
      </w:tr>
      <w:tr>
        <w:trPr>
          <w:trHeight w:val="256"/>
        </w:trPr>
        <w:tc>
          <w:tcPr>
            <w:tcW w:w="2940" w:type="dxa"/>
            <w:vAlign w:val="bottom"/>
            <w:gridSpan w:val="3"/>
          </w:tcPr>
          <w:p>
            <w:pPr>
              <w:ind w:left="100"/>
              <w:spacing w:after="0" w:line="256" w:lineRule="exact"/>
              <w:rPr>
                <w:sz w:val="20"/>
                <w:szCs w:val="20"/>
                <w:color w:val="auto"/>
              </w:rPr>
            </w:pPr>
            <w:r>
              <w:rPr>
                <w:rFonts w:ascii="Times New Roman" w:cs="Times New Roman" w:eastAsia="Times New Roman" w:hAnsi="Times New Roman"/>
                <w:sz w:val="18"/>
                <w:szCs w:val="18"/>
                <w:color w:val="auto"/>
              </w:rPr>
              <w:t>Sale of Common Stock</w:t>
            </w:r>
            <w:r>
              <w:rPr>
                <w:rFonts w:ascii="Times New Roman" w:cs="Times New Roman" w:eastAsia="Times New Roman" w:hAnsi="Times New Roman"/>
                <w:sz w:val="29"/>
                <w:szCs w:val="29"/>
                <w:color w:val="auto"/>
                <w:vertAlign w:val="superscript"/>
              </w:rPr>
              <w:t>4</w:t>
            </w:r>
          </w:p>
        </w:tc>
        <w:tc>
          <w:tcPr>
            <w:tcW w:w="168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(132,421)</w:t>
            </w:r>
          </w:p>
        </w:tc>
        <w:tc>
          <w:tcPr>
            <w:tcW w:w="2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17.27</w:t>
            </w: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07/01/2026</w:t>
            </w:r>
          </w:p>
        </w:tc>
        <w:tc>
          <w:tcPr>
            <w:tcW w:w="860" w:type="dxa"/>
            <w:vAlign w:val="bottom"/>
          </w:tcPr>
          <w:p>
            <w:pPr>
              <w:spacing w:after="0"/>
              <w:rPr>
                <w:sz w:val="22"/>
                <w:szCs w:val="22"/>
                <w:color w:val="auto"/>
              </w:rPr>
            </w:pPr>
          </w:p>
        </w:tc>
      </w:tr>
      <w:tr>
        <w:trPr>
          <w:trHeight w:val="257"/>
        </w:trPr>
        <w:tc>
          <w:tcPr>
            <w:tcW w:w="2940" w:type="dxa"/>
            <w:vAlign w:val="bottom"/>
            <w:gridSpan w:val="3"/>
            <w:shd w:val="clear" w:color="auto" w:fill="CCEEFF"/>
          </w:tcPr>
          <w:p>
            <w:pPr>
              <w:ind w:left="100"/>
              <w:spacing w:after="0" w:line="256" w:lineRule="exact"/>
              <w:rPr>
                <w:sz w:val="20"/>
                <w:szCs w:val="20"/>
                <w:color w:val="auto"/>
              </w:rPr>
            </w:pPr>
            <w:r>
              <w:rPr>
                <w:rFonts w:ascii="Times New Roman" w:cs="Times New Roman" w:eastAsia="Times New Roman" w:hAnsi="Times New Roman"/>
                <w:sz w:val="18"/>
                <w:szCs w:val="18"/>
                <w:color w:val="auto"/>
              </w:rPr>
              <w:t>Sale of Common Stock</w:t>
            </w:r>
            <w:r>
              <w:rPr>
                <w:rFonts w:ascii="Times New Roman" w:cs="Times New Roman" w:eastAsia="Times New Roman" w:hAnsi="Times New Roman"/>
                <w:sz w:val="29"/>
                <w:szCs w:val="29"/>
                <w:color w:val="auto"/>
                <w:vertAlign w:val="superscript"/>
              </w:rPr>
              <w:t>5</w:t>
            </w:r>
          </w:p>
        </w:tc>
        <w:tc>
          <w:tcPr>
            <w:tcW w:w="1680" w:type="dxa"/>
            <w:vAlign w:val="bottom"/>
            <w:gridSpan w:val="3"/>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(9,525)</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16.92</w:t>
            </w: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07/02/2026</w:t>
            </w:r>
          </w:p>
        </w:tc>
        <w:tc>
          <w:tcPr>
            <w:tcW w:w="860" w:type="dxa"/>
            <w:vAlign w:val="bottom"/>
            <w:shd w:val="clear" w:color="auto" w:fill="CCEEFF"/>
          </w:tcPr>
          <w:p>
            <w:pPr>
              <w:spacing w:after="0"/>
              <w:rPr>
                <w:sz w:val="22"/>
                <w:szCs w:val="22"/>
                <w:color w:val="auto"/>
              </w:rPr>
            </w:pPr>
          </w:p>
        </w:tc>
      </w:tr>
    </w:tbl>
    <w:p>
      <w:pPr>
        <w:spacing w:after="0" w:line="238" w:lineRule="exact"/>
        <w:rPr>
          <w:sz w:val="20"/>
          <w:szCs w:val="20"/>
          <w:color w:val="auto"/>
        </w:rPr>
      </w:pPr>
    </w:p>
    <w:p>
      <w:pPr>
        <w:jc w:val="both"/>
        <w:ind w:firstLine="8"/>
        <w:spacing w:after="0" w:line="210" w:lineRule="auto"/>
        <w:tabs>
          <w:tab w:leader="none" w:pos="112"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$16.50 to $16.90 per share.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0" w:lineRule="exact"/>
        <w:rPr>
          <w:sz w:val="20"/>
          <w:szCs w:val="20"/>
          <w:color w:val="auto"/>
        </w:rPr>
      </w:pPr>
    </w:p>
    <w:p>
      <w:pPr>
        <w:jc w:val="both"/>
        <w:ind w:firstLine="8"/>
        <w:spacing w:after="0" w:line="210" w:lineRule="auto"/>
        <w:tabs>
          <w:tab w:leader="none" w:pos="112"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$16.50 to $16.67 per share.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0" w:lineRule="exact"/>
        <w:rPr>
          <w:sz w:val="20"/>
          <w:szCs w:val="20"/>
          <w:color w:val="auto"/>
        </w:rPr>
      </w:pPr>
    </w:p>
    <w:p>
      <w:pPr>
        <w:jc w:val="both"/>
        <w:ind w:firstLine="8"/>
        <w:spacing w:after="0" w:line="210" w:lineRule="auto"/>
        <w:tabs>
          <w:tab w:leader="none" w:pos="112"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$16.87 to $17.00 per share.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0" w:lineRule="exact"/>
        <w:rPr>
          <w:sz w:val="20"/>
          <w:szCs w:val="20"/>
          <w:color w:val="auto"/>
        </w:rPr>
      </w:pPr>
    </w:p>
    <w:p>
      <w:pPr>
        <w:jc w:val="both"/>
        <w:ind w:firstLine="8"/>
        <w:spacing w:after="0" w:line="210" w:lineRule="auto"/>
        <w:tabs>
          <w:tab w:leader="none" w:pos="112"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$17.20 to $17.40 per share.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0" w:lineRule="exact"/>
        <w:rPr>
          <w:sz w:val="20"/>
          <w:szCs w:val="20"/>
          <w:color w:val="auto"/>
        </w:rPr>
      </w:pPr>
    </w:p>
    <w:p>
      <w:pPr>
        <w:jc w:val="both"/>
        <w:ind w:firstLine="8"/>
        <w:spacing w:after="0" w:line="210" w:lineRule="auto"/>
        <w:tabs>
          <w:tab w:leader="none" w:pos="112"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price reported is a weighted average price. These shares were sold in multiple transactions at prices ranging from $16.90 to $16.96 per share.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bullet"/>
      <w:start w:val="1"/>
    </w:lvl>
  </w:abstractNum>
  <w:abstractNum w:abstractNumId="1">
    <w:nsid w:val="12200854"/>
    <w:multiLevelType w:val="hybridMultilevel"/>
    <w:lvl w:ilvl="0">
      <w:lvlJc w:val="left"/>
      <w:lvlText w:val="2"/>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5"/>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1"/>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6"/>
      <w:numFmt w:val="bullet"/>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bullet"/>
      <w:start w:val="1"/>
    </w:lvl>
  </w:abstractNum>
  <w:abstractNum w:abstractNumId="13">
    <w:nsid w:val="41A7C4C9"/>
    <w:multiLevelType w:val="hybridMultilevel"/>
    <w:lvl w:ilvl="0">
      <w:lvlJc w:val="left"/>
      <w:lvlText w:val="2"/>
      <w:numFmt w:val="bullet"/>
      <w:start w:val="1"/>
    </w:lvl>
  </w:abstractNum>
  <w:abstractNum w:abstractNumId="14">
    <w:nsid w:val="6B68079A"/>
    <w:multiLevelType w:val="hybridMultilevel"/>
    <w:lvl w:ilvl="0">
      <w:lvlJc w:val="left"/>
      <w:lvlText w:val="3"/>
      <w:numFmt w:val="bullet"/>
      <w:start w:val="1"/>
    </w:lvl>
  </w:abstractNum>
  <w:abstractNum w:abstractNumId="15">
    <w:nsid w:val="4E6AFB66"/>
    <w:multiLevelType w:val="hybridMultilevel"/>
    <w:lvl w:ilvl="0">
      <w:lvlJc w:val="left"/>
      <w:lvlText w:val="4"/>
      <w:numFmt w:val="bullet"/>
      <w:start w:val="1"/>
    </w:lvl>
  </w:abstractNum>
  <w:abstractNum w:abstractNumId="16">
    <w:nsid w:val="25E45D3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2026-07-02T17:31:41Z</dcterms:created>
  <dcterms:modified xsi:type="dcterms:W3CDTF">2026-07-02T17:31:41Z</dcterms:modified>
</cp:coreProperties>
</file>