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146050</wp:posOffset>
            </wp:positionH>
            <wp:positionV relativeFrom="page">
              <wp:posOffset>437515</wp:posOffset>
            </wp:positionV>
            <wp:extent cx="727519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5195" cy="5715"/>
                    </a:xfrm>
                    <a:prstGeom prst="rect">
                      <a:avLst/>
                    </a:prstGeom>
                    <a:noFill/>
                  </pic:spPr>
                </pic:pic>
              </a:graphicData>
            </a:graphic>
          </wp:anchor>
        </w:drawing>
        <w:drawing>
          <wp:anchor simplePos="0" relativeHeight="251657728" behindDoc="1" locked="0" layoutInCell="0" allowOverlap="1">
            <wp:simplePos x="0" y="0"/>
            <wp:positionH relativeFrom="page">
              <wp:posOffset>146050</wp:posOffset>
            </wp:positionH>
            <wp:positionV relativeFrom="page">
              <wp:posOffset>448945</wp:posOffset>
            </wp:positionV>
            <wp:extent cx="727519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5195" cy="571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151130</wp:posOffset>
            </wp:positionV>
            <wp:extent cx="15614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1465" cy="5715"/>
                    </a:xfrm>
                    <a:prstGeom prst="rect">
                      <a:avLst/>
                    </a:prstGeom>
                    <a:noFill/>
                  </pic:spPr>
                </pic:pic>
              </a:graphicData>
            </a:graphic>
          </wp:anchor>
        </w:drawing>
      </w: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162560</wp:posOffset>
            </wp:positionV>
            <wp:extent cx="15614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1465" cy="571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109"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For the quarterly period ended June 28, 2017</w:t>
      </w:r>
    </w:p>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5" w:lineRule="exact"/>
        <w:rPr>
          <w:sz w:val="24"/>
          <w:szCs w:val="24"/>
          <w:color w:val="auto"/>
        </w:rPr>
      </w:pPr>
    </w:p>
    <w:p>
      <w:pPr>
        <w:ind w:left="700" w:hanging="690"/>
        <w:spacing w:after="0"/>
        <w:tabs>
          <w:tab w:leader="none" w:pos="7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0" w:lineRule="exact"/>
        <w:rPr>
          <w:sz w:val="24"/>
          <w:szCs w:val="24"/>
          <w:color w:val="auto"/>
        </w:rPr>
      </w:pPr>
    </w:p>
    <w:p>
      <w:pPr>
        <w:ind w:left="4260"/>
        <w:spacing w:after="0"/>
        <w:tabs>
          <w:tab w:leader="none" w:pos="6460"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3710940</wp:posOffset>
            </wp:positionH>
            <wp:positionV relativeFrom="paragraph">
              <wp:posOffset>-3175</wp:posOffset>
            </wp:positionV>
            <wp:extent cx="8636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3600" cy="5715"/>
                    </a:xfrm>
                    <a:prstGeom prst="rect">
                      <a:avLst/>
                    </a:prstGeom>
                    <a:noFill/>
                  </pic:spPr>
                </pic:pic>
              </a:graphicData>
            </a:graphic>
          </wp:anchor>
        </w:drawing>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161925</wp:posOffset>
            </wp:positionV>
            <wp:extent cx="15614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61465" cy="5715"/>
                    </a:xfrm>
                    <a:prstGeom prst="rect">
                      <a:avLst/>
                    </a:prstGeom>
                    <a:noFill/>
                  </pic:spPr>
                </pic:pic>
              </a:graphicData>
            </a:graphic>
          </wp:anchor>
        </w:drawing>
      </w:r>
    </w:p>
    <w:p>
      <w:pPr>
        <w:spacing w:after="0" w:line="3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8"/>
          <w:szCs w:val="28"/>
          <w:b w:val="1"/>
          <w:bCs w:val="1"/>
          <w:color w:val="auto"/>
        </w:rPr>
        <w:t>EL POLLO LOCO HOLDINGS, INC.</w:t>
      </w:r>
    </w:p>
    <w:p>
      <w:pPr>
        <w:spacing w:after="0" w:line="4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151765</wp:posOffset>
            </wp:positionV>
            <wp:extent cx="156146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1465" cy="5715"/>
                    </a:xfrm>
                    <a:prstGeom prst="rect">
                      <a:avLst/>
                    </a:prstGeom>
                    <a:noFill/>
                  </pic:spPr>
                </pic:pic>
              </a:graphicData>
            </a:graphic>
          </wp:anchor>
        </w:drawing>
      </w:r>
    </w:p>
    <w:p>
      <w:pPr>
        <w:sectPr>
          <w:pgSz w:w="11900" w:h="16838" w:orient="portrait"/>
          <w:cols w:equalWidth="0" w:num="1">
            <w:col w:w="11340"/>
          </w:cols>
          <w:pgMar w:left="220" w:top="739" w:right="339" w:bottom="1440" w:gutter="0" w:footer="0" w:header="0"/>
        </w:sectPr>
      </w:pPr>
    </w:p>
    <w:p>
      <w:pPr>
        <w:spacing w:after="0" w:line="200" w:lineRule="exact"/>
        <w:rPr>
          <w:sz w:val="24"/>
          <w:szCs w:val="24"/>
          <w:color w:val="auto"/>
        </w:rPr>
      </w:pPr>
    </w:p>
    <w:p>
      <w:pPr>
        <w:spacing w:after="0" w:line="22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20-3563182</w:t>
      </w:r>
    </w:p>
    <w:p>
      <w:pPr>
        <w:spacing w:after="0" w:line="52" w:lineRule="exact"/>
        <w:rPr>
          <w:sz w:val="24"/>
          <w:szCs w:val="24"/>
          <w:color w:val="auto"/>
        </w:rPr>
      </w:pPr>
    </w:p>
    <w:p>
      <w:pPr>
        <w:sectPr>
          <w:pgSz w:w="11900" w:h="16838" w:orient="portrait"/>
          <w:cols w:equalWidth="0" w:num="2">
            <w:col w:w="7700" w:space="720"/>
            <w:col w:w="2920"/>
          </w:cols>
          <w:pgMar w:left="220" w:top="739" w:right="33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p>
      <w:pPr>
        <w:spacing w:after="0" w:line="135" w:lineRule="exact"/>
        <w:rPr>
          <w:sz w:val="24"/>
          <w:szCs w:val="24"/>
          <w:color w:val="auto"/>
        </w:rPr>
      </w:pPr>
    </w:p>
    <w:p>
      <w:pPr>
        <w:sectPr>
          <w:pgSz w:w="11900" w:h="16838" w:orient="portrait"/>
          <w:cols w:equalWidth="0" w:num="2">
            <w:col w:w="7240" w:space="720"/>
            <w:col w:w="3380"/>
          </w:cols>
          <w:pgMar w:left="220" w:top="739"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1"/>
          <w:szCs w:val="11"/>
          <w:b w:val="1"/>
          <w:bCs w:val="1"/>
          <w:color w:val="auto"/>
        </w:rPr>
        <w:t>3535 Harbor Blvd., Suite 100, Costa Mesa,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92626</w:t>
      </w:r>
    </w:p>
    <w:p>
      <w:pPr>
        <w:spacing w:after="0" w:line="41" w:lineRule="exact"/>
        <w:rPr>
          <w:sz w:val="24"/>
          <w:szCs w:val="24"/>
          <w:color w:val="auto"/>
        </w:rPr>
      </w:pPr>
    </w:p>
    <w:p>
      <w:pPr>
        <w:sectPr>
          <w:pgSz w:w="11900" w:h="16838" w:orient="portrait"/>
          <w:cols w:equalWidth="0" w:num="2">
            <w:col w:w="7840" w:space="720"/>
            <w:col w:w="2780"/>
          </w:cols>
          <w:pgMar w:left="220" w:top="739" w:right="339" w:bottom="1440" w:gutter="0" w:footer="0" w:header="0"/>
          <w:type w:val="continuous"/>
        </w:sectPr>
      </w:pPr>
    </w:p>
    <w:p>
      <w:pPr>
        <w:ind w:left="196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(Zip Code)</w:t>
      </w:r>
    </w:p>
    <w:p>
      <w:pPr>
        <w:spacing w:after="0" w:line="108" w:lineRule="exact"/>
        <w:rPr>
          <w:sz w:val="24"/>
          <w:szCs w:val="24"/>
          <w:color w:val="auto"/>
        </w:rPr>
      </w:pPr>
    </w:p>
    <w:p>
      <w:pPr>
        <w:sectPr>
          <w:pgSz w:w="11900" w:h="16838" w:orient="portrait"/>
          <w:cols w:equalWidth="0" w:num="2">
            <w:col w:w="7760" w:space="720"/>
            <w:col w:w="2860"/>
          </w:cols>
          <w:pgMar w:left="220" w:top="739" w:right="33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(714) 599-5000</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0"/>
          <w:szCs w:val="10"/>
          <w:b w:val="1"/>
          <w:bCs w:val="1"/>
          <w:color w:val="auto"/>
        </w:rPr>
        <w:t>N/A</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8"/>
          <w:szCs w:val="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161925</wp:posOffset>
            </wp:positionV>
            <wp:extent cx="15614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1465" cy="5715"/>
                    </a:xfrm>
                    <a:prstGeom prst="rect">
                      <a:avLst/>
                    </a:prstGeom>
                    <a:noFill/>
                  </pic:spPr>
                </pic:pic>
              </a:graphicData>
            </a:graphic>
          </wp:anchor>
        </w:drawing>
      </w:r>
    </w:p>
    <w:p>
      <w:pPr>
        <w:sectPr>
          <w:pgSz w:w="11900" w:h="16838" w:orient="portrait"/>
          <w:cols w:equalWidth="0" w:num="1">
            <w:col w:w="11340"/>
          </w:cols>
          <w:pgMar w:left="220" w:top="739" w:right="33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firstLine="333"/>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50" w:lineRule="exact"/>
        <w:rPr>
          <w:sz w:val="24"/>
          <w:szCs w:val="24"/>
          <w:color w:val="auto"/>
        </w:rPr>
      </w:pPr>
    </w:p>
    <w:p>
      <w:pPr>
        <w:ind w:right="320" w:firstLine="333"/>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50" w:lineRule="exact"/>
        <w:rPr>
          <w:sz w:val="24"/>
          <w:szCs w:val="24"/>
          <w:color w:val="auto"/>
        </w:rPr>
      </w:pPr>
    </w:p>
    <w:p>
      <w:pPr>
        <w:ind w:right="220" w:firstLine="333"/>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4780" w:type="dxa"/>
            <w:vAlign w:val="bottom"/>
          </w:tcPr>
          <w:p>
            <w:pPr>
              <w:ind w:left="560"/>
              <w:spacing w:after="0" w:line="121" w:lineRule="exact"/>
              <w:rPr>
                <w:sz w:val="20"/>
                <w:szCs w:val="20"/>
                <w:color w:val="auto"/>
              </w:rPr>
            </w:pPr>
            <w:r>
              <w:rPr>
                <w:rFonts w:ascii="MS PGothic" w:cs="MS PGothic" w:eastAsia="MS PGothic" w:hAnsi="MS PGothic"/>
                <w:sz w:val="12"/>
                <w:szCs w:val="12"/>
                <w:color w:val="auto"/>
              </w:rPr>
              <w:t>☐</w:t>
            </w:r>
          </w:p>
        </w:tc>
        <w:tc>
          <w:tcPr>
            <w:tcW w:w="384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Accelerated filer</w:t>
            </w:r>
          </w:p>
        </w:tc>
        <w:tc>
          <w:tcPr>
            <w:tcW w:w="780" w:type="dxa"/>
            <w:vAlign w:val="bottom"/>
          </w:tcPr>
          <w:p>
            <w:pPr>
              <w:ind w:left="6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4780" w:type="dxa"/>
            <w:vAlign w:val="bottom"/>
          </w:tcPr>
          <w:p>
            <w:pPr>
              <w:ind w:left="56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(Do not check if a smaller reporting company)</w:t>
            </w:r>
          </w:p>
        </w:tc>
        <w:tc>
          <w:tcPr>
            <w:tcW w:w="384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780" w:type="dxa"/>
            <w:vAlign w:val="bottom"/>
          </w:tcPr>
          <w:p>
            <w:pPr>
              <w:ind w:left="6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61"/>
        </w:trPr>
        <w:tc>
          <w:tcPr>
            <w:tcW w:w="16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3840" w:type="dxa"/>
            <w:vAlign w:val="bottom"/>
          </w:tcPr>
          <w:p>
            <w:pPr>
              <w:ind w:left="1860"/>
              <w:spacing w:after="0"/>
              <w:rPr>
                <w:sz w:val="20"/>
                <w:szCs w:val="20"/>
                <w:color w:val="auto"/>
              </w:rPr>
            </w:pPr>
            <w:r>
              <w:rPr>
                <w:rFonts w:ascii="Times New Roman" w:cs="Times New Roman" w:eastAsia="Times New Roman" w:hAnsi="Times New Roman"/>
                <w:sz w:val="12"/>
                <w:szCs w:val="12"/>
                <w:color w:val="auto"/>
              </w:rPr>
              <w:t>Emerging growth company</w:t>
            </w:r>
          </w:p>
        </w:tc>
        <w:tc>
          <w:tcPr>
            <w:tcW w:w="780" w:type="dxa"/>
            <w:vAlign w:val="bottom"/>
          </w:tcPr>
          <w:p>
            <w:pPr>
              <w:ind w:left="660"/>
              <w:spacing w:after="0" w:line="121" w:lineRule="exact"/>
              <w:rPr>
                <w:sz w:val="20"/>
                <w:szCs w:val="20"/>
                <w:color w:val="auto"/>
              </w:rPr>
            </w:pPr>
            <w:r>
              <w:rPr>
                <w:rFonts w:ascii="MS PGothic" w:cs="MS PGothic" w:eastAsia="MS PGothic" w:hAnsi="MS PGothic"/>
                <w:sz w:val="12"/>
                <w:szCs w:val="12"/>
                <w:color w:val="auto"/>
                <w:w w:val="82"/>
              </w:rPr>
              <w:t>☒</w:t>
            </w:r>
          </w:p>
        </w:tc>
      </w:tr>
    </w:tbl>
    <w:p>
      <w:pPr>
        <w:sectPr>
          <w:pgSz w:w="11900" w:h="16838" w:orient="portrait"/>
          <w:cols w:equalWidth="0" w:num="1">
            <w:col w:w="11340"/>
          </w:cols>
          <w:pgMar w:left="220" w:top="739" w:right="339" w:bottom="1440" w:gutter="0" w:footer="0" w:header="0"/>
          <w:type w:val="continuous"/>
        </w:sectPr>
      </w:pPr>
    </w:p>
    <w:bookmarkStart w:id="1" w:name="page2"/>
    <w:bookmarkEnd w:id="1"/>
    <w:p>
      <w:pPr>
        <w:ind w:firstLine="333"/>
        <w:spacing w:after="0" w:line="187"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72" w:lineRule="exact"/>
        <w:rPr>
          <w:sz w:val="20"/>
          <w:szCs w:val="20"/>
          <w:color w:val="auto"/>
        </w:rPr>
      </w:pPr>
    </w:p>
    <w:p>
      <w:pPr>
        <w:ind w:left="320" w:right="4720"/>
        <w:spacing w:after="0" w:line="19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As of July 24, 2017, there were 38,651,670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109220</wp:posOffset>
            </wp:positionV>
            <wp:extent cx="727519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571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120650</wp:posOffset>
            </wp:positionV>
            <wp:extent cx="72751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5715"/>
                    </a:xfrm>
                    <a:prstGeom prst="rect">
                      <a:avLst/>
                    </a:prstGeom>
                    <a:noFill/>
                  </pic:spPr>
                </pic:pic>
              </a:graphicData>
            </a:graphic>
          </wp:anchor>
        </w:drawing>
      </w:r>
    </w:p>
    <w:p>
      <w:pPr>
        <w:sectPr>
          <w:pgSz w:w="11900" w:h="16838" w:orient="portrait"/>
          <w:cols w:equalWidth="0" w:num="1">
            <w:col w:w="11400"/>
          </w:cols>
          <w:pgMar w:left="220" w:top="579"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15"/>
        </w:trPr>
        <w:tc>
          <w:tcPr>
            <w:tcW w:w="7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w w:val="91"/>
              </w:rPr>
              <w:t>Table of Contents</w:t>
            </w:r>
          </w:p>
        </w:tc>
        <w:tc>
          <w:tcPr>
            <w:tcW w:w="4480" w:type="dxa"/>
            <w:vAlign w:val="bottom"/>
            <w:gridSpan w:val="15"/>
          </w:tcPr>
          <w:p>
            <w:pPr>
              <w:spacing w:after="0"/>
              <w:rPr>
                <w:sz w:val="10"/>
                <w:szCs w:val="10"/>
                <w:color w:val="auto"/>
              </w:rPr>
            </w:pPr>
          </w:p>
        </w:tc>
        <w:tc>
          <w:tcPr>
            <w:tcW w:w="6240" w:type="dxa"/>
            <w:vAlign w:val="bottom"/>
            <w:gridSpan w:val="4"/>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20"/>
        </w:trPr>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1980" w:type="dxa"/>
            <w:vAlign w:val="bottom"/>
            <w:tcBorders>
              <w:bottom w:val="single" w:sz="8" w:color="0000EE"/>
            </w:tcBorders>
            <w:gridSpan w:val="10"/>
          </w:tcPr>
          <w:p>
            <w:pPr>
              <w:spacing w:after="0"/>
              <w:rPr>
                <w:rFonts w:ascii="Times New Roman" w:cs="Times New Roman" w:eastAsia="Times New Roman" w:hAnsi="Times New Roman"/>
                <w:sz w:val="12"/>
                <w:szCs w:val="12"/>
                <w:color w:val="0000EE"/>
                <w:w w:val="97"/>
              </w:rPr>
            </w:pPr>
            <w:hyperlink w:anchor="page4">
              <w:r>
                <w:rPr>
                  <w:rFonts w:ascii="Times New Roman" w:cs="Times New Roman" w:eastAsia="Times New Roman" w:hAnsi="Times New Roman"/>
                  <w:sz w:val="12"/>
                  <w:szCs w:val="12"/>
                  <w:color w:val="0000EE"/>
                  <w:w w:val="97"/>
                </w:rPr>
                <w:t>PART I—FINANCIAL INFORMATION</w:t>
              </w:r>
            </w:hyperlink>
          </w:p>
        </w:tc>
        <w:tc>
          <w:tcPr>
            <w:tcW w:w="3220" w:type="dxa"/>
            <w:vAlign w:val="bottom"/>
            <w:gridSpan w:val="7"/>
          </w:tcPr>
          <w:p>
            <w:pPr>
              <w:spacing w:after="0"/>
              <w:rPr>
                <w:sz w:val="12"/>
                <w:szCs w:val="12"/>
                <w:color w:val="auto"/>
              </w:rPr>
            </w:pPr>
          </w:p>
        </w:tc>
        <w:tc>
          <w:tcPr>
            <w:tcW w:w="6240" w:type="dxa"/>
            <w:vAlign w:val="bottom"/>
            <w:gridSpan w:val="4"/>
          </w:tcPr>
          <w:p>
            <w:pPr>
              <w:jc w:val="right"/>
              <w:spacing w:after="0"/>
              <w:rPr>
                <w:rFonts w:ascii="Times New Roman" w:cs="Times New Roman" w:eastAsia="Times New Roman" w:hAnsi="Times New Roman"/>
                <w:sz w:val="12"/>
                <w:szCs w:val="12"/>
                <w:u w:val="single" w:color="auto"/>
                <w:color w:val="0000EE"/>
              </w:rPr>
            </w:pPr>
            <w:hyperlink w:anchor="page4">
              <w:r>
                <w:rPr>
                  <w:rFonts w:ascii="Times New Roman" w:cs="Times New Roman" w:eastAsia="Times New Roman" w:hAnsi="Times New Roman"/>
                  <w:sz w:val="12"/>
                  <w:szCs w:val="12"/>
                  <w:u w:val="single" w:color="auto"/>
                  <w:color w:val="0000EE"/>
                </w:rPr>
                <w:t>4</w:t>
              </w:r>
            </w:hyperlink>
          </w:p>
        </w:tc>
      </w:tr>
      <w:tr>
        <w:trPr>
          <w:trHeight w:val="160"/>
        </w:trPr>
        <w:tc>
          <w:tcPr>
            <w:tcW w:w="1400" w:type="dxa"/>
            <w:vAlign w:val="bottom"/>
            <w:tcBorders>
              <w:bottom w:val="single" w:sz="8" w:color="0000EE"/>
            </w:tcBorders>
            <w:gridSpan w:val="6"/>
          </w:tcPr>
          <w:p>
            <w:pPr>
              <w:spacing w:after="0"/>
              <w:rPr>
                <w:rFonts w:ascii="Times New Roman" w:cs="Times New Roman" w:eastAsia="Times New Roman" w:hAnsi="Times New Roman"/>
                <w:sz w:val="12"/>
                <w:szCs w:val="12"/>
                <w:color w:val="0000EE"/>
                <w:w w:val="98"/>
              </w:rPr>
            </w:pPr>
            <w:hyperlink w:anchor="page4">
              <w:r>
                <w:rPr>
                  <w:rFonts w:ascii="Times New Roman" w:cs="Times New Roman" w:eastAsia="Times New Roman" w:hAnsi="Times New Roman"/>
                  <w:sz w:val="12"/>
                  <w:szCs w:val="12"/>
                  <w:color w:val="0000EE"/>
                  <w:w w:val="98"/>
                </w:rPr>
                <w:t>Item 1. Financial Statements.</w:t>
              </w:r>
            </w:hyperlink>
          </w:p>
        </w:tc>
        <w:tc>
          <w:tcPr>
            <w:tcW w:w="3800" w:type="dxa"/>
            <w:vAlign w:val="bottom"/>
            <w:gridSpan w:val="11"/>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u w:val="single" w:color="auto"/>
                <w:color w:val="0000EE"/>
              </w:rPr>
            </w:pPr>
            <w:hyperlink w:anchor="page4">
              <w:r>
                <w:rPr>
                  <w:rFonts w:ascii="Times New Roman" w:cs="Times New Roman" w:eastAsia="Times New Roman" w:hAnsi="Times New Roman"/>
                  <w:sz w:val="12"/>
                  <w:szCs w:val="12"/>
                  <w:u w:val="single" w:color="auto"/>
                  <w:color w:val="0000EE"/>
                </w:rPr>
                <w:t>4</w:t>
              </w:r>
            </w:hyperlink>
          </w:p>
        </w:tc>
      </w:tr>
      <w:tr>
        <w:trPr>
          <w:trHeight w:val="160"/>
        </w:trPr>
        <w:tc>
          <w:tcPr>
            <w:tcW w:w="2560" w:type="dxa"/>
            <w:vAlign w:val="bottom"/>
            <w:tcBorders>
              <w:bottom w:val="single" w:sz="8" w:color="0000EE"/>
            </w:tcBorders>
            <w:gridSpan w:val="11"/>
          </w:tcPr>
          <w:p>
            <w:pPr>
              <w:spacing w:after="0"/>
              <w:rPr>
                <w:rFonts w:ascii="Times New Roman" w:cs="Times New Roman" w:eastAsia="Times New Roman" w:hAnsi="Times New Roman"/>
                <w:sz w:val="12"/>
                <w:szCs w:val="12"/>
                <w:color w:val="0000EE"/>
                <w:w w:val="98"/>
              </w:rPr>
            </w:pPr>
            <w:hyperlink w:anchor="page4">
              <w:r>
                <w:rPr>
                  <w:rFonts w:ascii="Times New Roman" w:cs="Times New Roman" w:eastAsia="Times New Roman" w:hAnsi="Times New Roman"/>
                  <w:sz w:val="12"/>
                  <w:szCs w:val="12"/>
                  <w:color w:val="0000EE"/>
                  <w:w w:val="98"/>
                </w:rPr>
                <w:t>Condensed Consolidated Balance Sheets (Unaudited)</w:t>
              </w:r>
            </w:hyperlink>
          </w:p>
        </w:tc>
        <w:tc>
          <w:tcPr>
            <w:tcW w:w="2640" w:type="dxa"/>
            <w:vAlign w:val="bottom"/>
            <w:gridSpan w:val="6"/>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u w:val="single" w:color="auto"/>
                <w:color w:val="0000EE"/>
              </w:rPr>
            </w:pPr>
            <w:hyperlink w:anchor="page4">
              <w:r>
                <w:rPr>
                  <w:rFonts w:ascii="Times New Roman" w:cs="Times New Roman" w:eastAsia="Times New Roman" w:hAnsi="Times New Roman"/>
                  <w:sz w:val="12"/>
                  <w:szCs w:val="12"/>
                  <w:u w:val="single" w:color="auto"/>
                  <w:color w:val="0000EE"/>
                </w:rPr>
                <w:t>4</w:t>
              </w:r>
            </w:hyperlink>
          </w:p>
        </w:tc>
      </w:tr>
      <w:tr>
        <w:trPr>
          <w:trHeight w:val="160"/>
        </w:trPr>
        <w:tc>
          <w:tcPr>
            <w:tcW w:w="2880" w:type="dxa"/>
            <w:vAlign w:val="bottom"/>
            <w:tcBorders>
              <w:bottom w:val="single" w:sz="8" w:color="0000EE"/>
            </w:tcBorders>
            <w:gridSpan w:val="12"/>
          </w:tcPr>
          <w:p>
            <w:pPr>
              <w:spacing w:after="0"/>
              <w:rPr>
                <w:rFonts w:ascii="Times New Roman" w:cs="Times New Roman" w:eastAsia="Times New Roman" w:hAnsi="Times New Roman"/>
                <w:sz w:val="12"/>
                <w:szCs w:val="12"/>
                <w:color w:val="0000EE"/>
                <w:w w:val="99"/>
              </w:rPr>
            </w:pPr>
            <w:hyperlink w:anchor="page5">
              <w:r>
                <w:rPr>
                  <w:rFonts w:ascii="Times New Roman" w:cs="Times New Roman" w:eastAsia="Times New Roman" w:hAnsi="Times New Roman"/>
                  <w:sz w:val="12"/>
                  <w:szCs w:val="12"/>
                  <w:color w:val="0000EE"/>
                  <w:w w:val="99"/>
                </w:rPr>
                <w:t>Condensed Consolidated Statements of Income (Unaudited)</w:t>
              </w:r>
            </w:hyperlink>
          </w:p>
        </w:tc>
        <w:tc>
          <w:tcPr>
            <w:tcW w:w="2320" w:type="dxa"/>
            <w:vAlign w:val="bottom"/>
            <w:gridSpan w:val="5"/>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u w:val="single" w:color="auto"/>
                <w:color w:val="0000EE"/>
              </w:rPr>
            </w:pPr>
            <w:hyperlink w:anchor="page5">
              <w:r>
                <w:rPr>
                  <w:rFonts w:ascii="Times New Roman" w:cs="Times New Roman" w:eastAsia="Times New Roman" w:hAnsi="Times New Roman"/>
                  <w:sz w:val="12"/>
                  <w:szCs w:val="12"/>
                  <w:u w:val="single" w:color="auto"/>
                  <w:color w:val="0000EE"/>
                </w:rPr>
                <w:t>5</w:t>
              </w:r>
            </w:hyperlink>
          </w:p>
        </w:tc>
      </w:tr>
      <w:tr>
        <w:trPr>
          <w:trHeight w:val="160"/>
        </w:trPr>
        <w:tc>
          <w:tcPr>
            <w:tcW w:w="3080" w:type="dxa"/>
            <w:vAlign w:val="bottom"/>
            <w:tcBorders>
              <w:bottom w:val="single" w:sz="8" w:color="0000EE"/>
            </w:tcBorders>
            <w:gridSpan w:val="13"/>
          </w:tcPr>
          <w:p>
            <w:pPr>
              <w:spacing w:after="0"/>
              <w:rPr>
                <w:rFonts w:ascii="Times New Roman" w:cs="Times New Roman" w:eastAsia="Times New Roman" w:hAnsi="Times New Roman"/>
                <w:sz w:val="12"/>
                <w:szCs w:val="12"/>
                <w:color w:val="0000EE"/>
                <w:w w:val="99"/>
              </w:rPr>
            </w:pPr>
            <w:hyperlink w:anchor="page6">
              <w:r>
                <w:rPr>
                  <w:rFonts w:ascii="Times New Roman" w:cs="Times New Roman" w:eastAsia="Times New Roman" w:hAnsi="Times New Roman"/>
                  <w:sz w:val="12"/>
                  <w:szCs w:val="12"/>
                  <w:color w:val="0000EE"/>
                  <w:w w:val="99"/>
                </w:rPr>
                <w:t>Condensed Consolidated Statements of Cash Flows (Unaudited)</w:t>
              </w:r>
            </w:hyperlink>
          </w:p>
        </w:tc>
        <w:tc>
          <w:tcPr>
            <w:tcW w:w="2120" w:type="dxa"/>
            <w:vAlign w:val="bottom"/>
            <w:gridSpan w:val="4"/>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u w:val="single" w:color="auto"/>
                <w:color w:val="0000EE"/>
              </w:rPr>
            </w:pPr>
            <w:hyperlink w:anchor="page6">
              <w:r>
                <w:rPr>
                  <w:rFonts w:ascii="Times New Roman" w:cs="Times New Roman" w:eastAsia="Times New Roman" w:hAnsi="Times New Roman"/>
                  <w:sz w:val="12"/>
                  <w:szCs w:val="12"/>
                  <w:u w:val="single" w:color="auto"/>
                  <w:color w:val="0000EE"/>
                </w:rPr>
                <w:t>6</w:t>
              </w:r>
            </w:hyperlink>
          </w:p>
        </w:tc>
      </w:tr>
      <w:tr>
        <w:trPr>
          <w:trHeight w:val="160"/>
        </w:trPr>
        <w:tc>
          <w:tcPr>
            <w:tcW w:w="5200" w:type="dxa"/>
            <w:vAlign w:val="bottom"/>
            <w:gridSpan w:val="17"/>
          </w:tcPr>
          <w:p>
            <w:pPr>
              <w:spacing w:after="0"/>
              <w:rPr>
                <w:rFonts w:ascii="Times New Roman" w:cs="Times New Roman" w:eastAsia="Times New Roman" w:hAnsi="Times New Roman"/>
                <w:sz w:val="12"/>
                <w:szCs w:val="12"/>
                <w:color w:val="0000EE"/>
              </w:rPr>
            </w:pPr>
            <w:hyperlink w:anchor="page8">
              <w:r>
                <w:rPr>
                  <w:rFonts w:ascii="Times New Roman" w:cs="Times New Roman" w:eastAsia="Times New Roman" w:hAnsi="Times New Roman"/>
                  <w:sz w:val="12"/>
                  <w:szCs w:val="12"/>
                  <w:color w:val="0000EE"/>
                </w:rPr>
                <w:t>Notes to Condensed Consolidated Financial Statements (Unaudited)</w:t>
              </w:r>
            </w:hyperlink>
          </w:p>
        </w:tc>
        <w:tc>
          <w:tcPr>
            <w:tcW w:w="6240" w:type="dxa"/>
            <w:vAlign w:val="bottom"/>
            <w:gridSpan w:val="4"/>
          </w:tcPr>
          <w:p>
            <w:pPr>
              <w:jc w:val="right"/>
              <w:spacing w:after="0"/>
              <w:rPr>
                <w:rFonts w:ascii="Times New Roman" w:cs="Times New Roman" w:eastAsia="Times New Roman" w:hAnsi="Times New Roman"/>
                <w:sz w:val="12"/>
                <w:szCs w:val="12"/>
                <w:u w:val="single" w:color="auto"/>
                <w:color w:val="0000EE"/>
              </w:rPr>
            </w:pPr>
            <w:hyperlink w:anchor="page8">
              <w:r>
                <w:rPr>
                  <w:rFonts w:ascii="Times New Roman" w:cs="Times New Roman" w:eastAsia="Times New Roman" w:hAnsi="Times New Roman"/>
                  <w:sz w:val="12"/>
                  <w:szCs w:val="12"/>
                  <w:u w:val="single" w:color="auto"/>
                  <w:color w:val="0000EE"/>
                </w:rPr>
                <w:t>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700" w:type="dxa"/>
            <w:vAlign w:val="bottom"/>
            <w:gridSpan w:val="16"/>
          </w:tcPr>
          <w:p>
            <w:pPr>
              <w:spacing w:after="0"/>
              <w:rPr>
                <w:rFonts w:ascii="Times New Roman" w:cs="Times New Roman" w:eastAsia="Times New Roman" w:hAnsi="Times New Roman"/>
                <w:sz w:val="12"/>
                <w:szCs w:val="12"/>
                <w:color w:val="0000EE"/>
                <w:w w:val="99"/>
              </w:rPr>
            </w:pPr>
            <w:hyperlink w:anchor="page19">
              <w:r>
                <w:rPr>
                  <w:rFonts w:ascii="Times New Roman" w:cs="Times New Roman" w:eastAsia="Times New Roman" w:hAnsi="Times New Roman"/>
                  <w:sz w:val="12"/>
                  <w:szCs w:val="12"/>
                  <w:color w:val="0000EE"/>
                  <w:w w:val="99"/>
                </w:rPr>
                <w:t>Item 2. Management’s Discussion and Analysis of Financial Condition and Results of Operations.</w:t>
              </w:r>
            </w:hyperlink>
          </w:p>
        </w:tc>
        <w:tc>
          <w:tcPr>
            <w:tcW w:w="500" w:type="dxa"/>
            <w:vAlign w:val="bottom"/>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19">
              <w:r>
                <w:rPr>
                  <w:rFonts w:ascii="Times New Roman" w:cs="Times New Roman" w:eastAsia="Times New Roman" w:hAnsi="Times New Roman"/>
                  <w:sz w:val="12"/>
                  <w:szCs w:val="12"/>
                  <w:color w:val="0000EE"/>
                </w:rPr>
                <w:t>19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3300" w:type="dxa"/>
            <w:vAlign w:val="bottom"/>
            <w:gridSpan w:val="15"/>
          </w:tcPr>
          <w:p>
            <w:pPr>
              <w:spacing w:after="0"/>
              <w:rPr>
                <w:rFonts w:ascii="Times New Roman" w:cs="Times New Roman" w:eastAsia="Times New Roman" w:hAnsi="Times New Roman"/>
                <w:sz w:val="12"/>
                <w:szCs w:val="12"/>
                <w:color w:val="0000EE"/>
                <w:w w:val="98"/>
              </w:rPr>
            </w:pPr>
            <w:hyperlink w:anchor="page34">
              <w:r>
                <w:rPr>
                  <w:rFonts w:ascii="Times New Roman" w:cs="Times New Roman" w:eastAsia="Times New Roman" w:hAnsi="Times New Roman"/>
                  <w:sz w:val="12"/>
                  <w:szCs w:val="12"/>
                  <w:color w:val="0000EE"/>
                  <w:w w:val="98"/>
                </w:rPr>
                <w:t>Item 3. Quantitative and Qualitative Disclosures About Market Risk.</w:t>
              </w:r>
            </w:hyperlink>
          </w:p>
        </w:tc>
        <w:tc>
          <w:tcPr>
            <w:tcW w:w="1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34">
              <w:r>
                <w:rPr>
                  <w:rFonts w:ascii="Times New Roman" w:cs="Times New Roman" w:eastAsia="Times New Roman" w:hAnsi="Times New Roman"/>
                  <w:sz w:val="12"/>
                  <w:szCs w:val="12"/>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900" w:type="dxa"/>
            <w:vAlign w:val="bottom"/>
            <w:tcBorders>
              <w:left w:val="single" w:sz="8" w:color="0000EE"/>
            </w:tcBorders>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580" w:type="dxa"/>
            <w:vAlign w:val="bottom"/>
            <w:gridSpan w:val="7"/>
          </w:tcPr>
          <w:p>
            <w:pPr>
              <w:spacing w:after="0"/>
              <w:rPr>
                <w:rFonts w:ascii="Times New Roman" w:cs="Times New Roman" w:eastAsia="Times New Roman" w:hAnsi="Times New Roman"/>
                <w:sz w:val="12"/>
                <w:szCs w:val="12"/>
                <w:color w:val="0000EE"/>
                <w:w w:val="97"/>
              </w:rPr>
            </w:pPr>
            <w:hyperlink w:anchor="page34">
              <w:r>
                <w:rPr>
                  <w:rFonts w:ascii="Times New Roman" w:cs="Times New Roman" w:eastAsia="Times New Roman" w:hAnsi="Times New Roman"/>
                  <w:sz w:val="12"/>
                  <w:szCs w:val="12"/>
                  <w:color w:val="0000EE"/>
                  <w:w w:val="97"/>
                </w:rPr>
                <w:t>Item 4. Controls and Procedures.</w:t>
              </w:r>
            </w:hyperlink>
          </w:p>
        </w:tc>
        <w:tc>
          <w:tcPr>
            <w:tcW w:w="1720" w:type="dxa"/>
            <w:vAlign w:val="bottom"/>
            <w:gridSpan w:val="8"/>
          </w:tcPr>
          <w:p>
            <w:pPr>
              <w:spacing w:after="0"/>
              <w:rPr>
                <w:sz w:val="13"/>
                <w:szCs w:val="13"/>
                <w:color w:val="auto"/>
              </w:rPr>
            </w:pPr>
          </w:p>
        </w:tc>
        <w:tc>
          <w:tcPr>
            <w:tcW w:w="1900" w:type="dxa"/>
            <w:vAlign w:val="bottom"/>
            <w:gridSpan w:val="2"/>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34">
              <w:r>
                <w:rPr>
                  <w:rFonts w:ascii="Times New Roman" w:cs="Times New Roman" w:eastAsia="Times New Roman" w:hAnsi="Times New Roman"/>
                  <w:sz w:val="12"/>
                  <w:szCs w:val="12"/>
                  <w:color w:val="0000EE"/>
                </w:rPr>
                <w:t>34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5200" w:type="dxa"/>
            <w:vAlign w:val="bottom"/>
            <w:gridSpan w:val="17"/>
          </w:tcPr>
          <w:p>
            <w:pPr>
              <w:spacing w:after="0"/>
              <w:rPr>
                <w:rFonts w:ascii="Times New Roman" w:cs="Times New Roman" w:eastAsia="Times New Roman" w:hAnsi="Times New Roman"/>
                <w:sz w:val="12"/>
                <w:szCs w:val="12"/>
                <w:color w:val="0000EE"/>
              </w:rPr>
            </w:pPr>
            <w:hyperlink w:anchor="page36">
              <w:r>
                <w:rPr>
                  <w:rFonts w:ascii="Times New Roman" w:cs="Times New Roman" w:eastAsia="Times New Roman" w:hAnsi="Times New Roman"/>
                  <w:sz w:val="12"/>
                  <w:szCs w:val="12"/>
                  <w:color w:val="0000EE"/>
                </w:rPr>
                <w:t>PART II—OTHER INFORMATION</w:t>
              </w:r>
            </w:hyperlink>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36">
              <w:r>
                <w:rPr>
                  <w:rFonts w:ascii="Times New Roman" w:cs="Times New Roman" w:eastAsia="Times New Roman" w:hAnsi="Times New Roman"/>
                  <w:sz w:val="12"/>
                  <w:szCs w:val="12"/>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760" w:type="dxa"/>
            <w:vAlign w:val="bottom"/>
            <w:gridSpan w:val="8"/>
          </w:tcPr>
          <w:p>
            <w:pPr>
              <w:spacing w:after="0"/>
              <w:rPr>
                <w:rFonts w:ascii="Times New Roman" w:cs="Times New Roman" w:eastAsia="Times New Roman" w:hAnsi="Times New Roman"/>
                <w:sz w:val="12"/>
                <w:szCs w:val="12"/>
                <w:color w:val="0000EE"/>
              </w:rPr>
            </w:pPr>
            <w:hyperlink w:anchor="page36">
              <w:r>
                <w:rPr>
                  <w:rFonts w:ascii="Times New Roman" w:cs="Times New Roman" w:eastAsia="Times New Roman" w:hAnsi="Times New Roman"/>
                  <w:sz w:val="12"/>
                  <w:szCs w:val="12"/>
                  <w:color w:val="0000EE"/>
                </w:rPr>
                <w:t>Item 1. Legal Proceedings.</w:t>
              </w:r>
            </w:hyperlink>
          </w:p>
        </w:tc>
        <w:tc>
          <w:tcPr>
            <w:tcW w:w="3440" w:type="dxa"/>
            <w:vAlign w:val="bottom"/>
            <w:gridSpan w:val="9"/>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36">
              <w:r>
                <w:rPr>
                  <w:rFonts w:ascii="Times New Roman" w:cs="Times New Roman" w:eastAsia="Times New Roman" w:hAnsi="Times New Roman"/>
                  <w:sz w:val="12"/>
                  <w:szCs w:val="12"/>
                  <w:color w:val="0000EE"/>
                </w:rPr>
                <w:t>36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260" w:type="dxa"/>
            <w:vAlign w:val="bottom"/>
            <w:gridSpan w:val="5"/>
          </w:tcPr>
          <w:p>
            <w:pPr>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Item 1A. Risk Factors.</w:t>
              </w:r>
            </w:hyperlink>
          </w:p>
        </w:tc>
        <w:tc>
          <w:tcPr>
            <w:tcW w:w="3940" w:type="dxa"/>
            <w:vAlign w:val="bottom"/>
            <w:gridSpan w:val="12"/>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37">
              <w:r>
                <w:rPr>
                  <w:rFonts w:ascii="Times New Roman" w:cs="Times New Roman" w:eastAsia="Times New Roman" w:hAnsi="Times New Roman"/>
                  <w:sz w:val="12"/>
                  <w:szCs w:val="12"/>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3300" w:type="dxa"/>
            <w:vAlign w:val="bottom"/>
            <w:gridSpan w:val="15"/>
          </w:tcPr>
          <w:p>
            <w:pPr>
              <w:spacing w:after="0"/>
              <w:rPr>
                <w:rFonts w:ascii="Times New Roman" w:cs="Times New Roman" w:eastAsia="Times New Roman" w:hAnsi="Times New Roman"/>
                <w:sz w:val="12"/>
                <w:szCs w:val="12"/>
                <w:color w:val="0000EE"/>
                <w:w w:val="98"/>
              </w:rPr>
            </w:pPr>
            <w:hyperlink w:anchor="page40">
              <w:r>
                <w:rPr>
                  <w:rFonts w:ascii="Times New Roman" w:cs="Times New Roman" w:eastAsia="Times New Roman" w:hAnsi="Times New Roman"/>
                  <w:sz w:val="12"/>
                  <w:szCs w:val="12"/>
                  <w:color w:val="0000EE"/>
                  <w:w w:val="98"/>
                </w:rPr>
                <w:t>Item 2. Unregistered Sales of Equity Securities and Use of Proceeds.</w:t>
              </w:r>
            </w:hyperlink>
          </w:p>
        </w:tc>
        <w:tc>
          <w:tcPr>
            <w:tcW w:w="1900" w:type="dxa"/>
            <w:vAlign w:val="bottom"/>
            <w:gridSpan w:val="2"/>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3300" w:type="dxa"/>
            <w:vAlign w:val="bottom"/>
            <w:gridSpan w:val="15"/>
          </w:tcPr>
          <w:p>
            <w:pPr>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Item 3. Defaults Upon Senior Securities.</w:t>
              </w:r>
            </w:hyperlink>
          </w:p>
        </w:tc>
        <w:tc>
          <w:tcPr>
            <w:tcW w:w="1900" w:type="dxa"/>
            <w:vAlign w:val="bottom"/>
            <w:gridSpan w:val="2"/>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580" w:type="dxa"/>
            <w:vAlign w:val="bottom"/>
            <w:gridSpan w:val="7"/>
          </w:tcPr>
          <w:p>
            <w:pPr>
              <w:spacing w:after="0"/>
              <w:rPr>
                <w:rFonts w:ascii="Times New Roman" w:cs="Times New Roman" w:eastAsia="Times New Roman" w:hAnsi="Times New Roman"/>
                <w:sz w:val="12"/>
                <w:szCs w:val="12"/>
                <w:color w:val="0000EE"/>
                <w:w w:val="97"/>
              </w:rPr>
            </w:pPr>
            <w:hyperlink w:anchor="page40">
              <w:r>
                <w:rPr>
                  <w:rFonts w:ascii="Times New Roman" w:cs="Times New Roman" w:eastAsia="Times New Roman" w:hAnsi="Times New Roman"/>
                  <w:sz w:val="12"/>
                  <w:szCs w:val="12"/>
                  <w:color w:val="0000EE"/>
                  <w:w w:val="97"/>
                </w:rPr>
                <w:t>Item 4. Mine Safety Disclosures.</w:t>
              </w:r>
            </w:hyperlink>
          </w:p>
        </w:tc>
        <w:tc>
          <w:tcPr>
            <w:tcW w:w="360" w:type="dxa"/>
            <w:vAlign w:val="bottom"/>
            <w:gridSpan w:val="2"/>
          </w:tcPr>
          <w:p>
            <w:pPr>
              <w:spacing w:after="0"/>
              <w:rPr>
                <w:sz w:val="13"/>
                <w:szCs w:val="13"/>
                <w:color w:val="auto"/>
              </w:rPr>
            </w:pPr>
          </w:p>
        </w:tc>
        <w:tc>
          <w:tcPr>
            <w:tcW w:w="3260" w:type="dxa"/>
            <w:vAlign w:val="bottom"/>
            <w:gridSpan w:val="8"/>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620" w:type="dxa"/>
            <w:vAlign w:val="bottom"/>
            <w:gridSpan w:val="10"/>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1580" w:type="dxa"/>
            <w:vAlign w:val="bottom"/>
            <w:gridSpan w:val="7"/>
          </w:tcPr>
          <w:p>
            <w:pPr>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Item 5. Other Information.</w:t>
              </w:r>
            </w:hyperlink>
          </w:p>
        </w:tc>
        <w:tc>
          <w:tcPr>
            <w:tcW w:w="3620" w:type="dxa"/>
            <w:vAlign w:val="bottom"/>
            <w:gridSpan w:val="10"/>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940" w:type="dxa"/>
            <w:vAlign w:val="bottom"/>
            <w:gridSpan w:val="12"/>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800" w:type="dxa"/>
            <w:vAlign w:val="bottom"/>
            <w:gridSpan w:val="3"/>
          </w:tcPr>
          <w:p>
            <w:pPr>
              <w:spacing w:after="0"/>
              <w:rPr>
                <w:rFonts w:ascii="Times New Roman" w:cs="Times New Roman" w:eastAsia="Times New Roman" w:hAnsi="Times New Roman"/>
                <w:sz w:val="12"/>
                <w:szCs w:val="12"/>
                <w:color w:val="0000EE"/>
                <w:w w:val="97"/>
              </w:rPr>
            </w:pPr>
            <w:hyperlink w:anchor="page40">
              <w:r>
                <w:rPr>
                  <w:rFonts w:ascii="Times New Roman" w:cs="Times New Roman" w:eastAsia="Times New Roman" w:hAnsi="Times New Roman"/>
                  <w:sz w:val="12"/>
                  <w:szCs w:val="12"/>
                  <w:color w:val="0000EE"/>
                  <w:w w:val="97"/>
                </w:rPr>
                <w:t>Item 6. Exhibits.</w:t>
              </w:r>
            </w:hyperlink>
          </w:p>
        </w:tc>
        <w:tc>
          <w:tcPr>
            <w:tcW w:w="460" w:type="dxa"/>
            <w:vAlign w:val="bottom"/>
            <w:gridSpan w:val="2"/>
          </w:tcPr>
          <w:p>
            <w:pPr>
              <w:spacing w:after="0"/>
              <w:rPr>
                <w:sz w:val="13"/>
                <w:szCs w:val="13"/>
                <w:color w:val="auto"/>
              </w:rPr>
            </w:pPr>
          </w:p>
        </w:tc>
        <w:tc>
          <w:tcPr>
            <w:tcW w:w="3940" w:type="dxa"/>
            <w:vAlign w:val="bottom"/>
            <w:gridSpan w:val="12"/>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40">
              <w:r>
                <w:rPr>
                  <w:rFonts w:ascii="Times New Roman" w:cs="Times New Roman" w:eastAsia="Times New Roman" w:hAnsi="Times New Roman"/>
                  <w:sz w:val="12"/>
                  <w:szCs w:val="12"/>
                  <w:color w:val="0000EE"/>
                </w:rPr>
                <w:t>40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0" w:type="dxa"/>
            <w:vAlign w:val="bottom"/>
            <w:gridSpan w:val="14"/>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60"/>
        </w:trPr>
        <w:tc>
          <w:tcPr>
            <w:tcW w:w="800" w:type="dxa"/>
            <w:vAlign w:val="bottom"/>
            <w:gridSpan w:val="3"/>
          </w:tcPr>
          <w:p>
            <w:pPr>
              <w:spacing w:after="0"/>
              <w:rPr>
                <w:rFonts w:ascii="Times New Roman" w:cs="Times New Roman" w:eastAsia="Times New Roman" w:hAnsi="Times New Roman"/>
                <w:sz w:val="12"/>
                <w:szCs w:val="12"/>
                <w:color w:val="0000EE"/>
              </w:rPr>
            </w:pPr>
            <w:hyperlink w:anchor="page42">
              <w:r>
                <w:rPr>
                  <w:rFonts w:ascii="Times New Roman" w:cs="Times New Roman" w:eastAsia="Times New Roman" w:hAnsi="Times New Roman"/>
                  <w:sz w:val="12"/>
                  <w:szCs w:val="12"/>
                  <w:color w:val="0000EE"/>
                </w:rPr>
                <w:t>Signatures</w:t>
              </w:r>
            </w:hyperlink>
          </w:p>
        </w:tc>
        <w:tc>
          <w:tcPr>
            <w:tcW w:w="4400" w:type="dxa"/>
            <w:vAlign w:val="bottom"/>
            <w:gridSpan w:val="14"/>
          </w:tcPr>
          <w:p>
            <w:pPr>
              <w:spacing w:after="0"/>
              <w:rPr>
                <w:sz w:val="13"/>
                <w:szCs w:val="13"/>
                <w:color w:val="auto"/>
              </w:rPr>
            </w:pPr>
          </w:p>
        </w:tc>
        <w:tc>
          <w:tcPr>
            <w:tcW w:w="6240" w:type="dxa"/>
            <w:vAlign w:val="bottom"/>
            <w:gridSpan w:val="4"/>
          </w:tcPr>
          <w:p>
            <w:pPr>
              <w:jc w:val="right"/>
              <w:spacing w:after="0"/>
              <w:rPr>
                <w:rFonts w:ascii="Times New Roman" w:cs="Times New Roman" w:eastAsia="Times New Roman" w:hAnsi="Times New Roman"/>
                <w:sz w:val="12"/>
                <w:szCs w:val="12"/>
                <w:color w:val="0000EE"/>
              </w:rPr>
            </w:pPr>
            <w:hyperlink w:anchor="page42">
              <w:r>
                <w:rPr>
                  <w:rFonts w:ascii="Times New Roman" w:cs="Times New Roman" w:eastAsia="Times New Roman" w:hAnsi="Times New Roman"/>
                  <w:sz w:val="12"/>
                  <w:szCs w:val="12"/>
                  <w:color w:val="0000EE"/>
                </w:rPr>
                <w:t>42</w:t>
              </w:r>
            </w:hyperlink>
          </w:p>
        </w:tc>
      </w:tr>
      <w:tr>
        <w:trPr>
          <w:trHeight w:val="475"/>
        </w:trPr>
        <w:tc>
          <w:tcPr>
            <w:tcW w:w="5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tcPr>
          <w:p>
            <w:pPr>
              <w:jc w:val="right"/>
              <w:ind w:right="5221"/>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r>
    </w:tbl>
    <w:p>
      <w:pPr>
        <w:sectPr>
          <w:pgSz w:w="11900" w:h="16838" w:orient="portrait"/>
          <w:cols w:equalWidth="0" w:num="1">
            <w:col w:w="11440"/>
          </w:cols>
          <w:pgMar w:left="240" w:top="529" w:right="2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I—FINANCIAL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EL POLLO LOCO HOLDINGS, INC.</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(Amounts in thousands, except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40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20" w:type="dxa"/>
            <w:vAlign w:val="bottom"/>
          </w:tcPr>
          <w:p>
            <w:pPr>
              <w:spacing w:after="0"/>
              <w:rPr>
                <w:sz w:val="11"/>
                <w:szCs w:val="11"/>
                <w:color w:val="auto"/>
              </w:rPr>
            </w:pPr>
          </w:p>
        </w:tc>
        <w:tc>
          <w:tcPr>
            <w:tcW w:w="1260" w:type="dxa"/>
            <w:vAlign w:val="bottom"/>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December 28, 2016</w:t>
            </w:r>
          </w:p>
        </w:tc>
      </w:tr>
      <w:tr>
        <w:trPr>
          <w:trHeight w:val="173"/>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Assets</w:t>
            </w:r>
          </w:p>
        </w:tc>
        <w:tc>
          <w:tcPr>
            <w:tcW w:w="50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4,371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2,168</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Restricted cash</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125</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Accounts and other receivables, net</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8,317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6,919</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Inventories</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2,112</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50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3,728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3,104</w:t>
            </w:r>
          </w:p>
        </w:tc>
      </w:tr>
      <w:tr>
        <w:trPr>
          <w:trHeight w:val="160"/>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18,546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14,428</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and equipment owned, net</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126,631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118,470</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Property held under capital leases, net</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64</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248,674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248,674</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Trademarks</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61,888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61,888</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intangible assets, net</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429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484</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 assets</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6,360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25,905</w:t>
            </w:r>
          </w:p>
        </w:tc>
      </w:tr>
      <w:tr>
        <w:trPr>
          <w:trHeight w:val="18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assets</w:t>
            </w:r>
          </w:p>
        </w:tc>
        <w:tc>
          <w:tcPr>
            <w:tcW w:w="50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1,205</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1,392</w:t>
            </w:r>
          </w:p>
        </w:tc>
      </w:tr>
      <w:tr>
        <w:trPr>
          <w:trHeight w:val="185"/>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53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463,785</w:t>
            </w:r>
          </w:p>
        </w:tc>
        <w:tc>
          <w:tcPr>
            <w:tcW w:w="120" w:type="dxa"/>
            <w:vAlign w:val="bottom"/>
          </w:tcPr>
          <w:p>
            <w:pPr>
              <w:spacing w:after="0"/>
              <w:rPr>
                <w:sz w:val="16"/>
                <w:szCs w:val="16"/>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471,305</w:t>
            </w:r>
          </w:p>
        </w:tc>
      </w:tr>
      <w:tr>
        <w:trPr>
          <w:trHeight w:val="180"/>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Stockholders' Equity</w:t>
            </w:r>
          </w:p>
        </w:tc>
        <w:tc>
          <w:tcPr>
            <w:tcW w:w="50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Current portion of obligations under capital leases</w:t>
            </w:r>
          </w:p>
        </w:tc>
        <w:tc>
          <w:tcPr>
            <w:tcW w:w="5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144</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Accounts payable</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9,614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11,637</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Accrued salaries and vacation</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5,754</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Accrued insurance</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5,715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5,444</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Accrued income taxes payable</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120</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Accrued interest</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198</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Accrued advertising</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accrued expenses and current liabilities</w:t>
            </w:r>
          </w:p>
        </w:tc>
        <w:tc>
          <w:tcPr>
            <w:tcW w:w="50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33,817</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22,021</w:t>
            </w: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5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57,460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45,318</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Revolver loan</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94,500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104,000</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Obligations under capital leases, net of current portion</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317</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taxes</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6,505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18,488</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intangible liabilities, net</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1,012</w:t>
            </w:r>
          </w:p>
        </w:tc>
      </w:tr>
      <w:tr>
        <w:trPr>
          <w:trHeight w:val="171"/>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50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25,784</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36,988</w:t>
            </w: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506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185,400</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206,123</w:t>
            </w:r>
          </w:p>
        </w:tc>
      </w:tr>
      <w:tr>
        <w:trPr>
          <w:trHeight w:val="160"/>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5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5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5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stock, $0.01 par value, 100,000,000 shares authorized; none</w:t>
            </w:r>
          </w:p>
        </w:tc>
        <w:tc>
          <w:tcPr>
            <w:tcW w:w="5300" w:type="dxa"/>
            <w:vAlign w:val="bottom"/>
            <w:gridSpan w:val="2"/>
          </w:tcPr>
          <w:p>
            <w:pPr>
              <w:jc w:val="right"/>
              <w:ind w:right="4780"/>
              <w:spacing w:after="0"/>
              <w:rPr>
                <w:sz w:val="20"/>
                <w:szCs w:val="20"/>
                <w:color w:val="auto"/>
              </w:rPr>
            </w:pPr>
            <w:r>
              <w:rPr>
                <w:rFonts w:ascii="Times New Roman" w:cs="Times New Roman" w:eastAsia="Times New Roman" w:hAnsi="Times New Roman"/>
                <w:sz w:val="12"/>
                <w:szCs w:val="12"/>
                <w:color w:val="auto"/>
              </w:rPr>
              <w:t>issued or</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64"/>
        </w:trPr>
        <w:tc>
          <w:tcPr>
            <w:tcW w:w="3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0"/>
        </w:trPr>
        <w:tc>
          <w:tcPr>
            <w:tcW w:w="8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 $0.01 par value—200,000,000 shares authorized; 38,651,670</w:t>
            </w: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3"/>
        </w:trPr>
        <w:tc>
          <w:tcPr>
            <w:tcW w:w="3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and 38,473,772 shares issued and outstanding</w:t>
            </w:r>
          </w:p>
        </w:tc>
        <w:tc>
          <w:tcPr>
            <w:tcW w:w="5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385</w:t>
            </w:r>
          </w:p>
        </w:tc>
      </w:tr>
      <w:tr>
        <w:trPr>
          <w:trHeight w:val="171"/>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Additional paid-in-capital</w:t>
            </w:r>
          </w:p>
        </w:tc>
        <w:tc>
          <w:tcPr>
            <w:tcW w:w="5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372,348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371,843</w:t>
            </w:r>
          </w:p>
        </w:tc>
      </w:tr>
      <w:tr>
        <w:trPr>
          <w:trHeight w:val="18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Accumulated deficit</w:t>
            </w:r>
          </w:p>
        </w:tc>
        <w:tc>
          <w:tcPr>
            <w:tcW w:w="50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(94,350)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(107,046)</w:t>
            </w:r>
          </w:p>
        </w:tc>
      </w:tr>
      <w:tr>
        <w:trPr>
          <w:trHeight w:val="160"/>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stockholders' equity</w:t>
            </w:r>
          </w:p>
        </w:tc>
        <w:tc>
          <w:tcPr>
            <w:tcW w:w="50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278,385</w:t>
            </w: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265,182</w:t>
            </w:r>
          </w:p>
        </w:tc>
      </w:tr>
      <w:tr>
        <w:trPr>
          <w:trHeight w:val="18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equity</w:t>
            </w:r>
          </w:p>
        </w:tc>
        <w:tc>
          <w:tcPr>
            <w:tcW w:w="50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463,785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471,305</w:t>
            </w:r>
          </w:p>
        </w:tc>
      </w:tr>
    </w:tbl>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 (unaudited).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40"/>
          </w:cols>
          <w:pgMar w:left="220" w:top="431" w:right="2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EL POLLO LOCO HOLDINGS, INC.</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INCOME (UNAUDITED)</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(Amounts in thousands, except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4"/>
          </w:tcPr>
          <w:p>
            <w:pPr>
              <w:jc w:val="right"/>
              <w:ind w:right="920"/>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jc w:val="right"/>
              <w:ind w:right="84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169"/>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40" w:type="dxa"/>
            <w:vAlign w:val="bottom"/>
          </w:tcPr>
          <w:p>
            <w:pPr>
              <w:spacing w:after="0"/>
              <w:rPr>
                <w:sz w:val="14"/>
                <w:szCs w:val="14"/>
                <w:color w:val="auto"/>
              </w:rPr>
            </w:pPr>
          </w:p>
        </w:tc>
        <w:tc>
          <w:tcPr>
            <w:tcW w:w="1120" w:type="dxa"/>
            <w:vAlign w:val="bottom"/>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June 29, 2016</w:t>
            </w:r>
          </w:p>
        </w:tc>
      </w:tr>
      <w:tr>
        <w:trPr>
          <w:trHeight w:val="164"/>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Revenue</w:t>
            </w: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Company-operated restaurant revenue</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98,885</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90,877</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192,334</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179,246</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Franchise revenue</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6,688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6,597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13,010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12,582</w:t>
            </w:r>
          </w:p>
        </w:tc>
      </w:tr>
      <w:tr>
        <w:trPr>
          <w:trHeight w:val="16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105,573</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97,474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205,344</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191,828</w:t>
            </w:r>
          </w:p>
        </w:tc>
      </w:tr>
      <w:tr>
        <w:trPr>
          <w:trHeight w:val="17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Cost of operations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Food and paper cost</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29,146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27,032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56,218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53,800</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Labor and related expenses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26,592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24,361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53,425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48,868</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Occupancy and other operating expenses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21,574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19,496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42,116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38,330</w:t>
            </w:r>
          </w:p>
        </w:tc>
      </w:tr>
      <w:tr>
        <w:trPr>
          <w:trHeight w:val="17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Company restaurant expenses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77,312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70,889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151,759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140,998</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9,576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8,287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19,309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17,524</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Franchise expenses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1,006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1,823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2,163</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4,632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3,964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8,949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7,722</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434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466</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Expenses related to fire loss</w:t>
            </w:r>
          </w:p>
        </w:tc>
        <w:tc>
          <w:tcPr>
            <w:tcW w:w="24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48</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on recovery of insurance proceeds, property, equipment and expenses</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(889)</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Recovery of securities class action legal expense</w:t>
            </w:r>
          </w:p>
        </w:tc>
        <w:tc>
          <w:tcPr>
            <w:tcW w:w="2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Asset impairment and closed-store reserves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384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1,255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134</w:t>
            </w:r>
          </w:p>
        </w:tc>
      </w:tr>
      <w:tr>
        <w:trPr>
          <w:trHeight w:val="16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92,833</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84,106</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183,243</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168,166</w:t>
            </w:r>
          </w:p>
        </w:tc>
      </w:tr>
      <w:tr>
        <w:trPr>
          <w:trHeight w:val="17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on disposition of restaurants</w:t>
            </w:r>
          </w:p>
        </w:tc>
        <w:tc>
          <w:tcPr>
            <w:tcW w:w="2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w:t>
            </w:r>
          </w:p>
        </w:tc>
      </w:tr>
      <w:tr>
        <w:trPr>
          <w:trHeight w:val="160"/>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12,740</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13,401</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22,101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23,695</w:t>
            </w:r>
          </w:p>
        </w:tc>
      </w:tr>
      <w:tr>
        <w:trPr>
          <w:trHeight w:val="16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expense-net of interest income of $6 and $7 for the quarters ended June 28, 2017 and June 29, 2016,</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7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respectively and $11 and $15 for year-to-date ended June 28, 2017 and June 29, 2016, respectively.</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830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1,568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1,656</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(income) expense</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126</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229</w:t>
            </w:r>
          </w:p>
        </w:tc>
      </w:tr>
      <w:tr>
        <w:trPr>
          <w:trHeight w:val="17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Income before provision for income taxes</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12,063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12,606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20,407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21,810</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4,244</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5,339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7,711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9,100</w:t>
            </w:r>
          </w:p>
        </w:tc>
      </w:tr>
      <w:tr>
        <w:trPr>
          <w:trHeight w:val="19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7,819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7,267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12,696</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12,710</w:t>
            </w:r>
          </w:p>
        </w:tc>
      </w:tr>
      <w:tr>
        <w:trPr>
          <w:trHeight w:val="172"/>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 per share</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0.33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0.33</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0.32</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0.33</w:t>
            </w:r>
          </w:p>
        </w:tc>
      </w:tr>
      <w:tr>
        <w:trPr>
          <w:trHeight w:val="19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Weighted-average shares used in computing net income per share</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Basic</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38,449,240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38,294,575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38,443,130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38,289,505</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39,123,961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38,962,802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39,102,501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38,981,610</w:t>
            </w: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condensed consolidated financial statements (unaudited).</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0"/>
          </w:cols>
          <w:pgMar w:left="220" w:top="503" w:right="1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EL POLLO LOCO HOLDINGS, INC.</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(Amounts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020" w:type="dxa"/>
            <w:vAlign w:val="bottom"/>
            <w:tcBorders>
              <w:bottom w:val="single" w:sz="8" w:color="auto"/>
            </w:tcBorders>
          </w:tcPr>
          <w:p>
            <w:pPr>
              <w:spacing w:after="0"/>
              <w:rPr>
                <w:sz w:val="11"/>
                <w:szCs w:val="11"/>
                <w:color w:val="auto"/>
              </w:rPr>
            </w:pPr>
          </w:p>
        </w:tc>
      </w:tr>
      <w:tr>
        <w:trPr>
          <w:trHeight w:val="169"/>
        </w:trPr>
        <w:tc>
          <w:tcPr>
            <w:tcW w:w="4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460" w:type="dxa"/>
            <w:vAlign w:val="bottom"/>
          </w:tcPr>
          <w:p>
            <w:pPr>
              <w:spacing w:after="0"/>
              <w:rPr>
                <w:sz w:val="14"/>
                <w:szCs w:val="14"/>
                <w:color w:val="auto"/>
              </w:rPr>
            </w:pPr>
          </w:p>
        </w:tc>
        <w:tc>
          <w:tcPr>
            <w:tcW w:w="1020" w:type="dxa"/>
            <w:vAlign w:val="bottom"/>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w w:val="92"/>
              </w:rPr>
              <w:t>June 29, 2016</w:t>
            </w:r>
          </w:p>
        </w:tc>
      </w:tr>
      <w:tr>
        <w:trPr>
          <w:trHeight w:val="173"/>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6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3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12,696</w:t>
            </w:r>
          </w:p>
        </w:tc>
        <w:tc>
          <w:tcPr>
            <w:tcW w:w="12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12,710</w:t>
            </w:r>
          </w:p>
        </w:tc>
      </w:tr>
      <w:tr>
        <w:trPr>
          <w:trHeight w:val="16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income to net cash flows provided by operating</w:t>
            </w:r>
          </w:p>
        </w:tc>
        <w:tc>
          <w:tcPr>
            <w:tcW w:w="3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73"/>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activities:</w:t>
            </w:r>
          </w:p>
        </w:tc>
        <w:tc>
          <w:tcPr>
            <w:tcW w:w="3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8,949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7,722</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139</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Fire insurance proceeds for expenses paid and lost profit</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expense</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229</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 on disposition of restaurants</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(33)</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659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466</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 on recovery of insurance proceeds, property, equipment and expenses</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(889)</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Impairment of property and equipment</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445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Closed-store reserve</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810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78</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152</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favorable and unfavorable leases, net</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Excess income tax benefit related to share-based compensation plans</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(253)</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Deferred income taxes, net</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7,562</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8,716</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71"/>
        </w:trPr>
        <w:tc>
          <w:tcPr>
            <w:tcW w:w="47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Accounts and other receivables, net</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(1,398)</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(607)</w:t>
            </w:r>
          </w:p>
        </w:tc>
      </w:tr>
      <w:tr>
        <w:trPr>
          <w:trHeight w:val="18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Inventories</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140</w:t>
            </w:r>
          </w:p>
        </w:tc>
      </w:tr>
      <w:tr>
        <w:trPr>
          <w:trHeight w:val="171"/>
        </w:trPr>
        <w:tc>
          <w:tcPr>
            <w:tcW w:w="47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(624)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(2,701)</w:t>
            </w:r>
          </w:p>
        </w:tc>
      </w:tr>
      <w:tr>
        <w:trPr>
          <w:trHeight w:val="18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Income taxes payable</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214</w:t>
            </w:r>
          </w:p>
        </w:tc>
      </w:tr>
      <w:tr>
        <w:trPr>
          <w:trHeight w:val="171"/>
        </w:trPr>
        <w:tc>
          <w:tcPr>
            <w:tcW w:w="47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 assets</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w:t>
            </w:r>
          </w:p>
        </w:tc>
      </w:tr>
      <w:tr>
        <w:trPr>
          <w:trHeight w:val="18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Accounts payable</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(1,187)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(5,889)</w:t>
            </w:r>
          </w:p>
        </w:tc>
      </w:tr>
      <w:tr>
        <w:trPr>
          <w:trHeight w:val="171"/>
        </w:trPr>
        <w:tc>
          <w:tcPr>
            <w:tcW w:w="47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Accrued salaries and vacation</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2,110</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355</w:t>
            </w:r>
          </w:p>
        </w:tc>
      </w:tr>
      <w:tr>
        <w:trPr>
          <w:trHeight w:val="18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Accrued insurance</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271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(48)</w:t>
            </w:r>
          </w:p>
        </w:tc>
      </w:tr>
      <w:tr>
        <w:trPr>
          <w:trHeight w:val="171"/>
        </w:trPr>
        <w:tc>
          <w:tcPr>
            <w:tcW w:w="47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Other accrued expenses and liabilities</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(353)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454</w:t>
            </w:r>
          </w:p>
        </w:tc>
      </w:tr>
      <w:tr>
        <w:trPr>
          <w:trHeight w:val="18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Restricted cash</w:t>
            </w:r>
          </w:p>
        </w:tc>
        <w:tc>
          <w:tcPr>
            <w:tcW w:w="36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69"/>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cash flows provided by operating activities</w:t>
            </w:r>
          </w:p>
        </w:tc>
        <w:tc>
          <w:tcPr>
            <w:tcW w:w="3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30,733</w:t>
            </w:r>
          </w:p>
        </w:tc>
        <w:tc>
          <w:tcPr>
            <w:tcW w:w="120" w:type="dxa"/>
            <w:vAlign w:val="bottom"/>
          </w:tcPr>
          <w:p>
            <w:pPr>
              <w:spacing w:after="0"/>
              <w:rPr>
                <w:sz w:val="14"/>
                <w:szCs w:val="14"/>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21,018</w:t>
            </w:r>
          </w:p>
        </w:tc>
      </w:tr>
      <w:tr>
        <w:trPr>
          <w:trHeight w:val="178"/>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6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sale of restaurant</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1,465</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Fire insurance proceeds for property and equipment</w:t>
            </w:r>
          </w:p>
        </w:tc>
        <w:tc>
          <w:tcPr>
            <w:tcW w:w="3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992</w:t>
            </w:r>
          </w:p>
        </w:tc>
      </w:tr>
      <w:tr>
        <w:trPr>
          <w:trHeight w:val="17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3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(19,040)</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(14,311)</w:t>
            </w:r>
          </w:p>
        </w:tc>
      </w:tr>
      <w:tr>
        <w:trPr>
          <w:trHeight w:val="17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flows used in investing activities</w:t>
            </w:r>
          </w:p>
        </w:tc>
        <w:tc>
          <w:tcPr>
            <w:tcW w:w="3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(19,040)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(11,854)</w:t>
            </w:r>
          </w:p>
        </w:tc>
      </w:tr>
      <w:tr>
        <w:trPr>
          <w:trHeight w:val="160"/>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6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Payments on revolver loan</w:t>
            </w:r>
          </w:p>
        </w:tc>
        <w:tc>
          <w:tcPr>
            <w:tcW w:w="3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(9,500)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(6,500)</w:t>
            </w:r>
          </w:p>
        </w:tc>
      </w:tr>
      <w:tr>
        <w:trPr>
          <w:trHeight w:val="171"/>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issuance of common stock, net of expenses</w:t>
            </w:r>
          </w:p>
        </w:tc>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566</w:t>
            </w:r>
          </w:p>
        </w:tc>
      </w:tr>
      <w:tr>
        <w:trPr>
          <w:trHeight w:val="18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Payment of obligations under capital leases</w:t>
            </w:r>
          </w:p>
        </w:tc>
        <w:tc>
          <w:tcPr>
            <w:tcW w:w="3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(88)</w:t>
            </w:r>
          </w:p>
        </w:tc>
      </w:tr>
      <w:tr>
        <w:trPr>
          <w:trHeight w:val="17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Excess income tax benefit related to share-based compensation plans</w:t>
            </w:r>
          </w:p>
        </w:tc>
        <w:tc>
          <w:tcPr>
            <w:tcW w:w="36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253</w:t>
            </w:r>
          </w:p>
        </w:tc>
      </w:tr>
      <w:tr>
        <w:trPr>
          <w:trHeight w:val="178"/>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flows used in financing activities</w:t>
            </w:r>
          </w:p>
        </w:tc>
        <w:tc>
          <w:tcPr>
            <w:tcW w:w="3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(9,490)</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(5,769)</w:t>
            </w:r>
          </w:p>
        </w:tc>
      </w:tr>
      <w:tr>
        <w:trPr>
          <w:trHeight w:val="160"/>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Increase in cash and cash equivalents</w:t>
            </w:r>
          </w:p>
        </w:tc>
        <w:tc>
          <w:tcPr>
            <w:tcW w:w="36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2,203</w:t>
            </w:r>
          </w:p>
        </w:tc>
        <w:tc>
          <w:tcPr>
            <w:tcW w:w="12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3,395</w:t>
            </w:r>
          </w:p>
        </w:tc>
      </w:tr>
      <w:tr>
        <w:trPr>
          <w:trHeight w:val="18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Cash and cash equivalents, </w:t>
            </w:r>
            <w:r>
              <w:rPr>
                <w:rFonts w:ascii="Times New Roman" w:cs="Times New Roman" w:eastAsia="Times New Roman" w:hAnsi="Times New Roman"/>
                <w:sz w:val="12"/>
                <w:szCs w:val="12"/>
                <w:color w:val="auto"/>
              </w:rPr>
              <w:t>beginning of period</w:t>
            </w:r>
          </w:p>
        </w:tc>
        <w:tc>
          <w:tcPr>
            <w:tcW w:w="36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2,168</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6,101</w:t>
            </w:r>
          </w:p>
        </w:tc>
      </w:tr>
      <w:tr>
        <w:trPr>
          <w:trHeight w:val="185"/>
        </w:trPr>
        <w:tc>
          <w:tcPr>
            <w:tcW w:w="47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Cash and cash equivalents, </w:t>
            </w:r>
            <w:r>
              <w:rPr>
                <w:rFonts w:ascii="Times New Roman" w:cs="Times New Roman" w:eastAsia="Times New Roman" w:hAnsi="Times New Roman"/>
                <w:sz w:val="12"/>
                <w:szCs w:val="12"/>
                <w:color w:val="auto"/>
              </w:rPr>
              <w:t>end of period</w:t>
            </w:r>
          </w:p>
        </w:tc>
        <w:tc>
          <w:tcPr>
            <w:tcW w:w="39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4,371</w:t>
            </w:r>
          </w:p>
        </w:tc>
        <w:tc>
          <w:tcPr>
            <w:tcW w:w="120" w:type="dxa"/>
            <w:vAlign w:val="bottom"/>
          </w:tcPr>
          <w:p>
            <w:pPr>
              <w:spacing w:after="0"/>
              <w:rPr>
                <w:sz w:val="16"/>
                <w:szCs w:val="16"/>
                <w:color w:val="auto"/>
              </w:rPr>
            </w:pPr>
          </w:p>
        </w:tc>
        <w:tc>
          <w:tcPr>
            <w:tcW w:w="460" w:type="dxa"/>
            <w:vAlign w:val="bottom"/>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9,496</w:t>
            </w:r>
          </w:p>
        </w:tc>
      </w:tr>
      <w:tr>
        <w:trPr>
          <w:trHeight w:val="522"/>
        </w:trPr>
        <w:tc>
          <w:tcPr>
            <w:tcW w:w="4700" w:type="dxa"/>
            <w:vAlign w:val="bottom"/>
          </w:tcPr>
          <w:p>
            <w:pPr>
              <w:spacing w:after="0"/>
              <w:rPr>
                <w:sz w:val="24"/>
                <w:szCs w:val="24"/>
                <w:color w:val="auto"/>
              </w:rPr>
            </w:pPr>
          </w:p>
        </w:tc>
        <w:tc>
          <w:tcPr>
            <w:tcW w:w="3680" w:type="dxa"/>
            <w:vAlign w:val="bottom"/>
          </w:tcPr>
          <w:p>
            <w:pPr>
              <w:jc w:val="right"/>
              <w:ind w:right="2560"/>
              <w:spacing w:after="0"/>
              <w:rPr>
                <w:sz w:val="20"/>
                <w:szCs w:val="20"/>
                <w:color w:val="auto"/>
              </w:rPr>
            </w:pPr>
            <w:r>
              <w:rPr>
                <w:rFonts w:ascii="Times New Roman" w:cs="Times New Roman" w:eastAsia="Times New Roman" w:hAnsi="Times New Roman"/>
                <w:sz w:val="12"/>
                <w:szCs w:val="12"/>
                <w:color w:val="auto"/>
              </w:rPr>
              <w:t>6</w:t>
            </w:r>
          </w:p>
        </w:tc>
        <w:tc>
          <w:tcPr>
            <w:tcW w:w="2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503" w:right="19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38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2"/>
              </w:rPr>
              <w:t>Twenty-Six Weeks Ended</w:t>
            </w:r>
          </w:p>
        </w:tc>
        <w:tc>
          <w:tcPr>
            <w:tcW w:w="1020" w:type="dxa"/>
            <w:vAlign w:val="bottom"/>
            <w:tcBorders>
              <w:bottom w:val="single" w:sz="8" w:color="auto"/>
            </w:tcBorders>
          </w:tcPr>
          <w:p>
            <w:pPr>
              <w:spacing w:after="0"/>
              <w:rPr>
                <w:sz w:val="11"/>
                <w:szCs w:val="11"/>
                <w:color w:val="auto"/>
              </w:rPr>
            </w:pPr>
          </w:p>
        </w:tc>
      </w:tr>
      <w:tr>
        <w:trPr>
          <w:trHeight w:val="16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cash flow information</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w w:val="92"/>
              </w:rPr>
              <w:t>June 29, 2016</w:t>
            </w:r>
          </w:p>
        </w:tc>
      </w:tr>
      <w:tr>
        <w:trPr>
          <w:trHeight w:val="180"/>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paid during the period for interest</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1,650</w:t>
            </w: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1,567</w:t>
            </w:r>
          </w:p>
        </w:tc>
      </w:tr>
      <w:tr>
        <w:trPr>
          <w:trHeight w:val="187"/>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paid during the period for income taxes</w:t>
            </w:r>
          </w:p>
        </w:tc>
        <w:tc>
          <w:tcPr>
            <w:tcW w:w="104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135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170</w:t>
            </w:r>
          </w:p>
        </w:tc>
      </w:tr>
      <w:tr>
        <w:trPr>
          <w:trHeight w:val="18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Unpaid purchases of property and equipment</w:t>
            </w:r>
          </w:p>
        </w:tc>
        <w:tc>
          <w:tcPr>
            <w:tcW w:w="104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4,321</w:t>
            </w:r>
          </w:p>
        </w:tc>
        <w:tc>
          <w:tcPr>
            <w:tcW w:w="1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3,881</w:t>
            </w:r>
          </w:p>
        </w:tc>
      </w:tr>
    </w:tbl>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notes to the condensed consolidated financial statements (unaudited).</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0"/>
          </w:cols>
          <w:pgMar w:left="220" w:top="582" w:right="199" w:bottom="1440" w:gutter="0" w:footer="0" w:header="0"/>
        </w:sectPr>
      </w:pPr>
    </w:p>
    <w:bookmarkStart w:id="7" w:name="page8"/>
    <w:bookmarkEnd w:id="7"/>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EL POLLO LOCO HOLDINGS, INC.</w:t>
      </w:r>
    </w:p>
    <w:p>
      <w:pPr>
        <w:spacing w:after="0" w:line="78"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 (UNAUDITED)</w:t>
      </w:r>
    </w:p>
    <w:p>
      <w:pPr>
        <w:spacing w:after="0" w:line="177" w:lineRule="exact"/>
        <w:rPr>
          <w:sz w:val="20"/>
          <w:szCs w:val="20"/>
          <w:color w:val="auto"/>
        </w:rPr>
      </w:pPr>
    </w:p>
    <w:p>
      <w:pPr>
        <w:ind w:left="8" w:right="6380" w:hanging="8"/>
        <w:spacing w:after="0" w:line="379" w:lineRule="auto"/>
        <w:tabs>
          <w:tab w:leader="none" w:pos="128"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 AND SUMMARY OF SIGNIFICANT ACCOUNTING POLICIES Overview</w:t>
      </w:r>
    </w:p>
    <w:p>
      <w:pPr>
        <w:spacing w:after="0" w:line="1" w:lineRule="exact"/>
        <w:rPr>
          <w:sz w:val="20"/>
          <w:szCs w:val="20"/>
          <w:color w:val="auto"/>
        </w:rPr>
      </w:pPr>
    </w:p>
    <w:p>
      <w:pPr>
        <w:ind w:left="8"/>
        <w:spacing w:after="0" w:line="265" w:lineRule="auto"/>
        <w:rPr>
          <w:sz w:val="20"/>
          <w:szCs w:val="20"/>
          <w:color w:val="auto"/>
        </w:rPr>
      </w:pPr>
      <w:r>
        <w:rPr>
          <w:rFonts w:ascii="Times New Roman" w:cs="Times New Roman" w:eastAsia="Times New Roman" w:hAnsi="Times New Roman"/>
          <w:sz w:val="12"/>
          <w:szCs w:val="12"/>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June 28, 2017, the Company operated 208 and franchised 264 El Pollo Loco restaurants.</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82" w:lineRule="exact"/>
        <w:rPr>
          <w:sz w:val="20"/>
          <w:szCs w:val="20"/>
          <w:color w:val="auto"/>
        </w:rPr>
      </w:pPr>
    </w:p>
    <w:p>
      <w:pPr>
        <w:ind w:left="8"/>
        <w:spacing w:after="0" w:line="258"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28, 2016.</w:t>
      </w:r>
    </w:p>
    <w:p>
      <w:pPr>
        <w:spacing w:after="0" w:line="123"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2016 and 2017 are both 52-week years, ending on December 28, 2016 and December 27, 2017, respectively. Revenues, expenses, and other financial and operational figures may be elevated in a 53-week year.</w:t>
      </w:r>
    </w:p>
    <w:p>
      <w:pPr>
        <w:spacing w:after="0" w:line="119" w:lineRule="exact"/>
        <w:rPr>
          <w:sz w:val="20"/>
          <w:szCs w:val="20"/>
          <w:color w:val="auto"/>
        </w:rPr>
      </w:pPr>
    </w:p>
    <w:p>
      <w:pPr>
        <w:ind w:left="8" w:right="260"/>
        <w:spacing w:after="0" w:line="280" w:lineRule="auto"/>
        <w:rPr>
          <w:sz w:val="20"/>
          <w:szCs w:val="20"/>
          <w:color w:val="auto"/>
        </w:rPr>
      </w:pPr>
      <w:r>
        <w:rPr>
          <w:rFonts w:ascii="Times New Roman" w:cs="Times New Roman" w:eastAsia="Times New Roman" w:hAnsi="Times New Roman"/>
          <w:sz w:val="12"/>
          <w:szCs w:val="12"/>
          <w:color w:val="auto"/>
        </w:rPr>
        <w:t>Holdings has no material assets or operations. Holdings and Holdings’ direct subsidiary, EPL Intermediate, Inc. (“Intermediate”), guarantee EPL’s 2014 Revolver (see Note 4) on a full and unconditional basis,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110" w:lineRule="exact"/>
        <w:rPr>
          <w:sz w:val="20"/>
          <w:szCs w:val="20"/>
          <w:color w:val="auto"/>
        </w:rPr>
      </w:pPr>
    </w:p>
    <w:p>
      <w:pPr>
        <w:ind w:left="8"/>
        <w:spacing w:after="0" w:line="256" w:lineRule="auto"/>
        <w:rPr>
          <w:sz w:val="20"/>
          <w:szCs w:val="20"/>
          <w:color w:val="auto"/>
        </w:rPr>
      </w:pPr>
      <w:r>
        <w:rPr>
          <w:rFonts w:ascii="Times New Roman" w:cs="Times New Roman" w:eastAsia="Times New Roman" w:hAnsi="Times New Roman"/>
          <w:sz w:val="12"/>
          <w:szCs w:val="12"/>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 (iii) so long as no default or event of default has occurred and is continuing, (a) 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2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Principles of Consolidation</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accompanying condensed consolidated financial statements include the accounts of Holdings and its wholly owned subsidiaries. All intercompany balances and transactions have been eliminated in consolidation.</w:t>
      </w:r>
    </w:p>
    <w:p>
      <w:pPr>
        <w:spacing w:after="0" w:line="2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Use of Estimates</w:t>
      </w:r>
    </w:p>
    <w:p>
      <w:pPr>
        <w:spacing w:after="0" w:line="82" w:lineRule="exact"/>
        <w:rPr>
          <w:sz w:val="20"/>
          <w:szCs w:val="20"/>
          <w:color w:val="auto"/>
        </w:rPr>
      </w:pPr>
    </w:p>
    <w:p>
      <w:pPr>
        <w:jc w:val="both"/>
        <w:ind w:left="8" w:right="220"/>
        <w:spacing w:after="0" w:line="265" w:lineRule="auto"/>
        <w:rPr>
          <w:sz w:val="20"/>
          <w:szCs w:val="20"/>
          <w:color w:val="auto"/>
        </w:rPr>
      </w:pPr>
      <w:r>
        <w:rPr>
          <w:rFonts w:ascii="Times New Roman" w:cs="Times New Roman" w:eastAsia="Times New Roman" w:hAnsi="Times New Roman"/>
          <w:sz w:val="12"/>
          <w:szCs w:val="12"/>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 reported. Actual results could materially differ from those estimates. The Company’s significant estimates include estimates for</w:t>
      </w:r>
    </w:p>
    <w:p>
      <w:pPr>
        <w:spacing w:after="0" w:line="137"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48"/>
          </w:cols>
          <w:pgMar w:left="212" w:top="431" w:right="239" w:bottom="1440" w:gutter="0" w:footer="0" w:header="0"/>
        </w:sectPr>
      </w:pPr>
    </w:p>
    <w:bookmarkStart w:id="8" w:name="page9"/>
    <w:bookmarkEnd w:id="8"/>
    <w:p>
      <w:pPr>
        <w:ind w:right="100"/>
        <w:spacing w:after="0" w:line="280" w:lineRule="auto"/>
        <w:rPr>
          <w:sz w:val="20"/>
          <w:szCs w:val="20"/>
          <w:color w:val="auto"/>
        </w:rPr>
      </w:pPr>
      <w:r>
        <w:rPr>
          <w:rFonts w:ascii="Times New Roman" w:cs="Times New Roman" w:eastAsia="Times New Roman" w:hAnsi="Times New Roman"/>
          <w:sz w:val="12"/>
          <w:szCs w:val="12"/>
          <w:color w:val="auto"/>
        </w:rPr>
        <w:t>impairment of goodwill, intangible assets and property and equipment, insurance reserves, lease termination liabilities, closed-store reserves, stock-based compensation, income tax receivable agreement liability, and income tax valuation allowances.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and Cash Equivalents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considers all highly-liquid instruments with an original maturity of three months or less at the date of purchase to be cash equivalents.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Restricted Cash</w:t>
      </w:r>
    </w:p>
    <w:p>
      <w:pPr>
        <w:spacing w:after="0" w:line="8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The Company’s restricted cash represented cash collateral to one commercial bank for Company credit cards. During the twenty-six weeks ended June 28, 2017, the cash collateral was returned by the bank, and the Company reclassified such amounts to cash and cash equivalents.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The Company’s principal liquidity requirements are to service its debt and to meet capital expenditure needs. At June 28, 2017, the Company’s total debt (including capital lease liabilities) was $94.9 million. The Company’s ability to make payments on its indebtedness and to fund planned capital expenditures depends on available cash and on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$4.4 million at June 28, 2017, and available borrowings under the 2014 Revolver (which availability was approximately $97.4 million at June 28, 2017) will be adequate to meet the Company’s liquidity needs for the next 12 months.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Gain on Recovery of Insurance Proceeds</w:t>
      </w:r>
    </w:p>
    <w:p>
      <w:pPr>
        <w:spacing w:after="0" w:line="1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November 2015, one of the Company’s restaurants incurred damage resulting from a fire. During the twenty-six weeks ended June 29, 2016, we incurred costs directly related to the fire of less than $0.1 million, disposed of an additional $0.1 million in assets, and recognized gains of $0.9 million, related to the reimbursement of property and equipment. The Company received from the insurance company cash of $1.0 million during the twenty-six weeks ended June 29, 2016, net of the insurance deductible. The restaurant was reopened for business on March 14, 2016.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Recovery of Securities Class Action Legal Expense</w:t>
      </w:r>
    </w:p>
    <w:p>
      <w:pPr>
        <w:spacing w:after="0" w:line="154"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During the thirteen and twenty-six weeks ended June 28, 2017, the Company received insurance proceeds of $0.5 million, related to the reimbursement of certain legal expenses paid in prior years for the defense of securities lawsuits. See Note 7, Commitments and Contingencies, Legal Matters.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In May 2017, the Financial Accounting Standards Board (“FASB”) issued Accounting Standards Update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ASU 2017-09 is effective for financial statements issued for annual periods beginning after December 15, 2017. The adoption of ASU 2017-09 is not expected to have a significant impact on the Company’s consolidated financial position or results of operations.</w:t>
      </w:r>
    </w:p>
    <w:p>
      <w:pPr>
        <w:spacing w:after="0" w:line="127" w:lineRule="exact"/>
        <w:rPr>
          <w:sz w:val="20"/>
          <w:szCs w:val="20"/>
          <w:color w:val="auto"/>
        </w:rPr>
      </w:pPr>
    </w:p>
    <w:p>
      <w:pPr>
        <w:ind w:right="340"/>
        <w:spacing w:after="0" w:line="327" w:lineRule="auto"/>
        <w:rPr>
          <w:sz w:val="20"/>
          <w:szCs w:val="20"/>
          <w:color w:val="auto"/>
        </w:rPr>
      </w:pPr>
      <w:r>
        <w:rPr>
          <w:rFonts w:ascii="Times New Roman" w:cs="Times New Roman" w:eastAsia="Times New Roman" w:hAnsi="Times New Roman"/>
          <w:sz w:val="11"/>
          <w:szCs w:val="11"/>
          <w:color w:val="auto"/>
        </w:rPr>
        <w:t>In January 2017, the FASB issued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460"/>
          </w:cols>
          <w:pgMar w:left="220" w:top="507" w:right="219" w:bottom="1440" w:gutter="0" w:footer="0" w:header="0"/>
        </w:sectPr>
      </w:pPr>
    </w:p>
    <w:bookmarkStart w:id="9" w:name="page10"/>
    <w:bookmarkEnd w:id="9"/>
    <w:p>
      <w:pPr>
        <w:ind w:right="60"/>
        <w:spacing w:after="0" w:line="265" w:lineRule="auto"/>
        <w:rPr>
          <w:sz w:val="20"/>
          <w:szCs w:val="20"/>
          <w:color w:val="auto"/>
        </w:rPr>
      </w:pPr>
      <w:r>
        <w:rPr>
          <w:rFonts w:ascii="Times New Roman" w:cs="Times New Roman" w:eastAsia="Times New Roman" w:hAnsi="Times New Roman"/>
          <w:sz w:val="12"/>
          <w:szCs w:val="12"/>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the Company’s consolidated financial position or results of operations.</w:t>
      </w:r>
    </w:p>
    <w:p>
      <w:pPr>
        <w:spacing w:after="0" w:line="11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 annual periods. The adoption of ASU 2016-18 is not expected to have a significant impact on the Company’s consolidated financial position or results of operations.</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we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$307.2 million of operating lease obligations as of June 28, 2017 and upon adoption of this standard will record a ROU asset and lease liability equal to the present value of these leases, which will have a material impact on the balance sheet. However, the statement of income recognition of lease expense is not expected to change from the current methodology.</w:t>
      </w:r>
    </w:p>
    <w:p>
      <w:pPr>
        <w:spacing w:after="0" w:line="12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1"/>
          <w:szCs w:val="11"/>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the Company’s consolidated financial position or results of operations.</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480"/>
          </w:cols>
          <w:pgMar w:left="220" w:top="579" w:right="199" w:bottom="1440" w:gutter="0" w:footer="0" w:header="0"/>
        </w:sectPr>
      </w:pPr>
    </w:p>
    <w:bookmarkStart w:id="10" w:name="page11"/>
    <w:bookmarkEnd w:id="10"/>
    <w:p>
      <w:pPr>
        <w:spacing w:after="0" w:line="265" w:lineRule="auto"/>
        <w:rPr>
          <w:sz w:val="20"/>
          <w:szCs w:val="20"/>
          <w:color w:val="auto"/>
        </w:rPr>
      </w:pPr>
      <w:r>
        <w:rPr>
          <w:rFonts w:ascii="Times New Roman" w:cs="Times New Roman" w:eastAsia="Times New Roman" w:hAnsi="Times New Roman"/>
          <w:sz w:val="12"/>
          <w:szCs w:val="12"/>
          <w:color w:val="auto"/>
        </w:rPr>
        <w:t>In addition, the FASB has issued the following Technical Corrections, Practical Expedients and Improvements to Topic 606, Revenue from Contracts with Customers: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Based on the nature of the Company’s business, the adoption of ASU No. 2014-09, or any of the subsequent related ASU’s, are not expected to impact the majority of its revenue streams. The Company is currently in the process of evaluating current accounting policies to identify potential differences for the remaining revenue streams and, while the Company does anticipate some changes to revenue recognition for certain franchisee and development agreements, it does not currently believe the adoption of ASU 2014-09 will have a material impact to its consolidated financial position or results of operations. In addition, the Company is currently determining the transition method and disclosure requirements, and plans on finishing its analysis by the end of fiscal 2017.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Subsequent Events</w:t>
      </w:r>
    </w:p>
    <w:p>
      <w:pPr>
        <w:spacing w:after="0" w:line="8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Subsequent to June 28, 2017, the Company made a $4.0 million pre-payment on the 2014 Revolver, received an additional $0.6 million of insurance proceeds related to the reimbursement of certain legal expenses paid in prior years for the defense of securities lawsuits and completed one new store opening. In addition, one of our franchisees completed one new store opening.</w:t>
      </w:r>
    </w:p>
    <w:p>
      <w:pPr>
        <w:spacing w:after="0" w:line="11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Subsequent to June 28, 2017, the Company made a strategic decision to close three restaurants in Texas, one of which was fully impaired during the fourth quarter of 2016. While the company is still assessing an intended course of action regarding the restaurants, there could be an impairment charge of up to $3.4 million, related to the remaining assets of two of the restaurants during the third quarter.</w:t>
      </w:r>
    </w:p>
    <w:p>
      <w:pPr>
        <w:spacing w:after="0" w:line="110"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The Company evaluated subsequent events that have occurred after June 28, 2017, and determined that there were no other events or transactions occurring during this reporting period that require recognition or disclosure in the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Concentration of Risk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and cash equivalents are maintained at financial institutions and, at times, balances may exceed federally-insured limits. The Company has never experienced any losses related to these balances.</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Company had no suppliers for which amounts due at June 28, 2017 totaled greater than 10% of the Company’s accounts payable. As of December 28, 2016, the Company had one supplier for which amounts due totaled 16% of the Company’s accounts payable. Purchases from the Company’s largest supplier totaled 33% of total expenses for the thirteen weeks ended June 28, 2017, and 34% of total expenses for the thirteen weeks ended June 29, 2016. Purchases from the Company’s largest supplier totaled 32% of total expenses for the twenty-six weeks ended June 28, 2017, and 34% of total expenses for the twenty-six weeks ended June 29, 2016, of the Company’s purchases. Company-operated and franchised restaurants in the greater Los Angeles area generated, in the aggregate, approximately 73% and 75% of total revenue for the thirteen and twenty-six weeks ended June 28, 2017 and June 29, 2016,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 and Indefinite Lived Intangible Assets</w:t>
      </w:r>
    </w:p>
    <w:p>
      <w:pPr>
        <w:spacing w:after="0" w:line="82"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2"/>
          <w:szCs w:val="12"/>
          <w:color w:val="auto"/>
        </w:rPr>
        <w:t>The Company’s indefinite lived intangible assets consist of trademarks. Goodwill represents the excess of cost over fair value of net identified assets acquired in business combinations accounted for under the purchase method. The Company does not amortize its goodwill and indefinite lived intangible assets. Goodwill resulted from historical acquisitions.</w:t>
      </w:r>
    </w:p>
    <w:p>
      <w:pPr>
        <w:spacing w:after="0" w:line="110"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Upon a sale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performs annual impairment tests for goodwill during the fourth fiscal quarter of each fiscal year, or more frequently if impairment indicators arise.</w:t>
      </w:r>
    </w:p>
    <w:p>
      <w:pPr>
        <w:spacing w:after="0" w:line="150"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480"/>
          </w:cols>
          <w:pgMar w:left="220" w:top="435" w:right="199" w:bottom="1440" w:gutter="0" w:footer="0" w:header="0"/>
        </w:sectPr>
      </w:pPr>
    </w:p>
    <w:bookmarkStart w:id="11" w:name="page12"/>
    <w:bookmarkEnd w:id="11"/>
    <w:p>
      <w:pPr>
        <w:ind w:right="240"/>
        <w:spacing w:after="0" w:line="260" w:lineRule="auto"/>
        <w:rPr>
          <w:sz w:val="20"/>
          <w:szCs w:val="20"/>
          <w:color w:val="auto"/>
        </w:rPr>
      </w:pPr>
      <w:r>
        <w:rPr>
          <w:rFonts w:ascii="Times New Roman" w:cs="Times New Roman" w:eastAsia="Times New Roman" w:hAnsi="Times New Roman"/>
          <w:sz w:val="12"/>
          <w:szCs w:val="12"/>
          <w:color w:val="auto"/>
        </w:rPr>
        <w:t>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123"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The Company performs annual impairment tests for indefinite lived intangible assets during the fourth fiscal quarter of each fiscal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its impairment loss.</w:t>
      </w:r>
    </w:p>
    <w:p>
      <w:pPr>
        <w:spacing w:after="0" w:line="110"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2"/>
          <w:szCs w:val="12"/>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1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The Company did not identify any indicators of potential impairment of its goodwill or indefinite-lived intangible assets during the thirteen and twenty-six weeks ended June 28, 2017 or June 29, 2016, and therefore did not record any impairment during the respective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Measurements</w:t>
      </w:r>
    </w:p>
    <w:p>
      <w:pPr>
        <w:spacing w:after="0" w:line="15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10"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Quoted prices for identical instruments in active markets.</w:t>
      </w:r>
    </w:p>
    <w:p>
      <w:pPr>
        <w:spacing w:after="0" w:line="16" w:lineRule="exact"/>
        <w:rPr>
          <w:rFonts w:ascii="Times New Roman" w:cs="Times New Roman" w:eastAsia="Times New Roman" w:hAnsi="Times New Roman"/>
          <w:sz w:val="12"/>
          <w:szCs w:val="12"/>
          <w:color w:val="auto"/>
        </w:rPr>
      </w:pPr>
    </w:p>
    <w:p>
      <w:pPr>
        <w:ind w:left="420" w:right="520" w:hanging="212"/>
        <w:spacing w:after="0" w:line="250" w:lineRule="auto"/>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Quoted prices for similar instruments in active markets; quoted prices for identical or similar instruments in markets that are not active; and model-derived valuations whose inputs or significant value drivers are observable.</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Unobservable inputs used when little or no market data is available.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28, 2017 and December 28, 2016, the Company had no assets or liabilities measured at fair value on a recurring basis.</w:t>
      </w:r>
    </w:p>
    <w:p>
      <w:pPr>
        <w:spacing w:after="0" w:line="150"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18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The following non-financial instruments were measured at fair value, on a nonrecurring basis, as of and for the thirteen and twenty-six weeks ended June 28, 2017 (in thousands), reflecting certain property and equipment assets for which an impairment loss was recognized during the corresponding period, as discussed immediately below under "Impairment of Long-Lived Assets":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Fair Value Measurements at June 28, 2017 Using</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gridSpan w:val="3"/>
          </w:tcPr>
          <w:p>
            <w:pPr>
              <w:jc w:val="right"/>
              <w:ind w:right="1746"/>
              <w:spacing w:after="0"/>
              <w:rPr>
                <w:sz w:val="20"/>
                <w:szCs w:val="20"/>
                <w:color w:val="auto"/>
              </w:rPr>
            </w:pPr>
            <w:r>
              <w:rPr>
                <w:rFonts w:ascii="Times New Roman" w:cs="Times New Roman" w:eastAsia="Times New Roman" w:hAnsi="Times New Roman"/>
                <w:sz w:val="10"/>
                <w:szCs w:val="10"/>
                <w:b w:val="1"/>
                <w:bCs w:val="1"/>
                <w:color w:val="auto"/>
              </w:rPr>
              <w:t>Impairment Loss</w:t>
            </w:r>
          </w:p>
        </w:tc>
      </w:tr>
      <w:tr>
        <w:trPr>
          <w:trHeight w:val="169"/>
        </w:trPr>
        <w:tc>
          <w:tcPr>
            <w:tcW w:w="24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Total</w:t>
            </w:r>
          </w:p>
        </w:tc>
        <w:tc>
          <w:tcPr>
            <w:tcW w:w="4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Level 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ind w:left="206"/>
              <w:spacing w:after="0"/>
              <w:rPr>
                <w:sz w:val="20"/>
                <w:szCs w:val="20"/>
                <w:color w:val="auto"/>
              </w:rPr>
            </w:pPr>
            <w:r>
              <w:rPr>
                <w:rFonts w:ascii="Times New Roman" w:cs="Times New Roman" w:eastAsia="Times New Roman" w:hAnsi="Times New Roman"/>
                <w:sz w:val="10"/>
                <w:szCs w:val="10"/>
                <w:b w:val="1"/>
                <w:bCs w:val="1"/>
                <w:color w:val="auto"/>
                <w:w w:val="97"/>
              </w:rPr>
              <w:t>Level 2</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0"/>
                <w:szCs w:val="10"/>
                <w:b w:val="1"/>
                <w:bCs w:val="1"/>
                <w:color w:val="auto"/>
                <w:w w:val="99"/>
              </w:rPr>
              <w:t>Thirteen Weeks Ended June 28, 2017</w:t>
            </w:r>
          </w:p>
        </w:tc>
        <w:tc>
          <w:tcPr>
            <w:tcW w:w="100" w:type="dxa"/>
            <w:vAlign w:val="bottom"/>
            <w:tcBorders>
              <w:bottom w:val="single" w:sz="8" w:color="CCEEFF"/>
            </w:tcBorders>
          </w:tcPr>
          <w:p>
            <w:pPr>
              <w:spacing w:after="0"/>
              <w:rPr>
                <w:sz w:val="14"/>
                <w:szCs w:val="14"/>
                <w:color w:val="auto"/>
              </w:rPr>
            </w:pPr>
          </w:p>
        </w:tc>
        <w:tc>
          <w:tcPr>
            <w:tcW w:w="2300" w:type="dxa"/>
            <w:vAlign w:val="bottom"/>
            <w:tcBorders>
              <w:bottom w:val="single" w:sz="8" w:color="auto"/>
            </w:tcBorders>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Twenty-Six Weeks Ended June 28, 2017</w:t>
            </w:r>
          </w:p>
        </w:tc>
      </w:tr>
      <w:tr>
        <w:trPr>
          <w:trHeight w:val="17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Property and equipment owned, net</w:t>
            </w:r>
          </w:p>
        </w:tc>
        <w:tc>
          <w:tcPr>
            <w:tcW w:w="142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302</w:t>
            </w:r>
          </w:p>
        </w:tc>
        <w:tc>
          <w:tcPr>
            <w:tcW w:w="56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2"/>
                <w:szCs w:val="12"/>
                <w:color w:val="auto"/>
                <w:w w:val="99"/>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2"/>
                <w:szCs w:val="12"/>
                <w:color w:val="auto"/>
                <w:w w:val="99"/>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302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2"/>
                <w:szCs w:val="12"/>
                <w:color w:val="auto"/>
              </w:rPr>
              <w:t>387</w:t>
            </w:r>
          </w:p>
        </w:tc>
        <w:tc>
          <w:tcPr>
            <w:tcW w:w="100" w:type="dxa"/>
            <w:vAlign w:val="bottom"/>
            <w:shd w:val="clear" w:color="auto" w:fill="CCEEFF"/>
          </w:tcPr>
          <w:p>
            <w:pPr>
              <w:spacing w:after="0"/>
              <w:rPr>
                <w:sz w:val="15"/>
                <w:szCs w:val="15"/>
                <w:color w:val="auto"/>
              </w:rPr>
            </w:pPr>
          </w:p>
        </w:tc>
        <w:tc>
          <w:tcPr>
            <w:tcW w:w="23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387</w:t>
            </w: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were no non-financial instruments that were measured at fair value, on a nonrecurring basis as of and for the thirteen and twenty-six weeks ended June 29, 2016.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Impairment of Long-Lived Assets</w:t>
      </w:r>
    </w:p>
    <w:p>
      <w:pPr>
        <w:spacing w:after="0" w:line="8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The Company reviews its long-lived assets for impairment on a restaurant-by-restaurant basis whenever events or changes in circumstances indicate that the carrying value of certain assets may not be recoverable. If the Company concludes that the carrying value of certain assets will not be recovered based on expected undiscounted future cash flows, an impairment write-down is recorded to reduce the assets to their estimated fair value. The fair value is measured on a nonrecurring basis using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480"/>
          </w:cols>
          <w:pgMar w:left="220" w:top="579" w:right="199" w:bottom="1440" w:gutter="0" w:footer="0" w:header="0"/>
        </w:sectPr>
      </w:pPr>
    </w:p>
    <w:bookmarkStart w:id="12" w:name="page13"/>
    <w:bookmarkEnd w:id="12"/>
    <w:p>
      <w:pPr>
        <w:spacing w:after="0" w:line="258" w:lineRule="auto"/>
        <w:rPr>
          <w:sz w:val="20"/>
          <w:szCs w:val="20"/>
          <w:color w:val="auto"/>
        </w:rPr>
      </w:pPr>
      <w:r>
        <w:rPr>
          <w:rFonts w:ascii="Times New Roman" w:cs="Times New Roman" w:eastAsia="Times New Roman" w:hAnsi="Times New Roman"/>
          <w:sz w:val="12"/>
          <w:szCs w:val="12"/>
          <w:color w:val="auto"/>
        </w:rPr>
        <w:t>unobservable (Level 3) inputs. Based on the results of the analysis, during the thirteen and twenty-six weeks ended June 28, 2017, the Company recorded a non-cash impairment charge of $0.4 million. For the thirteen and twenty-six weeks ended June 29, 2016, the Company recorded an immaterial non-cash impairment charge related to capital expenditures for stores fully impaired in previous years. The Company continues to monitor the recoverability of the carrying value of the assets of several restaurants on an ongoing basis. In particular, most of the Company’s (and its franchisees’) restaurants in Texas have opened since the beginning of 2015, and many since the beginning of 2016. Accordingly, given the difficulty in projecting results for newer restaurants in newer markets, the Company intends to continue to monitor the performance of its Texas portfolio. Based on most recent results, if the management plans to improve profitability are not successful, future significant impairment to the Company’s assets may occur as a result of the performance of these restaurants and the related future cash flow assumptions over the remaining lease term.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8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2"/>
          <w:szCs w:val="12"/>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 In the first quarter of fiscal 2017 the Company implemented ASU 2015-17, resulting in the classification of all deferred tax assets as non-current. As the Company implemented this ASU retrospectively, $21.5 million of deferred tax assets previously classified as current in fiscal year 2016 are now classified as noncurrent liabilities within the Company's balance sheets.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reviews its filing positions for all open tax years in all U.S. federal and state jurisdictions where the Company is required to file.</w:t>
      </w:r>
    </w:p>
    <w:p>
      <w:pPr>
        <w:spacing w:after="0" w:line="1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our results of operations, financial position, and cash flows.</w:t>
      </w:r>
    </w:p>
    <w:p>
      <w:pPr>
        <w:spacing w:after="0" w:line="123" w:lineRule="exact"/>
        <w:rPr>
          <w:sz w:val="20"/>
          <w:szCs w:val="20"/>
          <w:color w:val="auto"/>
        </w:rPr>
      </w:pPr>
    </w:p>
    <w:p>
      <w:pPr>
        <w:jc w:val="both"/>
        <w:ind w:right="320"/>
        <w:spacing w:after="0" w:line="265" w:lineRule="auto"/>
        <w:rPr>
          <w:sz w:val="20"/>
          <w:szCs w:val="20"/>
          <w:color w:val="auto"/>
        </w:rPr>
      </w:pPr>
      <w:r>
        <w:rPr>
          <w:rFonts w:ascii="Times New Roman" w:cs="Times New Roman" w:eastAsia="Times New Roman" w:hAnsi="Times New Roman"/>
          <w:sz w:val="12"/>
          <w:szCs w:val="12"/>
          <w:color w:val="auto"/>
        </w:rPr>
        <w:t>The Company’s policy is to recognize interest and penalties related to income tax matters in income tax expense. The Company had no accrual for interest or penalties at June 28, 2017 or at December 28, 2016, and did not recognize interest or penalties during the thirteen or twenty-six weeks ended June 28, 2017 or June 29, 2016, since there were no material unrecognized tax benefits. Management believes no material changes to the amount of unrecognized tax benefits will occur within the next twelve months.</w:t>
      </w:r>
    </w:p>
    <w:p>
      <w:pPr>
        <w:spacing w:after="0" w:line="119"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On July 30, 2014, the Company entered into the TRA. The TRA calls for the Company to pay to its pre-IPO stockholders 85% of the savings in cash that the Company realizes in its taxes as a result of utilizing its net operating losses and other tax attributes attributable to preceding periods.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460"/>
          </w:cols>
          <w:pgMar w:left="220" w:top="507"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2. PROPERTY AND EQUIPMENT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costs and related accumulated depreciation and amortization of major classes of property and equipment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20" w:type="dxa"/>
            <w:vAlign w:val="bottom"/>
          </w:tcPr>
          <w:p>
            <w:pPr>
              <w:spacing w:after="0"/>
              <w:rPr>
                <w:sz w:val="11"/>
                <w:szCs w:val="11"/>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28, 2016</w:t>
            </w:r>
          </w:p>
        </w:tc>
      </w:tr>
      <w:tr>
        <w:trPr>
          <w:trHeight w:val="173"/>
        </w:trPr>
        <w:tc>
          <w:tcPr>
            <w:tcW w:w="8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w:t>
            </w: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12,323</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12,323</w:t>
            </w: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Buildings and improvements</w:t>
            </w:r>
          </w:p>
        </w:tc>
        <w:tc>
          <w:tcPr>
            <w:tcW w:w="28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141,457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125,159</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property and equipment</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70,727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65,831</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Construction in progress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5,649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11,539</w:t>
            </w:r>
          </w:p>
        </w:tc>
      </w:tr>
      <w:tr>
        <w:trPr>
          <w:trHeight w:val="178"/>
        </w:trPr>
        <w:tc>
          <w:tcPr>
            <w:tcW w:w="8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230,156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214,852</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Less: accumulated depreciation and amortization</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(103,525)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(96,382)</w:t>
            </w:r>
          </w:p>
        </w:tc>
      </w:tr>
      <w:tr>
        <w:trPr>
          <w:trHeight w:val="185"/>
        </w:trPr>
        <w:tc>
          <w:tcPr>
            <w:tcW w:w="83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126,631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118,470</w:t>
            </w:r>
          </w:p>
        </w:tc>
      </w:tr>
    </w:tbl>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Depreciation expense was $4.6 million and $4.0 million for the thirteen weeks ended June 28, 2017 and June 29, 2016, respectively, and $8.9 million and $7.7 million for the twenty-six weeks ended June 28, 2017 and June 29, 2016, respectively. The gross value of assets under capital leases for buildings and improvements was $1.6 million at June 28, 2017 and December 28, 2016. Accumulated depreciation for assets under capital leases was $1.5 million as of June 28, 2017 and December 28, 2016. For the thirteen weeks ended June 28, 2017, capital expenditures totaled $7.4 million, including $1.4 million for restaurant remodeling and $4.4 million for new restaurant expenditures. For the twenty-six weeks ended June 28, 2017, capital expenditures totaled $19.0 million, including $2.8 million for restaurant remodeling and $13.9 million for new restaurant expenditures. For the thirteen weeks ended June 29, 2016, capital expenditures totaled $8.4 million, including $0.1 million for restaurant remodeling and $6.3 million for new restaurant expenditures. For the twenty-six weeks ended June 29, 2016, capital expenditures totaled $14.3 million, including $1.6 million for restaurant remodeling and $9.2 million for new restaurant expenditures. Capital expenditures for these periods exclude unpaid purchases of property and equipment.</w:t>
      </w:r>
    </w:p>
    <w:p>
      <w:pPr>
        <w:spacing w:after="0" w:line="198"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Based on the Company’s review of its long-lived assets for impairment, the Company recorded non-cash impairment charges of $0.4 million for both the thirteen and twenty-six weeks ended June 28, 2017. For the thirteen and twenty-six weeks ended June 29, 2016, the Company recorded an immaterial non-cash impairment charge related to capital expenditures for stores fully impaired in previous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STOCK-BASED COMPENSATION</w:t>
      </w:r>
    </w:p>
    <w:p>
      <w:pPr>
        <w:spacing w:after="0" w:line="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2"/>
          <w:szCs w:val="12"/>
          <w:color w:val="auto"/>
        </w:rPr>
        <w:t>At June 28, 2017, options to purchase 2,302,319 shares of common stock were outstanding, including 1,835,285 vested and 467,034 unvested. Unvested options vest over time. However, upon a change in control, the board may accelerate vesting. At June 28, 2017, 1,563,549 premium options, options granted above the stock price at date of grant, remained outstanding. For both the thirteen and twenty-six weeks ended June 28, 2017, there were stock option exercises of 17,661. For both the thirteen and twenty-six weeks ended June 29, 2016, there were stock option exercises of 115,340 shares. For the thirteen and twenty-six weeks ended June 28, 2017, 128,252 stock options were granted at the fair market value on the date of grant. For the thirteen and twenty-six weeks ended June 29, 2016, 319,798 stock options were granted at the fair market value on the date of grant. At June 28, 2017, we had total unrecognized compensation expense of $1.5 million related to unvested stock options, which we expect to recognize over a weighted-average period of 3.1 years.</w:t>
      </w:r>
    </w:p>
    <w:p>
      <w:pPr>
        <w:spacing w:after="0" w:line="1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For the thirteen and twenty-six weeks ended June 28, 2017, 169,676 restricted shares were granted at the fair market value on the date of grant. The restricted shares will vest ratably over four years for employees and three years for directors, from their grant date. There were 7,806 restricted shares granted at the fair market value on the date of grant during the thirteen and twenty-six weeks ended June 29, 2016. At June 28, 2017, there were 194,387 unvested restricted shares outstanding. At June 28, 2017, we had total unrecognized compensation expense of $2.5 million related to unvested restricted shares, which we expect to recognize over a weighted-average period of 3.6 years.</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Total stock-based compensation expense was $0.3 million and $0.4 million for the thirteen and twenty-six weeks ended June 28, 2017, respectively, and $0.1 million for the thirteen and twenty-six weeks ended June 29, 2016. In connection with the separation of our former audit committee chair, the Company has modified previously granted equity awards to allow for additional time to exercise previously vested awards following his separation date. As a result, the Company incurred incremental stock-based compensation expense of less than $0.1 million for the thirteen and twenty-six weeks ended June 28, 2017.</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480"/>
          </w:cols>
          <w:pgMar w:left="220" w:top="431" w:right="199" w:bottom="1440" w:gutter="0" w:footer="0" w:header="0"/>
        </w:sectPr>
      </w:pPr>
    </w:p>
    <w:bookmarkStart w:id="14" w:name="page15"/>
    <w:bookmarkEnd w:id="14"/>
    <w:p>
      <w:pPr>
        <w:ind w:left="8"/>
        <w:spacing w:after="0"/>
        <w:rPr>
          <w:sz w:val="20"/>
          <w:szCs w:val="20"/>
          <w:color w:val="auto"/>
        </w:rPr>
      </w:pPr>
      <w:r>
        <w:rPr>
          <w:rFonts w:ascii="Times New Roman" w:cs="Times New Roman" w:eastAsia="Times New Roman" w:hAnsi="Times New Roman"/>
          <w:sz w:val="12"/>
          <w:szCs w:val="12"/>
          <w:b w:val="1"/>
          <w:bCs w:val="1"/>
          <w:color w:val="auto"/>
        </w:rPr>
        <w:t>4. CREDIT AGREEMENTS</w:t>
      </w:r>
    </w:p>
    <w:p>
      <w:pPr>
        <w:spacing w:after="0" w:line="82" w:lineRule="exact"/>
        <w:rPr>
          <w:sz w:val="20"/>
          <w:szCs w:val="20"/>
          <w:color w:val="auto"/>
        </w:rPr>
      </w:pPr>
    </w:p>
    <w:p>
      <w:pPr>
        <w:ind w:left="8" w:right="60"/>
        <w:spacing w:after="0" w:line="260" w:lineRule="auto"/>
        <w:rPr>
          <w:sz w:val="20"/>
          <w:szCs w:val="20"/>
          <w:color w:val="auto"/>
        </w:rPr>
      </w:pPr>
      <w:r>
        <w:rPr>
          <w:rFonts w:ascii="Times New Roman" w:cs="Times New Roman" w:eastAsia="Times New Roman" w:hAnsi="Times New Roman"/>
          <w:sz w:val="12"/>
          <w:szCs w:val="12"/>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provides for a $200.0 million five-year senior secured revolving facility (the “2014 Revolver”). The 2014 Revolver includes a sub limit of $15.0 million for letters of credit and a sub limit of $15.0 million for swingline loans. At June 28, 2017, $8.1 million of letters of credit, and $94.5 million of the revolving line of credit were outstanding. The amount available under the revolving line of credit was $97.4 million at June 28, 2017. The 2014 Revolver will mature on or about December 11, 2019.</w:t>
      </w:r>
    </w:p>
    <w:p>
      <w:pPr>
        <w:spacing w:after="0" w:line="123"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2.69% to 2.96% and 2.44% to 2.96% for the thirteen and twenty-six weeks ended June 28, 2017, respectively, and 2.19% to 2.20% and 2.02% to 2.20% for the thirteen and twenty-six weeks ended June 29, 2016, respectively.</w:t>
      </w:r>
    </w:p>
    <w:p>
      <w:pPr>
        <w:spacing w:after="0" w:line="123" w:lineRule="exact"/>
        <w:rPr>
          <w:sz w:val="20"/>
          <w:szCs w:val="20"/>
          <w:color w:val="auto"/>
        </w:rPr>
      </w:pPr>
    </w:p>
    <w:p>
      <w:pPr>
        <w:ind w:left="8" w:right="320"/>
        <w:spacing w:after="0" w:line="265" w:lineRule="auto"/>
        <w:rPr>
          <w:sz w:val="20"/>
          <w:szCs w:val="20"/>
          <w:color w:val="auto"/>
        </w:rPr>
      </w:pPr>
      <w:r>
        <w:rPr>
          <w:rFonts w:ascii="Times New Roman" w:cs="Times New Roman" w:eastAsia="Times New Roman" w:hAnsi="Times New Roman"/>
          <w:sz w:val="12"/>
          <w:szCs w:val="12"/>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The Company was in compliance with all such covenants at June 28, 2017. See Note 1 for restrictions on the payment of dividends under the 2014 Revolver.</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Maturities</w:t>
      </w:r>
    </w:p>
    <w:p>
      <w:pPr>
        <w:spacing w:after="0" w:line="82"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There are no required principal payments prior to maturity for the 2014 Revolver. During the thirteen and twenty-six weeks ended June 28, 2017, the Company elected to pay down $6.5 million and $9.5 million, respectively, of outstanding borrowings on our 2014 Revolver, primarily from our cash flow from operations.</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5. OTHER ACCRUED EXPENSES AND CURRENT LIABILITIES</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Other accrued expenses and current liabilities consist of the following (in thousands):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83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December 28, 2016</w:t>
            </w:r>
          </w:p>
        </w:tc>
      </w:tr>
      <w:tr>
        <w:trPr>
          <w:trHeight w:val="17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Accrued sales and property taxes</w:t>
            </w:r>
          </w:p>
        </w:tc>
        <w:tc>
          <w:tcPr>
            <w:tcW w:w="104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3,802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4,223</w:t>
            </w: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payable</w:t>
            </w:r>
          </w:p>
        </w:tc>
        <w:tc>
          <w:tcPr>
            <w:tcW w:w="104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6"/>
              </w:rPr>
              <w:t>24,255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12,349</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Gift card liability</w:t>
            </w:r>
          </w:p>
        </w:tc>
        <w:tc>
          <w:tcPr>
            <w:tcW w:w="10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1,659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1,870</w:t>
            </w:r>
          </w:p>
        </w:tc>
      </w:tr>
      <w:tr>
        <w:trPr>
          <w:trHeight w:val="171"/>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4,101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3,579</w:t>
            </w:r>
          </w:p>
        </w:tc>
      </w:tr>
      <w:tr>
        <w:trPr>
          <w:trHeight w:val="194"/>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other accrued expenses and current liabilities</w:t>
            </w:r>
          </w:p>
        </w:tc>
        <w:tc>
          <w:tcPr>
            <w:tcW w:w="104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33,817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22,021</w:t>
            </w:r>
          </w:p>
        </w:tc>
      </w:tr>
      <w:tr>
        <w:trPr>
          <w:trHeight w:val="280"/>
        </w:trPr>
        <w:tc>
          <w:tcPr>
            <w:tcW w:w="83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 OTHER NONCURRENT LIABILITIES</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2"/>
                <w:szCs w:val="12"/>
                <w:color w:val="auto"/>
              </w:rPr>
              <w:t>Other noncurrent liabilities consist of the following (in thousands):</w:t>
            </w: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6"/>
        </w:trPr>
        <w:tc>
          <w:tcPr>
            <w:tcW w:w="838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December 28, 2016</w:t>
            </w:r>
          </w:p>
        </w:tc>
      </w:tr>
      <w:tr>
        <w:trPr>
          <w:trHeight w:val="17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rent</w:t>
            </w:r>
          </w:p>
        </w:tc>
        <w:tc>
          <w:tcPr>
            <w:tcW w:w="104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8,534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8,328</w:t>
            </w:r>
          </w:p>
        </w:tc>
      </w:tr>
      <w:tr>
        <w:trPr>
          <w:trHeight w:val="171"/>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payable</w:t>
            </w:r>
          </w:p>
        </w:tc>
        <w:tc>
          <w:tcPr>
            <w:tcW w:w="104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6"/>
              </w:rPr>
              <w:t>14,526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26,306</w:t>
            </w:r>
          </w:p>
        </w:tc>
      </w:tr>
      <w:tr>
        <w:trPr>
          <w:trHeight w:val="18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10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2,724</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2,354</w:t>
            </w:r>
          </w:p>
        </w:tc>
      </w:tr>
      <w:tr>
        <w:trPr>
          <w:trHeight w:val="185"/>
        </w:trPr>
        <w:tc>
          <w:tcPr>
            <w:tcW w:w="8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other noncurrent liabilities</w:t>
            </w:r>
          </w:p>
        </w:tc>
        <w:tc>
          <w:tcPr>
            <w:tcW w:w="104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6"/>
              </w:rPr>
              <w:t>25,784</w:t>
            </w: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36,988</w:t>
            </w:r>
          </w:p>
        </w:tc>
      </w:tr>
    </w:tbl>
    <w:p>
      <w:pPr>
        <w:spacing w:after="0" w:line="129" w:lineRule="exact"/>
        <w:rPr>
          <w:sz w:val="20"/>
          <w:szCs w:val="20"/>
          <w:color w:val="auto"/>
        </w:rPr>
      </w:pPr>
    </w:p>
    <w:p>
      <w:pPr>
        <w:ind w:left="8" w:right="9060" w:hanging="8"/>
        <w:spacing w:after="0" w:line="379" w:lineRule="auto"/>
        <w:tabs>
          <w:tab w:leader="none" w:pos="128" w:val="left"/>
        </w:tabs>
        <w:numPr>
          <w:ilvl w:val="0"/>
          <w:numId w:val="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COMMITMENTS AND CONTINGENCIES Legal Matters</w:t>
      </w:r>
    </w:p>
    <w:p>
      <w:pPr>
        <w:spacing w:after="0" w:line="1" w:lineRule="exact"/>
        <w:rPr>
          <w:sz w:val="20"/>
          <w:szCs w:val="20"/>
          <w:color w:val="auto"/>
        </w:rPr>
      </w:pPr>
    </w:p>
    <w:p>
      <w:pPr>
        <w:ind w:left="8" w:right="60"/>
        <w:spacing w:after="0" w:line="280" w:lineRule="auto"/>
        <w:rPr>
          <w:sz w:val="20"/>
          <w:szCs w:val="20"/>
          <w:color w:val="auto"/>
        </w:rPr>
      </w:pPr>
      <w:r>
        <w:rPr>
          <w:rFonts w:ascii="Times New Roman" w:cs="Times New Roman" w:eastAsia="Times New Roman" w:hAnsi="Times New Roman"/>
          <w:sz w:val="12"/>
          <w:szCs w:val="12"/>
          <w:color w:val="auto"/>
        </w:rPr>
        <w:t xml:space="preserve">On or about February 24, 2014, a former employee filed a class action in the Superior Court of the State of California, County of Orange, under the caption </w:t>
      </w:r>
      <w:r>
        <w:rPr>
          <w:rFonts w:ascii="Times New Roman" w:cs="Times New Roman" w:eastAsia="Times New Roman" w:hAnsi="Times New Roman"/>
          <w:sz w:val="12"/>
          <w:szCs w:val="12"/>
          <w:u w:val="single" w:color="auto"/>
          <w:color w:val="auto"/>
        </w:rPr>
        <w:t>Elliott Olvera, et al v. El Pollo Loco, Inc., et al</w:t>
      </w:r>
      <w:r>
        <w:rPr>
          <w:rFonts w:ascii="Times New Roman" w:cs="Times New Roman" w:eastAsia="Times New Roman" w:hAnsi="Times New Roman"/>
          <w:sz w:val="12"/>
          <w:szCs w:val="12"/>
          <w:color w:val="auto"/>
        </w:rPr>
        <w:t xml:space="preserve"> (Case No. 30-2014-00707367-CU-OE-CXC) on behalf of all putative class members (all hourly employees from 2010 to the present) alleging certain violations of California</w:t>
      </w:r>
    </w:p>
    <w:p>
      <w:pPr>
        <w:spacing w:after="0" w:line="1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488"/>
          </w:cols>
          <w:pgMar w:left="212" w:top="431" w:right="199" w:bottom="1440" w:gutter="0" w:footer="0" w:header="0"/>
        </w:sectPr>
      </w:pPr>
    </w:p>
    <w:bookmarkStart w:id="15" w:name="page16"/>
    <w:bookmarkEnd w:id="15"/>
    <w:p>
      <w:pPr>
        <w:ind w:right="160"/>
        <w:spacing w:after="0" w:line="258" w:lineRule="auto"/>
        <w:rPr>
          <w:sz w:val="20"/>
          <w:szCs w:val="20"/>
          <w:color w:val="auto"/>
        </w:rPr>
      </w:pPr>
      <w:r>
        <w:rPr>
          <w:rFonts w:ascii="Times New Roman" w:cs="Times New Roman" w:eastAsia="Times New Roman" w:hAnsi="Times New Roman"/>
          <w:sz w:val="12"/>
          <w:szCs w:val="12"/>
          <w:color w:val="auto"/>
        </w:rPr>
        <w:t>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recently refused to approve on the grounds that it did not provide sufficient compensation for the putative class members. Further settlement discussions were not successful, and the litigation is moving forward with plaintiff’s class certification motion due to be filed September 1, 2017. Purported class actions alleging wage and hour violations are commonly filed against California employers. We have similar cases pending and fully expect to have to defend against similar lawsuits in the future.</w:t>
      </w:r>
    </w:p>
    <w:p>
      <w:pPr>
        <w:spacing w:after="0" w:line="12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1"/>
          <w:szCs w:val="11"/>
          <w:u w:val="single" w:color="auto"/>
          <w:color w:val="auto"/>
        </w:rPr>
        <w:t>Daniel Turocy, et al. v. El Pollo Loco Holdings, Inc., et al.</w:t>
      </w:r>
      <w:r>
        <w:rPr>
          <w:rFonts w:ascii="Times New Roman" w:cs="Times New Roman" w:eastAsia="Times New Roman" w:hAnsi="Times New Roman"/>
          <w:sz w:val="11"/>
          <w:szCs w:val="11"/>
          <w:color w:val="auto"/>
        </w:rPr>
        <w:t xml:space="preserve"> (Case No. 8:15-cv-01343) was filed in the United States District Court for the Central District of California on August 24, 2015, and </w:t>
      </w:r>
      <w:r>
        <w:rPr>
          <w:rFonts w:ascii="Times New Roman" w:cs="Times New Roman" w:eastAsia="Times New Roman" w:hAnsi="Times New Roman"/>
          <w:sz w:val="11"/>
          <w:szCs w:val="11"/>
          <w:u w:val="single" w:color="auto"/>
          <w:color w:val="auto"/>
        </w:rPr>
        <w:t>Ron Huston, et al. v. El Pollo Loco Holdings,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Inc., et al.</w:t>
      </w:r>
      <w:r>
        <w:rPr>
          <w:rFonts w:ascii="Times New Roman" w:cs="Times New Roman" w:eastAsia="Times New Roman" w:hAnsi="Times New Roman"/>
          <w:sz w:val="11"/>
          <w:szCs w:val="11"/>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1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2"/>
          <w:szCs w:val="12"/>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took the motion under submission, and the parties are waiting on the Court’s decision. Defendants intend to continue to defend against the claims asserted.</w:t>
      </w:r>
    </w:p>
    <w:p>
      <w:pPr>
        <w:spacing w:after="0" w:line="1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1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2"/>
          <w:szCs w:val="12"/>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Times New Roman" w:cs="Times New Roman" w:eastAsia="Times New Roman" w:hAnsi="Times New Roman"/>
          <w:sz w:val="12"/>
          <w:szCs w:val="12"/>
          <w:u w:val="single" w:color="auto"/>
          <w:color w:val="auto"/>
        </w:rPr>
        <w:t>Armen Galustyan v. Sather, et al.</w:t>
      </w:r>
      <w:r>
        <w:rPr>
          <w:rFonts w:ascii="Times New Roman" w:cs="Times New Roman" w:eastAsia="Times New Roman" w:hAnsi="Times New Roman"/>
          <w:sz w:val="12"/>
          <w:szCs w:val="12"/>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Times New Roman" w:cs="Times New Roman" w:eastAsia="Times New Roman" w:hAnsi="Times New Roman"/>
          <w:sz w:val="12"/>
          <w:szCs w:val="12"/>
          <w:u w:val="single" w:color="auto"/>
          <w:color w:val="auto"/>
        </w:rPr>
        <w:t>Turocy v. El Pollo Loco Holdings, Inc</w:t>
      </w:r>
      <w:r>
        <w:rPr>
          <w:rFonts w:ascii="Times New Roman" w:cs="Times New Roman" w:eastAsia="Times New Roman" w:hAnsi="Times New Roman"/>
          <w:sz w:val="12"/>
          <w:szCs w:val="12"/>
          <w:color w:val="auto"/>
        </w:rPr>
        <w:t xml:space="preserve">., discussed above. A second purported Holdings shareholder filed a derivative complaint on or about September 23, 2016, under the caption </w:t>
      </w:r>
      <w:r>
        <w:rPr>
          <w:rFonts w:ascii="Times New Roman" w:cs="Times New Roman" w:eastAsia="Times New Roman" w:hAnsi="Times New Roman"/>
          <w:sz w:val="12"/>
          <w:szCs w:val="12"/>
          <w:u w:val="single" w:color="auto"/>
          <w:color w:val="auto"/>
        </w:rPr>
        <w:t>Diep v. Sather</w:t>
      </w:r>
      <w:r>
        <w:rPr>
          <w:rFonts w:ascii="Times New Roman" w:cs="Times New Roman" w:eastAsia="Times New Roman" w:hAnsi="Times New Roman"/>
          <w:sz w:val="12"/>
          <w:szCs w:val="12"/>
          <w:color w:val="auto"/>
        </w:rPr>
        <w:t xml:space="preserve">, CA 12760-VCL in the Delaware Court of Chancery.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 is also purportedly brought on behalf of Holdings, names the same defendants and asserts substantially the same claims on substantially the same alleged facts as does </w:t>
      </w:r>
      <w:r>
        <w:rPr>
          <w:rFonts w:ascii="Times New Roman" w:cs="Times New Roman" w:eastAsia="Times New Roman" w:hAnsi="Times New Roman"/>
          <w:sz w:val="12"/>
          <w:szCs w:val="12"/>
          <w:u w:val="single" w:color="auto"/>
          <w:color w:val="auto"/>
        </w:rPr>
        <w:t>Galustyan</w:t>
      </w:r>
      <w:r>
        <w:rPr>
          <w:rFonts w:ascii="Times New Roman" w:cs="Times New Roman" w:eastAsia="Times New Roman" w:hAnsi="Times New Roman"/>
          <w:sz w:val="12"/>
          <w:szCs w:val="12"/>
          <w:color w:val="auto"/>
        </w:rPr>
        <w:t xml:space="preserve">. Defendants moved to stay or dismiss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w:t>
      </w:r>
    </w:p>
    <w:p>
      <w:pPr>
        <w:spacing w:after="0" w:line="127"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 xml:space="preserve">On March 17, 2017, the Delaware court granted in part, and denied in part, the motion to stay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 The court denied defendants' motion to dismiss the complaint for failure to state a claim. No trial date for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 has been set.</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440"/>
          </w:cols>
          <w:pgMar w:left="220" w:top="507" w:right="239" w:bottom="1440" w:gutter="0" w:footer="0" w:header="0"/>
        </w:sectPr>
      </w:pPr>
    </w:p>
    <w:bookmarkStart w:id="16" w:name="page17"/>
    <w:bookmarkEnd w:id="16"/>
    <w:p>
      <w:pPr>
        <w:spacing w:after="0" w:line="265" w:lineRule="auto"/>
        <w:rPr>
          <w:sz w:val="20"/>
          <w:szCs w:val="20"/>
          <w:color w:val="auto"/>
        </w:rPr>
      </w:pPr>
      <w:r>
        <w:rPr>
          <w:rFonts w:ascii="Times New Roman" w:cs="Times New Roman" w:eastAsia="Times New Roman" w:hAnsi="Times New Roman"/>
          <w:sz w:val="12"/>
          <w:szCs w:val="12"/>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Purchasing Commitments</w:t>
      </w:r>
    </w:p>
    <w:p>
      <w:pPr>
        <w:spacing w:after="0" w:line="8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2"/>
          <w:szCs w:val="12"/>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2017 with an estimated Company obligation totaling $4.7 million as of June 28, 2017.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June 28, 2017, the Company’s total estimated commitment to purchase chicken was $20.3 million.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Contingent Lease Obligations</w:t>
      </w:r>
    </w:p>
    <w:p>
      <w:pPr>
        <w:spacing w:after="0" w:line="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June 28, 2017, the potential amount of undiscounted payments the Company could be required to make in the event of non-payment by the primary lessee was $3.0 million. The present value of these potential payments discounted at the Company’s estimated pre-tax cost of debt at June 28, 2017 was $2.6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Employment Agreements</w:t>
      </w:r>
    </w:p>
    <w:p>
      <w:pPr>
        <w:spacing w:after="0" w:line="8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12"/>
          <w:szCs w:val="12"/>
          <w:color w:val="auto"/>
        </w:rPr>
        <w:t>The Company has employment agreements with four of the officers of the Company on an at will basis. These agreements provide for minimum salary levels, possible annual adjustments for cost-of-living changes, and incentive bonuses that are payable under certain business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Indemnification Agreements</w:t>
      </w:r>
    </w:p>
    <w:p>
      <w:pPr>
        <w:spacing w:after="0" w:line="8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NET INCOME PER SHARE</w:t>
      </w:r>
    </w:p>
    <w:p>
      <w:pPr>
        <w:spacing w:after="0" w:line="8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Basic net income per share is calculated using the weighted-average number of shares of common stock outstanding during the thirteen weeks ended June 28, 2017 and June 29, 2016. Diluted net income per share is calculated using the weighted-average number of shares of common stock outstanding and potentially dilutive during the period, using the treasury stock method.</w:t>
      </w:r>
    </w:p>
    <w:p>
      <w:pPr>
        <w:spacing w:after="0" w:line="1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420"/>
          </w:cols>
          <w:pgMar w:left="220" w:top="579" w:right="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color w:val="auto"/>
        </w:rPr>
        <w:t>Below are basic and diluted net income per share data for the periods indicated, which are in thousands except for per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4"/>
          </w:tcPr>
          <w:p>
            <w:pPr>
              <w:jc w:val="right"/>
              <w:ind w:right="922"/>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5"/>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60" w:type="dxa"/>
            <w:vAlign w:val="bottom"/>
          </w:tcPr>
          <w:p>
            <w:pPr>
              <w:spacing w:after="0"/>
              <w:rPr>
                <w:sz w:val="14"/>
                <w:szCs w:val="1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40" w:type="dxa"/>
            <w:vAlign w:val="bottom"/>
          </w:tcPr>
          <w:p>
            <w:pPr>
              <w:spacing w:after="0"/>
              <w:rPr>
                <w:sz w:val="14"/>
                <w:szCs w:val="14"/>
                <w:color w:val="auto"/>
              </w:rPr>
            </w:pPr>
          </w:p>
        </w:tc>
        <w:tc>
          <w:tcPr>
            <w:tcW w:w="112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0" w:type="dxa"/>
            <w:vAlign w:val="bottom"/>
          </w:tcPr>
          <w:p>
            <w:pPr>
              <w:spacing w:after="0"/>
              <w:rPr>
                <w:sz w:val="1"/>
                <w:szCs w:val="1"/>
                <w:color w:val="auto"/>
              </w:rPr>
            </w:pPr>
          </w:p>
        </w:tc>
      </w:tr>
      <w:tr>
        <w:trPr>
          <w:trHeight w:val="17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Numerator:</w:t>
            </w:r>
          </w:p>
        </w:tc>
        <w:tc>
          <w:tcPr>
            <w:tcW w:w="2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7,819</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7,267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12,696</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12,710</w:t>
            </w:r>
          </w:p>
        </w:tc>
        <w:tc>
          <w:tcPr>
            <w:tcW w:w="0" w:type="dxa"/>
            <w:vAlign w:val="bottom"/>
          </w:tcPr>
          <w:p>
            <w:pPr>
              <w:spacing w:after="0"/>
              <w:rPr>
                <w:sz w:val="1"/>
                <w:szCs w:val="1"/>
                <w:color w:val="auto"/>
              </w:rPr>
            </w:pPr>
          </w:p>
        </w:tc>
      </w:tr>
      <w:tr>
        <w:trPr>
          <w:trHeight w:val="17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Denominator:</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Weighted-average shares</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outstanding—basic</w:t>
            </w:r>
          </w:p>
        </w:tc>
        <w:tc>
          <w:tcPr>
            <w:tcW w:w="240" w:type="dxa"/>
            <w:vAlign w:val="bottom"/>
          </w:tcPr>
          <w:p>
            <w:pPr>
              <w:spacing w:after="0"/>
              <w:rPr>
                <w:sz w:val="14"/>
                <w:szCs w:val="14"/>
                <w:color w:val="auto"/>
              </w:rPr>
            </w:pP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38,449,240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38,294,575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38,443,130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38,289,505</w:t>
            </w:r>
          </w:p>
        </w:tc>
        <w:tc>
          <w:tcPr>
            <w:tcW w:w="0" w:type="dxa"/>
            <w:vAlign w:val="bottom"/>
          </w:tcPr>
          <w:p>
            <w:pPr>
              <w:spacing w:after="0"/>
              <w:rPr>
                <w:sz w:val="1"/>
                <w:szCs w:val="1"/>
                <w:color w:val="auto"/>
              </w:rPr>
            </w:pPr>
          </w:p>
        </w:tc>
      </w:tr>
      <w:tr>
        <w:trPr>
          <w:trHeight w:val="16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shares</w:t>
            </w: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outstanding—diluted</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39,123,961</w:t>
            </w:r>
          </w:p>
        </w:tc>
        <w:tc>
          <w:tcPr>
            <w:tcW w:w="12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38,962,802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39,102,501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38,981,610</w:t>
            </w:r>
          </w:p>
        </w:tc>
        <w:tc>
          <w:tcPr>
            <w:tcW w:w="0" w:type="dxa"/>
            <w:vAlign w:val="bottom"/>
          </w:tcPr>
          <w:p>
            <w:pPr>
              <w:spacing w:after="0"/>
              <w:rPr>
                <w:sz w:val="1"/>
                <w:szCs w:val="1"/>
                <w:color w:val="auto"/>
              </w:rPr>
            </w:pPr>
          </w:p>
        </w:tc>
      </w:tr>
      <w:tr>
        <w:trPr>
          <w:trHeight w:val="169"/>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per share—basic</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2"/>
                <w:szCs w:val="12"/>
                <w:color w:val="auto"/>
              </w:rPr>
              <w:t>0.33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 per share—diluted</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0.20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0.19</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0.32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0.33</w:t>
            </w:r>
          </w:p>
        </w:tc>
        <w:tc>
          <w:tcPr>
            <w:tcW w:w="0" w:type="dxa"/>
            <w:vAlign w:val="bottom"/>
          </w:tcPr>
          <w:p>
            <w:pPr>
              <w:spacing w:after="0"/>
              <w:rPr>
                <w:sz w:val="1"/>
                <w:szCs w:val="1"/>
                <w:color w:val="auto"/>
              </w:rPr>
            </w:pPr>
          </w:p>
        </w:tc>
      </w:tr>
      <w:tr>
        <w:trPr>
          <w:trHeight w:val="131"/>
        </w:trPr>
        <w:tc>
          <w:tcPr>
            <w:tcW w:w="5620" w:type="dxa"/>
            <w:vAlign w:val="bottom"/>
          </w:tcPr>
          <w:p>
            <w:pPr>
              <w:ind w:left="20"/>
              <w:spacing w:after="0" w:line="132" w:lineRule="exact"/>
              <w:rPr>
                <w:sz w:val="20"/>
                <w:szCs w:val="20"/>
                <w:color w:val="auto"/>
              </w:rPr>
            </w:pPr>
            <w:r>
              <w:rPr>
                <w:rFonts w:ascii="Times New Roman" w:cs="Times New Roman" w:eastAsia="Times New Roman" w:hAnsi="Times New Roman"/>
                <w:sz w:val="12"/>
                <w:szCs w:val="12"/>
                <w:color w:val="auto"/>
              </w:rPr>
              <w:t>Anti-dilutive securities not considered in</w:t>
            </w: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 EPS calculation</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763,761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473,836</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763,761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473,836</w:t>
            </w: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Below is a reconciliation of basic and diluted share counts.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6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jc w:val="right"/>
              <w:ind w:right="922"/>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5"/>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0" w:type="dxa"/>
            <w:vAlign w:val="bottom"/>
          </w:tcPr>
          <w:p>
            <w:pPr>
              <w:spacing w:after="0"/>
              <w:rPr>
                <w:sz w:val="1"/>
                <w:szCs w:val="1"/>
                <w:color w:val="auto"/>
              </w:rPr>
            </w:pPr>
          </w:p>
        </w:tc>
      </w:tr>
      <w:tr>
        <w:trPr>
          <w:trHeight w:val="169"/>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60" w:type="dxa"/>
            <w:vAlign w:val="bottom"/>
          </w:tcPr>
          <w:p>
            <w:pPr>
              <w:spacing w:after="0"/>
              <w:rPr>
                <w:sz w:val="14"/>
                <w:szCs w:val="14"/>
                <w:color w:val="auto"/>
              </w:rPr>
            </w:pPr>
          </w:p>
        </w:tc>
        <w:tc>
          <w:tcPr>
            <w:tcW w:w="124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40" w:type="dxa"/>
            <w:vAlign w:val="bottom"/>
          </w:tcPr>
          <w:p>
            <w:pPr>
              <w:spacing w:after="0"/>
              <w:rPr>
                <w:sz w:val="14"/>
                <w:szCs w:val="14"/>
                <w:color w:val="auto"/>
              </w:rPr>
            </w:pPr>
          </w:p>
        </w:tc>
        <w:tc>
          <w:tcPr>
            <w:tcW w:w="112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0" w:type="dxa"/>
            <w:vAlign w:val="bottom"/>
          </w:tcPr>
          <w:p>
            <w:pPr>
              <w:spacing w:after="0"/>
              <w:rPr>
                <w:sz w:val="1"/>
                <w:szCs w:val="1"/>
                <w:color w:val="auto"/>
              </w:rPr>
            </w:pPr>
          </w:p>
        </w:tc>
      </w:tr>
      <w:tr>
        <w:trPr>
          <w:trHeight w:val="135"/>
        </w:trPr>
        <w:tc>
          <w:tcPr>
            <w:tcW w:w="5620" w:type="dxa"/>
            <w:vAlign w:val="bottom"/>
            <w:tcBorders>
              <w:top w:val="single" w:sz="8" w:color="CCEEFF"/>
            </w:tcBorders>
            <w:shd w:val="clear" w:color="auto" w:fill="CCEEFF"/>
          </w:tcPr>
          <w:p>
            <w:pPr>
              <w:ind w:left="20"/>
              <w:spacing w:after="0" w:line="136" w:lineRule="exact"/>
              <w:rPr>
                <w:sz w:val="20"/>
                <w:szCs w:val="20"/>
                <w:color w:val="auto"/>
              </w:rPr>
            </w:pPr>
            <w:r>
              <w:rPr>
                <w:rFonts w:ascii="Times New Roman" w:cs="Times New Roman" w:eastAsia="Times New Roman" w:hAnsi="Times New Roman"/>
                <w:sz w:val="12"/>
                <w:szCs w:val="12"/>
                <w:color w:val="auto"/>
              </w:rPr>
              <w:t>Weighted-average shares outstanding—</w:t>
            </w:r>
          </w:p>
        </w:tc>
        <w:tc>
          <w:tcPr>
            <w:tcW w:w="2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38,449,240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38,294,575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38,443,130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38,289,505</w:t>
            </w:r>
          </w:p>
        </w:tc>
        <w:tc>
          <w:tcPr>
            <w:tcW w:w="0" w:type="dxa"/>
            <w:vAlign w:val="bottom"/>
          </w:tcPr>
          <w:p>
            <w:pPr>
              <w:spacing w:after="0"/>
              <w:rPr>
                <w:sz w:val="1"/>
                <w:szCs w:val="1"/>
                <w:color w:val="auto"/>
              </w:rPr>
            </w:pPr>
          </w:p>
        </w:tc>
      </w:tr>
      <w:tr>
        <w:trPr>
          <w:trHeight w:val="15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Dilutive effect of stock options and</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5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restricted shares</w:t>
            </w: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674,721</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668,227</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659,371</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692,105</w:t>
            </w:r>
          </w:p>
        </w:tc>
        <w:tc>
          <w:tcPr>
            <w:tcW w:w="0" w:type="dxa"/>
            <w:vAlign w:val="bottom"/>
          </w:tcPr>
          <w:p>
            <w:pPr>
              <w:spacing w:after="0"/>
              <w:rPr>
                <w:sz w:val="1"/>
                <w:szCs w:val="1"/>
                <w:color w:val="auto"/>
              </w:rPr>
            </w:pPr>
          </w:p>
        </w:tc>
      </w:tr>
      <w:tr>
        <w:trPr>
          <w:trHeight w:val="14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shares outstanding—</w:t>
            </w:r>
          </w:p>
        </w:tc>
        <w:tc>
          <w:tcPr>
            <w:tcW w:w="2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39,123,961</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38,962,802</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39,102,501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38,981,610</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RELATED PARTY TRANSACTIONS</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Trimaran Pollo Partners, L.L.C. (“LLC”), owns approximately 43.3%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 (i) any member of the board of directors may be removed at any time without cause by affirmative vote of a majority of the Company’s common stock, and (ii) stockholders representing 40% or greater ownership may cause special stockholder meetings to be called.</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480"/>
          </w:cols>
          <w:pgMar w:left="220" w:top="579" w:right="1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Concerning Forward-Looking Statements</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This discussion and analysis should be read in conjunction with Item 1 above and with the consolidated financial statements contained in our annual report on Form 10-K for the year ended December 28, 2016.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8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El Pollo Loco is a differentiated and growing restaurant concept that specializes in fire-grilling citrus-marinated chicken and operates in the limited service restaurant (“LSR”) segment. We believe that we offer the quality of food and dining experience typical of fast casual restaurants while providing the speed, convenience, and value typical of traditional quick-service restaurants (“QSRs”), a combination that we call “QSR+” and that provides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colorful, bright, and contemporary restaurant environment. We serve individual and family-sized chicken meals, a variety of Mexican-inspired entrees and sides, and, throughout the year, on a limited-time basis, additional proteins like shrimp, carnitas, and beef. Our entrees include favorites such as our Chicken Avocado Burrito, Under 500 Calorie entrees, Ultimate Pollo Bowl and Stuffed Chicken Avocado Quesadilla. Our salsas and dressings are prepared fresh daily, allowing our customers to create their favorite flavor profiles to enhance their culinary experience. Our distinctive menu with healthier alternatives appeals to consumers across a wide variety of socio-economic backgrounds and drives our balanced composition of sales throughout the day (our “day-part mix”), including at lunch and dinner.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Growth Strategies and Outlook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plan to continue to expand our business, drive restaurant sales growth, and enhance our competitive positioning, by executing on the following strategies:</w:t>
      </w:r>
    </w:p>
    <w:p>
      <w:pPr>
        <w:spacing w:after="0" w:line="150" w:lineRule="exact"/>
        <w:rPr>
          <w:sz w:val="20"/>
          <w:szCs w:val="20"/>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 our restaurant base;</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our comparable restaurant sales; and</w:t>
      </w:r>
    </w:p>
    <w:p>
      <w:pPr>
        <w:spacing w:after="0" w:line="78"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enhance operations and leverage our infrastructure.</w:t>
      </w:r>
    </w:p>
    <w:p>
      <w:pPr>
        <w:spacing w:after="0" w:line="15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As of June 28, 2017, we had 472 locations in five states. In fiscal 2016, we opened 18 new company-operated and 13 new franchised restaurants across Arizona, California, Nevada, Utah and Texas. For the quarter ended June 28, 2017, we opened 4 new company-operated restaurants and 1 franchised restaurant, in Texas and Arizona. For the year-to-date period ended June 28, 2017, we opened 9 new company-operated restaurants and 5 franchised restaurants, in California, Texas and Arizona. In 2017, we intend to open 17 to 19 new company-operated and 9 to 11 new franchised restaurants. Over the long-term we plan to grow the number of El Pollo Loco restaurants by 8% to 10% annually. To increase comparable restaurant sales, we plan to increase customer frequency, attract new customers, and improve per-person spend. These growth rates are not guaranteed.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 and Trends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Comparable Restaurant Sales</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System-wide, for the thirteen and twenty-six weeks ended June 28, 2017, comparable restaurant sales increased 2.9% and 1.3% year over year, respectively. For company-operated restaurants, comparable restaurant sales, for the thirteen and twenty-six weeks ended June 28, 2017, increased by 2.4% and 1.1%, respectively. For company-operated restaurants, the quarter’s change in comparable restaurant sales consisted of a 0.5% increase in transactions and a 1.9% increase in average check size, while year to date consisted of a 1.9% increase in average check size, partially offset by a 0.8% decline in transactions. For franchised restaurants, comparable restaurant sales increased 3.2% and 1.5% for the thirteen and twenty-six weeks ended June 28, 2017, respectively.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ectPr>
          <w:pgSz w:w="11900" w:h="16838" w:orient="portrait"/>
          <w:cols w:equalWidth="0" w:num="1">
            <w:col w:w="11460"/>
          </w:cols>
          <w:pgMar w:left="220" w:top="431" w:right="2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i w:val="1"/>
          <w:iCs w:val="1"/>
          <w:color w:val="auto"/>
        </w:rPr>
        <w:t>Restaurant Development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restaurant counts at the beginning and end of each of the last three fiscal years and the twenty-six weeks ended June 28, 2017,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Twenty-Six Weeks Ended</w:t>
            </w:r>
          </w:p>
        </w:tc>
        <w:tc>
          <w:tcPr>
            <w:tcW w:w="120" w:type="dxa"/>
            <w:vAlign w:val="bottom"/>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Fiscal Year Ended</w:t>
            </w:r>
          </w:p>
        </w:tc>
        <w:tc>
          <w:tcPr>
            <w:tcW w:w="1380" w:type="dxa"/>
            <w:vAlign w:val="bottom"/>
            <w:tcBorders>
              <w:bottom w:val="single" w:sz="8" w:color="auto"/>
            </w:tcBorders>
          </w:tcPr>
          <w:p>
            <w:pPr>
              <w:spacing w:after="0"/>
              <w:rPr>
                <w:sz w:val="11"/>
                <w:szCs w:val="11"/>
                <w:color w:val="auto"/>
              </w:rPr>
            </w:pPr>
          </w:p>
        </w:tc>
      </w:tr>
      <w:tr>
        <w:trPr>
          <w:trHeight w:val="169"/>
        </w:trPr>
        <w:tc>
          <w:tcPr>
            <w:tcW w:w="56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June 28, 2017</w:t>
            </w:r>
          </w:p>
        </w:tc>
        <w:tc>
          <w:tcPr>
            <w:tcW w:w="140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2016</w:t>
            </w:r>
          </w:p>
        </w:tc>
        <w:tc>
          <w:tcPr>
            <w:tcW w:w="100" w:type="dxa"/>
            <w:vAlign w:val="bottom"/>
          </w:tcPr>
          <w:p>
            <w:pPr>
              <w:spacing w:after="0"/>
              <w:rPr>
                <w:sz w:val="14"/>
                <w:szCs w:val="14"/>
                <w:color w:val="auto"/>
              </w:rPr>
            </w:pPr>
          </w:p>
        </w:tc>
        <w:tc>
          <w:tcPr>
            <w:tcW w:w="1380" w:type="dxa"/>
            <w:vAlign w:val="bottom"/>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2015</w:t>
            </w:r>
          </w:p>
        </w:tc>
        <w:tc>
          <w:tcPr>
            <w:tcW w:w="100" w:type="dxa"/>
            <w:vAlign w:val="bottom"/>
          </w:tcPr>
          <w:p>
            <w:pPr>
              <w:spacing w:after="0"/>
              <w:rPr>
                <w:sz w:val="14"/>
                <w:szCs w:val="14"/>
                <w:color w:val="auto"/>
              </w:rPr>
            </w:pPr>
          </w:p>
        </w:tc>
        <w:tc>
          <w:tcPr>
            <w:tcW w:w="1380" w:type="dxa"/>
            <w:vAlign w:val="bottom"/>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2014</w:t>
            </w:r>
          </w:p>
        </w:tc>
      </w:tr>
      <w:tr>
        <w:trPr>
          <w:trHeight w:val="17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Company-operated restaurant activity:</w:t>
            </w:r>
          </w:p>
        </w:tc>
        <w:tc>
          <w:tcPr>
            <w:tcW w:w="1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r>
      <w:tr>
        <w:trPr>
          <w:trHeight w:val="171"/>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Beginning of period</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201</w:t>
            </w:r>
          </w:p>
        </w:tc>
        <w:tc>
          <w:tcPr>
            <w:tcW w:w="1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186</w:t>
            </w:r>
          </w:p>
        </w:tc>
        <w:tc>
          <w:tcPr>
            <w:tcW w:w="10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172</w:t>
            </w:r>
          </w:p>
        </w:tc>
        <w:tc>
          <w:tcPr>
            <w:tcW w:w="10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168</w:t>
            </w:r>
          </w:p>
        </w:tc>
      </w:tr>
      <w:tr>
        <w:trPr>
          <w:trHeight w:val="189"/>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Openings</w:t>
            </w: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w:t>
            </w:r>
          </w:p>
        </w:tc>
      </w:tr>
      <w:tr>
        <w:trPr>
          <w:trHeight w:val="171"/>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Restaurant sale to franchisee</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w:t>
            </w:r>
          </w:p>
        </w:tc>
      </w:tr>
      <w:tr>
        <w:trPr>
          <w:trHeight w:val="18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Closures</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r>
      <w:tr>
        <w:trPr>
          <w:trHeight w:val="169"/>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Restaurants at end of period</w:t>
            </w:r>
          </w:p>
        </w:tc>
        <w:tc>
          <w:tcPr>
            <w:tcW w:w="13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208</w:t>
            </w:r>
          </w:p>
        </w:tc>
        <w:tc>
          <w:tcPr>
            <w:tcW w:w="120" w:type="dxa"/>
            <w:vAlign w:val="bottom"/>
          </w:tcPr>
          <w:p>
            <w:pPr>
              <w:spacing w:after="0"/>
              <w:rPr>
                <w:sz w:val="14"/>
                <w:szCs w:val="14"/>
                <w:color w:val="auto"/>
              </w:rPr>
            </w:pPr>
          </w:p>
        </w:tc>
        <w:tc>
          <w:tcPr>
            <w:tcW w:w="14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201</w:t>
            </w:r>
          </w:p>
        </w:tc>
        <w:tc>
          <w:tcPr>
            <w:tcW w:w="100" w:type="dxa"/>
            <w:vAlign w:val="bottom"/>
          </w:tcPr>
          <w:p>
            <w:pPr>
              <w:spacing w:after="0"/>
              <w:rPr>
                <w:sz w:val="14"/>
                <w:szCs w:val="14"/>
                <w:color w:val="auto"/>
              </w:rPr>
            </w:pPr>
          </w:p>
        </w:tc>
        <w:tc>
          <w:tcPr>
            <w:tcW w:w="13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186</w:t>
            </w:r>
          </w:p>
        </w:tc>
        <w:tc>
          <w:tcPr>
            <w:tcW w:w="100" w:type="dxa"/>
            <w:vAlign w:val="bottom"/>
          </w:tcPr>
          <w:p>
            <w:pPr>
              <w:spacing w:after="0"/>
              <w:rPr>
                <w:sz w:val="14"/>
                <w:szCs w:val="14"/>
                <w:color w:val="auto"/>
              </w:rPr>
            </w:pPr>
          </w:p>
        </w:tc>
        <w:tc>
          <w:tcPr>
            <w:tcW w:w="13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172</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Franchised restaurant activity:</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71"/>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Beginning of period</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259</w:t>
            </w:r>
          </w:p>
        </w:tc>
        <w:tc>
          <w:tcPr>
            <w:tcW w:w="1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247</w:t>
            </w:r>
          </w:p>
        </w:tc>
        <w:tc>
          <w:tcPr>
            <w:tcW w:w="10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243</w:t>
            </w:r>
          </w:p>
        </w:tc>
        <w:tc>
          <w:tcPr>
            <w:tcW w:w="10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233</w:t>
            </w:r>
          </w:p>
        </w:tc>
      </w:tr>
      <w:tr>
        <w:trPr>
          <w:trHeight w:val="189"/>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Openings</w:t>
            </w: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w:t>
            </w:r>
          </w:p>
        </w:tc>
      </w:tr>
      <w:tr>
        <w:trPr>
          <w:trHeight w:val="171"/>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Restaurant sale to franchisee</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w:t>
            </w:r>
          </w:p>
        </w:tc>
      </w:tr>
      <w:tr>
        <w:trPr>
          <w:trHeight w:val="18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Closures</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w:t>
            </w:r>
          </w:p>
        </w:tc>
      </w:tr>
      <w:tr>
        <w:trPr>
          <w:trHeight w:val="169"/>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Restaurants at end of period</w:t>
            </w:r>
          </w:p>
        </w:tc>
        <w:tc>
          <w:tcPr>
            <w:tcW w:w="13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264</w:t>
            </w:r>
          </w:p>
        </w:tc>
        <w:tc>
          <w:tcPr>
            <w:tcW w:w="120" w:type="dxa"/>
            <w:vAlign w:val="bottom"/>
          </w:tcPr>
          <w:p>
            <w:pPr>
              <w:spacing w:after="0"/>
              <w:rPr>
                <w:sz w:val="14"/>
                <w:szCs w:val="14"/>
                <w:color w:val="auto"/>
              </w:rPr>
            </w:pPr>
          </w:p>
        </w:tc>
        <w:tc>
          <w:tcPr>
            <w:tcW w:w="140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259</w:t>
            </w:r>
          </w:p>
        </w:tc>
        <w:tc>
          <w:tcPr>
            <w:tcW w:w="100" w:type="dxa"/>
            <w:vAlign w:val="bottom"/>
          </w:tcPr>
          <w:p>
            <w:pPr>
              <w:spacing w:after="0"/>
              <w:rPr>
                <w:sz w:val="14"/>
                <w:szCs w:val="14"/>
                <w:color w:val="auto"/>
              </w:rPr>
            </w:pPr>
          </w:p>
        </w:tc>
        <w:tc>
          <w:tcPr>
            <w:tcW w:w="13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247</w:t>
            </w:r>
          </w:p>
        </w:tc>
        <w:tc>
          <w:tcPr>
            <w:tcW w:w="100" w:type="dxa"/>
            <w:vAlign w:val="bottom"/>
          </w:tcPr>
          <w:p>
            <w:pPr>
              <w:spacing w:after="0"/>
              <w:rPr>
                <w:sz w:val="14"/>
                <w:szCs w:val="14"/>
                <w:color w:val="auto"/>
              </w:rPr>
            </w:pPr>
          </w:p>
        </w:tc>
        <w:tc>
          <w:tcPr>
            <w:tcW w:w="13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243</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System-wide restaurant activity:</w:t>
            </w: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171"/>
        </w:trPr>
        <w:tc>
          <w:tcPr>
            <w:tcW w:w="56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Beginning of period</w:t>
            </w: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460</w:t>
            </w:r>
          </w:p>
        </w:tc>
        <w:tc>
          <w:tcPr>
            <w:tcW w:w="12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433</w:t>
            </w:r>
          </w:p>
        </w:tc>
        <w:tc>
          <w:tcPr>
            <w:tcW w:w="10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415</w:t>
            </w:r>
          </w:p>
        </w:tc>
        <w:tc>
          <w:tcPr>
            <w:tcW w:w="10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401</w:t>
            </w:r>
          </w:p>
        </w:tc>
      </w:tr>
      <w:tr>
        <w:trPr>
          <w:trHeight w:val="189"/>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Openings</w:t>
            </w: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w:t>
            </w:r>
          </w:p>
        </w:tc>
      </w:tr>
      <w:tr>
        <w:trPr>
          <w:trHeight w:val="171"/>
        </w:trPr>
        <w:tc>
          <w:tcPr>
            <w:tcW w:w="5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Closures</w:t>
            </w: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w:t>
            </w:r>
          </w:p>
        </w:tc>
      </w:tr>
      <w:tr>
        <w:trPr>
          <w:trHeight w:val="185"/>
        </w:trPr>
        <w:tc>
          <w:tcPr>
            <w:tcW w:w="5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Restaurants at end of period</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472</w:t>
            </w:r>
          </w:p>
        </w:tc>
        <w:tc>
          <w:tcPr>
            <w:tcW w:w="1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460</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433</w:t>
            </w: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415</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Restaurant Remodeling</w:t>
      </w:r>
    </w:p>
    <w:p>
      <w:pPr>
        <w:spacing w:after="0" w:line="8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2"/>
          <w:szCs w:val="12"/>
          <w:color w:val="auto"/>
        </w:rPr>
        <w:t>We and our franchisees commenced our remodeling program in 2011 and, as of June 28, 2017, together we had remodeled 113 company-operated and 194 franchised restaurants, or 307 system-wide, over 75% of our restaurant system due to be remodeled. In 2016 we launched our newest restaurant design called Vision. The Vision design elevates the brand image with exterior and interior features that embrace the brand’s authentic roots with warm textures, rustic elements and a focus on the signature open kitchen layout established in previous designs. As of June 28, 2017, including new builds and remodesl, we had 29 restaurants open with the Vision design in our system. Remodeling is a use of cash and has implications for our net property and depreciation line items on our condensed consolidated balance sheets and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Loco Rewards</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During the second quarter of 2017, the Company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June 28, 2017 the amount of revenue deferred related to the earned points is not material.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Use of Estimates</w:t>
      </w:r>
    </w:p>
    <w:p>
      <w:pPr>
        <w:spacing w:after="0" w:line="8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480"/>
          </w:cols>
          <w:pgMar w:left="220" w:top="503" w:right="19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2"/>
          <w:szCs w:val="12"/>
          <w:color w:val="auto"/>
        </w:rPr>
        <w:t>Accounting policies are an integral part of our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28, 2016, and Note 2, “Summary of Significant Accounting Policies,” to Item 8, “Financial Statements and Supplementary Data,” in our annual report. For a summary of our significant accounting policies and a discussion of our use of estimates, see also Note 1 to Item 1 above.</w:t>
      </w:r>
    </w:p>
    <w:p>
      <w:pPr>
        <w:spacing w:after="0" w:line="12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2"/>
          <w:szCs w:val="12"/>
          <w:color w:val="auto"/>
        </w:rPr>
        <w:t>There have been no material changes to our critical accounting policies or uses of estimates since our annual report on Form 10-K. However, as discussed in (i) our annual report, in the aforementioned critical accounting policies section, “Long-Lived Assets” subsection, and (ii) “Impairment of Long-Lived Assets,” in Note 1 to Item 1 above, the Company evaluates its assets based on factors including economic conditions and operating performance, and its assumptions are subject to change. As described in Note 1 to Item 1 above, the Company intends to monitor the performance and related future cash flow assumptions of its Texas portfolio, which could result in the significant impairment of the Company's assets. In particular, most of the Company’s (and its franchisees’) restaurants in Texas have opened since the beginning of 2015, and many since the beginning of 2016. Accordingly, given the difficulty in projecting results for newer restaurants in newer markets, the Company intends to continue to monitor the performance of its Texas portfolio. Based on most recent results, if the management plans to improve profitability are not successful, future significant impairment to the Company’s assets may occur as a result of the performance of these restaurants and the related future cash flow assumptions over the remaining lease term. The combined carrying values of the restaurants in Texas is $28.4 million as of June 28, 2017. This number only applies to our current company-operated Texas portfolio. Asset impairments outside of Texas, or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In May 2017, the Financial Accounting Standards Board (“FASB”) issued Accounting Standards Update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ASU 2017-09 is effective for financial statements issued for annual periods beginning after December 15, 2017. The adoption of ASU 2017-09 is not expected to have a significant impact on the Company’s consolidated financial position or results of operations.</w:t>
      </w:r>
    </w:p>
    <w:p>
      <w:pPr>
        <w:spacing w:after="0" w:line="127" w:lineRule="exact"/>
        <w:rPr>
          <w:sz w:val="20"/>
          <w:szCs w:val="20"/>
          <w:color w:val="auto"/>
        </w:rPr>
      </w:pPr>
    </w:p>
    <w:p>
      <w:pPr>
        <w:ind w:right="340"/>
        <w:spacing w:after="0" w:line="327" w:lineRule="auto"/>
        <w:rPr>
          <w:sz w:val="20"/>
          <w:szCs w:val="20"/>
          <w:color w:val="auto"/>
        </w:rPr>
      </w:pPr>
      <w:r>
        <w:rPr>
          <w:rFonts w:ascii="Times New Roman" w:cs="Times New Roman" w:eastAsia="Times New Roman" w:hAnsi="Times New Roman"/>
          <w:sz w:val="11"/>
          <w:szCs w:val="11"/>
          <w:color w:val="auto"/>
        </w:rPr>
        <w:t>In January 2017, the FASB issued ASU 2017-04, simplifying the manner in which an entity is required to test for goodwill impairment by eliminating Step 2 from the goodwill impairment test.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8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In January 2017, the FASB issued ASU 2017-01, clarifying the definition of a business. ASU 2017-01 clarifies the definition of a business with the objective of adding guidance to assist entities with evaluating whether transactions should be accounted for as acquisitions (or disposals) of assets or businesses. ASU 2017-01 is effective for financial statements issued for annual periods beginning after December 15, 2017, including interim periods within those annual periods. The adoption of ASU 2017-01 is not expected to have a significant impact on the Company’s consolidated financial position or results of operations.</w:t>
      </w:r>
    </w:p>
    <w:p>
      <w:pPr>
        <w:spacing w:after="0" w:line="11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In November 2016, the FASB issued ASU 2016-18, "Restricted Cash." ASU 2016-18 addresses the diversity in practice that exists regarding the classification and the presentation of changes in restricted cash on the statements of cash flows under Topic 230, Statements of Cash Flow, and other Topics. The amendments in ASU No. 2016-18 require that amounts generally described as restricted cash and restricted cash equivalents should be included with cash and cash equivalents when reconciling the beginning-of-period and the end-of-period total amounts set forth on the statements of cash flows. ASU 2016-18 is effective for financial statements issued for annual periods beginning after December 15, 2017, including interim periods within those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460"/>
          </w:cols>
          <w:pgMar w:left="220" w:top="579"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color w:val="auto"/>
        </w:rPr>
        <w:t>annual periods. The adoption of ASU 2016-18 is not expected to have a significant impact on the Company’s consolidated financial position or results of operations.</w:t>
      </w:r>
    </w:p>
    <w:p>
      <w:pPr>
        <w:spacing w:after="0" w:line="1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August 2016, the FASB issued ASU 2016-15, "Classification of Certain Cash Receipts and Cash Payments." ASU 2016-15 addresses how certain cash receipts and cash payments are presented and classified in the statements of cash flows under Topic 230, Statements of Cash Flow, and other Topics. ASU 2016-15 is effective for financial statements issued for annual periods beginning after December 15, 2017, including interim periods within those annual periods. The adoption of ASU 2016-15 is not expected to have a significant impact on the Company’s consolidated financial position or results of operations.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2"/>
          <w:szCs w:val="12"/>
          <w:color w:val="auto"/>
        </w:rPr>
        <w:t>In February 2016, the FASB issued ASU 2016-02, “Leases.”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Although early adoption is permitted, we will adopt these provisions in the first quarter of 2019.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has $307.2 million of operating lease obligations as of June 28, 2017 and upon adoption of this standard will record a ROU asset and lease liability for present value of these leases, which will have a material impact on the balance sheet. However, the statement of income recognition of lease expense is not expected to change from the current methodology.</w:t>
      </w:r>
    </w:p>
    <w:p>
      <w:pPr>
        <w:spacing w:after="0" w:line="12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1"/>
          <w:szCs w:val="11"/>
          <w:color w:val="auto"/>
        </w:rPr>
        <w:t>In January 2016, the FASB issued ASU 2016-01, "Financial Instruments – Overall: Recognition and Measurement of Financial Assets and Financial Liabilities."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These changes become effective for fiscal years beginning after December 15, 2017 and interim periods within those fiscal years. The adoption of ASU 2016-01 is not expected to have a significant impact on the Company’s consolidated financial position or results of operations.</w:t>
      </w:r>
    </w:p>
    <w:p>
      <w:pPr>
        <w:spacing w:after="0" w:line="11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In May 2014, the FASB issued ASU No. 2014-09, “Revenue from Contracts with Customers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19"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The revised revenue standard is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addition, the FASB has issued the following Technical Corrections, Practical Expedients and Improvements to Topic 606, Revenue from Contracts with Customers: ASU No. 2016-20, in December 2016, ASU No. 2016-12, in May 2016, and ASU No. 2016-10, in April 2016. All amendments are effective for financial statements issued for annual periods beginning after December 15, 2017, including interim periods within those annual periods, and early application is permitted, but no earlier than fiscal years beginning after December 15, 2016.</w:t>
      </w:r>
    </w:p>
    <w:p>
      <w:pPr>
        <w:spacing w:after="0" w:line="11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2"/>
          <w:szCs w:val="12"/>
          <w:color w:val="auto"/>
        </w:rPr>
        <w:t>Based on the nature of the Company’s business, the adoption of ASU No. 2014-09, or any of the subsequent related ASU’s, are not expected to impact the majority of its revenue streams. The Company is currently in the process of evaluating current accounting policies to identify potential differences for the remaining revenue streams and, while the Company does anticipate some changes to revenue recognition for certain franchisee and development agreements, it does not currently believe the adoption of ASU 2014-09 will have a material impact to its consolidated financial position or results of operations. In addition, the Company is currently determining the transition method and disclosure requirements, and plans on finishing its analysis by the end of fiscal 2017.</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480"/>
          </w:cols>
          <w:pgMar w:left="220" w:top="435" w:right="1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color w:val="auto"/>
        </w:rPr>
        <w:t>JOBS Act</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23"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Financial Definitions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8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12"/>
          <w:szCs w:val="12"/>
          <w:color w:val="auto"/>
        </w:rPr>
        <w:t>Our revenue is derived from two primary sources: company-operated restaurant revenue and franchise revenue, the latter of which is comprised primarily of franchise royalties and, to a lesser extent, franchise fees and sublease rental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Food and Paper Costs</w:t>
      </w:r>
    </w:p>
    <w:p>
      <w:pPr>
        <w:spacing w:after="0" w:line="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Labor and Related Expenses</w:t>
      </w:r>
    </w:p>
    <w:p>
      <w:pPr>
        <w:spacing w:after="0" w:line="82"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2"/>
          <w:szCs w:val="12"/>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Occupancy Costs and Other Operating Expenses</w:t>
      </w:r>
    </w:p>
    <w:p>
      <w:pPr>
        <w:spacing w:after="0" w:line="82"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2"/>
          <w:szCs w:val="12"/>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8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Franchise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Franchise expenses are primarily comprised of rent expenses incurred on properties leased by us and then sublet to franchisees, and expenses incurred in support of franchisee information technology systems.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Depreciation and amortization primarily consist of the depreciation of property and equipment, including leasehold improvements and equipment.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 on Disposal of Assets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480"/>
          </w:cols>
          <w:pgMar w:left="220" w:top="647" w:right="1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color w:val="auto"/>
        </w:rPr>
        <w:t>Loss on disposal of assets includes the loss on disposal of assets related to retirements and replacement or write-off of leasehold improvements or equipment.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Asset Impairment and Closed-Store Reserves</w:t>
      </w:r>
    </w:p>
    <w:p>
      <w:pPr>
        <w:spacing w:after="0" w:line="8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We review long-lived assets such as property, equipment, and intangibles on a unit-by-unit basis for impairment when events or circumstances indicate a carrying value of the assets that may not be recoverable, and record an impairment charge when appropriate. Closure costs include non-cash restaurant charges such as up-front expensing the net present value of unpaid rent remaining on the life of a lease offset by assumed sublease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expense, net, consists primarily of interest on our outstanding debt. Debt issuance costs are amortized at cost over the life of the related 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 for Income Taxes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Provision for income taxes consists of federal and state taxes on our income.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Key Performance Indicators</w:t>
      </w:r>
    </w:p>
    <w:p>
      <w:pPr>
        <w:spacing w:after="0" w:line="8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Company-Operated Restaurant Revenue</w:t>
      </w:r>
    </w:p>
    <w:p>
      <w:pPr>
        <w:spacing w:after="0" w:line="82" w:lineRule="exact"/>
        <w:rPr>
          <w:sz w:val="20"/>
          <w:szCs w:val="20"/>
          <w:color w:val="auto"/>
        </w:rPr>
      </w:pPr>
    </w:p>
    <w:p>
      <w:pPr>
        <w:jc w:val="both"/>
        <w:ind w:right="60"/>
        <w:spacing w:after="0" w:line="280" w:lineRule="auto"/>
        <w:rPr>
          <w:sz w:val="20"/>
          <w:szCs w:val="20"/>
          <w:color w:val="auto"/>
        </w:rPr>
      </w:pPr>
      <w:r>
        <w:rPr>
          <w:rFonts w:ascii="Times New Roman" w:cs="Times New Roman" w:eastAsia="Times New Roman" w:hAnsi="Times New Roman"/>
          <w:sz w:val="12"/>
          <w:szCs w:val="12"/>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Comparable Restaurant Sales</w:t>
      </w:r>
    </w:p>
    <w:p>
      <w:pPr>
        <w:spacing w:after="0" w:line="82"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June 28, 2017 and June 29, 2016, there were 420 and 408 comparable restaurants, 178 and 170 company-operated and 242 and 238 franchised, respectively. Comparable restaurant sales indicate the performance of existing restaurants, since new restaurants are excluded.</w:t>
      </w:r>
    </w:p>
    <w:p>
      <w:pPr>
        <w:spacing w:after="0" w:line="11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Company-Operated Average Unit Volumes</w:t>
      </w:r>
    </w:p>
    <w:p>
      <w:pPr>
        <w:spacing w:after="0" w:line="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We measure company-operated average unit volumes (“AUVs”) on both a weekly and an annual basis. Weekly AUVs consist of comparable restaurant sales over a seven-day period from Thursday to Wednesday. Annual AUVs are calculated using the 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Restaurant Contribution and Restaurant Contribution Margin</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360"/>
          </w:cols>
          <w:pgMar w:left="220" w:top="507" w:right="319" w:bottom="1440" w:gutter="0" w:footer="0" w:header="0"/>
        </w:sectPr>
      </w:pPr>
    </w:p>
    <w:bookmarkStart w:id="24" w:name="page25"/>
    <w:bookmarkEnd w:id="24"/>
    <w:p>
      <w:pPr>
        <w:ind w:right="40"/>
        <w:spacing w:after="0" w:line="256" w:lineRule="auto"/>
        <w:rPr>
          <w:sz w:val="20"/>
          <w:szCs w:val="20"/>
          <w:color w:val="auto"/>
        </w:rPr>
      </w:pPr>
      <w:r>
        <w:rPr>
          <w:rFonts w:ascii="Times New Roman" w:cs="Times New Roman" w:eastAsia="Times New Roman" w:hAnsi="Times New Roman"/>
          <w:sz w:val="12"/>
          <w:szCs w:val="12"/>
          <w:color w:val="auto"/>
        </w:rPr>
        <w:t>Restaurant contribution and restaurant contribution margin are neither required by, nor presented in accordance with, GAAP. Restaurant contribution is defined as company-operated restaurant revenue less company restaurant expenses. Restaurant contribution margin is defined as restaurant contribution as a percentage of net company-operated restaurant revenue. 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as substitutes for analysis of our results as reported under GAAP. Management believes that restaurant contribution and restaurant contribution margin are important tools for investors, because they are widely-used metrics within the restaurant industry to evaluate restaurant-level productivity, efficiency, and performance.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reconciliation of restaurant contribution and restaurant contribution margin to company-operated restaurant revenue is provided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4"/>
          </w:tcPr>
          <w:p>
            <w:pPr>
              <w:jc w:val="right"/>
              <w:ind w:right="902"/>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169"/>
        </w:trPr>
        <w:tc>
          <w:tcPr>
            <w:tcW w:w="5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(Dollar amounts in thousands)</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4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40" w:type="dxa"/>
            <w:vAlign w:val="bottom"/>
          </w:tcPr>
          <w:p>
            <w:pPr>
              <w:spacing w:after="0"/>
              <w:rPr>
                <w:sz w:val="14"/>
                <w:szCs w:val="14"/>
                <w:color w:val="auto"/>
              </w:rPr>
            </w:pPr>
          </w:p>
        </w:tc>
        <w:tc>
          <w:tcPr>
            <w:tcW w:w="1140" w:type="dxa"/>
            <w:vAlign w:val="bottom"/>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June 29, 2016</w:t>
            </w:r>
          </w:p>
        </w:tc>
      </w:tr>
      <w:tr>
        <w:trPr>
          <w:trHeight w:val="17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Company-operated restaurant revenue</w:t>
            </w: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98,885</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90,877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192,334</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179,246</w:t>
            </w:r>
          </w:p>
        </w:tc>
      </w:tr>
      <w:tr>
        <w:trPr>
          <w:trHeight w:val="171"/>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Company restaurant expenses</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77,312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70,889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151,759</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2"/>
                <w:szCs w:val="12"/>
                <w:color w:val="auto"/>
              </w:rPr>
              <w:t>140,998</w:t>
            </w:r>
          </w:p>
        </w:tc>
      </w:tr>
      <w:tr>
        <w:trPr>
          <w:trHeight w:val="17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Restaurant contribution</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21,573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19,988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40,575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38,248</w:t>
            </w:r>
          </w:p>
        </w:tc>
      </w:tr>
      <w:tr>
        <w:trPr>
          <w:trHeight w:val="162"/>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Restaurant contribution margin (%)</w:t>
            </w: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21.3%</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New Restaurant Openings</w:t>
      </w:r>
    </w:p>
    <w:p>
      <w:pPr>
        <w:spacing w:after="0" w:line="82"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1"/>
          <w:szCs w:val="11"/>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EBITDA and Adjusted EBITDA</w:t>
      </w:r>
    </w:p>
    <w:p>
      <w:pPr>
        <w:spacing w:after="0" w:line="8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1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2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480"/>
          </w:cols>
          <w:pgMar w:left="220" w:top="507" w:right="19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2"/>
          <w:szCs w:val="12"/>
          <w:color w:val="auto"/>
        </w:rPr>
        <w:t>resulting from matters we consider not to be indicative of our on-going operations, and (vii) other companies in our industry may calculate these measures differently than we do, limiting their usefulness as comparative measures.</w:t>
      </w:r>
    </w:p>
    <w:p>
      <w:pPr>
        <w:spacing w:after="0" w:line="150" w:lineRule="exact"/>
        <w:rPr>
          <w:sz w:val="20"/>
          <w:szCs w:val="20"/>
          <w:color w:val="auto"/>
        </w:rPr>
      </w:pPr>
    </w:p>
    <w:p>
      <w:pPr>
        <w:ind w:left="8" w:right="440"/>
        <w:spacing w:after="0" w:line="280" w:lineRule="auto"/>
        <w:rPr>
          <w:sz w:val="20"/>
          <w:szCs w:val="20"/>
          <w:color w:val="auto"/>
        </w:rPr>
      </w:pPr>
      <w:r>
        <w:rPr>
          <w:rFonts w:ascii="Times New Roman" w:cs="Times New Roman" w:eastAsia="Times New Roman" w:hAnsi="Times New Roman"/>
          <w:sz w:val="12"/>
          <w:szCs w:val="12"/>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10" w:lineRule="exact"/>
        <w:rPr>
          <w:sz w:val="20"/>
          <w:szCs w:val="20"/>
          <w:color w:val="auto"/>
        </w:rPr>
      </w:pPr>
    </w:p>
    <w:p>
      <w:pPr>
        <w:ind w:left="8" w:right="20"/>
        <w:spacing w:after="0" w:line="278" w:lineRule="auto"/>
        <w:rPr>
          <w:sz w:val="20"/>
          <w:szCs w:val="20"/>
          <w:color w:val="auto"/>
        </w:rPr>
      </w:pPr>
      <w:r>
        <w:rPr>
          <w:rFonts w:ascii="Times New Roman" w:cs="Times New Roman" w:eastAsia="Times New Roman" w:hAnsi="Times New Roman"/>
          <w:sz w:val="11"/>
          <w:szCs w:val="11"/>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w:t>
      </w:r>
    </w:p>
    <w:p>
      <w:pPr>
        <w:spacing w:after="0" w:line="1" w:lineRule="exact"/>
        <w:rPr>
          <w:sz w:val="20"/>
          <w:szCs w:val="20"/>
          <w:color w:val="auto"/>
        </w:rPr>
      </w:pPr>
    </w:p>
    <w:p>
      <w:pPr>
        <w:ind w:left="8" w:right="1980" w:hanging="8"/>
        <w:spacing w:after="0" w:line="511" w:lineRule="auto"/>
        <w:tabs>
          <w:tab w:leader="none" w:pos="21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use EBITDA and Adjusted EBITDA internally for a number of benchmarks including to compare our performance to that of our competitors and for compensation performance benchmarks. The following table sets forth reconciliations of EBITDA and Adjusted EBITDA to our net income:</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56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gridSpan w:val="4"/>
          </w:tcPr>
          <w:p>
            <w:pPr>
              <w:jc w:val="right"/>
              <w:ind w:right="921"/>
              <w:spacing w:after="0"/>
              <w:rPr>
                <w:sz w:val="20"/>
                <w:szCs w:val="20"/>
                <w:color w:val="auto"/>
              </w:rPr>
            </w:pPr>
            <w:r>
              <w:rPr>
                <w:rFonts w:ascii="Times New Roman" w:cs="Times New Roman" w:eastAsia="Times New Roman" w:hAnsi="Times New Roman"/>
                <w:sz w:val="10"/>
                <w:szCs w:val="10"/>
                <w:b w:val="1"/>
                <w:bCs w:val="1"/>
                <w:color w:val="auto"/>
              </w:rPr>
              <w:t>Thirteen Weeks Ended</w:t>
            </w: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jc w:val="right"/>
              <w:ind w:right="841"/>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r>
      <w:tr>
        <w:trPr>
          <w:trHeight w:val="169"/>
        </w:trPr>
        <w:tc>
          <w:tcPr>
            <w:tcW w:w="56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6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240" w:type="dxa"/>
            <w:vAlign w:val="bottom"/>
          </w:tcPr>
          <w:p>
            <w:pPr>
              <w:spacing w:after="0"/>
              <w:rPr>
                <w:sz w:val="14"/>
                <w:szCs w:val="14"/>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June 29, 2016</w:t>
            </w:r>
          </w:p>
        </w:tc>
      </w:tr>
      <w:tr>
        <w:trPr>
          <w:trHeight w:val="17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7,819</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7,267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12,696</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12,710</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adjustments:</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4,244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5,339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7,711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9,100</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expense-net of interest income</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1,568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1,656</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4,632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3,964</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8,949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7,722</w:t>
            </w:r>
          </w:p>
        </w:tc>
      </w:tr>
      <w:tr>
        <w:trPr>
          <w:trHeight w:val="160"/>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17,473</w:t>
            </w:r>
          </w:p>
        </w:tc>
        <w:tc>
          <w:tcPr>
            <w:tcW w:w="12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17,400</w:t>
            </w:r>
          </w:p>
        </w:tc>
        <w:tc>
          <w:tcPr>
            <w:tcW w:w="10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30,924</w:t>
            </w:r>
          </w:p>
        </w:tc>
        <w:tc>
          <w:tcPr>
            <w:tcW w:w="12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31,188</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 expense</w:t>
            </w:r>
            <w:r>
              <w:rPr>
                <w:rFonts w:ascii="Times New Roman" w:cs="Times New Roman" w:eastAsia="Times New Roman" w:hAnsi="Times New Roman"/>
                <w:sz w:val="10"/>
                <w:szCs w:val="10"/>
                <w:color w:val="auto"/>
              </w:rPr>
              <w:t>(a)</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139</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Loss on disposal of assets</w:t>
            </w:r>
            <w:r>
              <w:rPr>
                <w:rFonts w:ascii="Times New Roman" w:cs="Times New Roman" w:eastAsia="Times New Roman" w:hAnsi="Times New Roman"/>
                <w:sz w:val="10"/>
                <w:szCs w:val="10"/>
                <w:color w:val="auto"/>
              </w:rPr>
              <w:t>(b)(c)</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434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659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466</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Expenses related to fire loss</w:t>
            </w:r>
            <w:r>
              <w:rPr>
                <w:rFonts w:ascii="Times New Roman" w:cs="Times New Roman" w:eastAsia="Times New Roman" w:hAnsi="Times New Roman"/>
                <w:sz w:val="10"/>
                <w:szCs w:val="10"/>
                <w:color w:val="auto"/>
              </w:rPr>
              <w:t>(c)</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48</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Gain on recovery of insurance proceeds, property, equipment and expenses</w:t>
            </w:r>
            <w:r>
              <w:rPr>
                <w:rFonts w:ascii="Times New Roman" w:cs="Times New Roman" w:eastAsia="Times New Roman" w:hAnsi="Times New Roman"/>
                <w:sz w:val="10"/>
                <w:szCs w:val="10"/>
                <w:color w:val="auto"/>
              </w:rPr>
              <w:t>(c)</w:t>
            </w:r>
          </w:p>
        </w:tc>
        <w:tc>
          <w:tcPr>
            <w:tcW w:w="240" w:type="dxa"/>
            <w:vAlign w:val="bottom"/>
          </w:tcPr>
          <w:p>
            <w:pPr>
              <w:spacing w:after="0"/>
              <w:rPr>
                <w:sz w:val="14"/>
                <w:szCs w:val="14"/>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(889)</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Recovery of securities class action legal expense(d)</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Asset impairment and closed-store reserves</w:t>
            </w:r>
            <w:r>
              <w:rPr>
                <w:rFonts w:ascii="Times New Roman" w:cs="Times New Roman" w:eastAsia="Times New Roman" w:hAnsi="Times New Roman"/>
                <w:sz w:val="10"/>
                <w:szCs w:val="10"/>
                <w:color w:val="auto"/>
              </w:rPr>
              <w:t>(e)</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384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1,255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134</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on disposition of restaurants</w:t>
            </w:r>
            <w:r>
              <w:rPr>
                <w:rFonts w:ascii="Times New Roman" w:cs="Times New Roman" w:eastAsia="Times New Roman" w:hAnsi="Times New Roman"/>
                <w:sz w:val="10"/>
                <w:szCs w:val="10"/>
                <w:color w:val="auto"/>
              </w:rPr>
              <w:t>(f)</w:t>
            </w:r>
          </w:p>
        </w:tc>
        <w:tc>
          <w:tcPr>
            <w:tcW w:w="2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(33)</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(income) expense(g)</w:t>
            </w:r>
          </w:p>
        </w:tc>
        <w:tc>
          <w:tcPr>
            <w:tcW w:w="240" w:type="dxa"/>
            <w:vAlign w:val="bottom"/>
          </w:tcPr>
          <w:p>
            <w:pPr>
              <w:spacing w:after="0"/>
              <w:rPr>
                <w:sz w:val="14"/>
                <w:szCs w:val="14"/>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(101)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126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229</w:t>
            </w:r>
          </w:p>
        </w:tc>
      </w:tr>
      <w:tr>
        <w:trPr>
          <w:trHeight w:val="18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Securities class action legal expense</w:t>
            </w:r>
            <w:r>
              <w:rPr>
                <w:rFonts w:ascii="Times New Roman" w:cs="Times New Roman" w:eastAsia="Times New Roman" w:hAnsi="Times New Roman"/>
                <w:sz w:val="10"/>
                <w:szCs w:val="10"/>
                <w:color w:val="auto"/>
              </w:rPr>
              <w:t>(h)</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1,057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340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1,808</w:t>
            </w:r>
          </w:p>
        </w:tc>
      </w:tr>
      <w:tr>
        <w:trPr>
          <w:trHeight w:val="171"/>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Pre-opening costs</w:t>
            </w:r>
            <w:r>
              <w:rPr>
                <w:rFonts w:ascii="Times New Roman" w:cs="Times New Roman" w:eastAsia="Times New Roman" w:hAnsi="Times New Roman"/>
                <w:sz w:val="10"/>
                <w:szCs w:val="10"/>
                <w:color w:val="auto"/>
              </w:rPr>
              <w:t>(i)</w:t>
            </w:r>
          </w:p>
        </w:tc>
        <w:tc>
          <w:tcPr>
            <w:tcW w:w="240" w:type="dxa"/>
            <w:vAlign w:val="bottom"/>
          </w:tcPr>
          <w:p>
            <w:pPr>
              <w:spacing w:after="0"/>
              <w:rPr>
                <w:sz w:val="14"/>
                <w:szCs w:val="14"/>
                <w:color w:val="auto"/>
              </w:rPr>
            </w:pPr>
          </w:p>
        </w:tc>
        <w:tc>
          <w:tcPr>
            <w:tcW w:w="114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470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376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1,097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857</w:t>
            </w:r>
          </w:p>
        </w:tc>
      </w:tr>
      <w:tr>
        <w:trPr>
          <w:trHeight w:val="18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Executive transition costs</w:t>
            </w:r>
            <w:r>
              <w:rPr>
                <w:rFonts w:ascii="Times New Roman" w:cs="Times New Roman" w:eastAsia="Times New Roman" w:hAnsi="Times New Roman"/>
                <w:sz w:val="10"/>
                <w:szCs w:val="10"/>
                <w:color w:val="auto"/>
              </w:rPr>
              <w:t>(j)</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179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271</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56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19,657</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17,903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35,643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33,947</w:t>
            </w:r>
          </w:p>
        </w:tc>
      </w:tr>
    </w:tbl>
    <w:p>
      <w:pPr>
        <w:spacing w:after="0" w:line="70" w:lineRule="exact"/>
        <w:rPr>
          <w:sz w:val="20"/>
          <w:szCs w:val="20"/>
          <w:color w:val="auto"/>
        </w:rPr>
      </w:pPr>
    </w:p>
    <w:p>
      <w:pPr>
        <w:ind w:left="428" w:hanging="428"/>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non-cash, stock-based compensation.</w:t>
      </w:r>
    </w:p>
    <w:p>
      <w:pPr>
        <w:spacing w:after="0" w:line="1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on disposal of assets includes the loss on disposal of assets related to retirements and replacement or write-off of leasehold improvements or equipment.</w:t>
      </w:r>
    </w:p>
    <w:p>
      <w:pPr>
        <w:spacing w:after="0" w:line="6" w:lineRule="exact"/>
        <w:rPr>
          <w:rFonts w:ascii="Times New Roman" w:cs="Times New Roman" w:eastAsia="Times New Roman" w:hAnsi="Times New Roman"/>
          <w:sz w:val="12"/>
          <w:szCs w:val="12"/>
          <w:color w:val="auto"/>
        </w:rPr>
      </w:pPr>
    </w:p>
    <w:p>
      <w:pPr>
        <w:ind w:left="428" w:right="60" w:hanging="428"/>
        <w:spacing w:after="0" w:line="250" w:lineRule="auto"/>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November 2015, one of the Company’s restaurants incurred damage resulting from a fire. During the twenty-six weeks ended June 29, 2016, we incurred costs directly related to the fire of less than $0.1 million, and recognized a gain of $0.9 million, related to the reimbursement of property and equipment. The Company received from the insurance company cash of $1.0 million during the twenty-six weeks ended June 29, 2016, net of the insurance deductible. The restaurant was reopened for business on March 14, 2016.</w:t>
      </w:r>
    </w:p>
    <w:p>
      <w:pPr>
        <w:spacing w:after="0" w:line="1" w:lineRule="exact"/>
        <w:rPr>
          <w:rFonts w:ascii="Times New Roman" w:cs="Times New Roman" w:eastAsia="Times New Roman" w:hAnsi="Times New Roman"/>
          <w:sz w:val="12"/>
          <w:szCs w:val="12"/>
          <w:color w:val="auto"/>
        </w:rPr>
      </w:pPr>
    </w:p>
    <w:p>
      <w:pPr>
        <w:ind w:left="428" w:right="300" w:hanging="428"/>
        <w:spacing w:after="0" w:line="261" w:lineRule="auto"/>
        <w:tabs>
          <w:tab w:leader="none" w:pos="4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thirteen and twenty-six weeks ended June 28, 2017, the Company received insurance proceeds of $0.5 million, related to the reimbursement of certain legal expenses paid in prior years for the defense of securities lawsuits. See the Notes to the Condensed Consolidated Financial Statements, Note 7, Commitments and Contingencies, Legal Matters.</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488"/>
          </w:cols>
          <w:pgMar w:left="212" w:top="579" w:right="199" w:bottom="1440" w:gutter="0" w:footer="0" w:header="0"/>
        </w:sectPr>
      </w:pPr>
    </w:p>
    <w:bookmarkStart w:id="26" w:name="page27"/>
    <w:bookmarkEnd w:id="26"/>
    <w:p>
      <w:pPr>
        <w:ind w:left="428" w:right="100" w:hanging="428"/>
        <w:spacing w:after="0" w:line="256" w:lineRule="auto"/>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related to impairment of long-lived assets and closing restaurants. During the thirteen and twenty-six weeks ended June 28, 2017, the Company determined that the carrying value of the assets of one restaurant in Texas may not be recoverable. As a result, the Company recorded a $0.4 million expense related to the impairment of the assets of the restaurant. During the twenty-six weeks ended June 28, 2017, the Company closed one restaurant in Arizona and one restaurant in Texas. The Company continues to monitor the recoverability of the carrying value of the assets of several other restaurants.</w:t>
      </w:r>
    </w:p>
    <w:p>
      <w:pPr>
        <w:spacing w:after="0" w:line="1" w:lineRule="exact"/>
        <w:rPr>
          <w:rFonts w:ascii="Times New Roman" w:cs="Times New Roman" w:eastAsia="Times New Roman" w:hAnsi="Times New Roman"/>
          <w:sz w:val="12"/>
          <w:szCs w:val="12"/>
          <w:color w:val="auto"/>
        </w:rPr>
      </w:pPr>
    </w:p>
    <w:p>
      <w:pPr>
        <w:ind w:left="428" w:hanging="428"/>
        <w:spacing w:after="0" w:line="250" w:lineRule="auto"/>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 of operations. This restaurant is now included in our franchised restaurant totals.</w:t>
      </w:r>
    </w:p>
    <w:p>
      <w:pPr>
        <w:ind w:left="428" w:right="60" w:hanging="428"/>
        <w:spacing w:after="0" w:line="250" w:lineRule="auto"/>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twenty-six weeks ended June 28, 2017 and June 29, 2016, income tax receivable agreement (income) expense consisted of the amortization of interest expense and changes in estimates for actual tax returns filed, related to our total expected TRA payments.</w:t>
      </w:r>
    </w:p>
    <w:p>
      <w:pPr>
        <w:spacing w:after="0" w:line="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costs related to a securities class action lawsuit. See the Notes to the Condensed Consolidated Financial Statements, Note 7, Commitments and Contingencies, Legal Matters.</w:t>
      </w:r>
    </w:p>
    <w:p>
      <w:pPr>
        <w:spacing w:after="0" w:line="6" w:lineRule="exact"/>
        <w:rPr>
          <w:rFonts w:ascii="Times New Roman" w:cs="Times New Roman" w:eastAsia="Times New Roman" w:hAnsi="Times New Roman"/>
          <w:sz w:val="12"/>
          <w:szCs w:val="12"/>
          <w:color w:val="auto"/>
        </w:rPr>
      </w:pPr>
    </w:p>
    <w:p>
      <w:pPr>
        <w:ind w:left="428" w:right="20" w:hanging="428"/>
        <w:spacing w:after="0" w:line="250" w:lineRule="auto"/>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costs associated with the transition of our CEO, such as executive recruiter costs.</w:t>
      </w:r>
    </w:p>
    <w:p>
      <w:pPr>
        <w:spacing w:after="0" w:line="157" w:lineRule="exact"/>
        <w:rPr>
          <w:sz w:val="20"/>
          <w:szCs w:val="20"/>
          <w:color w:val="auto"/>
        </w:rPr>
      </w:pPr>
    </w:p>
    <w:p>
      <w:pPr>
        <w:jc w:val="center"/>
        <w:ind w:right="-107"/>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388"/>
          </w:cols>
          <w:pgMar w:left="212" w:top="435" w:right="299" w:bottom="1440" w:gutter="0" w:footer="0" w:header="0"/>
        </w:sectPr>
      </w:pPr>
    </w:p>
    <w:bookmarkStart w:id="27" w:name="page28"/>
    <w:bookmarkEnd w:id="27"/>
    <w:p>
      <w:pPr>
        <w:ind w:left="8"/>
        <w:spacing w:after="0"/>
        <w:rPr>
          <w:sz w:val="20"/>
          <w:szCs w:val="20"/>
          <w:color w:val="auto"/>
        </w:rPr>
      </w:pPr>
      <w:r>
        <w:rPr>
          <w:rFonts w:ascii="Times New Roman" w:cs="Times New Roman" w:eastAsia="Times New Roman" w:hAnsi="Times New Roman"/>
          <w:sz w:val="12"/>
          <w:szCs w:val="12"/>
          <w:b w:val="1"/>
          <w:bCs w:val="1"/>
          <w:color w:val="auto"/>
        </w:rPr>
        <w:t>Comparison of Results of Operations</w:t>
      </w:r>
    </w:p>
    <w:p>
      <w:pPr>
        <w:spacing w:after="0" w:line="82" w:lineRule="exact"/>
        <w:rPr>
          <w:sz w:val="20"/>
          <w:szCs w:val="20"/>
          <w:color w:val="auto"/>
        </w:rPr>
      </w:pPr>
    </w:p>
    <w:p>
      <w:pPr>
        <w:ind w:left="8" w:right="220"/>
        <w:spacing w:after="0" w:line="280" w:lineRule="auto"/>
        <w:rPr>
          <w:sz w:val="20"/>
          <w:szCs w:val="20"/>
          <w:color w:val="auto"/>
        </w:rPr>
      </w:pPr>
      <w:r>
        <w:rPr>
          <w:rFonts w:ascii="Times New Roman" w:cs="Times New Roman" w:eastAsia="Times New Roman" w:hAnsi="Times New Roman"/>
          <w:sz w:val="12"/>
          <w:szCs w:val="12"/>
          <w:color w:val="auto"/>
        </w:rPr>
        <w:t>Our operating results for the thirteen weeks ended June 28, 2017 and June 29, 2016, in absolute terms, and expressed as percentages of total revenue, with the exception of cost of operations and company restaurant expenses, which are expressed as a percentage of company-operated restaurant revenue, are compared below.</w:t>
      </w:r>
    </w:p>
    <w:p>
      <w:pPr>
        <w:spacing w:after="0" w:line="213"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0"/>
                <w:szCs w:val="10"/>
                <w:b w:val="1"/>
                <w:bCs w:val="1"/>
                <w:color w:val="auto"/>
                <w:w w:val="97"/>
              </w:rPr>
              <w:t>Thirteen Weeks Ended</w:t>
            </w: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gridSpan w:val="3"/>
            <w:vMerge w:val="restart"/>
          </w:tcPr>
          <w:p>
            <w:pPr>
              <w:ind w:left="60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gridSpan w:val="3"/>
          </w:tcPr>
          <w:p>
            <w:pPr>
              <w:jc w:val="center"/>
              <w:ind w:left="221"/>
              <w:spacing w:after="0" w:line="94" w:lineRule="exact"/>
              <w:rPr>
                <w:sz w:val="20"/>
                <w:szCs w:val="20"/>
                <w:color w:val="auto"/>
              </w:rPr>
            </w:pPr>
            <w:r>
              <w:rPr>
                <w:rFonts w:ascii="Times New Roman" w:cs="Times New Roman" w:eastAsia="Times New Roman" w:hAnsi="Times New Roman"/>
                <w:sz w:val="10"/>
                <w:szCs w:val="10"/>
                <w:b w:val="1"/>
                <w:bCs w:val="1"/>
                <w:color w:val="auto"/>
                <w:w w:val="91"/>
              </w:rPr>
              <w:t>Increase /</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left="221"/>
              <w:spacing w:after="0"/>
              <w:rPr>
                <w:sz w:val="20"/>
                <w:szCs w:val="20"/>
                <w:color w:val="auto"/>
              </w:rPr>
            </w:pPr>
            <w:r>
              <w:rPr>
                <w:rFonts w:ascii="Times New Roman" w:cs="Times New Roman" w:eastAsia="Times New Roman" w:hAnsi="Times New Roman"/>
                <w:sz w:val="10"/>
                <w:szCs w:val="10"/>
                <w:b w:val="1"/>
                <w:bCs w:val="1"/>
                <w:color w:val="auto"/>
                <w:w w:val="93"/>
              </w:rPr>
              <w:t>(Decrease)</w:t>
            </w: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Statements of Income Data</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w w:val="95"/>
              </w:rPr>
              <w:t>,000)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 ,000)</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5"/>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w w:val="86"/>
              </w:rPr>
              <w:t>,000)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Company-operated restaurant revenue</w:t>
            </w:r>
          </w:p>
        </w:tc>
        <w:tc>
          <w:tcPr>
            <w:tcW w:w="4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98,885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90,877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93.2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8,008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8.8</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Franchise revenue</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6,688</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6,597</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91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78"/>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105,573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97,474</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8,099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8.3</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Cost of operations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Food and paper costs</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29,146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27,032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2,114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Labor and related expenses</w:t>
            </w:r>
            <w:r>
              <w:rPr>
                <w:rFonts w:ascii="Times New Roman" w:cs="Times New Roman" w:eastAsia="Times New Roman" w:hAnsi="Times New Roman"/>
                <w:sz w:val="10"/>
                <w:szCs w:val="10"/>
                <w:color w:val="auto"/>
              </w:rPr>
              <w:t>(1)</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26,592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26.9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24,361</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2,231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9.2</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Occupancy and other operating expenses</w:t>
            </w:r>
            <w:r>
              <w:rPr>
                <w:rFonts w:ascii="Times New Roman" w:cs="Times New Roman" w:eastAsia="Times New Roman" w:hAnsi="Times New Roman"/>
                <w:sz w:val="10"/>
                <w:szCs w:val="10"/>
                <w:color w:val="auto"/>
              </w:rPr>
              <w:t>(1)</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21,574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19,496</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2,078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10.7</w:t>
            </w:r>
          </w:p>
        </w:tc>
        <w:tc>
          <w:tcPr>
            <w:tcW w:w="0" w:type="dxa"/>
            <w:vAlign w:val="bottom"/>
          </w:tcPr>
          <w:p>
            <w:pPr>
              <w:spacing w:after="0"/>
              <w:rPr>
                <w:sz w:val="1"/>
                <w:szCs w:val="1"/>
                <w:color w:val="auto"/>
              </w:rPr>
            </w:pPr>
          </w:p>
        </w:tc>
      </w:tr>
      <w:tr>
        <w:trPr>
          <w:trHeight w:val="16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Company restaurant expenses</w:t>
            </w:r>
            <w:r>
              <w:rPr>
                <w:rFonts w:ascii="Times New Roman" w:cs="Times New Roman" w:eastAsia="Times New Roman" w:hAnsi="Times New Roman"/>
                <w:sz w:val="10"/>
                <w:szCs w:val="10"/>
                <w:b w:val="1"/>
                <w:bCs w:val="1"/>
                <w:color w:val="auto"/>
              </w:rPr>
              <w:t>(1)</w:t>
            </w:r>
          </w:p>
        </w:tc>
        <w:tc>
          <w:tcPr>
            <w:tcW w:w="460" w:type="dxa"/>
            <w:vAlign w:val="bottom"/>
          </w:tcPr>
          <w:p>
            <w:pPr>
              <w:spacing w:after="0"/>
              <w:rPr>
                <w:sz w:val="13"/>
                <w:szCs w:val="13"/>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77,312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78.2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70,889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78.0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6,423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9.1</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9,576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8,287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15.6</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Franchise expenses</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1,006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1,239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4,632</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3,964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668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16.9</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434</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167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62.5</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on recovery of insurance proceeds, property, equipment and expenses</w:t>
            </w:r>
          </w:p>
        </w:tc>
        <w:tc>
          <w:tcPr>
            <w:tcW w:w="4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(0.6)</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600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Recovery of securities class action legal expense</w:t>
            </w:r>
          </w:p>
        </w:tc>
        <w:tc>
          <w:tcPr>
            <w:tcW w:w="460" w:type="dxa"/>
            <w:vAlign w:val="bottom"/>
          </w:tcPr>
          <w:p>
            <w:pPr>
              <w:spacing w:after="0"/>
              <w:rPr>
                <w:sz w:val="14"/>
                <w:szCs w:val="14"/>
                <w:color w:val="auto"/>
              </w:rPr>
            </w:pPr>
          </w:p>
        </w:tc>
        <w:tc>
          <w:tcPr>
            <w:tcW w:w="5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right"/>
              <w:ind w:right="6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Asset impairment and closed-store reserves</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384</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324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540.0</w:t>
            </w:r>
          </w:p>
        </w:tc>
        <w:tc>
          <w:tcPr>
            <w:tcW w:w="0" w:type="dxa"/>
            <w:vAlign w:val="bottom"/>
          </w:tcPr>
          <w:p>
            <w:pPr>
              <w:spacing w:after="0"/>
              <w:rPr>
                <w:sz w:val="1"/>
                <w:szCs w:val="1"/>
                <w:color w:val="auto"/>
              </w:rPr>
            </w:pPr>
          </w:p>
        </w:tc>
      </w:tr>
      <w:tr>
        <w:trPr>
          <w:trHeight w:val="160"/>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4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92,833</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87.9</w:t>
            </w:r>
          </w:p>
        </w:tc>
        <w:tc>
          <w:tcPr>
            <w:tcW w:w="1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84,106</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86.3</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8,727</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10.4</w:t>
            </w:r>
          </w:p>
        </w:tc>
        <w:tc>
          <w:tcPr>
            <w:tcW w:w="0" w:type="dxa"/>
            <w:vAlign w:val="bottom"/>
          </w:tcPr>
          <w:p>
            <w:pPr>
              <w:spacing w:after="0"/>
              <w:rPr>
                <w:sz w:val="1"/>
                <w:szCs w:val="1"/>
                <w:color w:val="auto"/>
              </w:rPr>
            </w:pPr>
          </w:p>
        </w:tc>
      </w:tr>
      <w:tr>
        <w:trPr>
          <w:trHeight w:val="178"/>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Gain on disposition of restaurants</w:t>
            </w:r>
          </w:p>
        </w:tc>
        <w:tc>
          <w:tcPr>
            <w:tcW w:w="46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6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4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12,740</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12.1</w:t>
            </w: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13,401</w:t>
            </w: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13.7</w:t>
            </w: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(661)</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(4.9)</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expense-net of interest income</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778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830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w:t>
            </w:r>
          </w:p>
        </w:tc>
        <w:tc>
          <w:tcPr>
            <w:tcW w:w="0" w:type="dxa"/>
            <w:vAlign w:val="bottom"/>
          </w:tcPr>
          <w:p>
            <w:pPr>
              <w:spacing w:after="0"/>
              <w:rPr>
                <w:sz w:val="1"/>
                <w:szCs w:val="1"/>
                <w:color w:val="auto"/>
              </w:rPr>
            </w:pPr>
          </w:p>
        </w:tc>
      </w:tr>
      <w:tr>
        <w:trPr>
          <w:trHeight w:val="15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(income)</w:t>
            </w: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expense</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(101)</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188.6</w:t>
            </w:r>
          </w:p>
        </w:tc>
        <w:tc>
          <w:tcPr>
            <w:tcW w:w="0" w:type="dxa"/>
            <w:vAlign w:val="bottom"/>
          </w:tcPr>
          <w:p>
            <w:pPr>
              <w:spacing w:after="0"/>
              <w:rPr>
                <w:sz w:val="1"/>
                <w:szCs w:val="1"/>
                <w:color w:val="auto"/>
              </w:rPr>
            </w:pPr>
          </w:p>
        </w:tc>
      </w:tr>
      <w:tr>
        <w:trPr>
          <w:trHeight w:val="178"/>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Income before provision for income taxes</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12,063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11.4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12,606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12.9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(543)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(4.3)</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4,244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4.0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5,339</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(1,095)</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85"/>
        </w:trPr>
        <w:tc>
          <w:tcPr>
            <w:tcW w:w="47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46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7,819</w:t>
            </w: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7.4</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7,267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552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7.6</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left="5688" w:right="1100" w:hanging="5688"/>
        <w:spacing w:after="0" w:line="562" w:lineRule="auto"/>
        <w:tabs>
          <w:tab w:leader="none" w:pos="43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Percentages for line items relating to cost of operations and company restaurant expenses are calculated with company-operated restaurant revenue as the denominator. All other percentages use total revenue. 28</w:t>
      </w:r>
    </w:p>
    <w:p>
      <w:pPr>
        <w:sectPr>
          <w:pgSz w:w="11900" w:h="16838" w:orient="portrait"/>
          <w:cols w:equalWidth="0" w:num="1">
            <w:col w:w="11488"/>
          </w:cols>
          <w:pgMar w:left="212" w:top="647" w:right="199" w:bottom="1440" w:gutter="0" w:footer="0" w:header="0"/>
        </w:sectPr>
      </w:pPr>
    </w:p>
    <w:bookmarkStart w:id="28" w:name="page29"/>
    <w:bookmarkEnd w:id="28"/>
    <w:p>
      <w:pPr>
        <w:ind w:left="8" w:right="80"/>
        <w:spacing w:after="0" w:line="280" w:lineRule="auto"/>
        <w:rPr>
          <w:sz w:val="20"/>
          <w:szCs w:val="20"/>
          <w:color w:val="auto"/>
        </w:rPr>
      </w:pPr>
      <w:r>
        <w:rPr>
          <w:rFonts w:ascii="Times New Roman" w:cs="Times New Roman" w:eastAsia="Times New Roman" w:hAnsi="Times New Roman"/>
          <w:sz w:val="12"/>
          <w:szCs w:val="12"/>
          <w:color w:val="auto"/>
        </w:rPr>
        <w:t>Our operating results for the twenty-six weeks ended June 28, 2017 and June 29, 2016, in absolute terms, and expressed as percentages of total revenue, with the exception of cost of operations and company restaurant expenses, which are expressed as a percentage of company-operated restaurant revenue, are compared below.</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w w:val="92"/>
              </w:rPr>
              <w:t>Twenty-Six Weeks Ended</w:t>
            </w: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gridSpan w:val="3"/>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60" w:type="dxa"/>
            <w:vAlign w:val="bottom"/>
            <w:gridSpan w:val="3"/>
            <w:vMerge w:val="restart"/>
          </w:tcPr>
          <w:p>
            <w:pPr>
              <w:ind w:left="600"/>
              <w:spacing w:after="0"/>
              <w:rPr>
                <w:sz w:val="20"/>
                <w:szCs w:val="20"/>
                <w:color w:val="auto"/>
              </w:rPr>
            </w:pPr>
            <w:r>
              <w:rPr>
                <w:rFonts w:ascii="Times New Roman" w:cs="Times New Roman" w:eastAsia="Times New Roman" w:hAnsi="Times New Roman"/>
                <w:sz w:val="10"/>
                <w:szCs w:val="10"/>
                <w:b w:val="1"/>
                <w:bCs w:val="1"/>
                <w:color w:val="auto"/>
              </w:rPr>
              <w:t>June 29, 2016</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gridSpan w:val="3"/>
          </w:tcPr>
          <w:p>
            <w:pPr>
              <w:jc w:val="center"/>
              <w:ind w:left="221"/>
              <w:spacing w:after="0" w:line="94" w:lineRule="exact"/>
              <w:rPr>
                <w:sz w:val="20"/>
                <w:szCs w:val="20"/>
                <w:color w:val="auto"/>
              </w:rPr>
            </w:pPr>
            <w:r>
              <w:rPr>
                <w:rFonts w:ascii="Times New Roman" w:cs="Times New Roman" w:eastAsia="Times New Roman" w:hAnsi="Times New Roman"/>
                <w:sz w:val="10"/>
                <w:szCs w:val="10"/>
                <w:b w:val="1"/>
                <w:bCs w:val="1"/>
                <w:color w:val="auto"/>
                <w:w w:val="91"/>
              </w:rPr>
              <w:t>Increase /</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vMerge w:val="continue"/>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3"/>
          </w:tcPr>
          <w:p>
            <w:pPr>
              <w:jc w:val="center"/>
              <w:ind w:left="221"/>
              <w:spacing w:after="0"/>
              <w:rPr>
                <w:sz w:val="20"/>
                <w:szCs w:val="20"/>
                <w:color w:val="auto"/>
              </w:rPr>
            </w:pPr>
            <w:r>
              <w:rPr>
                <w:rFonts w:ascii="Times New Roman" w:cs="Times New Roman" w:eastAsia="Times New Roman" w:hAnsi="Times New Roman"/>
                <w:sz w:val="10"/>
                <w:szCs w:val="10"/>
                <w:b w:val="1"/>
                <w:bCs w:val="1"/>
                <w:color w:val="auto"/>
                <w:w w:val="93"/>
              </w:rPr>
              <w:t>(Decrease)</w:t>
            </w: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Statement of Operations Data</w:t>
            </w: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8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w w:val="95"/>
              </w:rPr>
              <w:t>,000)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 ,000)</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83"/>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w w:val="86"/>
              </w:rPr>
              <w:t>,000)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2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Company-operated restaurant revenue</w:t>
            </w:r>
          </w:p>
        </w:tc>
        <w:tc>
          <w:tcPr>
            <w:tcW w:w="4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192,334</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93.7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179,246</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93.4</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4"/>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13,088</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Franchise revenue</w:t>
            </w: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13,010</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12,582</w:t>
            </w:r>
          </w:p>
        </w:tc>
        <w:tc>
          <w:tcPr>
            <w:tcW w:w="1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428</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3.4</w:t>
            </w:r>
          </w:p>
        </w:tc>
        <w:tc>
          <w:tcPr>
            <w:tcW w:w="0" w:type="dxa"/>
            <w:vAlign w:val="bottom"/>
          </w:tcPr>
          <w:p>
            <w:pPr>
              <w:spacing w:after="0"/>
              <w:rPr>
                <w:sz w:val="1"/>
                <w:szCs w:val="1"/>
                <w:color w:val="auto"/>
              </w:rPr>
            </w:pPr>
          </w:p>
        </w:tc>
      </w:tr>
      <w:tr>
        <w:trPr>
          <w:trHeight w:val="178"/>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205,344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191,828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13,516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7.0</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Cost of operations</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Food and paper costs</w:t>
            </w:r>
            <w:r>
              <w:rPr>
                <w:rFonts w:ascii="Times New Roman" w:cs="Times New Roman" w:eastAsia="Times New Roman" w:hAnsi="Times New Roman"/>
                <w:sz w:val="10"/>
                <w:szCs w:val="10"/>
                <w:color w:val="auto"/>
              </w:rPr>
              <w:t>(1)</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56,218</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53,800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2,418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Labor and related expenses</w:t>
            </w:r>
            <w:r>
              <w:rPr>
                <w:rFonts w:ascii="Times New Roman" w:cs="Times New Roman" w:eastAsia="Times New Roman" w:hAnsi="Times New Roman"/>
                <w:sz w:val="10"/>
                <w:szCs w:val="10"/>
                <w:color w:val="auto"/>
              </w:rPr>
              <w:t>(1)</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53,425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48,868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4,557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9.3</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Occupancy and other operating expenses</w:t>
            </w:r>
            <w:r>
              <w:rPr>
                <w:rFonts w:ascii="Times New Roman" w:cs="Times New Roman" w:eastAsia="Times New Roman" w:hAnsi="Times New Roman"/>
                <w:sz w:val="10"/>
                <w:szCs w:val="10"/>
                <w:color w:val="auto"/>
              </w:rPr>
              <w:t>(1)</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42,116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21.9</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38,330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3,786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6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Company restaurant expenses</w:t>
            </w:r>
            <w:r>
              <w:rPr>
                <w:rFonts w:ascii="Times New Roman" w:cs="Times New Roman" w:eastAsia="Times New Roman" w:hAnsi="Times New Roman"/>
                <w:sz w:val="10"/>
                <w:szCs w:val="10"/>
                <w:b w:val="1"/>
                <w:bCs w:val="1"/>
                <w:color w:val="auto"/>
              </w:rPr>
              <w:t>(1)</w:t>
            </w:r>
          </w:p>
        </w:tc>
        <w:tc>
          <w:tcPr>
            <w:tcW w:w="460" w:type="dxa"/>
            <w:vAlign w:val="bottom"/>
          </w:tcPr>
          <w:p>
            <w:pPr>
              <w:spacing w:after="0"/>
              <w:rPr>
                <w:sz w:val="13"/>
                <w:szCs w:val="13"/>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151,759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78.9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140,998</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78.7</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10,761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7.6</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19,309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17,524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1,785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Franchise expenses</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1,823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2,163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(15.7)</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8,949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7,722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1,227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Loss on disposal of assets</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659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466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41.4</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Expenses related to fire loss</w:t>
            </w:r>
          </w:p>
        </w:tc>
        <w:tc>
          <w:tcPr>
            <w:tcW w:w="46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Gain on recovery of insurance proceeds, property, equipment and expenses</w:t>
            </w:r>
          </w:p>
        </w:tc>
        <w:tc>
          <w:tcPr>
            <w:tcW w:w="460" w:type="dxa"/>
            <w:vAlign w:val="bottom"/>
          </w:tcPr>
          <w:p>
            <w:pPr>
              <w:spacing w:after="0"/>
              <w:rPr>
                <w:sz w:val="14"/>
                <w:szCs w:val="14"/>
                <w:color w:val="auto"/>
              </w:rPr>
            </w:pPr>
          </w:p>
        </w:tc>
        <w:tc>
          <w:tcPr>
            <w:tcW w:w="104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(889)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(0.5)</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8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Recovery of securities class action legal expense</w:t>
            </w:r>
          </w:p>
        </w:tc>
        <w:tc>
          <w:tcPr>
            <w:tcW w:w="46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N/A</w:t>
            </w:r>
          </w:p>
        </w:tc>
        <w:tc>
          <w:tcPr>
            <w:tcW w:w="0" w:type="dxa"/>
            <w:vAlign w:val="bottom"/>
          </w:tcPr>
          <w:p>
            <w:pPr>
              <w:spacing w:after="0"/>
              <w:rPr>
                <w:sz w:val="1"/>
                <w:szCs w:val="1"/>
                <w:color w:val="auto"/>
              </w:rPr>
            </w:pPr>
          </w:p>
        </w:tc>
      </w:tr>
      <w:tr>
        <w:trPr>
          <w:trHeight w:val="169"/>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Asset impairment and closed-store reserves</w:t>
            </w:r>
          </w:p>
        </w:tc>
        <w:tc>
          <w:tcPr>
            <w:tcW w:w="46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1,255</w:t>
            </w:r>
          </w:p>
        </w:tc>
        <w:tc>
          <w:tcPr>
            <w:tcW w:w="12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134</w:t>
            </w:r>
          </w:p>
        </w:tc>
        <w:tc>
          <w:tcPr>
            <w:tcW w:w="10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tcBorders>
              <w:bottom w:val="single" w:sz="8" w:color="CCEEFF"/>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2"/>
                <w:szCs w:val="12"/>
                <w:color w:val="auto"/>
              </w:rPr>
              <w:t>1,121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836.6</w:t>
            </w:r>
          </w:p>
        </w:tc>
        <w:tc>
          <w:tcPr>
            <w:tcW w:w="0" w:type="dxa"/>
            <w:vAlign w:val="bottom"/>
          </w:tcPr>
          <w:p>
            <w:pPr>
              <w:spacing w:after="0"/>
              <w:rPr>
                <w:sz w:val="1"/>
                <w:szCs w:val="1"/>
                <w:color w:val="auto"/>
              </w:rPr>
            </w:pPr>
          </w:p>
        </w:tc>
      </w:tr>
      <w:tr>
        <w:trPr>
          <w:trHeight w:val="16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Total expenses</w:t>
            </w:r>
          </w:p>
        </w:tc>
        <w:tc>
          <w:tcPr>
            <w:tcW w:w="4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183,243</w:t>
            </w:r>
          </w:p>
        </w:tc>
        <w:tc>
          <w:tcPr>
            <w:tcW w:w="12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89.2</w:t>
            </w: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168,166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87.7</w:t>
            </w:r>
          </w:p>
        </w:tc>
        <w:tc>
          <w:tcPr>
            <w:tcW w:w="1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15,077</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9.0</w:t>
            </w:r>
          </w:p>
        </w:tc>
        <w:tc>
          <w:tcPr>
            <w:tcW w:w="0" w:type="dxa"/>
            <w:vAlign w:val="bottom"/>
          </w:tcPr>
          <w:p>
            <w:pPr>
              <w:spacing w:after="0"/>
              <w:rPr>
                <w:sz w:val="1"/>
                <w:szCs w:val="1"/>
                <w:color w:val="auto"/>
              </w:rPr>
            </w:pPr>
          </w:p>
        </w:tc>
      </w:tr>
      <w:tr>
        <w:trPr>
          <w:trHeight w:val="16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Gain on disposition of restaurants</w:t>
            </w:r>
          </w:p>
        </w:tc>
        <w:tc>
          <w:tcPr>
            <w:tcW w:w="460" w:type="dxa"/>
            <w:vAlign w:val="bottom"/>
          </w:tcPr>
          <w:p>
            <w:pPr>
              <w:spacing w:after="0"/>
              <w:rPr>
                <w:sz w:val="14"/>
                <w:szCs w:val="14"/>
                <w:color w:val="auto"/>
              </w:rPr>
            </w:pPr>
          </w:p>
        </w:tc>
        <w:tc>
          <w:tcPr>
            <w:tcW w:w="1040" w:type="dxa"/>
            <w:vAlign w:val="bottom"/>
            <w:gridSpan w:val="3"/>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78"/>
        </w:trPr>
        <w:tc>
          <w:tcPr>
            <w:tcW w:w="470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Income from operations</w:t>
            </w:r>
          </w:p>
        </w:tc>
        <w:tc>
          <w:tcPr>
            <w:tcW w:w="4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22,101</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10.8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23,695</w:t>
            </w: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12.4</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(1,594)</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(6.7)</w:t>
            </w:r>
          </w:p>
        </w:tc>
        <w:tc>
          <w:tcPr>
            <w:tcW w:w="0" w:type="dxa"/>
            <w:vAlign w:val="bottom"/>
          </w:tcPr>
          <w:p>
            <w:pPr>
              <w:spacing w:after="0"/>
              <w:rPr>
                <w:sz w:val="1"/>
                <w:szCs w:val="1"/>
                <w:color w:val="auto"/>
              </w:rPr>
            </w:pPr>
          </w:p>
        </w:tc>
      </w:tr>
      <w:tr>
        <w:trPr>
          <w:trHeight w:val="171"/>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Interest expense-net of interest income</w:t>
            </w:r>
          </w:p>
        </w:tc>
        <w:tc>
          <w:tcPr>
            <w:tcW w:w="460" w:type="dxa"/>
            <w:vAlign w:val="bottom"/>
          </w:tcPr>
          <w:p>
            <w:pPr>
              <w:spacing w:after="0"/>
              <w:rPr>
                <w:sz w:val="14"/>
                <w:szCs w:val="14"/>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1,568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0.8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1,656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(5.3)</w:t>
            </w:r>
          </w:p>
        </w:tc>
        <w:tc>
          <w:tcPr>
            <w:tcW w:w="0" w:type="dxa"/>
            <w:vAlign w:val="bottom"/>
          </w:tcPr>
          <w:p>
            <w:pPr>
              <w:spacing w:after="0"/>
              <w:rPr>
                <w:sz w:val="1"/>
                <w:szCs w:val="1"/>
                <w:color w:val="auto"/>
              </w:rPr>
            </w:pPr>
          </w:p>
        </w:tc>
      </w:tr>
      <w:tr>
        <w:trPr>
          <w:trHeight w:val="18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receivable agreement (income) expense</w:t>
            </w:r>
          </w:p>
        </w:tc>
        <w:tc>
          <w:tcPr>
            <w:tcW w:w="4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126</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229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(45.0)</w:t>
            </w:r>
          </w:p>
        </w:tc>
        <w:tc>
          <w:tcPr>
            <w:tcW w:w="0" w:type="dxa"/>
            <w:vAlign w:val="bottom"/>
          </w:tcPr>
          <w:p>
            <w:pPr>
              <w:spacing w:after="0"/>
              <w:rPr>
                <w:sz w:val="1"/>
                <w:szCs w:val="1"/>
                <w:color w:val="auto"/>
              </w:rPr>
            </w:pPr>
          </w:p>
        </w:tc>
      </w:tr>
      <w:tr>
        <w:trPr>
          <w:trHeight w:val="16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Income before provision for income taxes</w:t>
            </w:r>
          </w:p>
        </w:tc>
        <w:tc>
          <w:tcPr>
            <w:tcW w:w="460" w:type="dxa"/>
            <w:vAlign w:val="bottom"/>
          </w:tcPr>
          <w:p>
            <w:pPr>
              <w:spacing w:after="0"/>
              <w:rPr>
                <w:sz w:val="13"/>
                <w:szCs w:val="13"/>
                <w:color w:val="auto"/>
              </w:rPr>
            </w:pP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20,407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9.9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21,810</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11.4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(1,403)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(6.4)</w:t>
            </w:r>
          </w:p>
        </w:tc>
        <w:tc>
          <w:tcPr>
            <w:tcW w:w="0" w:type="dxa"/>
            <w:vAlign w:val="bottom"/>
          </w:tcPr>
          <w:p>
            <w:pPr>
              <w:spacing w:after="0"/>
              <w:rPr>
                <w:sz w:val="1"/>
                <w:szCs w:val="1"/>
                <w:color w:val="auto"/>
              </w:rPr>
            </w:pPr>
          </w:p>
        </w:tc>
      </w:tr>
      <w:tr>
        <w:trPr>
          <w:trHeight w:val="18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4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7,711</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9,100</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(1,389)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(15.3)</w:t>
            </w:r>
          </w:p>
        </w:tc>
        <w:tc>
          <w:tcPr>
            <w:tcW w:w="0" w:type="dxa"/>
            <w:vAlign w:val="bottom"/>
          </w:tcPr>
          <w:p>
            <w:pPr>
              <w:spacing w:after="0"/>
              <w:rPr>
                <w:sz w:val="1"/>
                <w:szCs w:val="1"/>
                <w:color w:val="auto"/>
              </w:rPr>
            </w:pPr>
          </w:p>
        </w:tc>
      </w:tr>
      <w:tr>
        <w:trPr>
          <w:trHeight w:val="169"/>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460" w:type="dxa"/>
            <w:vAlign w:val="bottom"/>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8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auto"/>
              </w:rPr>
              <w:t>12,696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6.2</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12,710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6.6</w:t>
            </w:r>
          </w:p>
        </w:tc>
        <w:tc>
          <w:tcPr>
            <w:tcW w:w="100" w:type="dxa"/>
            <w:vAlign w:val="bottom"/>
          </w:tcPr>
          <w:p>
            <w:pPr>
              <w:spacing w:after="0"/>
              <w:rPr>
                <w:sz w:val="14"/>
                <w:szCs w:val="14"/>
                <w:color w:val="auto"/>
              </w:rPr>
            </w:pPr>
          </w:p>
        </w:tc>
        <w:tc>
          <w:tcPr>
            <w:tcW w:w="460" w:type="dxa"/>
            <w:vAlign w:val="bottom"/>
          </w:tcPr>
          <w:p>
            <w:pPr>
              <w:jc w:val="right"/>
              <w:ind w:right="324"/>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56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5715</wp:posOffset>
            </wp:positionV>
            <wp:extent cx="430085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00855" cy="5715"/>
                    </a:xfrm>
                    <a:prstGeom prst="rect">
                      <a:avLst/>
                    </a:prstGeom>
                    <a:noFill/>
                  </pic:spPr>
                </pic:pic>
              </a:graphicData>
            </a:graphic>
          </wp:anchor>
        </w:drawing>
      </w:r>
    </w:p>
    <w:p>
      <w:pPr>
        <w:spacing w:after="0" w:line="5" w:lineRule="exact"/>
        <w:rPr>
          <w:sz w:val="20"/>
          <w:szCs w:val="20"/>
          <w:color w:val="auto"/>
        </w:rPr>
      </w:pPr>
    </w:p>
    <w:p>
      <w:pPr>
        <w:ind w:left="428" w:hanging="428"/>
        <w:spacing w:after="0"/>
        <w:tabs>
          <w:tab w:leader="none" w:pos="42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Percentages for line items relating to cost of operations and company restaurant expenses are calculated with company-operated restaurant revenue as the denominator. All other percentages use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2991485</wp:posOffset>
            </wp:positionH>
            <wp:positionV relativeFrom="paragraph">
              <wp:posOffset>-85725</wp:posOffset>
            </wp:positionV>
            <wp:extent cx="43008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00855" cy="5715"/>
                    </a:xfrm>
                    <a:prstGeom prst="rect">
                      <a:avLst/>
                    </a:prstGeom>
                    <a:noFill/>
                  </pic:spPr>
                </pic:pic>
              </a:graphicData>
            </a:graphic>
          </wp:anchor>
        </w:drawing>
      </w:r>
    </w:p>
    <w:p>
      <w:pPr>
        <w:spacing w:after="0" w:line="2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Company-Operated Restaurant Revenue</w:t>
      </w:r>
    </w:p>
    <w:p>
      <w:pPr>
        <w:spacing w:after="0" w:line="82" w:lineRule="exact"/>
        <w:rPr>
          <w:sz w:val="20"/>
          <w:szCs w:val="20"/>
          <w:color w:val="auto"/>
        </w:rPr>
      </w:pPr>
    </w:p>
    <w:p>
      <w:pPr>
        <w:ind w:left="8" w:right="120"/>
        <w:spacing w:after="0" w:line="260" w:lineRule="auto"/>
        <w:rPr>
          <w:sz w:val="20"/>
          <w:szCs w:val="20"/>
          <w:color w:val="auto"/>
        </w:rPr>
      </w:pPr>
      <w:r>
        <w:rPr>
          <w:rFonts w:ascii="Times New Roman" w:cs="Times New Roman" w:eastAsia="Times New Roman" w:hAnsi="Times New Roman"/>
          <w:sz w:val="12"/>
          <w:szCs w:val="12"/>
          <w:color w:val="auto"/>
        </w:rPr>
        <w:t>For the quarter, company-operated restaurant revenue increased $8.0 million, or 8.8%, from the comparable period in the prior year. The growth in company-operated restaurant sales was due to $6.5 million of non-comparable restaurant sales on restaurants that had not been open the fifteen months required to be included in comparable restaurant sales and a $2.1 million increase resulting from a 2.4% increase in company-operated comparable sales. This was partially offset by the closure of one restaurant in 2016 and two restaurants in the first quarter of 2017. The company-operated comparable restaurant sales increase consisted of an increase in transactions of 0.5%, and an increase in average check size of 1.9%.</w:t>
      </w:r>
    </w:p>
    <w:p>
      <w:pPr>
        <w:spacing w:after="0" w:line="51"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Year-to-date, company-operated restaurant revenue increased $13.1 million, or 7.3%, from the comparable period in the prior year. The growth in company-operated restaurant sales was due to $12.3 million of non-comparable restaurant sales on restaurants that had not been open the fifteen months required to be included in comparable restaurant sales, a $1.8 million increase resulting from a 1.1% increase in company-operated comparable restaurant sales, and $0.7 million related to a restaurant closed during the first quarter of 2016, due to fire damage, that was open for all of 2017. These increases were partially offset by the closure of two restaurants in 2016 and two restaurants in the current year, and the sale of one restaurant in 2016 to a franchisee. The company-operated comparable restaurant sales increase consisted of an increase in average check size of 1.9%, partially offset by a decrease in transactions of 0.8%.</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488"/>
          </w:cols>
          <w:pgMar w:left="212" w:top="507" w:right="1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b w:val="1"/>
          <w:bCs w:val="1"/>
          <w:i w:val="1"/>
          <w:iCs w:val="1"/>
          <w:color w:val="auto"/>
        </w:rPr>
        <w:t>Franchise Revenue</w:t>
      </w:r>
    </w:p>
    <w:p>
      <w:pPr>
        <w:spacing w:after="0" w:line="82"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2"/>
          <w:szCs w:val="12"/>
          <w:color w:val="auto"/>
        </w:rPr>
        <w:t>For the quarter, franchise revenue increased $0.1 million, or 1.4%, from the comparable period in the prior year. This increase was primarily due to 17 new franchised restaurants opened during or after the prior year quarter, and franchise comparable restaurant sales growth of 3.2%.</w:t>
      </w:r>
    </w:p>
    <w:p>
      <w:pPr>
        <w:spacing w:after="0" w:line="38"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2"/>
          <w:szCs w:val="12"/>
          <w:color w:val="auto"/>
        </w:rPr>
        <w:t>Year-to-date, franchise revenue increased $0.4 million, or 3.4%, from the comparable period in the prior year. This increase was primarily due to 18 new franchised restaurants opened during or after the first quarter of 2016 and franchise comparable restaurant sales growth of 1.5%.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Food and Paper Costs</w:t>
      </w:r>
    </w:p>
    <w:p>
      <w:pPr>
        <w:spacing w:after="0" w:line="8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For the quarter, food and paper costs increased $2.1 million, or 7.8%, from the comparable period in the prior year, due to a $1.8 million increase in food costs and a $0.3 million increase in paper costs. Year-to-date, food and paper costs increased $2.4 million, or 4.5%, from the comparable period in the prior year, due to a $2.0 million increase in food costs and a $0.4 million increase in paper costs. The increases in food and paper costs, for the quarter and year-to-date periods, resulted primarily from higher restaurant revenue, partially offset by lower commodity costs related to chicken.</w:t>
      </w:r>
    </w:p>
    <w:p>
      <w:pPr>
        <w:spacing w:after="0" w:line="119"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For the quarter, food and paper costs as a percentage of company-operated restaurant revenue were 29.5%, from 29.7% in the comparable period of the prior year. Year-to-date, food and paper costs as a percentage of company-operated restaurant revenue were 29.2%, from 30.0% in the comparable period of the prior year. The percentage decrease for the quarter and year-to-date periods was due primarily to the lower commodity costs, noted above.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Labor and Related Expenses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For the quarter, payroll and benefit expenses increased $2.2 million, or 9.2%, from the comparable period in the prior year. Year-to-date, payroll and benefit expenses increased $4.6 million, or 9.3%, from the comparable period in the prior year. The increase for the quarter and year-to-date periods was due primarily to increased labor costs resulting from the opening of new restaurants in fiscal 2016 and the first half of fiscal 2017, and the impact of the minimum wage increases in California and Los Angeles during fiscal 2016 and the first half of fiscal 2017. The year-to-date period was also impacted by higher workers' compensation expense due to increased claims activity.</w:t>
      </w:r>
    </w:p>
    <w:p>
      <w:pPr>
        <w:spacing w:after="0" w:line="4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For the quarter, payroll and benefit expenses as a percentage of company-operated restaurant revenue were consistent at 26.9%, from 26.8% in the comparable period in the prior year. Year-to-date, payroll and benefit expenses as a percentage of company-operated restaurant revenue were 27.8%, from 27.3% in the comparable period in the prior year. The increases for the quarter and year-to-date periods, were due primarily to minimum wages increases in California and Los Angeles, and the impact of the incremental labor required for twenty-seven new restaurants opened during or after the first quarter of 2016. The quarterly increase was partially offset by favorable workers compensation adjustments, while the year-to-date period was impacted by an increase in workers compensation expense due to an increase in claims.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Occupancy and Other Operating Expenses</w:t>
      </w:r>
    </w:p>
    <w:p>
      <w:pPr>
        <w:spacing w:after="0" w:line="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For the quarter, occupancy and other operating expenses increased $2.1 million, or 10.7%, from the comparable period of the prior year. The increase for the quarter was primarily due to a $0.9 million increase in occupancy costs, due primarily to additional rent, a $0.4 million increase in utilities costs, a $0.2 million increase advertising costs, and a $0.6 million increase in other operating expenses, resulting primarily from an increase in credit card fees and restaurant security expenses. Year-to-date, occupancy and other operating expenses increased $3.8 million, or 9.9%, from the comparable period of the prior year. The increase for the year-to-date period was due to a $1.6 million increase in occupancy costs, due primarily to additional rent, a $0.6 million increase in utilities costs, a $0.5 million increase advertising costs, and a $1.1 million increase in other operating expenses, resulting primarily from an increase in repair and maintenance costs, credit card fees and restaurant security expenses. The increases for the quarter and year-to-date periods resulted primarily from the new restaurants opened during or after the first quarter of 2016.</w:t>
      </w:r>
    </w:p>
    <w:p>
      <w:pPr>
        <w:spacing w:after="0" w:line="12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For the quarter, occupancy and other operating expenses as a percentage of company-operated restaurant revenue were 21.8%, up from 21.5% in the comparable period of the prior year. Year-to-date, occupancy and other operating expenses as a percentage of company-operated restaurant revenue were 21.9%, up from 21.4% in the comparable period of the prior year. Both the quarter and year-to-date increases resulted primarily from rent expense, relative to revenue volume generated, and other incremental costs related to opening new restaurants in 2016 and the twenty-six weeks ended June 28, 2017.</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1440"/>
          </w:cols>
          <w:pgMar w:left="220" w:top="647" w:right="239" w:bottom="1440" w:gutter="0" w:footer="0" w:header="0"/>
        </w:sectPr>
      </w:pPr>
    </w:p>
    <w:bookmarkStart w:id="30" w:name="page31"/>
    <w:bookmarkEnd w:id="30"/>
    <w:p>
      <w:pPr>
        <w:ind w:right="140"/>
        <w:spacing w:after="0" w:line="260" w:lineRule="auto"/>
        <w:rPr>
          <w:sz w:val="20"/>
          <w:szCs w:val="20"/>
          <w:color w:val="auto"/>
        </w:rPr>
      </w:pPr>
      <w:r>
        <w:rPr>
          <w:rFonts w:ascii="Times New Roman" w:cs="Times New Roman" w:eastAsia="Times New Roman" w:hAnsi="Times New Roman"/>
          <w:sz w:val="12"/>
          <w:szCs w:val="12"/>
          <w:color w:val="auto"/>
        </w:rPr>
        <w:t>For the quarter, general and administrative expenses increased $1.3 million, or 15.6%, from the comparable period in the prior year. The increase for the quarter was due primarily to (i) a $0.7 million increase in payroll expense, due primarily to an increase in the number of corporate employees, and a higher accrual related to the Company’s annual bonus program, (ii) a $0.5 million increase in legal expense related primarily to an increase in securities class action litigation costs, (iii) a $0.2 million increase in recruiting costs, (iv) a $0.1 million increase in stock compensation related expenses, and (v) a $0.1 million increase in restaurant pre-opening costs. These increases were partially offset by a $0.3 million decrease in other general and administrative costs.</w:t>
      </w:r>
    </w:p>
    <w:p>
      <w:pPr>
        <w:spacing w:after="0" w:line="51"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2"/>
          <w:szCs w:val="12"/>
          <w:color w:val="auto"/>
        </w:rPr>
        <w:t>Year-to-date, general and administrative expenses increased $1.8 million, or 10.2%, from the comparable period in the prior year. The increase for the year-to-date period was due primarily to (i) a $1.5 million increase in payroll expense, due primarily to an increase in the number of corporate employees, and a higher accrual related to the Company’s annual bonus program, (ii) a $0.3 million increase in stock compensation related expenses, and (iii) a $0.2 million increase in restaurant pre-opening costs. These increases were partially offset by a $0.2 million decrease in other general and administrative costs.</w:t>
      </w:r>
    </w:p>
    <w:p>
      <w:pPr>
        <w:spacing w:after="0" w:line="47"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For the quarter, general and administrative expenses as a percentage of total revenue were 9.1% up from 8.5% in the comparable period of the prior year. Year-to-date general and administrative expenses as a percentage of total revenue were 9.4%, up from 9.1% in the comparable period of the prior year. The percentage increases for the quarter and year-to-date are primarily due to the higher costs noted above, partially offset by higher total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Gain on Recovery of Insurance Proceeds</w:t>
      </w:r>
    </w:p>
    <w:p>
      <w:pPr>
        <w:spacing w:after="0" w:line="8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In November 2015, one of the Company’s restaurants incurred damage resulting from a fire. During the twenty-six weeks ended June 29, 2016, we incurred costs directly related to the fire of less than $0.1 million, and recognized a gain of $0.9 million, related to the reimbursement of property and equipment. The Company received from the insurance company cash of $1.0 million during the twenty-six weeks ended June 29, 2016, net of the insurance deductible. The restaurant was reopened for business on March 14, 2016.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Recovery of Securities Class Action Legal Expense</w:t>
      </w:r>
    </w:p>
    <w:p>
      <w:pPr>
        <w:spacing w:after="0" w:line="8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During the thirteen and twenty-six weeks ended June 28, 2017, the Company received insurance proceeds of $0.5 million, related to the reimbursement of certain legal expenses paid in prior years for the defense of securities lawsuits. See the Notes to the Condensed Consolidated Financial Statements, Note 7, Commitments and Contingencies, Legal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Asset Impairment and Closed-Store Reserves</w:t>
      </w:r>
    </w:p>
    <w:p>
      <w:pPr>
        <w:spacing w:after="0" w:line="8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2"/>
          <w:szCs w:val="12"/>
          <w:color w:val="auto"/>
        </w:rPr>
        <w:t>During the thirteen and twenty-six weeks ended June 28, 2017, the Company determined the carrying value of the assets in one of its restaurants in Texas may not be recoverable. As a result, the Company recorded $0.4 million of expense related to the impairment of the assets of the restaurant. In addition, during the twenty-six weeks ended June 28, 2017, the Company decided to close one restaurant in Texas and one restaurant in Arizona, the assets of which were previously recorded as impaired during the third quarter of 2016. The Company recorded $0.9 million of closed-store reserves, primarily related to the closure of the two restaurants. For the thirteen and twenty-six weeks ended June 29, 2016, the Company recorded an immaterial non-cash impairment charge related to capital expenditures for stores fully impaired in previous years. The Company continues to monitor the recoverability of the carrying value of the assets of several restaurants on an ongoing basis.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Gain on Disposition of Restaurants</w:t>
      </w:r>
    </w:p>
    <w:p>
      <w:pPr>
        <w:spacing w:after="0" w:line="154"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2"/>
          <w:szCs w:val="12"/>
          <w:color w:val="auto"/>
        </w:rPr>
        <w:t>On June 16, 2016, we completed an agreement to sell one company-operated restaurant in Tucson, Arizona to a franchisee, resulting in cash proceeds of $1.5 million and a net gain of less than $0.1 million, which is recorded as a gain on disposition of restaurants in the accompanying consolidated statement of operations. This restaurant is now included in our franchised restaurant totals.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Net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quarter and year-to-date periods, interest expense, net was comparable with the same periods of the prior year.</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1440"/>
          </w:cols>
          <w:pgMar w:left="220" w:top="50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Receivable Agreement</w:t>
      </w:r>
    </w:p>
    <w:p>
      <w:pPr>
        <w:spacing w:after="0" w:line="8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quarters ended June 28, 2017 and June 29, 2016 we recorded income tax receivable agreement income of $0.1 million and less than $0.1 million, respectively, and for the year-to-date periods we recorded income tax receivable agreement expense of $0.1 million and $0.2 million, respectively, related to the amortization of interest expense related to our total expected TRA payments and changes in estimates for actual tax returns filed.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Provision for Income Taxes</w:t>
      </w:r>
    </w:p>
    <w:p>
      <w:pPr>
        <w:spacing w:after="0" w:line="82" w:lineRule="exact"/>
        <w:rPr>
          <w:sz w:val="20"/>
          <w:szCs w:val="20"/>
          <w:color w:val="auto"/>
        </w:rPr>
      </w:pPr>
    </w:p>
    <w:p>
      <w:pPr>
        <w:jc w:val="both"/>
        <w:ind w:right="280"/>
        <w:spacing w:after="0" w:line="300" w:lineRule="auto"/>
        <w:rPr>
          <w:sz w:val="20"/>
          <w:szCs w:val="20"/>
          <w:color w:val="auto"/>
        </w:rPr>
      </w:pPr>
      <w:r>
        <w:rPr>
          <w:rFonts w:ascii="Times New Roman" w:cs="Times New Roman" w:eastAsia="Times New Roman" w:hAnsi="Times New Roman"/>
          <w:sz w:val="11"/>
          <w:szCs w:val="11"/>
          <w:color w:val="auto"/>
        </w:rPr>
        <w:t>For the quarter ended June 28, 2017, we recorded an income tax provision of $4.2 million, reflecting an estimated effective tax rate of 35.2%. For the quarter ended June 29, 2016, we recorded an income tax provision of $5.3 million, reflecting an estimated effective tax rate of approximately 42.4%. Year-to-date ended June 28, 2017, we recorded an income tax provision of $7.7 million, reflecting an estimated effective tax rate of approximately 37.8%. Year-to-date ended June 29, 2016, we recorded an income tax provision of $9.1 million, reflecting an estimated effective tax rate of approximately 41.7%. These rates are in line with the Company's estimated long-term federal and state tax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12 months.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summary cash flow information for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Twenty-Six Weeks Ended</w:t>
            </w:r>
          </w:p>
        </w:tc>
        <w:tc>
          <w:tcPr>
            <w:tcW w:w="1620" w:type="dxa"/>
            <w:vAlign w:val="bottom"/>
            <w:tcBorders>
              <w:bottom w:val="single" w:sz="8" w:color="auto"/>
            </w:tcBorders>
          </w:tcPr>
          <w:p>
            <w:pPr>
              <w:spacing w:after="0"/>
              <w:rPr>
                <w:sz w:val="11"/>
                <w:szCs w:val="11"/>
                <w:color w:val="auto"/>
              </w:rPr>
            </w:pPr>
          </w:p>
        </w:tc>
      </w:tr>
      <w:tr>
        <w:trPr>
          <w:trHeight w:val="146"/>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(Amounts in thousands)</w:t>
            </w:r>
          </w:p>
        </w:tc>
        <w:tc>
          <w:tcPr>
            <w:tcW w:w="480" w:type="dxa"/>
            <w:vAlign w:val="bottom"/>
          </w:tcPr>
          <w:p>
            <w:pPr>
              <w:spacing w:after="0"/>
              <w:rPr>
                <w:sz w:val="12"/>
                <w:szCs w:val="12"/>
                <w:color w:val="auto"/>
              </w:rPr>
            </w:pPr>
          </w:p>
        </w:tc>
        <w:tc>
          <w:tcPr>
            <w:tcW w:w="1940" w:type="dxa"/>
            <w:vAlign w:val="bottom"/>
            <w:gridSpan w:val="2"/>
          </w:tcPr>
          <w:p>
            <w:pPr>
              <w:ind w:left="380"/>
              <w:spacing w:after="0"/>
              <w:rPr>
                <w:sz w:val="20"/>
                <w:szCs w:val="20"/>
                <w:color w:val="auto"/>
              </w:rPr>
            </w:pPr>
            <w:r>
              <w:rPr>
                <w:rFonts w:ascii="Times New Roman" w:cs="Times New Roman" w:eastAsia="Times New Roman" w:hAnsi="Times New Roman"/>
                <w:sz w:val="10"/>
                <w:szCs w:val="10"/>
                <w:b w:val="1"/>
                <w:bCs w:val="1"/>
                <w:color w:val="auto"/>
              </w:rPr>
              <w:t>June 28, 2017</w:t>
            </w:r>
          </w:p>
        </w:tc>
        <w:tc>
          <w:tcPr>
            <w:tcW w:w="660" w:type="dxa"/>
            <w:vAlign w:val="bottom"/>
          </w:tcPr>
          <w:p>
            <w:pPr>
              <w:spacing w:after="0"/>
              <w:rPr>
                <w:sz w:val="12"/>
                <w:szCs w:val="12"/>
                <w:color w:val="auto"/>
              </w:rPr>
            </w:pPr>
          </w:p>
        </w:tc>
        <w:tc>
          <w:tcPr>
            <w:tcW w:w="1620" w:type="dxa"/>
            <w:vAlign w:val="bottom"/>
          </w:tcPr>
          <w:p>
            <w:pPr>
              <w:jc w:val="right"/>
              <w:ind w:right="802"/>
              <w:spacing w:after="0"/>
              <w:rPr>
                <w:sz w:val="20"/>
                <w:szCs w:val="20"/>
                <w:color w:val="auto"/>
              </w:rPr>
            </w:pPr>
            <w:r>
              <w:rPr>
                <w:rFonts w:ascii="Times New Roman" w:cs="Times New Roman" w:eastAsia="Times New Roman" w:hAnsi="Times New Roman"/>
                <w:sz w:val="10"/>
                <w:szCs w:val="10"/>
                <w:b w:val="1"/>
                <w:bCs w:val="1"/>
                <w:color w:val="auto"/>
              </w:rPr>
              <w:t>June 29, 2016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6"/>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cash provided (used) by</w:t>
            </w:r>
          </w:p>
        </w:tc>
        <w:tc>
          <w:tcPr>
            <w:tcW w:w="4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71"/>
        </w:trPr>
        <w:tc>
          <w:tcPr>
            <w:tcW w:w="20" w:type="dxa"/>
            <w:vAlign w:val="bottom"/>
          </w:tcPr>
          <w:p>
            <w:pPr>
              <w:spacing w:after="0"/>
              <w:rPr>
                <w:sz w:val="14"/>
                <w:szCs w:val="14"/>
                <w:color w:val="auto"/>
              </w:rPr>
            </w:pPr>
          </w:p>
        </w:tc>
        <w:tc>
          <w:tcPr>
            <w:tcW w:w="67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Operating activities</w:t>
            </w:r>
          </w:p>
        </w:tc>
        <w:tc>
          <w:tcPr>
            <w:tcW w:w="48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30,733</w:t>
            </w:r>
          </w:p>
        </w:tc>
        <w:tc>
          <w:tcPr>
            <w:tcW w:w="120" w:type="dxa"/>
            <w:vAlign w:val="bottom"/>
          </w:tcPr>
          <w:p>
            <w:pPr>
              <w:spacing w:after="0"/>
              <w:rPr>
                <w:sz w:val="14"/>
                <w:szCs w:val="14"/>
                <w:color w:val="auto"/>
              </w:rPr>
            </w:pPr>
          </w:p>
        </w:tc>
        <w:tc>
          <w:tcPr>
            <w:tcW w:w="660" w:type="dxa"/>
            <w:vAlign w:val="bottom"/>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21,018</w:t>
            </w:r>
          </w:p>
        </w:tc>
      </w:tr>
      <w:tr>
        <w:trPr>
          <w:trHeight w:val="189"/>
        </w:trPr>
        <w:tc>
          <w:tcPr>
            <w:tcW w:w="20" w:type="dxa"/>
            <w:vAlign w:val="bottom"/>
            <w:shd w:val="clear" w:color="auto" w:fill="CCEEFF"/>
          </w:tcPr>
          <w:p>
            <w:pPr>
              <w:spacing w:after="0"/>
              <w:rPr>
                <w:sz w:val="16"/>
                <w:szCs w:val="16"/>
                <w:color w:val="auto"/>
              </w:rPr>
            </w:pPr>
          </w:p>
        </w:tc>
        <w:tc>
          <w:tcPr>
            <w:tcW w:w="6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Investing activities</w:t>
            </w:r>
          </w:p>
        </w:tc>
        <w:tc>
          <w:tcPr>
            <w:tcW w:w="48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(19,040)</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(11,854)</w:t>
            </w:r>
          </w:p>
        </w:tc>
      </w:tr>
      <w:tr>
        <w:trPr>
          <w:trHeight w:val="171"/>
        </w:trPr>
        <w:tc>
          <w:tcPr>
            <w:tcW w:w="20" w:type="dxa"/>
            <w:vAlign w:val="bottom"/>
            <w:tcBorders>
              <w:bottom w:val="single" w:sz="8" w:color="CCEEFF"/>
            </w:tcBorders>
          </w:tcPr>
          <w:p>
            <w:pPr>
              <w:spacing w:after="0"/>
              <w:rPr>
                <w:sz w:val="14"/>
                <w:szCs w:val="14"/>
                <w:color w:val="auto"/>
              </w:rPr>
            </w:pPr>
          </w:p>
        </w:tc>
        <w:tc>
          <w:tcPr>
            <w:tcW w:w="6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2"/>
                <w:szCs w:val="12"/>
                <w:color w:val="auto"/>
              </w:rPr>
              <w:t>Financing activities</w:t>
            </w:r>
          </w:p>
        </w:tc>
        <w:tc>
          <w:tcPr>
            <w:tcW w:w="4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color w:val="auto"/>
              </w:rPr>
              <w:t>(9,490)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(5,769)</w:t>
            </w:r>
          </w:p>
        </w:tc>
      </w:tr>
      <w:tr>
        <w:trPr>
          <w:trHeight w:val="185"/>
        </w:trPr>
        <w:tc>
          <w:tcPr>
            <w:tcW w:w="67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in cash</w:t>
            </w: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Times New Roman" w:cs="Times New Roman" w:eastAsia="Times New Roman" w:hAnsi="Times New Roman"/>
                <w:sz w:val="12"/>
                <w:szCs w:val="12"/>
                <w:color w:val="auto"/>
                <w:w w:val="99"/>
              </w:rPr>
              <w:t>$</w:t>
            </w:r>
          </w:p>
        </w:tc>
        <w:tc>
          <w:tcPr>
            <w:tcW w:w="18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2,203</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2"/>
                <w:szCs w:val="12"/>
                <w:color w:val="auto"/>
                <w:w w:val="99"/>
              </w:rPr>
              <w:t>$</w:t>
            </w:r>
          </w:p>
        </w:tc>
        <w:tc>
          <w:tcPr>
            <w:tcW w:w="16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3,395</w:t>
            </w: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82"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12"/>
          <w:szCs w:val="12"/>
          <w:color w:val="auto"/>
        </w:rPr>
        <w:t>For the twenty-six weeks ended June 28, 2017, net cash provided by operating activities increased by approximately $9.7 million from the comparable period of the prior year. This was due primarily to higher profitability after non-cash items and favorable working capital fluctuations.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82" w:lineRule="exact"/>
        <w:rPr>
          <w:sz w:val="20"/>
          <w:szCs w:val="20"/>
          <w:color w:val="auto"/>
        </w:rPr>
      </w:pPr>
    </w:p>
    <w:p>
      <w:pPr>
        <w:ind w:right="360"/>
        <w:spacing w:after="0" w:line="327" w:lineRule="auto"/>
        <w:rPr>
          <w:sz w:val="20"/>
          <w:szCs w:val="20"/>
          <w:color w:val="auto"/>
        </w:rPr>
      </w:pPr>
      <w:r>
        <w:rPr>
          <w:rFonts w:ascii="Times New Roman" w:cs="Times New Roman" w:eastAsia="Times New Roman" w:hAnsi="Times New Roman"/>
          <w:sz w:val="11"/>
          <w:szCs w:val="11"/>
          <w:color w:val="auto"/>
        </w:rPr>
        <w:t>For the twenty-six weeks ended June 28, 2017, net cash used by investing activities increased by $7.2 million from the comparable period of the prior year. This was due primarily to opening nine new company restaurants and seven remodels in the twenty-six weeks ended June 28, 2017 compared to five new restaurants opened in the twenty-six weeks ended June 29, 2016, as well as insurance proceeds related to fire damage received in the prior year period.</w:t>
      </w:r>
    </w:p>
    <w:p>
      <w:pPr>
        <w:spacing w:after="0" w:line="88" w:lineRule="exact"/>
        <w:rPr>
          <w:sz w:val="20"/>
          <w:szCs w:val="20"/>
          <w:color w:val="auto"/>
        </w:rPr>
      </w:pPr>
    </w:p>
    <w:p>
      <w:pPr>
        <w:ind w:right="580"/>
        <w:spacing w:after="0" w:line="280" w:lineRule="auto"/>
        <w:rPr>
          <w:sz w:val="20"/>
          <w:szCs w:val="20"/>
          <w:color w:val="auto"/>
        </w:rPr>
      </w:pPr>
      <w:r>
        <w:rPr>
          <w:rFonts w:ascii="Times New Roman" w:cs="Times New Roman" w:eastAsia="Times New Roman" w:hAnsi="Times New Roman"/>
          <w:sz w:val="12"/>
          <w:szCs w:val="12"/>
          <w:color w:val="auto"/>
        </w:rPr>
        <w:t>For the year ending December 27, 2017, we expect to incur capital expenditures of $42.0 million to $44.0 million, consisting of $29.0 to $31.0 million related to new restaurants, $7.0 million related to the remodeling of existing restaurants, and $6.0 million related to major maintenance and other corporate capital expenditures.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480"/>
          </w:cols>
          <w:pgMar w:left="220" w:top="647" w:right="199" w:bottom="1440" w:gutter="0" w:footer="0" w:header="0"/>
        </w:sectPr>
      </w:pPr>
    </w:p>
    <w:bookmarkStart w:id="32" w:name="page33"/>
    <w:bookmarkEnd w:id="32"/>
    <w:p>
      <w:pPr>
        <w:ind w:left="8" w:right="100"/>
        <w:spacing w:after="0" w:line="280" w:lineRule="auto"/>
        <w:rPr>
          <w:sz w:val="20"/>
          <w:szCs w:val="20"/>
          <w:color w:val="auto"/>
        </w:rPr>
      </w:pPr>
      <w:r>
        <w:rPr>
          <w:rFonts w:ascii="Times New Roman" w:cs="Times New Roman" w:eastAsia="Times New Roman" w:hAnsi="Times New Roman"/>
          <w:sz w:val="12"/>
          <w:szCs w:val="12"/>
          <w:color w:val="auto"/>
        </w:rPr>
        <w:t>For the twenty-six weeks ended June 28, 2017, net cash used by financing activities increased by $3.7 million from the comparable period of the prior year. This was due primarily to the pre-payment of $9.5 million on the 2014 Revolver during the twenty-six weeks ended June 28, 2017 compared to a pre-payment of $6.5 million for the twenty-six weeks ended June 29, 2016.</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Debt and Other Obligations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New Credit Agreement</w:t>
      </w:r>
    </w:p>
    <w:p>
      <w:pPr>
        <w:spacing w:after="0" w:line="80" w:lineRule="exact"/>
        <w:rPr>
          <w:sz w:val="20"/>
          <w:szCs w:val="20"/>
          <w:color w:val="auto"/>
        </w:rPr>
      </w:pPr>
    </w:p>
    <w:p>
      <w:pPr>
        <w:ind w:left="8" w:right="20"/>
        <w:spacing w:after="0" w:line="265" w:lineRule="auto"/>
        <w:rPr>
          <w:sz w:val="20"/>
          <w:szCs w:val="20"/>
          <w:color w:val="auto"/>
        </w:rPr>
      </w:pPr>
      <w:r>
        <w:rPr>
          <w:rFonts w:ascii="Times New Roman" w:cs="Times New Roman" w:eastAsia="Times New Roman" w:hAnsi="Times New Roman"/>
          <w:sz w:val="12"/>
          <w:szCs w:val="12"/>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provides for the 2014 Revolver. The 2014 Revolver includes a sub limit of $15.0 million for letters of credit and a sub limit of $15.0 million for swingline loans. At June 28, 2017, $8.1 million of letters of credit were outstanding and $97.4 million was available to borrow under the revolving line of credit. The 2014 Revolver will mature on or about December 11, 2019.</w:t>
      </w:r>
    </w:p>
    <w:p>
      <w:pPr>
        <w:spacing w:after="0" w:line="119" w:lineRule="exact"/>
        <w:rPr>
          <w:sz w:val="20"/>
          <w:szCs w:val="20"/>
          <w:color w:val="auto"/>
        </w:rPr>
      </w:pPr>
    </w:p>
    <w:p>
      <w:pPr>
        <w:ind w:left="8"/>
        <w:spacing w:after="0" w:line="260" w:lineRule="auto"/>
        <w:rPr>
          <w:sz w:val="20"/>
          <w:szCs w:val="20"/>
          <w:color w:val="auto"/>
        </w:rPr>
      </w:pPr>
      <w:r>
        <w:rPr>
          <w:rFonts w:ascii="Times New Roman" w:cs="Times New Roman" w:eastAsia="Times New Roman" w:hAnsi="Times New Roman"/>
          <w:sz w:val="12"/>
          <w:szCs w:val="12"/>
          <w:color w:val="auto"/>
        </w:rPr>
        <w:t>Borrowings under the 2014 Revolver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prime rate of Bank of America, or (c) LIBOR plus 1.00%. For LIBOR loans, the margin is in the range of 1.75% to 2.50%, and for base rate loans the margin is in the range of 0.75% to 1.50%. The interest rate range was 2.69% to 2.96% and 2.44% to 2.96% for the thirteen and twenty-six weeks ended June 28, 2017, respectively, and 2.19% to 2.20% and 2.02% to 2.20% for the thirteen and twenty-six weeks ended June 29, 2016, respectively.</w:t>
      </w:r>
    </w:p>
    <w:p>
      <w:pPr>
        <w:spacing w:after="0" w:line="123" w:lineRule="exact"/>
        <w:rPr>
          <w:sz w:val="20"/>
          <w:szCs w:val="20"/>
          <w:color w:val="auto"/>
        </w:rPr>
      </w:pPr>
    </w:p>
    <w:p>
      <w:pPr>
        <w:ind w:left="8" w:right="300"/>
        <w:spacing w:after="0" w:line="265" w:lineRule="auto"/>
        <w:rPr>
          <w:sz w:val="20"/>
          <w:szCs w:val="20"/>
          <w:color w:val="auto"/>
        </w:rPr>
      </w:pPr>
      <w:r>
        <w:rPr>
          <w:rFonts w:ascii="Times New Roman" w:cs="Times New Roman" w:eastAsia="Times New Roman" w:hAnsi="Times New Roman"/>
          <w:sz w:val="12"/>
          <w:szCs w:val="12"/>
          <w:color w:val="auto"/>
        </w:rPr>
        <w:t>The 2014 Revolver includes a number of negative and financial covenants, including, among others, the following (all subject to certain exceptions): a maximum lease-adjusted consolidated leverage ratio covenant, a minimum consolidated fixed charge coverage ratio, and limitations on indebtedness, liens, investments, asset sales, mergers, consolidations, liquidations, dissolutions, restricted payments, and negative pledges. The 2014 Revolver also includes certain customary affirmative covenants and events of default. We were in compliance with all such covenants at June 28, 2017.</w:t>
      </w:r>
    </w:p>
    <w:p>
      <w:pPr>
        <w:spacing w:after="0" w:line="119" w:lineRule="exact"/>
        <w:rPr>
          <w:sz w:val="20"/>
          <w:szCs w:val="20"/>
          <w:color w:val="auto"/>
        </w:rPr>
      </w:pPr>
    </w:p>
    <w:p>
      <w:pPr>
        <w:jc w:val="both"/>
        <w:ind w:left="8" w:right="260"/>
        <w:spacing w:after="0" w:line="283" w:lineRule="auto"/>
        <w:rPr>
          <w:sz w:val="20"/>
          <w:szCs w:val="20"/>
          <w:color w:val="auto"/>
        </w:rPr>
      </w:pPr>
      <w:r>
        <w:rPr>
          <w:rFonts w:ascii="Times New Roman" w:cs="Times New Roman" w:eastAsia="Times New Roman" w:hAnsi="Times New Roman"/>
          <w:sz w:val="11"/>
          <w:szCs w:val="11"/>
          <w:color w:val="auto"/>
        </w:rPr>
        <w:t>Under the 2014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the TRA, and, (iii) so long as no default or event of default has occurred and is continuing,</w:t>
      </w:r>
    </w:p>
    <w:p>
      <w:pPr>
        <w:spacing w:after="0" w:line="1" w:lineRule="exact"/>
        <w:rPr>
          <w:sz w:val="20"/>
          <w:szCs w:val="20"/>
          <w:color w:val="auto"/>
        </w:rPr>
      </w:pPr>
    </w:p>
    <w:p>
      <w:pPr>
        <w:ind w:left="8" w:hanging="8"/>
        <w:spacing w:after="0" w:line="255" w:lineRule="auto"/>
        <w:tabs>
          <w:tab w:leader="none" w:pos="171"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non-cash repurchases of equity interests in connection with the exercise of stock options by directors and officers, provided that those equity interests represent a portion of the consideration of the exercise price of those stock options, (b) pay up to $2.5 million per year pursuant to stock option plans, employment agreements, or incentive plans, (c) make up to $5.0 million in other restricted payments per year, and (d) make other restricted payments, provided that such payments would not cause, in each case, on a pro forma basis, (x) its lease-adjusted consolidated leverage ratio to equal or exceed 4.25 times and (y) its consolidated fixed charge coverage ratio to be less than 1.75 times.</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Contractual Obligations</w:t>
      </w:r>
    </w:p>
    <w:p>
      <w:pPr>
        <w:spacing w:after="0" w:line="152" w:lineRule="exact"/>
        <w:rPr>
          <w:sz w:val="20"/>
          <w:szCs w:val="20"/>
          <w:color w:val="auto"/>
        </w:rPr>
      </w:pPr>
    </w:p>
    <w:p>
      <w:pPr>
        <w:ind w:left="8" w:right="140"/>
        <w:spacing w:after="0" w:line="280" w:lineRule="auto"/>
        <w:rPr>
          <w:sz w:val="20"/>
          <w:szCs w:val="20"/>
          <w:color w:val="auto"/>
        </w:rPr>
      </w:pPr>
      <w:r>
        <w:rPr>
          <w:rFonts w:ascii="Times New Roman" w:cs="Times New Roman" w:eastAsia="Times New Roman" w:hAnsi="Times New Roman"/>
          <w:sz w:val="12"/>
          <w:szCs w:val="12"/>
          <w:color w:val="auto"/>
        </w:rPr>
        <w:t>Our contractual commitments outstanding on June 28, 2017, have not changed materially since our annual report on Form 10-K for the year ended December 28, 2016. These relate to future (i) debt payments, including expected interest expense, calculated based on current interest rates, (ii) restaurant operating lease payments, (iii) income tax receivable agreement payments, and (iv) purchasing commitments for chicken and beverage.</w:t>
      </w:r>
    </w:p>
    <w:p>
      <w:pPr>
        <w:spacing w:after="0" w:line="1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Off-Balance Sheet and Other Arrangements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June 28, 2017, we were using $8.1 million of borrowing capacity on the 2014 Revolver for letters of credit in support of our insurance programs.</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468"/>
          </w:cols>
          <w:pgMar w:left="212" w:top="507" w:right="2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Rate Risk</w:t>
      </w:r>
    </w:p>
    <w:p>
      <w:pPr>
        <w:spacing w:after="0" w:line="82" w:lineRule="exact"/>
        <w:rPr>
          <w:sz w:val="20"/>
          <w:szCs w:val="20"/>
          <w:color w:val="auto"/>
        </w:rPr>
      </w:pPr>
    </w:p>
    <w:p>
      <w:pPr>
        <w:ind w:right="80"/>
        <w:spacing w:after="0" w:line="327" w:lineRule="auto"/>
        <w:rPr>
          <w:sz w:val="20"/>
          <w:szCs w:val="20"/>
          <w:color w:val="auto"/>
        </w:rPr>
      </w:pPr>
      <w:r>
        <w:rPr>
          <w:rFonts w:ascii="Times New Roman" w:cs="Times New Roman" w:eastAsia="Times New Roman" w:hAnsi="Times New Roman"/>
          <w:sz w:val="11"/>
          <w:szCs w:val="11"/>
          <w:color w:val="auto"/>
        </w:rPr>
        <w:t>We are exposed to market risk from changes in the interest rate on our debt, which bears interest at USD LIBOR plus a margin between 1.75% and 2.50%. As of June 28, 2017, we had outstanding borrowings of $94.5 million and another $8.1 million of letters of credit in support of our insurance programs. A 1.0% increase in the effective interest rate applied to these borrowings would result in a pre-tax interest expense increase of $1.0 million on an annualized basis.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manage our interest rate risk through normal operating and financing activities and, when determined appropriate, through the use of derivative financial instruments.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Inflation</w:t>
      </w:r>
    </w:p>
    <w:p>
      <w:pPr>
        <w:spacing w:after="0" w:line="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Commodity Price Risk</w:t>
      </w:r>
    </w:p>
    <w:p>
      <w:pPr>
        <w:spacing w:after="0" w:line="8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2"/>
          <w:szCs w:val="12"/>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82"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1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1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2"/>
          <w:szCs w:val="12"/>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82" w:lineRule="exact"/>
        <w:rPr>
          <w:sz w:val="20"/>
          <w:szCs w:val="20"/>
          <w:color w:val="auto"/>
        </w:rPr>
      </w:pPr>
    </w:p>
    <w:p>
      <w:pPr>
        <w:ind w:right="300"/>
        <w:spacing w:after="0" w:line="280" w:lineRule="auto"/>
        <w:rPr>
          <w:sz w:val="20"/>
          <w:szCs w:val="20"/>
          <w:color w:val="auto"/>
        </w:rPr>
      </w:pPr>
      <w:r>
        <w:rPr>
          <w:rFonts w:ascii="Times New Roman" w:cs="Times New Roman" w:eastAsia="Times New Roman" w:hAnsi="Times New Roman"/>
          <w:sz w:val="12"/>
          <w:szCs w:val="12"/>
          <w:color w:val="auto"/>
        </w:rPr>
        <w:t>Other than the remediation discussed below, no other change in our internal control over financial reporting occurred during the period covered by this report that has materially affected, or is reasonably likely to materially affect, our internal control over financial reporting.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1460"/>
          </w:cols>
          <w:pgMar w:left="220" w:top="647" w:right="2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b w:val="1"/>
          <w:bCs w:val="1"/>
          <w:color w:val="auto"/>
        </w:rPr>
        <w:t>Remediation Efforts to Address Material Weaknesses in Internal Control over Financial Reporting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previously reported material weaknesses that were identified as of December 28, 2016 relating to the design and operating effectiveness of our internal control over financial reporting. The material weaknesses resulted from:</w:t>
      </w:r>
    </w:p>
    <w:p>
      <w:pPr>
        <w:spacing w:after="0" w:line="150" w:lineRule="exact"/>
        <w:rPr>
          <w:sz w:val="20"/>
          <w:szCs w:val="20"/>
          <w:color w:val="auto"/>
        </w:rPr>
      </w:pPr>
    </w:p>
    <w:p>
      <w:pPr>
        <w:ind w:left="420" w:right="420" w:hanging="212"/>
        <w:spacing w:after="0" w:line="28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accounting staff shared accounting system password information and access with an external consultant, who was not engaged through standard Company channels and subject to standard terms and conditions of engagement, who conducted standard accounting functions and had system administrator access.</w:t>
      </w:r>
    </w:p>
    <w:p>
      <w:pPr>
        <w:spacing w:after="0" w:line="110" w:lineRule="exact"/>
        <w:rPr>
          <w:rFonts w:ascii="Times New Roman" w:cs="Times New Roman" w:eastAsia="Times New Roman" w:hAnsi="Times New Roman"/>
          <w:sz w:val="12"/>
          <w:szCs w:val="12"/>
          <w:color w:val="auto"/>
        </w:rPr>
      </w:pPr>
    </w:p>
    <w:p>
      <w:pPr>
        <w:ind w:left="420" w:hanging="212"/>
        <w:spacing w:after="0" w:line="280" w:lineRule="auto"/>
        <w:tabs>
          <w:tab w:leader="none" w:pos="42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accounting staff, on several occasions, used passwords from other Company employees to enter data for approval on those employees’ behalf and then approved the resulting transactions in the accounting system, thereby circumventing controls over segregation of duties.</w:t>
      </w:r>
    </w:p>
    <w:p>
      <w:pPr>
        <w:spacing w:after="0" w:line="399"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awareness among accounting and information system employees of our existing password, data security and access, and accounting entry policies.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and implemented controls over system access and password assignments so that users cannot circumvent these controls.</w:t>
      </w:r>
    </w:p>
    <w:p>
      <w:pPr>
        <w:spacing w:after="0" w:line="150" w:lineRule="exact"/>
        <w:rPr>
          <w:rFonts w:ascii="Times New Roman" w:cs="Times New Roman" w:eastAsia="Times New Roman" w:hAnsi="Times New Roman"/>
          <w:sz w:val="12"/>
          <w:szCs w:val="12"/>
          <w:color w:val="auto"/>
        </w:rPr>
      </w:pPr>
    </w:p>
    <w:p>
      <w:pPr>
        <w:ind w:left="420" w:right="360" w:hanging="212"/>
        <w:spacing w:after="0" w:line="280" w:lineRule="auto"/>
        <w:tabs>
          <w:tab w:leader="none" w:pos="4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Changed our vendor approval and payment procedures so that accounting staff in relevant positions cannot engage or pay vendors without additional review and adherence to standard Company policies and provisions for engagement.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identified material weaknesses in internal control will not be considered fully remediated until sufficient time has elapsed to provide evidence that the new controls have been implemented and are operating effectively.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1380"/>
          </w:cols>
          <w:pgMar w:left="220" w:top="647" w:right="29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PART II—OTHER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 xml:space="preserve">On or about February 24, 2014, a former employee filed a class action in the Superior Court of the State of California, County of Orange, under the caption </w:t>
      </w:r>
      <w:r>
        <w:rPr>
          <w:rFonts w:ascii="Times New Roman" w:cs="Times New Roman" w:eastAsia="Times New Roman" w:hAnsi="Times New Roman"/>
          <w:sz w:val="12"/>
          <w:szCs w:val="12"/>
          <w:u w:val="single" w:color="auto"/>
          <w:color w:val="auto"/>
        </w:rPr>
        <w:t>Elliott Olvera, et al v. El Pollo Loco, Inc., et al</w:t>
      </w:r>
      <w:r>
        <w:rPr>
          <w:rFonts w:ascii="Times New Roman" w:cs="Times New Roman" w:eastAsia="Times New Roman" w:hAnsi="Times New Roman"/>
          <w:sz w:val="12"/>
          <w:szCs w:val="12"/>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parties executed a Stipulation of Class Settlement and Release which the court recently refused to approve on the grounds that it did not provide sufficient compensation for the putative class members. Further settlement discussions were not successful, and the litigation is moving forward with plaintiff’s class certification motion due to be filed September 1, 2017. Purported class actions alleging wage and hour violations are commonly filed against California employers. We have similar cases pending and fully expect to have to defend against similar lawsuits in the future.</w:t>
      </w:r>
    </w:p>
    <w:p>
      <w:pPr>
        <w:spacing w:after="0" w:line="12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1"/>
          <w:szCs w:val="11"/>
          <w:u w:val="single" w:color="auto"/>
          <w:color w:val="auto"/>
        </w:rPr>
        <w:t>Daniel Turocy, et al. v. El Pollo Loco Holdings, Inc., et al.</w:t>
      </w:r>
      <w:r>
        <w:rPr>
          <w:rFonts w:ascii="Times New Roman" w:cs="Times New Roman" w:eastAsia="Times New Roman" w:hAnsi="Times New Roman"/>
          <w:sz w:val="11"/>
          <w:szCs w:val="11"/>
          <w:color w:val="auto"/>
        </w:rPr>
        <w:t xml:space="preserve"> (Case No. 8:15-cv-01343) was filed in the United States District Court for the Central District of California on August 24, 2015, and </w:t>
      </w:r>
      <w:r>
        <w:rPr>
          <w:rFonts w:ascii="Times New Roman" w:cs="Times New Roman" w:eastAsia="Times New Roman" w:hAnsi="Times New Roman"/>
          <w:sz w:val="11"/>
          <w:szCs w:val="11"/>
          <w:u w:val="single" w:color="auto"/>
          <w:color w:val="auto"/>
        </w:rPr>
        <w:t>Ron Huston, et al. v. El Pollo Loco Holdings,</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Inc., et al.</w:t>
      </w:r>
      <w:r>
        <w:rPr>
          <w:rFonts w:ascii="Times New Roman" w:cs="Times New Roman" w:eastAsia="Times New Roman" w:hAnsi="Times New Roman"/>
          <w:sz w:val="11"/>
          <w:szCs w:val="11"/>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our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15"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2"/>
          <w:szCs w:val="12"/>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took the motion under submission, and the parties are waiting on the Court’s decision. Defendants intend to continue to defend against the claims asserted.</w:t>
      </w:r>
    </w:p>
    <w:p>
      <w:pPr>
        <w:spacing w:after="0" w:line="12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In addition, on September 16, 2015, Holdings and certain of its officers and directors received an informal, non-public inquiry from the SEC requesting voluntary production of documents and information. All parties cooperated fully with the SEC's request. On July 15, 2016, Holdings was informed that the SEC was closing its inquiry as to all parties.</w:t>
      </w:r>
    </w:p>
    <w:p>
      <w:pPr>
        <w:spacing w:after="0" w:line="11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2"/>
          <w:szCs w:val="12"/>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Times New Roman" w:cs="Times New Roman" w:eastAsia="Times New Roman" w:hAnsi="Times New Roman"/>
          <w:sz w:val="12"/>
          <w:szCs w:val="12"/>
          <w:u w:val="single" w:color="auto"/>
          <w:color w:val="auto"/>
        </w:rPr>
        <w:t>Armen Galustyan v. Sather, et al.</w:t>
      </w:r>
      <w:r>
        <w:rPr>
          <w:rFonts w:ascii="Times New Roman" w:cs="Times New Roman" w:eastAsia="Times New Roman" w:hAnsi="Times New Roman"/>
          <w:sz w:val="12"/>
          <w:szCs w:val="12"/>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Times New Roman" w:cs="Times New Roman" w:eastAsia="Times New Roman" w:hAnsi="Times New Roman"/>
          <w:sz w:val="12"/>
          <w:szCs w:val="12"/>
          <w:u w:val="single" w:color="auto"/>
          <w:color w:val="auto"/>
        </w:rPr>
        <w:t>Turocy v. El Pollo Loco Holdings, Inc</w:t>
      </w:r>
      <w:r>
        <w:rPr>
          <w:rFonts w:ascii="Times New Roman" w:cs="Times New Roman" w:eastAsia="Times New Roman" w:hAnsi="Times New Roman"/>
          <w:sz w:val="12"/>
          <w:szCs w:val="12"/>
          <w:color w:val="auto"/>
        </w:rPr>
        <w:t xml:space="preserve">., discussed above. A second purported Holdings shareholder filed a derivative complaint on or about September 23, 2016, under the caption </w:t>
      </w:r>
      <w:r>
        <w:rPr>
          <w:rFonts w:ascii="Times New Roman" w:cs="Times New Roman" w:eastAsia="Times New Roman" w:hAnsi="Times New Roman"/>
          <w:sz w:val="12"/>
          <w:szCs w:val="12"/>
          <w:u w:val="single" w:color="auto"/>
          <w:color w:val="auto"/>
        </w:rPr>
        <w:t>Diep v. Sather</w:t>
      </w:r>
      <w:r>
        <w:rPr>
          <w:rFonts w:ascii="Times New Roman" w:cs="Times New Roman" w:eastAsia="Times New Roman" w:hAnsi="Times New Roman"/>
          <w:sz w:val="12"/>
          <w:szCs w:val="12"/>
          <w:color w:val="auto"/>
        </w:rPr>
        <w:t>, CA 12760-</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440"/>
          </w:cols>
          <w:pgMar w:left="220" w:top="43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color w:val="auto"/>
        </w:rPr>
        <w:t xml:space="preserve">VCL in the Delaware Court of Chancery.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 is also purportedly brought on behalf of Holdings, names the same defendants and asserts substantially the same claims on substantially the same alleged facts as does </w:t>
      </w:r>
      <w:r>
        <w:rPr>
          <w:rFonts w:ascii="Times New Roman" w:cs="Times New Roman" w:eastAsia="Times New Roman" w:hAnsi="Times New Roman"/>
          <w:sz w:val="12"/>
          <w:szCs w:val="12"/>
          <w:u w:val="single" w:color="auto"/>
          <w:color w:val="auto"/>
        </w:rPr>
        <w:t>Galustyan</w:t>
      </w:r>
      <w:r>
        <w:rPr>
          <w:rFonts w:ascii="Times New Roman" w:cs="Times New Roman" w:eastAsia="Times New Roman" w:hAnsi="Times New Roman"/>
          <w:sz w:val="12"/>
          <w:szCs w:val="12"/>
          <w:color w:val="auto"/>
        </w:rPr>
        <w: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Defendants moved to stay or dismiss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w:t>
      </w:r>
    </w:p>
    <w:p>
      <w:pPr>
        <w:spacing w:after="0" w:line="139"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2"/>
          <w:szCs w:val="12"/>
          <w:color w:val="auto"/>
        </w:rPr>
        <w:t xml:space="preserve">On March 17, 2017, the Delaware court granted in part, and denied in part, the motion to stay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 The court denied defendants' motion to dismiss the complaint for failure to state a claim. No trial date for the </w:t>
      </w:r>
      <w:r>
        <w:rPr>
          <w:rFonts w:ascii="Times New Roman" w:cs="Times New Roman" w:eastAsia="Times New Roman" w:hAnsi="Times New Roman"/>
          <w:sz w:val="12"/>
          <w:szCs w:val="12"/>
          <w:u w:val="single" w:color="auto"/>
          <w:color w:val="auto"/>
        </w:rPr>
        <w:t>Diep</w:t>
      </w:r>
      <w:r>
        <w:rPr>
          <w:rFonts w:ascii="Times New Roman" w:cs="Times New Roman" w:eastAsia="Times New Roman" w:hAnsi="Times New Roman"/>
          <w:sz w:val="12"/>
          <w:szCs w:val="12"/>
          <w:color w:val="auto"/>
        </w:rPr>
        <w:t xml:space="preserve"> action has been set.</w:t>
      </w:r>
    </w:p>
    <w:p>
      <w:pPr>
        <w:spacing w:after="0" w:line="110"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2"/>
          <w:szCs w:val="12"/>
          <w:color w:val="auto"/>
        </w:rPr>
        <w:t>We are also involved in various other claims and legal actions that arise in the ordinary course of business. We do not believe that the ultimate resolution of these other actions will have a material adverse effect on our financial position, results of operations, liquidity, or capital resources. A significant increase in the number of claims, or an increase in amounts owing under successful claims, could materially and adversely affect our business, financial condition, results of operations, and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82" w:lineRule="exact"/>
        <w:rPr>
          <w:sz w:val="20"/>
          <w:szCs w:val="20"/>
          <w:color w:val="auto"/>
        </w:rPr>
      </w:pPr>
    </w:p>
    <w:p>
      <w:pPr>
        <w:ind w:right="140"/>
        <w:spacing w:after="0" w:line="280" w:lineRule="auto"/>
        <w:rPr>
          <w:sz w:val="20"/>
          <w:szCs w:val="20"/>
          <w:color w:val="auto"/>
        </w:rPr>
      </w:pPr>
      <w:r>
        <w:rPr>
          <w:rFonts w:ascii="Times New Roman" w:cs="Times New Roman" w:eastAsia="Times New Roman" w:hAnsi="Times New Roman"/>
          <w:sz w:val="12"/>
          <w:szCs w:val="12"/>
          <w:color w:val="auto"/>
        </w:rPr>
        <w:t>There have been no material changes from the risk factors previously disclosed in our annual report on Form 10-K for the year ended December 28, 2016, except for (i) the addition of the two risk factors that immediately follow, and (ii) the revision of the risk factors that follow them, which are revised and restated in their entirety.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process of finding a new CEO may negatively affect our business.</w:t>
      </w:r>
    </w:p>
    <w:p>
      <w:pPr>
        <w:spacing w:after="0" w:line="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On March 7, 2017, Steve Sather, our President and Chief Executive Officer, informed our board that he intends to retire on or before December 31, 2017, subject to the Company hiring his replacement. At this time, Mr. Sather retains his positions while a search for his successor is underway. As President and CEO, Mr. Sather is responsible for the general supervision of our business. Turnover in the CEO position could lead to operational or strategic uncertainty or inefficiency, or increased turnover among managers and executives, or among employees generally, affecting our operations and performance. Such effects could occur before Mr. Sather retires, after his successor’s tenure begins, and during any gap between the two. Similarly, a new CEO may require time to become familiar with our business and during this period his or her lack of familiarity with our organization could pose an impediment to the efficient operation of our business and the development and execution of our business strategy. We are not guaranteed to be able to find a replacement with suitable skills and personality promptly and for an amount of compensation that we consider appropriate. Compensation for a new CEO may include equity grants, which may result in dilution to shareholders. We have not contemplated the terms of any such awards. Any successor may be less effective than Mr. Sather, or change our Company’s direction, and any such changes could be disruptive or unsuccessful. Additionally, any retirement agreements that we may enter into with Mr. Sather may provide certain compensation or benefits that may be material, but we have not yet resolved the terms of such agreements, if any.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Continued noncompliance with NASDAQ listing standards could lead to the delisting of our common stock.</w:t>
      </w:r>
    </w:p>
    <w:p>
      <w:pPr>
        <w:spacing w:after="0" w:line="8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NASDAQ rules require a majority-independent board. On March 29, 2017, Douglas K. Ammerman resigned from our board. Because of Mr. Ammerman’s resignation, currently, only four of the Company’s eight directors qualify as independent. Therefore, the Company is relying on the NASDAQ’s cure period to regain compliance. The Company expects the cure period to run through September 25, 2017. If the Company were to fail to regain compliance by that date, the NASDAQ could move to delist the Company’s common stock. Any delisting proceedings, or delisting itself, could severely impair our stock’s price and liquidity. Future resignations of other additional independent directors could result in further breaches of NASDAQ listing standards relating to board or committee independence or number of members and could increase the time required to return to compliance.</w:t>
      </w:r>
    </w:p>
    <w:p>
      <w:pPr>
        <w:spacing w:after="0" w:line="191"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Our growth strategy depends in part on opening new restaurants in existing and new markets and expanding our franchise system. We may be unsuccessful in opening new company-operated or franchised restaurants or in establishing new markets, which could adversely affect our growth.</w:t>
      </w:r>
    </w:p>
    <w:p>
      <w:pPr>
        <w:spacing w:after="0" w:line="34"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2"/>
          <w:szCs w:val="12"/>
          <w:color w:val="auto"/>
        </w:rPr>
        <w:t>One of the key means to achieving our growth strategy is and will be through opening new restaurants and operating those restaurants on a profitable basis. We opened 18 new company-operated restaurants in fiscal 2016 and plan to open an estimated 17 to 19 in fiscal 2017. Our franchisees opened 13 new restaurants in fiscal 2016 and plan to open 9 to 11 in fiscal 2017. The ability to open new restaurants is dependent upon a number of factors, many of which are beyond our control, including our and our franchisees’ abilities to:</w:t>
      </w:r>
    </w:p>
    <w:p>
      <w:pPr>
        <w:spacing w:after="0" w:line="47"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available and suitable restaurant sites;</w:t>
      </w:r>
    </w:p>
    <w:p>
      <w:pPr>
        <w:spacing w:after="0" w:line="7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compete for restaurant sites;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1460"/>
          </w:cols>
          <w:pgMar w:left="220" w:top="579" w:right="219" w:bottom="1440" w:gutter="0" w:footer="0" w:header="0"/>
        </w:sectPr>
      </w:pPr>
    </w:p>
    <w:bookmarkStart w:id="37" w:name="page38"/>
    <w:bookmarkEnd w:id="37"/>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reach acceptable agreements regarding the lease or purchase of locations;</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or have available the financing required to acquire and operate a restaurant, including construction and opening costs;</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respond to unforeseen engineering or environmental problems with leased premises;</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avoid the impact of inclement weather and natural and man-made disasters;</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hire, train, and retain the skilled management and other employees necessary to meet staffing needs;</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in a timely manner and for an acceptable cost, required licenses, permits, and regulatory approvals;</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respond effectively to any changes in local, state, and federal law and regulations that adversely affect our and our franchisees’ costs or abilities to open new restaurants; and</w:t>
      </w:r>
    </w:p>
    <w:p>
      <w:pPr>
        <w:spacing w:after="0" w:line="78"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control construction and equipment cost increases for new restaurants.</w:t>
      </w:r>
    </w:p>
    <w:p>
      <w:pPr>
        <w:spacing w:after="0" w:line="78" w:lineRule="exact"/>
        <w:rPr>
          <w:sz w:val="20"/>
          <w:szCs w:val="20"/>
          <w:color w:val="auto"/>
        </w:rPr>
      </w:pPr>
    </w:p>
    <w:p>
      <w:pPr>
        <w:ind w:left="8" w:right="240"/>
        <w:spacing w:after="0" w:line="280" w:lineRule="auto"/>
        <w:rPr>
          <w:sz w:val="20"/>
          <w:szCs w:val="20"/>
          <w:color w:val="auto"/>
        </w:rPr>
      </w:pPr>
      <w:r>
        <w:rPr>
          <w:rFonts w:ascii="Times New Roman" w:cs="Times New Roman" w:eastAsia="Times New Roman" w:hAnsi="Times New Roman"/>
          <w:sz w:val="12"/>
          <w:szCs w:val="12"/>
          <w:color w:val="auto"/>
        </w:rPr>
        <w:t>There is no guarantee that a sufficient number of suitable restaurant sites will be available in desirable areas or on terms that are acceptable to us in order to achieve our growth plan. If we are unable to open new restaurants or sign new franchisees, or if restaurant openings are significantly delayed, our earnings or revenue growth and our business could be materially and adversely affected, as we expect a portion of our growth to come from new locations.</w:t>
      </w:r>
    </w:p>
    <w:p>
      <w:pPr>
        <w:spacing w:after="0" w:line="38" w:lineRule="exact"/>
        <w:rPr>
          <w:sz w:val="20"/>
          <w:szCs w:val="20"/>
          <w:color w:val="auto"/>
        </w:rPr>
      </w:pPr>
    </w:p>
    <w:p>
      <w:pPr>
        <w:ind w:left="8" w:right="600"/>
        <w:spacing w:after="0" w:line="283" w:lineRule="auto"/>
        <w:rPr>
          <w:sz w:val="20"/>
          <w:szCs w:val="20"/>
          <w:color w:val="auto"/>
        </w:rPr>
      </w:pPr>
      <w:r>
        <w:rPr>
          <w:rFonts w:ascii="Times New Roman" w:cs="Times New Roman" w:eastAsia="Times New Roman" w:hAnsi="Times New Roman"/>
          <w:sz w:val="11"/>
          <w:szCs w:val="11"/>
          <w:color w:val="auto"/>
        </w:rPr>
        <w:t>As part of our longer-term growth strategy, we may enter into geographic markets in which we have little or no prior operating or franchising experience, through company-operated restaurant growth and franchise development agreements. The challenges of entering new markets include (i) difficulties in hiring experienced personnel, (ii) unfamiliarity with local real estate markets and demographics, (iii) consumer unfamiliarity with our brand, and</w:t>
      </w:r>
    </w:p>
    <w:p>
      <w:pPr>
        <w:spacing w:after="0" w:line="1" w:lineRule="exact"/>
        <w:rPr>
          <w:sz w:val="20"/>
          <w:szCs w:val="20"/>
          <w:color w:val="auto"/>
        </w:rPr>
      </w:pPr>
    </w:p>
    <w:p>
      <w:pPr>
        <w:ind w:left="8" w:right="320" w:hanging="8"/>
        <w:spacing w:after="0" w:line="253" w:lineRule="auto"/>
        <w:tabs>
          <w:tab w:leader="none" w:pos="211"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and economic conditions, consumer tastes, and discretionary spending patterns that are different from and more difficult to predict or satisfy than in our existing markets. Consumer recognition of our brand has been important for our success in our existing markets. In addition, restaurants that we open in new markets may take longer to reach expected sales and profit levels on a consistent basis, and may have higher construction, occupancy, and operating costs, than restaurants that we open in existing markets, thereby affecting our overall profitability. Any failure on our part to recognize or respond to these challenges may adversely affect the success of any new restaurants. Expanding our franchise system could require the implementation, expense, and successful management of enhanced business support systems, management information systems, and financial controls, as well as additional staffing, franchise support, and capital expenditures and working capital.</w:t>
      </w:r>
    </w:p>
    <w:p>
      <w:pPr>
        <w:spacing w:after="0" w:line="54" w:lineRule="exact"/>
        <w:rPr>
          <w:sz w:val="20"/>
          <w:szCs w:val="20"/>
          <w:color w:val="auto"/>
        </w:rPr>
      </w:pPr>
    </w:p>
    <w:p>
      <w:pPr>
        <w:ind w:left="8" w:right="180"/>
        <w:spacing w:after="0" w:line="280" w:lineRule="auto"/>
        <w:rPr>
          <w:sz w:val="20"/>
          <w:szCs w:val="20"/>
          <w:color w:val="auto"/>
        </w:rPr>
      </w:pPr>
      <w:r>
        <w:rPr>
          <w:rFonts w:ascii="Times New Roman" w:cs="Times New Roman" w:eastAsia="Times New Roman" w:hAnsi="Times New Roman"/>
          <w:sz w:val="12"/>
          <w:szCs w:val="12"/>
          <w:color w:val="auto"/>
        </w:rPr>
        <w:t>At the end of fiscal 2009, we had 21 system-wide restaurants, all originally developed by franchisees, open east of the Rocky Mountains. However, by 2012, all of these restaurants had been closed. We may encounter similar issues with our current growth strategy, which could materially and adversely affect our business, financial condition, results of operations, and cash flow.</w:t>
      </w:r>
    </w:p>
    <w:p>
      <w:pPr>
        <w:spacing w:after="0" w:line="38" w:lineRule="exact"/>
        <w:rPr>
          <w:sz w:val="20"/>
          <w:szCs w:val="20"/>
          <w:color w:val="auto"/>
        </w:rPr>
      </w:pPr>
    </w:p>
    <w:p>
      <w:pPr>
        <w:ind w:left="8" w:right="80"/>
        <w:spacing w:after="0" w:line="280" w:lineRule="auto"/>
        <w:rPr>
          <w:sz w:val="20"/>
          <w:szCs w:val="20"/>
          <w:color w:val="auto"/>
        </w:rPr>
      </w:pPr>
      <w:r>
        <w:rPr>
          <w:rFonts w:ascii="Times New Roman" w:cs="Times New Roman" w:eastAsia="Times New Roman" w:hAnsi="Times New Roman"/>
          <w:sz w:val="12"/>
          <w:szCs w:val="12"/>
          <w:color w:val="auto"/>
        </w:rPr>
        <w:t>Due to brand recognition and logistical synergies, as part of our growth strategy, we also intend to open new restaurants in areas where we have existing restaurants. The operating results and comparable restaurant sales for our restaurants could be adversely affected due to increasing proximity among our restaurants and due to market saturation.</w:t>
      </w:r>
    </w:p>
    <w:p>
      <w:pPr>
        <w:spacing w:after="0" w:line="38" w:lineRule="exact"/>
        <w:rPr>
          <w:sz w:val="20"/>
          <w:szCs w:val="20"/>
          <w:color w:val="auto"/>
        </w:rPr>
      </w:pPr>
    </w:p>
    <w:p>
      <w:pPr>
        <w:ind w:left="8"/>
        <w:spacing w:after="0" w:line="255" w:lineRule="auto"/>
        <w:rPr>
          <w:sz w:val="20"/>
          <w:szCs w:val="20"/>
          <w:color w:val="auto"/>
        </w:rPr>
      </w:pPr>
      <w:r>
        <w:rPr>
          <w:rFonts w:ascii="Times New Roman" w:cs="Times New Roman" w:eastAsia="Times New Roman" w:hAnsi="Times New Roman"/>
          <w:sz w:val="12"/>
          <w:szCs w:val="12"/>
          <w:color w:val="auto"/>
        </w:rPr>
        <w:t>During fiscal 2016, we determined that the carrying value of the assets of nine restaurants, in Arizona, California and Texas, may not be recoverable. As a result, we recorded a $8.3 million expense related to the impairment of the assets of the nine restaurants. In addition, during the thirteen and twenty-six weeks ended June 28, 2017, the Company recorded a non-cash impairment charge of $0.4 million related to the assets of one restaurant in Texas. We continue to monitor the recoverability of the carrying value of the assets of several other restaurants. In particular, most of the Company’s (and its franchisees’) restaurants in Texas have opened since the beginning of 2015, and many since the beginning of 2016. Accordingly, given the difficulty in projecting results for newer restaurants in newer markets, the Company intends to continue to monitor the performance of its Texas portfolio. Based on most recent results, if the management plans to improve profitability are not successful, future significant impairment to the Company’s assets may occur as a result of the performance of these restaurants and the related future cash flow assumptions over the remaining lease term. The combined carrying values of the restaurants in Texas is $28.4 million as of June 28, 2017. This number only applies to our current company-operated Texas portfolio. Asset impairments outside of Texas, or impairments to new units or future capital expenditures could present additional exposure. Closures could also require additional expenditures. Furthermore, franchised unit closings could result in the loss of franchise revenue and have other adverse effects on us.</w:t>
      </w:r>
    </w:p>
    <w:p>
      <w:pPr>
        <w:spacing w:after="0" w:line="55" w:lineRule="exact"/>
        <w:rPr>
          <w:sz w:val="20"/>
          <w:szCs w:val="20"/>
          <w:color w:val="auto"/>
        </w:rPr>
      </w:pPr>
    </w:p>
    <w:p>
      <w:pPr>
        <w:ind w:left="8" w:right="100"/>
        <w:spacing w:after="0" w:line="265" w:lineRule="auto"/>
        <w:rPr>
          <w:sz w:val="20"/>
          <w:szCs w:val="20"/>
          <w:color w:val="auto"/>
        </w:rPr>
      </w:pPr>
      <w:r>
        <w:rPr>
          <w:rFonts w:ascii="Times New Roman" w:cs="Times New Roman" w:eastAsia="Times New Roman" w:hAnsi="Times New Roman"/>
          <w:sz w:val="12"/>
          <w:szCs w:val="12"/>
          <w:color w:val="auto"/>
        </w:rPr>
        <w:t>Our growth depends on maintaining amicable relations with our franchisees. If our relations with existing or potential franchisees deteriorate, restaurant performance and our development pipeline could suffer. Additionally, our franchisee relationships are contractual in nature, and are comprised of mutual obligations. If contracts or contractual provisions between us and our franchisees are violated by either party, legally or practically unenforceable, or judicially voided, whether with respect to one, more than one, or all of our franchisees, restaurant performance and our development pipeline could suffer. In</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1488"/>
          </w:cols>
          <w:pgMar w:left="212" w:top="507" w:right="199" w:bottom="1440" w:gutter="0" w:footer="0" w:header="0"/>
        </w:sectPr>
      </w:pPr>
    </w:p>
    <w:bookmarkStart w:id="38" w:name="page39"/>
    <w:bookmarkEnd w:id="38"/>
    <w:p>
      <w:pPr>
        <w:ind w:right="20"/>
        <w:spacing w:after="0" w:line="280" w:lineRule="auto"/>
        <w:rPr>
          <w:sz w:val="20"/>
          <w:szCs w:val="20"/>
          <w:color w:val="auto"/>
        </w:rPr>
      </w:pPr>
      <w:r>
        <w:rPr>
          <w:rFonts w:ascii="Times New Roman" w:cs="Times New Roman" w:eastAsia="Times New Roman" w:hAnsi="Times New Roman"/>
          <w:sz w:val="12"/>
          <w:szCs w:val="12"/>
          <w:color w:val="auto"/>
        </w:rPr>
        <w:t>particular, we rely on non-compete, territorial exclusivity, and other development-related provisions to provide stability to our franchisee network. For example, we are litigating with a franchisee who is challenging the enforceability of the territorial exclusivity clause in the franchise agreement. Although we think that this lawsuit is immaterial, if this or similar clauses were held unenforceable, we and other franchisors could be materially negatively impacted.</w:t>
      </w:r>
    </w:p>
    <w:p>
      <w:pPr>
        <w:spacing w:after="0" w:line="178"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We may not be able to compete successfully with other quick-service and fast casual restaurants. Intense competition in the restaurant industry could make it more difficult to expand our business, and could also have a negative impact on our operating results, if customers favor our competitors or if we are forced to change our pricing and other marketing strategies.</w:t>
      </w:r>
    </w:p>
    <w:p>
      <w:pPr>
        <w:spacing w:after="0" w:line="17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2"/>
          <w:szCs w:val="12"/>
          <w:color w:val="auto"/>
        </w:rPr>
        <w:t>The food service industry, and particularly its quick-service and fast casual segments, is intensely competitive. In addition, the greater Los Angeles area, the primary market in which we compete, consists of what we believe to be the most competitive Mexican-inspired quick-service and fast casual market in the United States. We expect competition in this market and in each of our other markets to continue to be intense, because consumer trends are favoring limited service restaurants that offer healthier menu items made with better-quality products, and many limited service restaurants are responding to these trends. Competition in our industry is primarily based on price, convenience, quality of service, brand recognition, restaurant location, and type and quality of food. If our company-operated and franchised restaurants cannot compete successfully with other quick-service and fast casual restaurants in new and existing markets, we could lose customers and our revenue could decline. Our company-operated and franchised restaurants compete with national and regional quick-service and fast casual restaurant chains for customers, restaurant locations, and qualified management and other staff. Compared with us, some of our competitors have substantially greater financial and other resources, have been in business longer, have greater brand recognition, or are better-established in the markets where our restaurants are located or are planned to be located. These competitive factors are particularly applicable in markets in which we have expanded relatively rapidly and relatively recently, such as Texas. Any of these competitive factors may materially and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limited control with respect to the operations of our franchisees, which could have a negative impact on our business.</w:t>
      </w:r>
    </w:p>
    <w:p>
      <w:pPr>
        <w:spacing w:after="0" w:line="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Franchisees are independent business operators. They are not our employees, and we do not exercise control over the day-to-day operations of their restaurants. We provide training and support to franchisees, and set and monitor operational standards, but the quality of franchised restaurants may be diminished by any number of factors beyond our control. Consequently, franchisees may fail to operate their restaurants in fashions consistent with our standards and requirements, or to hire and train qualified managers and other restaurant personnel. If franchisees do not operate to our expectations, our image and reputation, and the images and reputations of other franchisees, may suffer materially, and system-wide sales could decline significantly.</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2"/>
          <w:szCs w:val="12"/>
          <w:color w:val="auto"/>
        </w:rPr>
        <w:t>Franchisees, as independent business operators, may from time to time disagree with us and our strategies regarding the business or our interpretation of our respective rights and obligations under the franchise agreement. Disagreement may lead to disputes with our franchisees, and we expect such disputes to occur from time to time as we continue to offer franchises. To the extent that we have such disputes, the attention, time, and financial resources of our management and our franchisees will be diverted from our restaurants, which could have a material adverse effect on our business, financial condition, results of operations, and cash flows. For example, we are litigating with a franchisee who is challenging the enforceability of the territorial exclusivity clause in the franchise agreement. Although we think that this lawsuit is immaterial, if this or similar clauses were held unenforceable, we and other franchisors could be materially negatively impacted.</w:t>
      </w:r>
    </w:p>
    <w:p>
      <w:pPr>
        <w:spacing w:after="0" w:line="51"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Disputes between us and our franchisees, whether in court or otherwise, could relate to either party’s violation of its contractual obligations. Unfavorable judgments or settlements relating to franchisee disputes could result in monetary or injunctive relief against us, including the voiding of non-compete, territorial exclusivity, or other development-related provisions upon which we rely. Even our success in franchisee disputes could damage our franchisees’ finances or operations, or our relationships with them.</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Information technology system failures or breaches of our network security could interrupt our operations and adversely affect our business.</w:t>
      </w:r>
    </w:p>
    <w:p>
      <w:pPr>
        <w:spacing w:after="0" w:line="8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We rely on our computer systems and network infrastructure across our operations, including point-of-sale processing at our restaurants. Our operations depend upon our ability to protect our computer equipment and systems against damage from physical theft, fire, power loss, telecommunications failure, and other catastrophic events, as well as from internal and external security breaches, viruses, and other disruptive problems. Any damage or failure of our computer systems or network infrastructure that causes an interruption in our operations could have a material adverse effect on our business and subject us to litigation or to actions by regulatory authorities. Moreover, these systems, infrastructures, and operations rely upon third-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1480"/>
          </w:cols>
          <w:pgMar w:left="220" w:top="507" w:right="199" w:bottom="1440" w:gutter="0" w:footer="0" w:header="0"/>
        </w:sectPr>
      </w:pPr>
    </w:p>
    <w:bookmarkStart w:id="39" w:name="page40"/>
    <w:bookmarkEnd w:id="39"/>
    <w:p>
      <w:pPr>
        <w:ind w:right="160"/>
        <w:spacing w:after="0" w:line="280" w:lineRule="auto"/>
        <w:rPr>
          <w:sz w:val="20"/>
          <w:szCs w:val="20"/>
          <w:color w:val="auto"/>
        </w:rPr>
      </w:pPr>
      <w:r>
        <w:rPr>
          <w:rFonts w:ascii="Times New Roman" w:cs="Times New Roman" w:eastAsia="Times New Roman" w:hAnsi="Times New Roman"/>
          <w:sz w:val="12"/>
          <w:szCs w:val="12"/>
          <w:color w:val="auto"/>
        </w:rPr>
        <w:t>party software and vendors, and we may therefore have a limited ability to guard against, learn about, or remedy problems that could harm us, including bugs and glitches, system outages, and hacks that exploit security vulnerabilities to steal or ransom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protect our customers’ payment method data, we could be exposed to data loss, litigation, liability, and reputational damage</w:t>
      </w:r>
      <w:r>
        <w:rPr>
          <w:rFonts w:ascii="Times New Roman" w:cs="Times New Roman" w:eastAsia="Times New Roman" w:hAnsi="Times New Roman"/>
          <w:sz w:val="12"/>
          <w:szCs w:val="12"/>
          <w:color w:val="auto"/>
        </w:rPr>
        <w: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(Formerly: If we are unable to protect our customers’ credit and debit card data, we could be exposed to data loss, litigation, liability, and reputational damage.)</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We accept electronic payment cards from our customers in our restaurants. For the fiscal year ended December 28, 2016, approximately 51% of our sales were attributable to credit/debit card transactions, and credit/debit card usage could continue to increase. A number of restaurant operators and retailers have experienced actual or potential security breaches in which credit/debit card information may have been stolen. While we have taken reasonable steps to prevent the occurrence of security breaches in this respect, we may in the future become subject to claims for purportedly fraudulent transactions arising out of the actual or alleged theft of credit/debit card information, and we may also be subject to lawsuits or other proceedings in the future relating to these types of incidents. Proceedings related to theft of credit/debit card information may be brought by payment card providers, banks, and credit unions that issue cards, cardholders (either individually or as part of a class action lawsuit), and federal and state regulators. Any such proceedings could distract our management team members from running our business and cause us to incur significant unplanned losses and expenses.</w:t>
      </w:r>
    </w:p>
    <w:p>
      <w:pPr>
        <w:spacing w:after="0" w:line="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We also sell and accept for payment El Pollo Loco gift cards, and our loyalty rewards program provides points that can be redeemed for purchases. Like credit and debit cards, gift cards and rewards points are vulnerable to theft, whether physical or electronic. We believe that our gift cards are primarily vulnerable to physical theft, as we have implemented gift card policies such as requiring a physical card to be presented when redeeming value from a gift card; however, there could be instances of non-compliance with these policies. We believe that, due to their electronic nature, rewards points are primarily vulnerable to hacking. Customers affected by any loss of data or funds could litigate against us, and security breaches or even unsuccessful attempts at hacking could harm our reputation, and guarding against or responding to hacks could require significant time and resources.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2"/>
          <w:szCs w:val="12"/>
          <w:color w:val="auto"/>
        </w:rPr>
        <w:t>We also receive and maintain certain personal information about our customers and team members. The use of this information by us is regulated at the federal and state levels. If our security and information systems are compromised or our team members fail to comply with these laws and regulations and this information is obtained by unauthorized persons or used inappropriately, it could adversely affect our reputation, as well as the results of operations, and could result in litigation against us or the imposition of penalties. In addition, our ability to accept credit/debit cards as payment in our restaurants and online depends on us maintaining our compliance status with standards set by the PCI Security Standards Council. These standards, set by a consortium of the major credit card companies, require certain levels of system security and procedures to protect our customers’ credit/debit card information as well as other personal information. Privacy and information security laws and regulations change over time, and compliance with those changes may result in cost increases due to necessary system and process changes.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1480"/>
          </w:cols>
          <w:pgMar w:left="220" w:top="507" w:right="199" w:bottom="1440" w:gutter="0" w:footer="0" w:header="0"/>
        </w:sectPr>
      </w:pPr>
    </w:p>
    <w:bookmarkStart w:id="40" w:name="page41"/>
    <w:bookmarkEnd w:id="40"/>
    <w:p>
      <w:pPr>
        <w:ind w:left="8"/>
        <w:spacing w:after="0"/>
        <w:rPr>
          <w:sz w:val="20"/>
          <w:szCs w:val="20"/>
          <w:color w:val="auto"/>
        </w:rPr>
      </w:pPr>
      <w:r>
        <w:rPr>
          <w:rFonts w:ascii="Times New Roman" w:cs="Times New Roman" w:eastAsia="Times New Roman" w:hAnsi="Times New Roman"/>
          <w:sz w:val="12"/>
          <w:szCs w:val="12"/>
          <w:b w:val="1"/>
          <w:bCs w:val="1"/>
          <w:color w:val="auto"/>
        </w:rPr>
        <w:t>Exhibit Index</w:t>
      </w:r>
    </w:p>
    <w:p>
      <w:pPr>
        <w:spacing w:after="0" w:line="104" w:lineRule="exact"/>
        <w:rPr>
          <w:sz w:val="20"/>
          <w:szCs w:val="20"/>
          <w:color w:val="auto"/>
        </w:rPr>
      </w:pPr>
    </w:p>
    <w:tbl>
      <w:tblPr>
        <w:tblLayout w:type="fixed"/>
        <w:tblInd w:w="28" w:type="dxa"/>
        <w:tblCellMar>
          <w:top w:w="0" w:type="dxa"/>
          <w:left w:w="0" w:type="dxa"/>
          <w:bottom w:w="0" w:type="dxa"/>
          <w:right w:w="0" w:type="dxa"/>
        </w:tblCellMar>
      </w:tblPr>
      <w:tr>
        <w:trPr>
          <w:trHeight w:val="115"/>
        </w:trPr>
        <w:tc>
          <w:tcPr>
            <w:tcW w:w="114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Number</w:t>
            </w:r>
          </w:p>
        </w:tc>
        <w:tc>
          <w:tcPr>
            <w:tcW w:w="76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Description</w:t>
            </w:r>
          </w:p>
        </w:tc>
      </w:tr>
      <w:tr>
        <w:trPr>
          <w:trHeight w:val="20"/>
        </w:trPr>
        <w:tc>
          <w:tcPr>
            <w:tcW w:w="3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10-29*</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Employee Confidentiality, Non-Solicitation and Inventions Agreement, dated May 18, 2017, between El Pollo Loco, Inc., and Gustavo Siade</w:t>
            </w:r>
          </w:p>
        </w:tc>
      </w:tr>
      <w:tr>
        <w:trPr>
          <w:trHeight w:val="29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31.1</w:t>
            </w:r>
          </w:p>
        </w:tc>
        <w:tc>
          <w:tcPr>
            <w:tcW w:w="8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Certification of Principal Executive Officer under section 302 of the Sarbanes–Oxley Act of 2002</w:t>
            </w:r>
          </w:p>
        </w:tc>
      </w:tr>
      <w:tr>
        <w:trPr>
          <w:trHeight w:val="297"/>
        </w:trPr>
        <w:tc>
          <w:tcPr>
            <w:tcW w:w="300" w:type="dxa"/>
            <w:vAlign w:val="bottom"/>
          </w:tcPr>
          <w:p>
            <w:pPr>
              <w:spacing w:after="0"/>
              <w:rPr>
                <w:sz w:val="20"/>
                <w:szCs w:val="20"/>
                <w:color w:val="auto"/>
              </w:rPr>
            </w:pPr>
            <w:r>
              <w:rPr>
                <w:rFonts w:ascii="Times New Roman" w:cs="Times New Roman" w:eastAsia="Times New Roman" w:hAnsi="Times New Roman"/>
                <w:sz w:val="12"/>
                <w:szCs w:val="12"/>
                <w:color w:val="auto"/>
              </w:rPr>
              <w:t>31.2</w:t>
            </w:r>
          </w:p>
        </w:tc>
        <w:tc>
          <w:tcPr>
            <w:tcW w:w="840" w:type="dxa"/>
            <w:vAlign w:val="bottom"/>
          </w:tcPr>
          <w:p>
            <w:pPr>
              <w:spacing w:after="0"/>
              <w:rPr>
                <w:sz w:val="24"/>
                <w:szCs w:val="24"/>
                <w:color w:val="auto"/>
              </w:rPr>
            </w:pP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Certification of Principal Financial Officer under section 302 of the Sarbanes–Oxley Act of 2002</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32.1**</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Certification of Chief Executive Officer and Chief Financial Officer under 18 U.S.C. section 1350, adopted by section 906 of the Sarbanes–Oxley Act of 2002</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101.INS</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Instance Document</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101.SCH</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Schema Document</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101.CAL</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Calculation Linkbase Document</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101.DEF</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Definition Linkbase Document</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101.LAB</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Label Linkbase Document</w:t>
            </w:r>
          </w:p>
        </w:tc>
      </w:tr>
      <w:tr>
        <w:trPr>
          <w:trHeight w:val="297"/>
        </w:trPr>
        <w:tc>
          <w:tcPr>
            <w:tcW w:w="1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101.PRE</w:t>
            </w:r>
          </w:p>
        </w:tc>
        <w:tc>
          <w:tcPr>
            <w:tcW w:w="76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XBRL Taxonomy Extension Presentation Linkbase Document</w:t>
            </w:r>
          </w:p>
        </w:tc>
      </w:tr>
    </w:tbl>
    <w:p>
      <w:pPr>
        <w:spacing w:after="0" w:line="151" w:lineRule="exact"/>
        <w:rPr>
          <w:sz w:val="20"/>
          <w:szCs w:val="20"/>
          <w:color w:val="auto"/>
        </w:rPr>
      </w:pPr>
    </w:p>
    <w:p>
      <w:pPr>
        <w:ind w:left="428" w:hanging="428"/>
        <w:spacing w:after="0"/>
        <w:tabs>
          <w:tab w:leader="none" w:pos="42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exhibit is a management contract or a compensatory plan or arrangement.</w:t>
      </w:r>
    </w:p>
    <w:p>
      <w:pPr>
        <w:spacing w:after="0" w:line="150" w:lineRule="exact"/>
        <w:rPr>
          <w:sz w:val="20"/>
          <w:szCs w:val="20"/>
          <w:color w:val="auto"/>
        </w:rPr>
      </w:pPr>
    </w:p>
    <w:p>
      <w:pPr>
        <w:ind w:left="428" w:hanging="428"/>
        <w:spacing w:after="0" w:line="280" w:lineRule="auto"/>
        <w:tabs>
          <w:tab w:leader="none" w:pos="42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1488"/>
          </w:cols>
          <w:pgMar w:left="212" w:top="503" w:right="1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3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El Pollo Loco Holdings, Inc.</w:t>
            </w:r>
          </w:p>
        </w:tc>
      </w:tr>
      <w:tr>
        <w:trPr>
          <w:trHeight w:val="160"/>
        </w:trPr>
        <w:tc>
          <w:tcPr>
            <w:tcW w:w="32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(Registrant)</w:t>
            </w:r>
          </w:p>
        </w:tc>
      </w:tr>
      <w:tr>
        <w:trPr>
          <w:trHeight w:val="385"/>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August 7, 2017</w:t>
            </w:r>
          </w:p>
        </w:tc>
        <w:tc>
          <w:tcPr>
            <w:tcW w:w="3200" w:type="dxa"/>
            <w:vAlign w:val="bottom"/>
          </w:tcPr>
          <w:p>
            <w:pPr>
              <w:spacing w:after="0"/>
              <w:rPr>
                <w:sz w:val="24"/>
                <w:szCs w:val="24"/>
                <w:color w:val="auto"/>
              </w:rPr>
            </w:pP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Stephen J. Sather</w:t>
            </w:r>
          </w:p>
        </w:tc>
      </w:tr>
      <w:tr>
        <w:trPr>
          <w:trHeight w:val="162"/>
        </w:trPr>
        <w:tc>
          <w:tcPr>
            <w:tcW w:w="32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Date</w:t>
            </w:r>
          </w:p>
        </w:tc>
        <w:tc>
          <w:tcPr>
            <w:tcW w:w="32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Stephen J. Sather</w:t>
            </w:r>
          </w:p>
        </w:tc>
      </w:tr>
      <w:tr>
        <w:trPr>
          <w:trHeight w:val="180"/>
        </w:trPr>
        <w:tc>
          <w:tcPr>
            <w:tcW w:w="3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r>
        <w:trPr>
          <w:trHeight w:val="385"/>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August 7, 2017</w:t>
            </w:r>
          </w:p>
        </w:tc>
        <w:tc>
          <w:tcPr>
            <w:tcW w:w="3200" w:type="dxa"/>
            <w:vAlign w:val="bottom"/>
          </w:tcPr>
          <w:p>
            <w:pPr>
              <w:spacing w:after="0"/>
              <w:rPr>
                <w:sz w:val="24"/>
                <w:szCs w:val="24"/>
                <w:color w:val="auto"/>
              </w:rPr>
            </w:pP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Laurance Roberts</w:t>
            </w:r>
          </w:p>
        </w:tc>
      </w:tr>
      <w:tr>
        <w:trPr>
          <w:trHeight w:val="162"/>
        </w:trPr>
        <w:tc>
          <w:tcPr>
            <w:tcW w:w="32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Date</w:t>
            </w:r>
          </w:p>
        </w:tc>
        <w:tc>
          <w:tcPr>
            <w:tcW w:w="3200" w:type="dxa"/>
            <w:vAlign w:val="bottom"/>
          </w:tcPr>
          <w:p>
            <w:pPr>
              <w:spacing w:after="0"/>
              <w:rPr>
                <w:sz w:val="14"/>
                <w:szCs w:val="14"/>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Laurance Roberts</w:t>
            </w:r>
          </w:p>
        </w:tc>
      </w:tr>
      <w:tr>
        <w:trPr>
          <w:trHeight w:val="180"/>
        </w:trPr>
        <w:tc>
          <w:tcPr>
            <w:tcW w:w="3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324"/>
        </w:trPr>
        <w:tc>
          <w:tcPr>
            <w:tcW w:w="3200" w:type="dxa"/>
            <w:vAlign w:val="bottom"/>
          </w:tcPr>
          <w:p>
            <w:pPr>
              <w:spacing w:after="0"/>
              <w:rPr>
                <w:sz w:val="24"/>
                <w:szCs w:val="24"/>
                <w:color w:val="auto"/>
              </w:rPr>
            </w:pPr>
          </w:p>
        </w:tc>
        <w:tc>
          <w:tcPr>
            <w:tcW w:w="320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rPr>
              <w:t>42</w:t>
            </w:r>
          </w:p>
        </w:tc>
        <w:tc>
          <w:tcPr>
            <w:tcW w:w="5060" w:type="dxa"/>
            <w:vAlign w:val="bottom"/>
          </w:tcPr>
          <w:p>
            <w:pPr>
              <w:spacing w:after="0"/>
              <w:rPr>
                <w:sz w:val="24"/>
                <w:szCs w:val="24"/>
                <w:color w:val="auto"/>
              </w:rPr>
            </w:pPr>
          </w:p>
        </w:tc>
      </w:tr>
    </w:tbl>
    <w:p>
      <w:pPr>
        <w:sectPr>
          <w:pgSz w:w="11900" w:h="16838" w:orient="portrait"/>
          <w:cols w:equalWidth="0" w:num="1">
            <w:col w:w="11480"/>
          </w:cols>
          <w:pgMar w:left="220" w:top="431" w:right="199" w:bottom="1440" w:gutter="0" w:footer="0" w:header="0"/>
        </w:sectPr>
      </w:pPr>
    </w:p>
    <w:bookmarkStart w:id="42" w:name="page43"/>
    <w:bookmarkEnd w:id="42"/>
    <w:p>
      <w:pPr>
        <w:spacing w:after="0" w:line="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Exhibit 10.29</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EMPLOYEE CONFIDENTIALITY, NON-SOLICITATION AND INVENTIONS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AGREEMENT</w:t>
      </w:r>
    </w:p>
    <w:p>
      <w:pPr>
        <w:spacing w:after="0" w:line="3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 the undersigned employee, in consideration of my continued employment by El Pollo Loco, Inc. (the "Company"), and the compensation I receive from the Company, agree as follows: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 PROPRIETARY INFORMATION.</w:t>
      </w:r>
    </w:p>
    <w:p>
      <w:pPr>
        <w:spacing w:after="0" w:line="154" w:lineRule="exact"/>
        <w:rPr>
          <w:sz w:val="20"/>
          <w:szCs w:val="20"/>
          <w:color w:val="auto"/>
        </w:rPr>
      </w:pPr>
    </w:p>
    <w:p>
      <w:pPr>
        <w:ind w:right="40" w:firstLine="424"/>
        <w:spacing w:after="0" w:line="260" w:lineRule="auto"/>
        <w:tabs>
          <w:tab w:leader="none" w:pos="717"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Confidentiality Restrictions. </w:t>
      </w:r>
      <w:r>
        <w:rPr>
          <w:rFonts w:ascii="Times New Roman" w:cs="Times New Roman" w:eastAsia="Times New Roman" w:hAnsi="Times New Roman"/>
          <w:sz w:val="14"/>
          <w:szCs w:val="14"/>
          <w:color w:val="auto"/>
        </w:rPr>
        <w:t>I acknowledge and recognize that in the course of performing services for the Company, I have had and will continue to have access to certain confidential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and proprietary information of the Company that is extremely valuable to the Company and is not known to the general public. Accordingly, I agree that I will not at any time (whether during or after my employment with the Company) disclose or use for my own benefit or purposes or the benefit or purposes of any other person, firm, partnership, joint venture, association, corporation or other business organization, entity or enterprise other than the Company and any of its subsidiaries or affiliates, any trade secrets, information, data or other confidential information relating to customers, development programs, costs, marketing, trading, investment, sales activities, promotion, credit and financial data, manufacturing processes, financing methods, plans, or the business and affairs of the Company generally, or of any subsidiary or affiliate of the Company (“Company Confidential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apply to information which is not unique to the Company or which is generally known to the industry or the public other than as a result of my breach of this covenant;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the foregoing shall not apply when I am required to divulge, disclose or make accessible such information by a court of competent jurisdiction or an individual duly appointed thereby, by any administrative body or legislative body (including a committee thereof) having supervisory authority over the business of the Company, or by any administrative body or legislative body (including a committee thereof) with jurisdiction to order me to divulge, disclose or make accessible such information.</w:t>
      </w:r>
    </w:p>
    <w:p>
      <w:pPr>
        <w:spacing w:after="0" w:line="111" w:lineRule="exact"/>
        <w:rPr>
          <w:rFonts w:ascii="Times New Roman" w:cs="Times New Roman" w:eastAsia="Times New Roman" w:hAnsi="Times New Roman"/>
          <w:sz w:val="14"/>
          <w:szCs w:val="14"/>
          <w:b w:val="1"/>
          <w:bCs w:val="1"/>
          <w:color w:val="auto"/>
        </w:rPr>
      </w:pPr>
    </w:p>
    <w:p>
      <w:pPr>
        <w:ind w:right="40" w:firstLine="424"/>
        <w:spacing w:after="0" w:line="269" w:lineRule="auto"/>
        <w:tabs>
          <w:tab w:leader="none" w:pos="709"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Return of Company Materials and Confidential Information. </w:t>
      </w:r>
      <w:r>
        <w:rPr>
          <w:rFonts w:ascii="Times New Roman" w:cs="Times New Roman" w:eastAsia="Times New Roman" w:hAnsi="Times New Roman"/>
          <w:sz w:val="14"/>
          <w:szCs w:val="14"/>
          <w:color w:val="auto"/>
        </w:rPr>
        <w:t>I agree that upon termination of my employment with the Company for any reason, I will return to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immediately all memoranda, books, papers, plans, information, letters and other data, and all copies thereof or therefrom, in any way relating to the business of the Company and its affiliates and/or containing any Company Confidential Information. I further agree that I will not retain or use for my account at any time any trade names, trademark or other proprietary business designation used or owned in connection with the business of the Company or its affiliates.</w:t>
      </w:r>
    </w:p>
    <w:p>
      <w:pPr>
        <w:spacing w:after="0" w:line="106" w:lineRule="exact"/>
        <w:rPr>
          <w:rFonts w:ascii="Times New Roman" w:cs="Times New Roman" w:eastAsia="Times New Roman" w:hAnsi="Times New Roman"/>
          <w:sz w:val="14"/>
          <w:szCs w:val="14"/>
          <w:b w:val="1"/>
          <w:bCs w:val="1"/>
          <w:color w:val="auto"/>
        </w:rPr>
      </w:pPr>
    </w:p>
    <w:p>
      <w:pPr>
        <w:ind w:right="80" w:firstLine="424"/>
        <w:spacing w:after="0" w:line="266" w:lineRule="auto"/>
        <w:tabs>
          <w:tab w:leader="none" w:pos="714"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Third Party Information. </w:t>
      </w:r>
      <w:r>
        <w:rPr>
          <w:rFonts w:ascii="Times New Roman" w:cs="Times New Roman" w:eastAsia="Times New Roman" w:hAnsi="Times New Roman"/>
          <w:sz w:val="14"/>
          <w:szCs w:val="14"/>
          <w:color w:val="auto"/>
        </w:rPr>
        <w:t>I recognize that the Company has received and in the future will receive from third parties their confidential information subject to a duty on the Company's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 to maintain the confidentiality of such information and to use it only for certain limited purposes. I understand and agree that such information is the sole property of such third parties and that I must, both during the term of my employment and thereafter, hold all such confidential third party information in the strictest confidence and not disclose it to any person or entity, except as necessary in carrying out my duties and responsibilities for the Company, or to use for the benefit of anyone other than for the Company or such third party, consistent with the Company's agreement with such third party, without the express written authorization of the Company and the governing body of such third party.</w:t>
      </w:r>
    </w:p>
    <w:p>
      <w:pPr>
        <w:spacing w:after="0" w:line="107" w:lineRule="exact"/>
        <w:rPr>
          <w:rFonts w:ascii="Times New Roman" w:cs="Times New Roman" w:eastAsia="Times New Roman" w:hAnsi="Times New Roman"/>
          <w:sz w:val="14"/>
          <w:szCs w:val="14"/>
          <w:b w:val="1"/>
          <w:bCs w:val="1"/>
          <w:color w:val="auto"/>
        </w:rPr>
      </w:pPr>
    </w:p>
    <w:p>
      <w:pPr>
        <w:ind w:right="300" w:firstLine="424"/>
        <w:spacing w:after="0" w:line="277" w:lineRule="auto"/>
        <w:tabs>
          <w:tab w:leader="none" w:pos="717"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Prior Actions and Knowledge. </w:t>
      </w:r>
      <w:r>
        <w:rPr>
          <w:rFonts w:ascii="Times New Roman" w:cs="Times New Roman" w:eastAsia="Times New Roman" w:hAnsi="Times New Roman"/>
          <w:sz w:val="14"/>
          <w:szCs w:val="14"/>
          <w:color w:val="auto"/>
        </w:rPr>
        <w:t>I represent and warrant that from the time of my first contact or communication with the Company, I have held in strict confidence all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Confidential Information and have not disclosed any Company Confidential Information to anyone outside of the Company, or used, copied, published or summarized any Company Confidential Information except to the extent necessary to carry out my duties and responsibilities as an employee of the Company.</w:t>
      </w:r>
    </w:p>
    <w:p>
      <w:pPr>
        <w:spacing w:after="0" w:line="100" w:lineRule="exact"/>
        <w:rPr>
          <w:rFonts w:ascii="Times New Roman" w:cs="Times New Roman" w:eastAsia="Times New Roman" w:hAnsi="Times New Roman"/>
          <w:sz w:val="14"/>
          <w:szCs w:val="14"/>
          <w:b w:val="1"/>
          <w:bCs w:val="1"/>
          <w:color w:val="auto"/>
        </w:rPr>
      </w:pPr>
    </w:p>
    <w:p>
      <w:pPr>
        <w:ind w:right="140" w:firstLine="424"/>
        <w:spacing w:after="0" w:line="269" w:lineRule="auto"/>
        <w:tabs>
          <w:tab w:leader="none" w:pos="709"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Defend Trade Secrets Act</w:t>
      </w:r>
      <w:r>
        <w:rPr>
          <w:rFonts w:ascii="Times New Roman" w:cs="Times New Roman" w:eastAsia="Times New Roman" w:hAnsi="Times New Roman"/>
          <w:sz w:val="14"/>
          <w:szCs w:val="14"/>
          <w:color w:val="auto"/>
        </w:rPr>
        <w:t>. Pursuant to section 7 of the Defend Trade Secrets Act of 2016 (which added 18 U.S.C. § 1833(b)), I acknowledge that I shall not have criminal or civil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as described in 18 U.S.C. § 1833(b)(2). Nothing in this Agreement is intended to conflict with 18 U.S.C. § 1833(b) or create liability for disclosures of trade secrets expressly allowed by such section.</w:t>
      </w:r>
    </w:p>
    <w:p>
      <w:pPr>
        <w:spacing w:after="0" w:line="106" w:lineRule="exact"/>
        <w:rPr>
          <w:rFonts w:ascii="Times New Roman" w:cs="Times New Roman" w:eastAsia="Times New Roman" w:hAnsi="Times New Roman"/>
          <w:sz w:val="14"/>
          <w:szCs w:val="14"/>
          <w:b w:val="1"/>
          <w:bCs w:val="1"/>
          <w:color w:val="auto"/>
        </w:rPr>
      </w:pPr>
    </w:p>
    <w:p>
      <w:pPr>
        <w:ind w:right="40" w:firstLine="424"/>
        <w:spacing w:after="0" w:line="277" w:lineRule="auto"/>
        <w:tabs>
          <w:tab w:leader="none" w:pos="687"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Conflicting Employment. </w:t>
      </w:r>
      <w:r>
        <w:rPr>
          <w:rFonts w:ascii="Times New Roman" w:cs="Times New Roman" w:eastAsia="Times New Roman" w:hAnsi="Times New Roman"/>
          <w:sz w:val="14"/>
          <w:szCs w:val="14"/>
          <w:color w:val="auto"/>
        </w:rPr>
        <w:t>I agree that, during the term of my employment with the Company, I will not engage in any other employment, occupation, consulting or other business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activity directly related to the business in which the Company is now involved or may become involved during the term of my employment, nor will I engage in any other business activities, whether or not for compensation, that conflict with my obligations to the Company.</w:t>
      </w:r>
    </w:p>
    <w:p>
      <w:pPr>
        <w:spacing w:after="0" w:line="100" w:lineRule="exact"/>
        <w:rPr>
          <w:rFonts w:ascii="Times New Roman" w:cs="Times New Roman" w:eastAsia="Times New Roman" w:hAnsi="Times New Roman"/>
          <w:sz w:val="14"/>
          <w:szCs w:val="14"/>
          <w:b w:val="1"/>
          <w:bCs w:val="1"/>
          <w:color w:val="auto"/>
        </w:rPr>
      </w:pPr>
    </w:p>
    <w:p>
      <w:pPr>
        <w:ind w:left="760" w:hanging="336"/>
        <w:spacing w:after="0"/>
        <w:tabs>
          <w:tab w:leader="none" w:pos="760" w:val="left"/>
        </w:tabs>
        <w:numPr>
          <w:ilvl w:val="1"/>
          <w:numId w:val="2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Non-Interference/Non-Solicitation</w:t>
      </w:r>
      <w:r>
        <w:rPr>
          <w:rFonts w:ascii="Times New Roman" w:cs="Times New Roman" w:eastAsia="Times New Roman" w:hAnsi="Times New Roman"/>
          <w:sz w:val="14"/>
          <w:szCs w:val="14"/>
          <w:color w:val="auto"/>
        </w:rPr>
        <w:t>.</w:t>
      </w:r>
    </w:p>
    <w:p>
      <w:pPr>
        <w:spacing w:after="0" w:line="156" w:lineRule="exact"/>
        <w:rPr>
          <w:rFonts w:ascii="Times New Roman" w:cs="Times New Roman" w:eastAsia="Times New Roman" w:hAnsi="Times New Roman"/>
          <w:sz w:val="14"/>
          <w:szCs w:val="14"/>
          <w:b w:val="1"/>
          <w:bCs w:val="1"/>
          <w:color w:val="auto"/>
        </w:rPr>
      </w:pPr>
    </w:p>
    <w:p>
      <w:pPr>
        <w:ind w:left="420" w:right="40" w:hanging="212"/>
        <w:spacing w:after="0" w:line="275" w:lineRule="auto"/>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agree that during the term of employment and until the first anniversary of the date of termination of my employment with the Company or any subsidiary of the Company, as the case may be (the “Restricted Period”), I will not directly or indirectly, use any Company Confidential Information to interfere with business relationships (whether formed before or after the date of this Agreement) between the Company or any of its affiliates and customers, suppliers, partners, members or investors of the Company or its affiliates.</w:t>
      </w:r>
    </w:p>
    <w:p>
      <w:pPr>
        <w:spacing w:after="0" w:line="104" w:lineRule="exact"/>
        <w:rPr>
          <w:rFonts w:ascii="Times New Roman" w:cs="Times New Roman" w:eastAsia="Times New Roman" w:hAnsi="Times New Roman"/>
          <w:sz w:val="14"/>
          <w:szCs w:val="14"/>
          <w:color w:val="auto"/>
        </w:rPr>
      </w:pPr>
    </w:p>
    <w:p>
      <w:pPr>
        <w:ind w:left="420" w:right="500" w:hanging="212"/>
        <w:spacing w:after="0" w:line="275" w:lineRule="auto"/>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further agree that during the Restricted Period, I will not, directly or indirectly, (i) solicit or encourage any employee of the Company or its affiliates to leave the employment of the Company or its affiliates, or (ii) solicit or encourage to cease to work with the Company or its affiliates any consultant then under contract with the Company or its affiliates; provided, however, that general advertising not directed specifically at employees of the Company or any affiliate shall not be deemed to violate this Section.</w:t>
      </w:r>
    </w:p>
    <w:p>
      <w:pPr>
        <w:spacing w:after="0" w:line="104" w:lineRule="exact"/>
        <w:rPr>
          <w:rFonts w:ascii="Times New Roman" w:cs="Times New Roman" w:eastAsia="Times New Roman" w:hAnsi="Times New Roman"/>
          <w:sz w:val="14"/>
          <w:szCs w:val="14"/>
          <w:color w:val="auto"/>
        </w:rPr>
      </w:pPr>
    </w:p>
    <w:p>
      <w:pPr>
        <w:ind w:left="420" w:right="40" w:hanging="212"/>
        <w:spacing w:after="0" w:line="265" w:lineRule="auto"/>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expressly understood and agreed that although the Company and I consider the restrictions contained in this Section I.H to be reasonable, if a final judicial determination is made by a court of competent jurisdiction that any restriction contained in this Agreement is an unenforceable restriction against me,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w:t>
      </w:r>
    </w:p>
    <w:p>
      <w:pPr>
        <w:spacing w:after="0" w:line="108" w:lineRule="exact"/>
        <w:rPr>
          <w:rFonts w:ascii="Times New Roman" w:cs="Times New Roman" w:eastAsia="Times New Roman" w:hAnsi="Times New Roman"/>
          <w:sz w:val="14"/>
          <w:szCs w:val="14"/>
          <w:color w:val="auto"/>
        </w:rPr>
      </w:pPr>
    </w:p>
    <w:p>
      <w:pPr>
        <w:ind w:left="600" w:hanging="176"/>
        <w:spacing w:after="0"/>
        <w:tabs>
          <w:tab w:leader="none" w:pos="600" w:val="left"/>
        </w:tabs>
        <w:numPr>
          <w:ilvl w:val="1"/>
          <w:numId w:val="21"/>
        </w:numPr>
        <w:rPr>
          <w:rFonts w:ascii="Times New Roman" w:cs="Times New Roman" w:eastAsia="Times New Roman" w:hAnsi="Times New Roman"/>
          <w:sz w:val="14"/>
          <w:szCs w:val="14"/>
          <w:b w:val="1"/>
          <w:bCs w:val="1"/>
          <w:u w:val="single" w:color="auto"/>
          <w:color w:val="auto"/>
        </w:rPr>
      </w:pPr>
      <w:r>
        <w:rPr>
          <w:rFonts w:ascii="Times New Roman" w:cs="Times New Roman" w:eastAsia="Times New Roman" w:hAnsi="Times New Roman"/>
          <w:sz w:val="14"/>
          <w:szCs w:val="14"/>
          <w:b w:val="1"/>
          <w:bCs w:val="1"/>
          <w:u w:val="single" w:color="auto"/>
          <w:color w:val="auto"/>
        </w:rPr>
        <w:t>CREATIVE WORKS.</w:t>
      </w:r>
    </w:p>
    <w:p>
      <w:pPr>
        <w:spacing w:after="0" w:line="154" w:lineRule="exact"/>
        <w:rPr>
          <w:sz w:val="20"/>
          <w:szCs w:val="20"/>
          <w:color w:val="auto"/>
        </w:rPr>
      </w:pPr>
    </w:p>
    <w:p>
      <w:pPr>
        <w:ind w:right="180" w:firstLine="424"/>
        <w:spacing w:after="0" w:line="266" w:lineRule="auto"/>
        <w:tabs>
          <w:tab w:leader="none" w:pos="717" w:val="left"/>
        </w:tabs>
        <w:numPr>
          <w:ilvl w:val="0"/>
          <w:numId w:val="2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Defined; Statutory Notice. </w:t>
      </w:r>
      <w:r>
        <w:rPr>
          <w:rFonts w:ascii="Times New Roman" w:cs="Times New Roman" w:eastAsia="Times New Roman" w:hAnsi="Times New Roman"/>
          <w:sz w:val="14"/>
          <w:szCs w:val="14"/>
          <w:color w:val="auto"/>
        </w:rPr>
        <w:t>I understand that during the term of my employment, there have been and are certain restrictions on my development of programming, ideas and creative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works, referred to in this Agreement as "Creative Works." The term Creative Works means all original works of authorship, ideas, processes, trademarks, service marks, inventions, designs, discoveries and copyrights, relating to any existing or planned service or product of the Company and all improvements, derivative works, rights and claims related to the foregoing that are conceived, developed, or reduced to practice by me alone or with others, except to the extent that, to the extent applicable, California Labor Code Section 2870 lawfully prohibits the assignment of these rights. California Labor Code Section 2870 provides:</w:t>
      </w:r>
    </w:p>
    <w:p>
      <w:pPr>
        <w:spacing w:after="0" w:line="108" w:lineRule="exact"/>
        <w:rPr>
          <w:sz w:val="20"/>
          <w:szCs w:val="20"/>
          <w:color w:val="auto"/>
        </w:rPr>
      </w:pPr>
    </w:p>
    <w:p>
      <w:pPr>
        <w:jc w:val="both"/>
        <w:ind w:left="200" w:right="220"/>
        <w:spacing w:after="0" w:line="277" w:lineRule="auto"/>
        <w:rPr>
          <w:sz w:val="20"/>
          <w:szCs w:val="20"/>
          <w:color w:val="auto"/>
        </w:rPr>
      </w:pPr>
      <w:r>
        <w:rPr>
          <w:rFonts w:ascii="Times New Roman" w:cs="Times New Roman" w:eastAsia="Times New Roman" w:hAnsi="Times New Roman"/>
          <w:sz w:val="14"/>
          <w:szCs w:val="14"/>
          <w:b w:val="1"/>
          <w:bCs w:val="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00" w:lineRule="exact"/>
        <w:rPr>
          <w:sz w:val="20"/>
          <w:szCs w:val="20"/>
          <w:color w:val="auto"/>
        </w:rPr>
      </w:pPr>
    </w:p>
    <w:p>
      <w:pPr>
        <w:ind w:left="200" w:right="120" w:firstLine="441"/>
        <w:spacing w:after="0" w:line="298" w:lineRule="auto"/>
        <w:tabs>
          <w:tab w:leader="none" w:pos="945" w:val="left"/>
        </w:tabs>
        <w:numPr>
          <w:ilvl w:val="1"/>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Relate at the time of conception or reduction to practice of the invention to the employer's business, or actual or demonstrably anticipated research or development of the employer; or</w:t>
      </w:r>
    </w:p>
    <w:p>
      <w:pPr>
        <w:spacing w:after="0" w:line="86" w:lineRule="exact"/>
        <w:rPr>
          <w:rFonts w:ascii="Times New Roman" w:cs="Times New Roman" w:eastAsia="Times New Roman" w:hAnsi="Times New Roman"/>
          <w:sz w:val="14"/>
          <w:szCs w:val="14"/>
          <w:b w:val="1"/>
          <w:bCs w:val="1"/>
          <w:color w:val="auto"/>
        </w:rPr>
      </w:pPr>
    </w:p>
    <w:p>
      <w:pPr>
        <w:ind w:left="960" w:hanging="319"/>
        <w:spacing w:after="0"/>
        <w:tabs>
          <w:tab w:leader="none" w:pos="960" w:val="left"/>
        </w:tabs>
        <w:numPr>
          <w:ilvl w:val="1"/>
          <w:numId w:val="2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Result from any work performed by the employee for the employer.</w:t>
      </w:r>
    </w:p>
    <w:p>
      <w:pPr>
        <w:spacing w:after="0" w:line="154" w:lineRule="exact"/>
        <w:rPr>
          <w:rFonts w:ascii="Times New Roman" w:cs="Times New Roman" w:eastAsia="Times New Roman" w:hAnsi="Times New Roman"/>
          <w:sz w:val="14"/>
          <w:szCs w:val="14"/>
          <w:b w:val="1"/>
          <w:bCs w:val="1"/>
          <w:color w:val="auto"/>
        </w:rPr>
      </w:pPr>
    </w:p>
    <w:p>
      <w:pPr>
        <w:ind w:right="40" w:firstLine="424"/>
        <w:spacing w:after="0" w:line="266" w:lineRule="auto"/>
        <w:tabs>
          <w:tab w:leader="none" w:pos="706"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Works For Hire. </w:t>
      </w:r>
      <w:r>
        <w:rPr>
          <w:rFonts w:ascii="Times New Roman" w:cs="Times New Roman" w:eastAsia="Times New Roman" w:hAnsi="Times New Roman"/>
          <w:sz w:val="14"/>
          <w:szCs w:val="14"/>
          <w:color w:val="auto"/>
        </w:rPr>
        <w:t>I expressly acknowledge that all copyrightable aspects of the Creative Works are to be considered "works made for hire" within the meaning of the Copyright Act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1976, as amended (the "Act"), and that the Company is to be the "author" within the meaning of such Act for all purposes. All such copyrightable works, as well as all copies of such works in whatever medium fixed or embodied, shall be owned exclusively by the Company as of its creation, and I hereby expressly disclaim any and all interest in any of such copyrightable works and waive any right of </w:t>
      </w:r>
      <w:r>
        <w:rPr>
          <w:rFonts w:ascii="Times New Roman" w:cs="Times New Roman" w:eastAsia="Times New Roman" w:hAnsi="Times New Roman"/>
          <w:sz w:val="14"/>
          <w:szCs w:val="14"/>
          <w:i w:val="1"/>
          <w:iCs w:val="1"/>
          <w:color w:val="auto"/>
        </w:rPr>
        <w:t>droit morale</w:t>
      </w:r>
      <w:r>
        <w:rPr>
          <w:rFonts w:ascii="Times New Roman" w:cs="Times New Roman" w:eastAsia="Times New Roman" w:hAnsi="Times New Roman"/>
          <w:sz w:val="14"/>
          <w:szCs w:val="14"/>
          <w:color w:val="auto"/>
        </w:rPr>
        <w:t xml:space="preserve"> or similar rights. If for any reason any aspect of the Creative Works is determined at any time not to be a "work made for hire," I hereby assign to the Company or its designee my entire right, title and interest in such Creative Works as set forth in the previous paragraph, including all copyrights, as well as all renewals and extensions thereto.</w:t>
      </w:r>
    </w:p>
    <w:p>
      <w:pPr>
        <w:spacing w:after="0" w:line="107" w:lineRule="exact"/>
        <w:rPr>
          <w:rFonts w:ascii="Times New Roman" w:cs="Times New Roman" w:eastAsia="Times New Roman" w:hAnsi="Times New Roman"/>
          <w:sz w:val="14"/>
          <w:szCs w:val="14"/>
          <w:b w:val="1"/>
          <w:bCs w:val="1"/>
          <w:color w:val="auto"/>
        </w:rPr>
      </w:pPr>
    </w:p>
    <w:p>
      <w:pPr>
        <w:jc w:val="both"/>
        <w:ind w:right="100" w:firstLine="424"/>
        <w:spacing w:after="0" w:line="266" w:lineRule="auto"/>
        <w:tabs>
          <w:tab w:leader="none" w:pos="717"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Disclosure. </w:t>
      </w:r>
      <w:r>
        <w:rPr>
          <w:rFonts w:ascii="Times New Roman" w:cs="Times New Roman" w:eastAsia="Times New Roman" w:hAnsi="Times New Roman"/>
          <w:sz w:val="14"/>
          <w:szCs w:val="14"/>
          <w:color w:val="auto"/>
        </w:rPr>
        <w:t>I agree to maintain adequate and current written records of the development of all Creative Works and to disclose promptly to the Company all Creative Works and relevant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records, which records will remain the sole property of the Company. I further agree that all information and records pertaining to any original work of authorship, idea, process, trademark, service mark, invention, design, discovery, copyrights, derivative works or any improvements thereof that might reasonably be construed to be a Creative Work, which is conceived, developed or reduced to practice by me (alone or with others) during my employment, shall be promptly disclosed to the Company. Any disclosure pursuant to this paragraph will be received by the Company in confidence so that the Company may examine such information to determine if in fact it constitutes Creative Works subject to this Agreement.</w:t>
      </w:r>
    </w:p>
    <w:p>
      <w:pPr>
        <w:spacing w:after="0" w:line="107" w:lineRule="exact"/>
        <w:rPr>
          <w:rFonts w:ascii="Times New Roman" w:cs="Times New Roman" w:eastAsia="Times New Roman" w:hAnsi="Times New Roman"/>
          <w:sz w:val="14"/>
          <w:szCs w:val="14"/>
          <w:b w:val="1"/>
          <w:bCs w:val="1"/>
          <w:color w:val="auto"/>
        </w:rPr>
      </w:pPr>
    </w:p>
    <w:p>
      <w:pPr>
        <w:ind w:right="20" w:firstLine="424"/>
        <w:spacing w:after="0" w:line="261" w:lineRule="auto"/>
        <w:tabs>
          <w:tab w:leader="none" w:pos="717" w:val="left"/>
        </w:tabs>
        <w:numPr>
          <w:ilvl w:val="0"/>
          <w:numId w:val="2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Assignment. </w:t>
      </w:r>
      <w:r>
        <w:rPr>
          <w:rFonts w:ascii="Times New Roman" w:cs="Times New Roman" w:eastAsia="Times New Roman" w:hAnsi="Times New Roman"/>
          <w:sz w:val="14"/>
          <w:szCs w:val="14"/>
          <w:color w:val="auto"/>
        </w:rPr>
        <w:t>I agree to assign, and do hereby assign, to the Company, without further consideration, all right, title and interest that I may presently have or acquire (throughout the United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States and in all foreign countries), free and clear of all liens and encumbrances, in and to each Creative Work, which shall be the sole property of the Company, whether or not copyrightable. In the event any Creative Work shall be deemed by the Company to be copyrightable or otherwise registrable, I will assist the Company (at its expense) in obtaining all applicable registrations, and I will execute all documents and do all other things (including testifying at the Company's expense) necessary or proper to obtain the applicable registrations and to vest the Company with full title to them. My obligation to assist the Company in enforcing copyrights, registrations or other rights for such creations in any and all countries, shall continue beyond the termination of my employment, but the Company shall compensate me at a reasonable rate after such termination for the time actually spent by me at the Company's request for such assistance. Should the Company be unable to secure my signature on any document necessary to apply for or enforce any copyright or other right or protection relating to any Creative Works, whether due to my mental or physical incapacity or any other cause, I irrevocably designate and appoint the Company and each of its duly authorized officers and agents as my agent and attorney-in-fact, to act for and on my behalf, to execute and file any such</w:t>
      </w:r>
    </w:p>
    <w:p>
      <w:pPr>
        <w:sectPr>
          <w:pgSz w:w="11900" w:h="16924" w:orient="portrait"/>
          <w:cols w:equalWidth="0" w:num="1">
            <w:col w:w="11480"/>
          </w:cols>
          <w:pgMar w:left="220" w:top="128" w:right="199" w:bottom="0" w:gutter="0" w:footer="0" w:header="0"/>
        </w:sectPr>
      </w:pPr>
    </w:p>
    <w:bookmarkStart w:id="43" w:name="page44"/>
    <w:bookmarkEnd w:id="43"/>
    <w:p>
      <w:pPr>
        <w:ind w:right="60"/>
        <w:spacing w:after="0" w:line="268" w:lineRule="auto"/>
        <w:rPr>
          <w:sz w:val="20"/>
          <w:szCs w:val="20"/>
          <w:color w:val="auto"/>
        </w:rPr>
      </w:pPr>
      <w:r>
        <w:rPr>
          <w:rFonts w:ascii="Times New Roman" w:cs="Times New Roman" w:eastAsia="Times New Roman" w:hAnsi="Times New Roman"/>
          <w:sz w:val="14"/>
          <w:szCs w:val="14"/>
          <w:color w:val="auto"/>
        </w:rPr>
        <w:t>document and to do all other lawfully permitted acts to further the issuance and enforcement of copyrights or other rights of protections with the same force and effect as if executed and delivered by me.</w:t>
      </w:r>
    </w:p>
    <w:p>
      <w:pPr>
        <w:spacing w:after="0" w:line="305" w:lineRule="exact"/>
        <w:rPr>
          <w:sz w:val="20"/>
          <w:szCs w:val="20"/>
          <w:color w:val="auto"/>
        </w:rPr>
      </w:pPr>
    </w:p>
    <w:p>
      <w:pPr>
        <w:ind w:right="180" w:firstLine="424"/>
        <w:spacing w:after="0" w:line="277" w:lineRule="auto"/>
        <w:tabs>
          <w:tab w:leader="none" w:pos="709"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Exclusions. </w:t>
      </w:r>
      <w:r>
        <w:rPr>
          <w:rFonts w:ascii="Times New Roman" w:cs="Times New Roman" w:eastAsia="Times New Roman" w:hAnsi="Times New Roman"/>
          <w:sz w:val="14"/>
          <w:szCs w:val="14"/>
          <w:color w:val="auto"/>
        </w:rPr>
        <w:t>Except as disclosed in Exhibit A, there are no original works of authorship, ideas, processes, trademarks, service marks, inventions, designs, discoveries, copyrights,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derivative works or improvements to the foregoing made by me prior to my employment with the Company that I wish to exclude from this Agreement. If nothing is listed in Exhibit A, I represent that I have no such creations or improvements at the time of signing this Agreement. I am not aware of any existing contract in conflict with this Agreement.</w:t>
      </w:r>
    </w:p>
    <w:p>
      <w:pPr>
        <w:spacing w:after="0" w:line="100" w:lineRule="exact"/>
        <w:rPr>
          <w:rFonts w:ascii="Times New Roman" w:cs="Times New Roman" w:eastAsia="Times New Roman" w:hAnsi="Times New Roman"/>
          <w:sz w:val="14"/>
          <w:szCs w:val="14"/>
          <w:b w:val="1"/>
          <w:bCs w:val="1"/>
          <w:color w:val="auto"/>
        </w:rPr>
      </w:pPr>
    </w:p>
    <w:p>
      <w:pPr>
        <w:jc w:val="both"/>
        <w:ind w:right="20" w:firstLine="424"/>
        <w:spacing w:after="0" w:line="266" w:lineRule="auto"/>
        <w:tabs>
          <w:tab w:leader="none" w:pos="687"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Post-Termination Period. </w:t>
      </w:r>
      <w:r>
        <w:rPr>
          <w:rFonts w:ascii="Times New Roman" w:cs="Times New Roman" w:eastAsia="Times New Roman" w:hAnsi="Times New Roman"/>
          <w:sz w:val="14"/>
          <w:szCs w:val="14"/>
          <w:color w:val="auto"/>
        </w:rPr>
        <w:t>I acknowledge that because of the difficulty of establishing when any idea, original work of authorship, process, invention, etc., is first conceived or developed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me, or whether it results from access to Company Confidential Information or the Company's equipment, facilities and data, I agree that any original work of authorship, idea, process, trademark, service mark, invention, design, discovery, copyright, derivative work or improvement, rights or claims related to the foregoing shall be presumed to be a Creative Work if it relates to any existing or planned service or product of the Company, and if it is conceived, developed, used, sold, exploited or reduced to practice by me or with my aid within six months after my termination of employment with the Company. I can rebut the above presumption if I can prove that the original work of authorship, idea, process, etc. is not a Creative Work as defined in paragraph II(A).</w:t>
      </w:r>
    </w:p>
    <w:p>
      <w:pPr>
        <w:spacing w:after="0" w:line="107" w:lineRule="exact"/>
        <w:rPr>
          <w:rFonts w:ascii="Times New Roman" w:cs="Times New Roman" w:eastAsia="Times New Roman" w:hAnsi="Times New Roman"/>
          <w:sz w:val="14"/>
          <w:szCs w:val="14"/>
          <w:b w:val="1"/>
          <w:bCs w:val="1"/>
          <w:color w:val="auto"/>
        </w:rPr>
      </w:pPr>
    </w:p>
    <w:p>
      <w:pPr>
        <w:ind w:left="720" w:hanging="296"/>
        <w:spacing w:after="0"/>
        <w:tabs>
          <w:tab w:leader="none" w:pos="72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California Labor Code. </w:t>
      </w:r>
      <w:r>
        <w:rPr>
          <w:rFonts w:ascii="Times New Roman" w:cs="Times New Roman" w:eastAsia="Times New Roman" w:hAnsi="Times New Roman"/>
          <w:sz w:val="14"/>
          <w:szCs w:val="14"/>
          <w:color w:val="auto"/>
        </w:rPr>
        <w:t>I understand that nothing in the Agreement is intended to expand the scope of protection provided me by Sections 2870 through 2872 of the California Labor</w:t>
      </w:r>
    </w:p>
    <w:p>
      <w:pPr>
        <w:spacing w:after="0" w:line="28" w:lineRule="exact"/>
        <w:rPr>
          <w:rFonts w:ascii="Times New Roman" w:cs="Times New Roman" w:eastAsia="Times New Roman" w:hAnsi="Times New Roman"/>
          <w:sz w:val="14"/>
          <w:szCs w:val="14"/>
          <w:b w:val="1"/>
          <w:bCs w:val="1"/>
          <w:color w:val="auto"/>
        </w:rPr>
      </w:pPr>
    </w:p>
    <w:p>
      <w:pPr>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III. CONTRACTS.</w:t>
      </w:r>
    </w:p>
    <w:p>
      <w:pPr>
        <w:spacing w:after="0" w:line="156"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4"/>
          <w:szCs w:val="14"/>
          <w:color w:val="auto"/>
        </w:rPr>
        <w:t>I understand that the Company has entered or may enter into contracts with third parties under which certain intellectual property rights will be required to be protected, assigned, licensed or otherwise transferred, and I hereby agree to execute such other documents and agreements as necessary to enable the Company to meet its obligations under those contracts.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IV. REMEDIES.</w:t>
      </w:r>
    </w:p>
    <w:p>
      <w:pPr>
        <w:spacing w:after="0" w:line="156" w:lineRule="exact"/>
        <w:rPr>
          <w:sz w:val="20"/>
          <w:szCs w:val="20"/>
          <w:color w:val="auto"/>
        </w:rPr>
      </w:pPr>
    </w:p>
    <w:p>
      <w:pPr>
        <w:jc w:val="both"/>
        <w:ind w:right="20" w:firstLine="432"/>
        <w:spacing w:after="0" w:line="263" w:lineRule="auto"/>
        <w:rPr>
          <w:sz w:val="20"/>
          <w:szCs w:val="20"/>
          <w:color w:val="auto"/>
        </w:rPr>
      </w:pPr>
      <w:r>
        <w:rPr>
          <w:rFonts w:ascii="Times New Roman" w:cs="Times New Roman" w:eastAsia="Times New Roman" w:hAnsi="Times New Roman"/>
          <w:sz w:val="14"/>
          <w:szCs w:val="14"/>
          <w:color w:val="auto"/>
        </w:rPr>
        <w:t>I recognize that nothing in this Agreement is intended to limit any remedy of the Company under the California Uniform Trade Secrets Act, the Defend Trade Secrets Act of 2016 or any other relevant state or federal law. In addition, I recognize that my violation of this Agreement could cause the Company irreparable harm, the amount of which may be extremely difficult to estimate, thus, making any right to apply to any court of competent jurisdiction for an order restraining any breach or threatened breach of this Agreement and for any other relief the Company deems appropriate.</w:t>
      </w:r>
    </w:p>
    <w:p>
      <w:pPr>
        <w:ind w:right="80"/>
        <w:spacing w:after="0" w:line="260" w:lineRule="auto"/>
        <w:rPr>
          <w:sz w:val="20"/>
          <w:szCs w:val="20"/>
          <w:color w:val="auto"/>
        </w:rPr>
      </w:pPr>
      <w:r>
        <w:rPr>
          <w:rFonts w:ascii="Times New Roman" w:cs="Times New Roman" w:eastAsia="Times New Roman" w:hAnsi="Times New Roman"/>
          <w:sz w:val="14"/>
          <w:szCs w:val="14"/>
          <w:color w:val="auto"/>
        </w:rPr>
        <w:t>Therefore, in addition to any other remedies that may be available to the Company under this Agreement or otherwise, the Company shall be entitled to obtain temporary restraining orders, preliminary and permanent injunctions and/or other equitable relief to specifically enforce its rights under this Agreement, or enjoin any breach of this Agreement, or to restrain me from engaging in any conduct that would constitute a breach of this Agreement, all without the need to post a bond or other security and without the need to demonstrate special damages. Nothing herein shall be construed as prohibiting the Company from pursuing any other remedies available to the Company for such breach or threatened breach, including, without limitation, the recovery of damages.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V. MISCELLANEOUS PROVISIONS.</w:t>
      </w:r>
    </w:p>
    <w:p>
      <w:pPr>
        <w:spacing w:after="0" w:line="154" w:lineRule="exact"/>
        <w:rPr>
          <w:sz w:val="20"/>
          <w:szCs w:val="20"/>
          <w:color w:val="auto"/>
        </w:rPr>
      </w:pPr>
    </w:p>
    <w:p>
      <w:pPr>
        <w:ind w:right="80" w:firstLine="424"/>
        <w:spacing w:after="0" w:line="298" w:lineRule="auto"/>
        <w:tabs>
          <w:tab w:leader="none" w:pos="717"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Assignment/Successors and Assigns. </w:t>
      </w:r>
      <w:r>
        <w:rPr>
          <w:rFonts w:ascii="Times New Roman" w:cs="Times New Roman" w:eastAsia="Times New Roman" w:hAnsi="Times New Roman"/>
          <w:sz w:val="14"/>
          <w:szCs w:val="14"/>
          <w:color w:val="auto"/>
        </w:rPr>
        <w:t>I agree that the Company may assign to another person or entity any of its rights under this Agreement. This Agreement shall be binding upon 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my heirs, executors, administrators and successors, and shall inure to the benefit of the Company's successors and assigns.</w:t>
      </w:r>
    </w:p>
    <w:p>
      <w:pPr>
        <w:spacing w:after="0" w:line="86" w:lineRule="exact"/>
        <w:rPr>
          <w:rFonts w:ascii="Times New Roman" w:cs="Times New Roman" w:eastAsia="Times New Roman" w:hAnsi="Times New Roman"/>
          <w:sz w:val="14"/>
          <w:szCs w:val="14"/>
          <w:b w:val="1"/>
          <w:bCs w:val="1"/>
          <w:color w:val="auto"/>
        </w:rPr>
      </w:pPr>
    </w:p>
    <w:p>
      <w:pPr>
        <w:ind w:right="280" w:firstLine="424"/>
        <w:spacing w:after="0" w:line="298" w:lineRule="auto"/>
        <w:tabs>
          <w:tab w:leader="none" w:pos="709"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Employment At-Will. </w:t>
      </w:r>
      <w:r>
        <w:rPr>
          <w:rFonts w:ascii="Times New Roman" w:cs="Times New Roman" w:eastAsia="Times New Roman" w:hAnsi="Times New Roman"/>
          <w:sz w:val="14"/>
          <w:szCs w:val="14"/>
          <w:color w:val="auto"/>
        </w:rPr>
        <w:t>I acknowledge that nothing herein alters the at-will nature of my employment with the Company, which may be terminated at any time, either by me or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for any reason or no reason. Nothing in this Agreement is meant to or shall be argued to imply any promise of continued service or use of service for any length of time.</w:t>
      </w:r>
    </w:p>
    <w:p>
      <w:pPr>
        <w:spacing w:after="0" w:line="86" w:lineRule="exact"/>
        <w:rPr>
          <w:rFonts w:ascii="Times New Roman" w:cs="Times New Roman" w:eastAsia="Times New Roman" w:hAnsi="Times New Roman"/>
          <w:sz w:val="14"/>
          <w:szCs w:val="14"/>
          <w:b w:val="1"/>
          <w:bCs w:val="1"/>
          <w:color w:val="auto"/>
        </w:rPr>
      </w:pPr>
    </w:p>
    <w:p>
      <w:pPr>
        <w:ind w:firstLine="424"/>
        <w:spacing w:after="0" w:line="269" w:lineRule="auto"/>
        <w:tabs>
          <w:tab w:leader="none" w:pos="717"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Governing Law; Severability. </w:t>
      </w:r>
      <w:r>
        <w:rPr>
          <w:rFonts w:ascii="Times New Roman" w:cs="Times New Roman" w:eastAsia="Times New Roman" w:hAnsi="Times New Roman"/>
          <w:sz w:val="14"/>
          <w:szCs w:val="14"/>
          <w:color w:val="auto"/>
        </w:rPr>
        <w:t>The validity, interpretation, enforceability and performance of this Agreement shall be governed by and construed in accordance with the laws of the State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California without regard to conflicts of law principles thereof. If any provision of this Agreement, or application thereof to any person, place or circumstances, shall be held by a court to be invalid, unenforceable or void, such provision shall be deemed to be modified to the extent possible to give effect to the intent of the language while still remaining enforceable under applicable law, and the remaining provisions of this Agreement shall not be affected thereby and shall remain in full force and effect.</w:t>
      </w:r>
    </w:p>
    <w:p>
      <w:pPr>
        <w:spacing w:after="0" w:line="106" w:lineRule="exact"/>
        <w:rPr>
          <w:rFonts w:ascii="Times New Roman" w:cs="Times New Roman" w:eastAsia="Times New Roman" w:hAnsi="Times New Roman"/>
          <w:sz w:val="14"/>
          <w:szCs w:val="14"/>
          <w:b w:val="1"/>
          <w:bCs w:val="1"/>
          <w:color w:val="auto"/>
        </w:rPr>
      </w:pPr>
    </w:p>
    <w:p>
      <w:pPr>
        <w:jc w:val="both"/>
        <w:ind w:right="140" w:firstLine="424"/>
        <w:spacing w:after="0" w:line="269" w:lineRule="auto"/>
        <w:tabs>
          <w:tab w:leader="none" w:pos="717"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Entire Agreement. </w:t>
      </w:r>
      <w:r>
        <w:rPr>
          <w:rFonts w:ascii="Times New Roman" w:cs="Times New Roman" w:eastAsia="Times New Roman" w:hAnsi="Times New Roman"/>
          <w:sz w:val="14"/>
          <w:szCs w:val="14"/>
          <w:color w:val="auto"/>
        </w:rPr>
        <w:t>The terms of this Agreement, together with the relevant portions of the Company's Code of Business Conduct and Ethics, are the final expression of my agreement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respect to all subjects herein and may not be contradicted by evidence of any prior or contemporaneous agreement. This Agreement shall constitute the complete and exclusive statement of its terms and no extrinsic evidence whatsoever may be introduced in any judicial, administrative or other legal proceeding involving this Agreement. This Agreement can only be modified in a writing signed by me and an authorized representative of the Company.</w:t>
      </w:r>
    </w:p>
    <w:p>
      <w:pPr>
        <w:spacing w:after="0" w:line="106" w:lineRule="exact"/>
        <w:rPr>
          <w:rFonts w:ascii="Times New Roman" w:cs="Times New Roman" w:eastAsia="Times New Roman" w:hAnsi="Times New Roman"/>
          <w:sz w:val="14"/>
          <w:szCs w:val="14"/>
          <w:b w:val="1"/>
          <w:bCs w:val="1"/>
          <w:color w:val="auto"/>
        </w:rPr>
      </w:pPr>
    </w:p>
    <w:p>
      <w:pPr>
        <w:ind w:right="260" w:firstLine="424"/>
        <w:spacing w:after="0" w:line="298" w:lineRule="auto"/>
        <w:tabs>
          <w:tab w:leader="none" w:pos="709"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No Waiver</w:t>
      </w:r>
      <w:r>
        <w:rPr>
          <w:rFonts w:ascii="Times New Roman" w:cs="Times New Roman" w:eastAsia="Times New Roman" w:hAnsi="Times New Roman"/>
          <w:sz w:val="14"/>
          <w:szCs w:val="14"/>
          <w:color w:val="auto"/>
        </w:rPr>
        <w:t>. The failure of a party to insist upon strict adherence to any term of this Agreement on any occasion shall not be considered a waiver of such party’s rights or deprive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party of the right thereafter to insist upon strict adherence to that term or any other term of this Agreement.</w:t>
      </w:r>
    </w:p>
    <w:p>
      <w:pPr>
        <w:spacing w:after="0" w:line="8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I HAVE READ THIS AGREEMENT CAREFULLY AND UNDERSTAND ITS TERMS. I HAVE COMPLETELY NOTED ON EXHIBIT A TO THIS AGREEMENT ANY ORIGINAL WORKS OF AUTHORSHIP, IDEAS, PROCESSES, TRADEMARKS, SERVICE MARKS, INVENTIONS, DESIGNS, DISCOVERIES, COPYRIGHTS, DERIVATIVE WORKS OR IMPROVEMENTS TO ANY OF THE FOREGOING MADE BY ME PRIOR TO MY EMPLOYMENT WITH THE COMPANY THAT I DESIRE TO EXCLUDE FROM THIS AGREEMENT.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5/18/17</w:t>
            </w:r>
          </w:p>
        </w:tc>
        <w:tc>
          <w:tcPr>
            <w:tcW w:w="280" w:type="dxa"/>
            <w:vAlign w:val="bottom"/>
          </w:tcPr>
          <w:p>
            <w:pPr>
              <w:spacing w:after="0"/>
              <w:rPr>
                <w:sz w:val="13"/>
                <w:szCs w:val="13"/>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 Gustavo Siade</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Name: Gustavo Siade</w:t>
            </w:r>
          </w:p>
        </w:tc>
      </w:tr>
      <w:tr>
        <w:trPr>
          <w:trHeight w:val="188"/>
        </w:trPr>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Title: Sr. Vice President</w:t>
            </w:r>
          </w:p>
        </w:tc>
      </w:tr>
    </w:tbl>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EMPLOYEE'S DISCLOSURE</w:t>
      </w:r>
    </w:p>
    <w:p>
      <w:pPr>
        <w:spacing w:after="0" w:line="16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4"/>
          <w:szCs w:val="14"/>
          <w:b w:val="1"/>
          <w:bCs w:val="1"/>
          <w:color w:val="auto"/>
        </w:rPr>
        <w:t xml:space="preserve">Prior Creative Works. </w:t>
      </w:r>
      <w:r>
        <w:rPr>
          <w:rFonts w:ascii="Times New Roman" w:cs="Times New Roman" w:eastAsia="Times New Roman" w:hAnsi="Times New Roman"/>
          <w:sz w:val="14"/>
          <w:szCs w:val="14"/>
          <w:color w:val="auto"/>
        </w:rPr>
        <w:t>Except as set forth below, there are no original works of authorship, ideas, processes, trademarks, service marks, inventions, designs, discoveries, copyrights, derivative works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or improvements to the foregoing made by me prior to my employment with the Company that I wish to exclude from the operation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193675</wp:posOffset>
            </wp:positionV>
            <wp:extent cx="118935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89355" cy="571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353695</wp:posOffset>
            </wp:positionV>
            <wp:extent cx="118935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9355" cy="5715"/>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513715</wp:posOffset>
            </wp:positionV>
            <wp:extent cx="19494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94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Date:   5/18/17</w:t>
            </w:r>
          </w:p>
        </w:tc>
        <w:tc>
          <w:tcPr>
            <w:tcW w:w="280" w:type="dxa"/>
            <w:vAlign w:val="bottom"/>
          </w:tcPr>
          <w:p>
            <w:pPr>
              <w:spacing w:after="0"/>
              <w:rPr>
                <w:sz w:val="13"/>
                <w:szCs w:val="13"/>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 Gustavo Siade</w:t>
            </w:r>
          </w:p>
        </w:tc>
      </w:tr>
      <w:tr>
        <w:trPr>
          <w:trHeight w:val="20"/>
        </w:trPr>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69"/>
        </w:trPr>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Name: Gustavo Siade</w:t>
            </w:r>
          </w:p>
        </w:tc>
      </w:tr>
      <w:tr>
        <w:trPr>
          <w:trHeight w:val="188"/>
        </w:trPr>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Title: Sr. Vice President</w:t>
            </w:r>
          </w:p>
        </w:tc>
      </w:tr>
    </w:tbl>
    <w:p>
      <w:pPr>
        <w:sectPr>
          <w:pgSz w:w="11900" w:h="16838" w:orient="portrait"/>
          <w:cols w:equalWidth="0" w:num="1">
            <w:col w:w="11460"/>
          </w:cols>
          <w:pgMar w:left="220" w:top="130" w:right="2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CERTIFICATIONS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Stephen J. Sather, certify that:</w:t>
      </w:r>
    </w:p>
    <w:p>
      <w:pPr>
        <w:spacing w:after="0" w:line="150" w:lineRule="exact"/>
        <w:rPr>
          <w:sz w:val="20"/>
          <w:szCs w:val="20"/>
          <w:color w:val="auto"/>
        </w:rPr>
      </w:pPr>
    </w:p>
    <w:p>
      <w:pPr>
        <w:ind w:left="128" w:hanging="128"/>
        <w:spacing w:after="0"/>
        <w:tabs>
          <w:tab w:leader="none" w:pos="1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El Pollo Loco Holdings, Inc.;</w:t>
      </w:r>
    </w:p>
    <w:p>
      <w:pPr>
        <w:spacing w:after="0" w:line="150" w:lineRule="exact"/>
        <w:rPr>
          <w:rFonts w:ascii="Times New Roman" w:cs="Times New Roman" w:eastAsia="Times New Roman" w:hAnsi="Times New Roman"/>
          <w:sz w:val="12"/>
          <w:szCs w:val="12"/>
          <w:color w:val="auto"/>
        </w:rPr>
      </w:pPr>
    </w:p>
    <w:p>
      <w:pPr>
        <w:ind w:left="8" w:right="140" w:hanging="8"/>
        <w:spacing w:after="0" w:line="280" w:lineRule="auto"/>
        <w:tabs>
          <w:tab w:leader="none" w:pos="1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left="8" w:right="180" w:hanging="8"/>
        <w:spacing w:after="0" w:line="280" w:lineRule="auto"/>
        <w:tabs>
          <w:tab w:leader="none" w:pos="1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left="8" w:right="80" w:hanging="8"/>
        <w:spacing w:after="0" w:line="280" w:lineRule="auto"/>
        <w:tabs>
          <w:tab w:leader="none" w:pos="12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sz w:val="20"/>
          <w:szCs w:val="20"/>
          <w:color w:val="auto"/>
        </w:rPr>
      </w:pPr>
    </w:p>
    <w:p>
      <w:pPr>
        <w:ind w:left="8" w:right="460" w:hanging="8"/>
        <w:spacing w:after="0" w:line="280" w:lineRule="auto"/>
        <w:tabs>
          <w:tab w:leader="none" w:pos="171"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2"/>
          <w:szCs w:val="12"/>
          <w:color w:val="auto"/>
        </w:rPr>
      </w:pPr>
    </w:p>
    <w:p>
      <w:pPr>
        <w:ind w:left="8" w:hanging="8"/>
        <w:spacing w:after="0" w:line="280" w:lineRule="auto"/>
        <w:tabs>
          <w:tab w:leader="none" w:pos="17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2"/>
          <w:szCs w:val="12"/>
          <w:color w:val="auto"/>
        </w:rPr>
      </w:pPr>
    </w:p>
    <w:p>
      <w:pPr>
        <w:ind w:left="8" w:right="120" w:hanging="8"/>
        <w:spacing w:after="0" w:line="280" w:lineRule="auto"/>
        <w:tabs>
          <w:tab w:leader="none" w:pos="171"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2"/>
          <w:szCs w:val="12"/>
          <w:color w:val="auto"/>
        </w:rPr>
      </w:pPr>
    </w:p>
    <w:p>
      <w:pPr>
        <w:ind w:left="8" w:right="120" w:hanging="8"/>
        <w:spacing w:after="0" w:line="280" w:lineRule="auto"/>
        <w:tabs>
          <w:tab w:leader="none" w:pos="178"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left="8" w:right="220" w:hanging="8"/>
        <w:spacing w:after="0" w:line="280" w:lineRule="auto"/>
        <w:tabs>
          <w:tab w:leader="none" w:pos="1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8" w:right="160" w:hanging="8"/>
        <w:spacing w:after="0" w:line="280" w:lineRule="auto"/>
        <w:tabs>
          <w:tab w:leader="none" w:pos="171"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August 7, 2017</w:t>
      </w:r>
    </w:p>
    <w:p>
      <w:pPr>
        <w:spacing w:after="0" w:line="258"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923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1"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Stephen J. Sather</w:t>
      </w:r>
    </w:p>
    <w:p>
      <w:pPr>
        <w:spacing w:after="0" w:line="17"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6"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(Principal Executive Officer)</w:t>
      </w:r>
    </w:p>
    <w:p>
      <w:pPr>
        <w:sectPr>
          <w:pgSz w:w="11900" w:h="16838" w:orient="portrait"/>
          <w:cols w:equalWidth="0" w:num="1">
            <w:col w:w="11488"/>
          </w:cols>
          <w:pgMar w:left="212" w:top="431" w:right="1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CERTIFICATIONS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 Laurance Roberts, certify that:</w:t>
      </w:r>
    </w:p>
    <w:p>
      <w:pPr>
        <w:spacing w:after="0" w:line="150" w:lineRule="exact"/>
        <w:rPr>
          <w:sz w:val="20"/>
          <w:szCs w:val="20"/>
          <w:color w:val="auto"/>
        </w:rPr>
      </w:pPr>
    </w:p>
    <w:p>
      <w:pPr>
        <w:ind w:left="128" w:hanging="128"/>
        <w:spacing w:after="0"/>
        <w:tabs>
          <w:tab w:leader="none" w:pos="12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El Pollo Loco Holdings, Inc.;</w:t>
      </w:r>
    </w:p>
    <w:p>
      <w:pPr>
        <w:spacing w:after="0" w:line="150" w:lineRule="exact"/>
        <w:rPr>
          <w:rFonts w:ascii="Times New Roman" w:cs="Times New Roman" w:eastAsia="Times New Roman" w:hAnsi="Times New Roman"/>
          <w:sz w:val="12"/>
          <w:szCs w:val="12"/>
          <w:color w:val="auto"/>
        </w:rPr>
      </w:pPr>
    </w:p>
    <w:p>
      <w:pPr>
        <w:ind w:left="8" w:right="140" w:hanging="8"/>
        <w:spacing w:after="0" w:line="280" w:lineRule="auto"/>
        <w:tabs>
          <w:tab w:leader="none" w:pos="12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2"/>
          <w:szCs w:val="12"/>
          <w:color w:val="auto"/>
        </w:rPr>
      </w:pPr>
    </w:p>
    <w:p>
      <w:pPr>
        <w:ind w:left="8" w:right="180" w:hanging="8"/>
        <w:spacing w:after="0" w:line="280" w:lineRule="auto"/>
        <w:tabs>
          <w:tab w:leader="none" w:pos="12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2"/>
          <w:szCs w:val="12"/>
          <w:color w:val="auto"/>
        </w:rPr>
      </w:pPr>
    </w:p>
    <w:p>
      <w:pPr>
        <w:ind w:left="8" w:right="80" w:hanging="8"/>
        <w:spacing w:after="0" w:line="280" w:lineRule="auto"/>
        <w:tabs>
          <w:tab w:leader="none" w:pos="128"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sz w:val="20"/>
          <w:szCs w:val="20"/>
          <w:color w:val="auto"/>
        </w:rPr>
      </w:pPr>
    </w:p>
    <w:p>
      <w:pPr>
        <w:ind w:left="8" w:right="460" w:hanging="8"/>
        <w:spacing w:after="0" w:line="280" w:lineRule="auto"/>
        <w:tabs>
          <w:tab w:leader="none" w:pos="171"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2"/>
          <w:szCs w:val="12"/>
          <w:color w:val="auto"/>
        </w:rPr>
      </w:pPr>
    </w:p>
    <w:p>
      <w:pPr>
        <w:ind w:left="8" w:hanging="8"/>
        <w:spacing w:after="0" w:line="280" w:lineRule="auto"/>
        <w:tabs>
          <w:tab w:leader="none" w:pos="17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2"/>
          <w:szCs w:val="12"/>
          <w:color w:val="auto"/>
        </w:rPr>
      </w:pPr>
    </w:p>
    <w:p>
      <w:pPr>
        <w:ind w:left="8" w:right="120" w:hanging="8"/>
        <w:spacing w:after="0" w:line="280" w:lineRule="auto"/>
        <w:tabs>
          <w:tab w:leader="none" w:pos="171"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2"/>
          <w:szCs w:val="12"/>
          <w:color w:val="auto"/>
        </w:rPr>
      </w:pPr>
    </w:p>
    <w:p>
      <w:pPr>
        <w:ind w:left="8" w:right="120" w:hanging="8"/>
        <w:spacing w:after="0" w:line="280" w:lineRule="auto"/>
        <w:tabs>
          <w:tab w:leader="none" w:pos="178"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sz w:val="20"/>
          <w:szCs w:val="20"/>
          <w:color w:val="auto"/>
        </w:rPr>
      </w:pPr>
    </w:p>
    <w:p>
      <w:pPr>
        <w:ind w:left="8" w:right="220" w:hanging="8"/>
        <w:spacing w:after="0" w:line="280" w:lineRule="auto"/>
        <w:tabs>
          <w:tab w:leader="none" w:pos="12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left="8" w:right="160" w:hanging="8"/>
        <w:spacing w:after="0" w:line="280" w:lineRule="auto"/>
        <w:tabs>
          <w:tab w:leader="none" w:pos="171"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Date: August 7, 2017</w:t>
      </w:r>
    </w:p>
    <w:p>
      <w:pPr>
        <w:spacing w:after="0" w:line="258"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92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1"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Laurance Roberts</w:t>
      </w:r>
    </w:p>
    <w:p>
      <w:pPr>
        <w:spacing w:after="0" w:line="17"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28"/>
        <w:spacing w:after="0"/>
        <w:rPr>
          <w:sz w:val="20"/>
          <w:szCs w:val="20"/>
          <w:color w:val="auto"/>
        </w:rPr>
      </w:pPr>
      <w:r>
        <w:rPr>
          <w:rFonts w:ascii="Times New Roman" w:cs="Times New Roman" w:eastAsia="Times New Roman" w:hAnsi="Times New Roman"/>
          <w:sz w:val="12"/>
          <w:szCs w:val="12"/>
          <w:color w:val="auto"/>
        </w:rPr>
        <w:t>(Principal Financial Officer)</w:t>
      </w:r>
    </w:p>
    <w:p>
      <w:pPr>
        <w:sectPr>
          <w:pgSz w:w="11900" w:h="16838" w:orient="portrait"/>
          <w:cols w:equalWidth="0" w:num="1">
            <w:col w:w="11488"/>
          </w:cols>
          <w:pgMar w:left="212" w:top="431" w:right="1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CERTIFICATION</w:t>
      </w:r>
    </w:p>
    <w:p>
      <w:pPr>
        <w:spacing w:after="0" w:line="15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2"/>
          <w:szCs w:val="12"/>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August 7, 2017</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Stephen J. Sather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2923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Stephen J. Sather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2923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Laurance Roberts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Chief Financial Officer</w:t>
      </w: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1."/>
      <w:numFmt w:val="decimal"/>
      <w:start w:val="7"/>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lowerRoman"/>
      <w:start w:val="3"/>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lowerLetter"/>
      <w:start w:val="5"/>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lowerRoman"/>
      <w:start w:val="4"/>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lvl w:ilvl="1">
      <w:lvlJc w:val="left"/>
      <w:lvlText w:val="%2."/>
      <w:numFmt w:val="upperLetter"/>
      <w:start w:val="1"/>
    </w:lvl>
  </w:abstractNum>
  <w:abstractNum w:abstractNumId="20">
    <w:nsid w:val="71F32454"/>
    <w:multiLevelType w:val="hybridMultilevel"/>
    <w:lvl w:ilvl="0">
      <w:lvlJc w:val="left"/>
      <w:lvlText w:val="%1."/>
      <w:numFmt w:val="decimal"/>
      <w:start w:val="1"/>
    </w:lvl>
    <w:lvl w:ilvl="1">
      <w:lvlJc w:val="left"/>
      <w:lvlText w:val="%2."/>
      <w:numFmt w:val="upperLetter"/>
      <w:start w:val="35"/>
    </w:lvl>
  </w:abstractNum>
  <w:abstractNum w:abstractNumId="21">
    <w:nsid w:val="2CA88611"/>
    <w:multiLevelType w:val="hybridMultilevel"/>
    <w:lvl w:ilvl="0">
      <w:lvlJc w:val="left"/>
      <w:lvlText w:val="%1."/>
      <w:numFmt w:val="upperLetter"/>
      <w:start w:val="1"/>
    </w:lvl>
  </w:abstractNum>
  <w:abstractNum w:abstractNumId="22">
    <w:nsid w:val="836C40E"/>
    <w:multiLevelType w:val="hybridMultilevel"/>
    <w:lvl w:ilvl="0">
      <w:lvlJc w:val="left"/>
      <w:lvlText w:val="%1"/>
      <w:numFmt w:val="upperLetter"/>
      <w:start w:val="1"/>
    </w:lvl>
    <w:lvl w:ilvl="1">
      <w:lvlJc w:val="left"/>
      <w:lvlText w:val="(%2)"/>
      <w:numFmt w:val="decimal"/>
      <w:start w:val="1"/>
    </w:lvl>
  </w:abstractNum>
  <w:abstractNum w:abstractNumId="23">
    <w:nsid w:val="2901D82"/>
    <w:multiLevelType w:val="hybridMultilevel"/>
    <w:lvl w:ilvl="0">
      <w:lvlJc w:val="left"/>
      <w:lvlText w:val="%1."/>
      <w:numFmt w:val="upperLetter"/>
      <w:start w:val="2"/>
    </w:lvl>
    <w:lvl w:ilvl="1">
      <w:lvlJc w:val="left"/>
      <w:lvlText w:val="%2"/>
      <w:numFmt w:val="decimal"/>
      <w:start w:val="1"/>
    </w:lvl>
  </w:abstractNum>
  <w:abstractNum w:abstractNumId="24">
    <w:nsid w:val="3A95F874"/>
    <w:multiLevelType w:val="hybridMultilevel"/>
    <w:lvl w:ilvl="0">
      <w:lvlJc w:val="left"/>
      <w:lvlText w:val="%1."/>
      <w:numFmt w:val="upperLetter"/>
      <w:start w:val="5"/>
    </w:lvl>
  </w:abstractNum>
  <w:abstractNum w:abstractNumId="25">
    <w:nsid w:val="8138641"/>
    <w:multiLevelType w:val="hybridMultilevel"/>
    <w:lvl w:ilvl="0">
      <w:lvlJc w:val="left"/>
      <w:lvlText w:val="%1."/>
      <w:numFmt w:val="upperLetter"/>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5"/>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5"/>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2019-12-29T05:11:36Z</dcterms:created>
  <dcterms:modified xsi:type="dcterms:W3CDTF">2019-12-29T05:11:36Z</dcterms:modified>
</cp:coreProperties>
</file>