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30, 2016</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0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66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186"/>
        </w:trPr>
        <w:tc>
          <w:tcPr>
            <w:tcW w:w="66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00"/>
        </w:trPr>
        <w:tc>
          <w:tcPr>
            <w:tcW w:w="66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280" w:type="dxa"/>
            <w:vAlign w:val="bottom"/>
          </w:tcPr>
          <w:p>
            <w:pPr>
              <w:jc w:val="right"/>
              <w:ind w:right="799"/>
              <w:spacing w:after="0"/>
              <w:rPr>
                <w:sz w:val="20"/>
                <w:szCs w:val="20"/>
                <w:color w:val="auto"/>
              </w:rPr>
            </w:pPr>
            <w:r>
              <w:rPr>
                <w:rFonts w:ascii="Arial" w:cs="Arial" w:eastAsia="Arial" w:hAnsi="Arial"/>
                <w:sz w:val="18"/>
                <w:szCs w:val="18"/>
                <w:b w:val="1"/>
                <w:bCs w:val="1"/>
                <w:color w:val="auto"/>
              </w:rPr>
              <w:t>92626</w:t>
            </w:r>
          </w:p>
        </w:tc>
      </w:tr>
      <w:tr>
        <w:trPr>
          <w:trHeight w:val="186"/>
        </w:trPr>
        <w:tc>
          <w:tcPr>
            <w:tcW w:w="66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680" w:type="dxa"/>
            <w:vAlign w:val="bottom"/>
          </w:tcPr>
          <w:p>
            <w:pPr>
              <w:jc w:val="center"/>
              <w:ind w:left="3160"/>
              <w:spacing w:after="0"/>
              <w:rPr>
                <w:sz w:val="20"/>
                <w:szCs w:val="20"/>
                <w:color w:val="auto"/>
              </w:rPr>
            </w:pPr>
            <w:r>
              <w:rPr>
                <w:rFonts w:ascii="Arial" w:cs="Arial" w:eastAsia="Arial" w:hAnsi="Arial"/>
                <w:sz w:val="18"/>
                <w:szCs w:val="18"/>
                <w:b w:val="1"/>
                <w:bCs w:val="1"/>
                <w:color w:val="auto"/>
                <w:w w:val="90"/>
              </w:rPr>
              <w:t>(714) 599-5000</w:t>
            </w:r>
          </w:p>
        </w:tc>
        <w:tc>
          <w:tcPr>
            <w:tcW w:w="2280" w:type="dxa"/>
            <w:vAlign w:val="bottom"/>
          </w:tcPr>
          <w:p>
            <w:pPr>
              <w:spacing w:after="0"/>
              <w:rPr>
                <w:sz w:val="24"/>
                <w:szCs w:val="24"/>
                <w:color w:val="auto"/>
              </w:rPr>
            </w:pPr>
          </w:p>
        </w:tc>
      </w:tr>
      <w:tr>
        <w:trPr>
          <w:trHeight w:val="186"/>
        </w:trPr>
        <w:tc>
          <w:tcPr>
            <w:tcW w:w="6680" w:type="dxa"/>
            <w:vAlign w:val="bottom"/>
          </w:tcPr>
          <w:p>
            <w:pPr>
              <w:jc w:val="center"/>
              <w:ind w:left="3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6"/>
                <w:szCs w:val="16"/>
                <w:color w:val="auto"/>
              </w:rPr>
            </w:pPr>
          </w:p>
        </w:tc>
      </w:tr>
      <w:tr>
        <w:trPr>
          <w:trHeight w:val="235"/>
        </w:trPr>
        <w:tc>
          <w:tcPr>
            <w:tcW w:w="6680" w:type="dxa"/>
            <w:vAlign w:val="bottom"/>
          </w:tcPr>
          <w:p>
            <w:pPr>
              <w:jc w:val="center"/>
              <w:ind w:left="3160"/>
              <w:spacing w:after="0"/>
              <w:rPr>
                <w:sz w:val="20"/>
                <w:szCs w:val="20"/>
                <w:color w:val="auto"/>
              </w:rPr>
            </w:pPr>
            <w:r>
              <w:rPr>
                <w:rFonts w:ascii="Arial" w:cs="Arial" w:eastAsia="Arial" w:hAnsi="Arial"/>
                <w:sz w:val="14"/>
                <w:szCs w:val="14"/>
                <w:b w:val="1"/>
                <w:bCs w:val="1"/>
                <w:color w:val="auto"/>
                <w:w w:val="99"/>
              </w:rPr>
              <w:t>N/A</w:t>
            </w:r>
          </w:p>
        </w:tc>
        <w:tc>
          <w:tcPr>
            <w:tcW w:w="2280" w:type="dxa"/>
            <w:vAlign w:val="bottom"/>
          </w:tcPr>
          <w:p>
            <w:pPr>
              <w:spacing w:after="0"/>
              <w:rPr>
                <w:sz w:val="20"/>
                <w:szCs w:val="20"/>
                <w:color w:val="auto"/>
              </w:rPr>
            </w:pPr>
          </w:p>
        </w:tc>
      </w:tr>
    </w:tbl>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571" w:right="41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4">
            <w:col w:w="1620" w:space="480"/>
            <w:col w:w="5620" w:space="720"/>
            <w:col w:w="1860" w:space="720"/>
            <w:col w:w="220"/>
          </w:cols>
          <w:pgMar w:left="240" w:top="571" w:right="41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29" w:lineRule="exact"/>
        <w:rPr>
          <w:sz w:val="24"/>
          <w:szCs w:val="24"/>
          <w:color w:val="auto"/>
        </w:rPr>
      </w:pPr>
    </w:p>
    <w:p>
      <w:pPr>
        <w:sectPr>
          <w:pgSz w:w="11900" w:h="16838" w:orient="portrait"/>
          <w:cols w:equalWidth="0" w:num="4">
            <w:col w:w="1540" w:space="560"/>
            <w:col w:w="5620" w:space="720"/>
            <w:col w:w="1980" w:space="600"/>
            <w:col w:w="220"/>
          </w:cols>
          <w:pgMar w:left="240" w:top="571" w:right="419" w:bottom="1440" w:gutter="0" w:footer="0" w:header="0"/>
          <w:type w:val="continuous"/>
        </w:sectPr>
      </w:pPr>
    </w:p>
    <w:p>
      <w:pPr>
        <w:spacing w:after="0" w:line="33" w:lineRule="exact"/>
        <w:rPr>
          <w:sz w:val="24"/>
          <w:szCs w:val="24"/>
          <w:color w:val="auto"/>
        </w:rPr>
      </w:pPr>
    </w:p>
    <w:p>
      <w:pPr>
        <w:ind w:left="520"/>
        <w:spacing w:after="0"/>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o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29" w:lineRule="exact"/>
        <w:rPr>
          <w:sz w:val="24"/>
          <w:szCs w:val="24"/>
          <w:color w:val="auto"/>
        </w:rPr>
      </w:pPr>
    </w:p>
    <w:p>
      <w:pPr>
        <w:sectPr>
          <w:pgSz w:w="11900" w:h="16838" w:orient="portrait"/>
          <w:cols w:equalWidth="0" w:num="3">
            <w:col w:w="9320" w:space="180"/>
            <w:col w:w="160" w:space="100"/>
            <w:col w:w="1480"/>
          </w:cols>
          <w:pgMar w:left="240" w:top="571" w:right="41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April 30, 2016, there were 38,304,593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779780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7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Table of Contents</w:t>
            </w:r>
          </w:p>
        </w:tc>
        <w:tc>
          <w:tcPr>
            <w:tcW w:w="9920" w:type="dxa"/>
            <w:vAlign w:val="bottom"/>
            <w:gridSpan w:val="18"/>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14"/>
                <w:szCs w:val="14"/>
                <w:color w:val="auto"/>
              </w:rPr>
            </w:pPr>
          </w:p>
        </w:tc>
      </w:tr>
      <w:tr>
        <w:trPr>
          <w:trHeight w:val="183"/>
        </w:trPr>
        <w:tc>
          <w:tcPr>
            <w:tcW w:w="1102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3</w:t>
            </w:r>
          </w:p>
        </w:tc>
      </w:tr>
      <w:tr>
        <w:trPr>
          <w:trHeight w:val="210"/>
        </w:trPr>
        <w:tc>
          <w:tcPr>
            <w:tcW w:w="2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38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7160" w:type="dxa"/>
            <w:vAlign w:val="bottom"/>
            <w:gridSpan w:val="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6380" w:type="dxa"/>
            <w:vAlign w:val="bottom"/>
            <w:gridSpan w:val="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6100" w:type="dxa"/>
            <w:vAlign w:val="bottom"/>
            <w:gridSpan w:val="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4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2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 Controls and Procedures.</w:t>
              </w:r>
            </w:hyperlink>
          </w:p>
        </w:tc>
        <w:tc>
          <w:tcPr>
            <w:tcW w:w="8620" w:type="dxa"/>
            <w:vAlign w:val="bottom"/>
            <w:gridSpan w:val="11"/>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2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II—OTHER INFORMATION</w:t>
              </w:r>
            </w:hyperlink>
          </w:p>
        </w:tc>
        <w:tc>
          <w:tcPr>
            <w:tcW w:w="8340" w:type="dxa"/>
            <w:vAlign w:val="bottom"/>
            <w:gridSpan w:val="10"/>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9080" w:type="dxa"/>
            <w:vAlign w:val="bottom"/>
            <w:gridSpan w:val="1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9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6060" w:type="dxa"/>
            <w:vAlign w:val="bottom"/>
            <w:gridSpan w:val="3"/>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3.</w:t>
              </w:r>
            </w:hyperlink>
          </w:p>
        </w:tc>
        <w:tc>
          <w:tcPr>
            <w:tcW w:w="24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8080" w:type="dxa"/>
            <w:vAlign w:val="bottom"/>
            <w:gridSpan w:val="9"/>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184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Mine Safety Disclosures.</w:t>
              </w:r>
            </w:hyperlink>
          </w:p>
        </w:tc>
        <w:tc>
          <w:tcPr>
            <w:tcW w:w="8640" w:type="dxa"/>
            <w:vAlign w:val="bottom"/>
            <w:gridSpan w:val="1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 w:type="dxa"/>
            <w:vAlign w:val="bottom"/>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5.</w:t>
              </w:r>
            </w:hyperlink>
          </w:p>
        </w:tc>
        <w:tc>
          <w:tcPr>
            <w:tcW w:w="10480" w:type="dxa"/>
            <w:vAlign w:val="bottom"/>
            <w:gridSpan w:val="20"/>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13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9100" w:type="dxa"/>
            <w:vAlign w:val="bottom"/>
            <w:gridSpan w:val="1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9820" w:type="dxa"/>
            <w:vAlign w:val="bottom"/>
            <w:gridSpan w:val="1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FF0FC"/>
            </w:tcBorders>
          </w:tcPr>
          <w:p>
            <w:pPr>
              <w:spacing w:after="0"/>
              <w:rPr>
                <w:sz w:val="14"/>
                <w:szCs w:val="14"/>
                <w:color w:val="auto"/>
              </w:rPr>
            </w:pPr>
          </w:p>
        </w:tc>
        <w:tc>
          <w:tcPr>
            <w:tcW w:w="27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8,864</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Restricted cash</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and other receivables, net</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Inventories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w:t>
            </w:r>
          </w:p>
        </w:tc>
        <w:tc>
          <w:tcPr>
            <w:tcW w:w="2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Property and equipment owned, net</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106,871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Property held under capital leases, net</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Goodwill</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248,674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466,053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461,028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Current portion of obligations under capital leases</w:t>
            </w:r>
          </w:p>
        </w:tc>
        <w:tc>
          <w:tcPr>
            <w:tcW w:w="3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salaries and vacation</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income taxes payable</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advertising</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2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Revolver loan</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 net of current portion</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intangible liabilities, net</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2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060" w:type="dxa"/>
            <w:vAlign w:val="bottom"/>
            <w:gridSpan w:val="2"/>
            <w:shd w:val="clear" w:color="auto" w:fill="CFF0FC"/>
          </w:tcPr>
          <w:p>
            <w:pPr>
              <w:jc w:val="right"/>
              <w:ind w:right="2270"/>
              <w:spacing w:after="0"/>
              <w:rPr>
                <w:sz w:val="20"/>
                <w:szCs w:val="20"/>
                <w:color w:val="auto"/>
              </w:rPr>
            </w:pPr>
            <w:r>
              <w:rPr>
                <w:rFonts w:ascii="Arial" w:cs="Arial" w:eastAsia="Arial" w:hAnsi="Arial"/>
                <w:sz w:val="18"/>
                <w:szCs w:val="18"/>
                <w:color w:val="auto"/>
                <w:w w:val="93"/>
              </w:rPr>
              <w:t>issued or</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2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140" w:type="dxa"/>
            <w:vAlign w:val="bottom"/>
            <w:gridSpan w:val="3"/>
          </w:tcPr>
          <w:p>
            <w:pPr>
              <w:spacing w:after="0"/>
              <w:rPr>
                <w:sz w:val="20"/>
                <w:szCs w:val="20"/>
                <w:color w:val="auto"/>
              </w:rPr>
            </w:pPr>
            <w:r>
              <w:rPr>
                <w:rFonts w:ascii="Arial" w:cs="Arial" w:eastAsia="Arial" w:hAnsi="Arial"/>
                <w:sz w:val="18"/>
                <w:szCs w:val="18"/>
                <w:color w:val="auto"/>
              </w:rPr>
              <w:t>Common stock, $0.01 par value—200,000,000 shares authorized; 38,296,787</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and 38,284,435 shares issued and outstanding</w:t>
            </w: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Accumulated deficit</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(119,942)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(125,385)</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2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466,053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3"/>
        </w:trPr>
        <w:tc>
          <w:tcPr>
            <w:tcW w:w="80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March 30,</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91"/>
              <w:spacing w:after="0" w:line="133"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Company-operated restaurant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88,369</w:t>
            </w:r>
          </w:p>
        </w:tc>
        <w:tc>
          <w:tcPr>
            <w:tcW w:w="180" w:type="dxa"/>
            <w:vAlign w:val="bottom"/>
          </w:tcPr>
          <w:p>
            <w:pPr>
              <w:spacing w:after="0"/>
              <w:rPr>
                <w:sz w:val="19"/>
                <w:szCs w:val="19"/>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84,733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90,426</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operations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Food and paper cost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Labor and related expenses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Occupancy and other operating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17,136</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Company restaurant expenses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Expenses related to fire loss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impairment and closed-store reserves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77,459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 of interest income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receivable agreement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1"/>
                <w:szCs w:val="21"/>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shares used in computing net income per share</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38,284,435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37,424,745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39,001,078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38,921,884</w:t>
            </w:r>
          </w:p>
        </w:tc>
        <w:tc>
          <w:tcPr>
            <w:tcW w:w="3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8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800"/>
              <w:spacing w:after="0" w:line="133" w:lineRule="exact"/>
              <w:rPr>
                <w:sz w:val="20"/>
                <w:szCs w:val="20"/>
                <w:color w:val="auto"/>
              </w:rPr>
            </w:pPr>
            <w:r>
              <w:rPr>
                <w:rFonts w:ascii="Arial" w:cs="Arial" w:eastAsia="Arial" w:hAnsi="Arial"/>
                <w:sz w:val="14"/>
                <w:szCs w:val="14"/>
                <w:b w:val="1"/>
                <w:bCs w:val="1"/>
                <w:color w:val="auto"/>
              </w:rPr>
              <w:t>March 30,</w:t>
            </w: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411"/>
              <w:spacing w:after="0" w:line="133"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r>
      <w:tr>
        <w:trPr>
          <w:trHeight w:val="171"/>
        </w:trPr>
        <w:tc>
          <w:tcPr>
            <w:tcW w:w="8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5,443</w:t>
            </w:r>
          </w:p>
        </w:tc>
        <w:tc>
          <w:tcPr>
            <w:tcW w:w="5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19"/>
                <w:szCs w:val="19"/>
                <w:color w:val="auto"/>
              </w:rPr>
            </w:pPr>
          </w:p>
        </w:tc>
      </w:tr>
      <w:tr>
        <w:trPr>
          <w:trHeight w:val="215"/>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3,758</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Expenses related to fire loss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Income tax receivable agreement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Proceeds from insurance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Closed-store reserve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Amortization of favorable and unfavorable leases, net</w:t>
            </w:r>
          </w:p>
        </w:tc>
        <w:tc>
          <w:tcPr>
            <w:tcW w:w="1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Accounts and other receivables, net</w:t>
            </w:r>
          </w:p>
        </w:tc>
        <w:tc>
          <w:tcPr>
            <w:tcW w:w="1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(4,808)</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(2,260)</w:t>
            </w: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Accrued salaries and vacation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insurance</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30"/>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FF0FC"/>
            </w:tcBorders>
          </w:tcPr>
          <w:p>
            <w:pPr>
              <w:spacing w:after="0"/>
              <w:rPr>
                <w:sz w:val="19"/>
                <w:szCs w:val="19"/>
                <w:color w:val="auto"/>
              </w:rPr>
            </w:pPr>
          </w:p>
        </w:tc>
      </w:tr>
      <w:tr>
        <w:trPr>
          <w:trHeight w:val="223"/>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provided by operating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11,003</w:t>
            </w: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100" w:type="dxa"/>
            <w:vAlign w:val="bottom"/>
            <w:shd w:val="clear" w:color="auto" w:fill="CFF0FC"/>
          </w:tcPr>
          <w:p>
            <w:pPr>
              <w:spacing w:after="0"/>
              <w:rPr>
                <w:sz w:val="19"/>
                <w:szCs w:val="19"/>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insurance</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(5,935)</w:t>
            </w: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(2,379)</w:t>
            </w:r>
          </w:p>
        </w:tc>
      </w:tr>
      <w:tr>
        <w:trPr>
          <w:trHeight w:val="223"/>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investing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5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Payments on revolver loan</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(15,000)</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Proceeds from issuance of common stock, net of expenses</w:t>
            </w:r>
          </w:p>
        </w:tc>
        <w:tc>
          <w:tcPr>
            <w:tcW w:w="180" w:type="dxa"/>
            <w:vAlign w:val="bottom"/>
          </w:tcPr>
          <w:p>
            <w:pPr>
              <w:spacing w:after="0"/>
              <w:rPr>
                <w:sz w:val="19"/>
                <w:szCs w:val="19"/>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Payment of obligations under capital leases</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financing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5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2,763</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9"/>
                <w:szCs w:val="19"/>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shd w:val="clear" w:color="auto" w:fill="CFF0FC"/>
          </w:tcPr>
          <w:p>
            <w:pPr>
              <w:spacing w:after="0"/>
              <w:rPr>
                <w:sz w:val="19"/>
                <w:szCs w:val="19"/>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5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466"/>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1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30,</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right"/>
              <w:ind w:right="6"/>
              <w:spacing w:after="0" w:line="133" w:lineRule="exact"/>
              <w:rPr>
                <w:sz w:val="20"/>
                <w:szCs w:val="20"/>
                <w:color w:val="auto"/>
              </w:rPr>
            </w:pPr>
            <w:r>
              <w:rPr>
                <w:rFonts w:ascii="Arial" w:cs="Arial" w:eastAsia="Arial" w:hAnsi="Arial"/>
                <w:sz w:val="14"/>
                <w:szCs w:val="14"/>
                <w:b w:val="1"/>
                <w:bCs w:val="1"/>
                <w:color w:val="auto"/>
              </w:rPr>
              <w:t>April 1,</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20" w:type="dxa"/>
            <w:vAlign w:val="bottom"/>
            <w:vMerge w:val="continue"/>
          </w:tcPr>
          <w:p>
            <w:pPr>
              <w:spacing w:after="0"/>
              <w:rPr>
                <w:sz w:val="14"/>
                <w:szCs w:val="14"/>
                <w:color w:val="auto"/>
              </w:rPr>
            </w:pPr>
          </w:p>
        </w:tc>
        <w:tc>
          <w:tcPr>
            <w:tcW w:w="32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during the period for interest</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46"/>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Cash paid during the period for income taxes, net</w:t>
            </w:r>
          </w:p>
        </w:tc>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214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2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2,548</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Cashless stock option exercise</w:t>
            </w:r>
          </w:p>
        </w:tc>
        <w:tc>
          <w:tcPr>
            <w:tcW w:w="3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ind w:right="376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10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 and operates under one operating segment. At March 30, 2016, we operated 188 and franchised 248 El Pollo Loco restaurants.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30, 2015.</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2015 and 2016 are both 52-week years, ending on December 30, 2015, and December 28, 2016, respectively. Revenues, expenses, and other financial and operational figures may be elevated in a 53-week year.</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 store reserves, stock-based compensation, income tax receivable agreement liability, and income tax valuation allowances.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Certain comparative prior year amounts in the condensed consolidated financial statements and accompanying notes have been reclassified to conform to the current year presentation. These reclassifications have no effect on previously-reported working capital, net income, earnings per share, stockholders’ equity,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principal liquidity requirements are to service our debt and to meet capital expenditure needs. At March 30, 2016, the Company’s total debt (including capital lease liabilities) was $121.1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$8.9 million at March 30, 2016, and available borrowings under the 2014 Revolver (which availability was approximately $72.3 million at March 30, 2016) will be adequate to meet the Company’s liquidity needs for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November 2015, one of the Company’s restaurants incurred damage resulting from a fire. During the thirteen weeks ended March 30, 2016, we incurred costs directly related to the fire of $48,000 and recognized a gain of $289,000 resulting from the receipt from the insurance company of $400,000 in cash.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therein (our fiscal year 2018). Early application is permitted. We are currently evaluating the impact of this guidance on our Condensed Consolidated Financial Statements.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of the pending adoption of the new standard on the consolidated financial statements.</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the Company's fiscal year beginning December 28, 2017 and interim periods within that fiscal year. The impact of this expected adoption of ASU 2016-01 is being evaluated by the Company.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right="60"/>
        <w:spacing w:after="0" w:line="257"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the Company’s pending adoption of ASU 2014-09 on the Company’s financial statements and has not yet determined the method by which it will adopt the standard in fiscal 2018.</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30, 2016, the Company and a franchisee each opened one new restaurant.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4, 2016, the Company received $600,000 of insurance proceeds related to a restaurant damaged by fire in 2015.</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evaluated subsequent events that have occurred after March 30, 2016, and determined that there were no other events or transactions occurring during this reporting period that require recognition or disclosure in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The Company had one supplier for which amounts due at March 30, 2016 totaled 15% of the Company’s accounts payable. As of December 30, 2015, the Company had two different suppliers for which amounts totaled 12% and 11% of the Company’s accounts payable. Purchases from the Company’s largest supplier totaled 33% for the thirteen weeks ended March 30, 2016, and 36% for the thirteen weeks ended April 1, 2015, of the Company’s purchases.</w:t>
      </w:r>
    </w:p>
    <w:p>
      <w:pPr>
        <w:ind w:right="220"/>
        <w:spacing w:after="0" w:line="261"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76% and 78% of total revenue for the thirteen weeks ended March 30, 2016 and April 1,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the sale of a restaurant, we decrement goodwill. The amount of goodwill included in the cost basis of the asset sold is determined based on the relative fair value of the portion of the reporting unit disposed of compared to the fair value of the reporting unit retained.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did not identify any indicators of potential impairment during the thirteen weeks ended March 30, 2016, and therefore did not perform any impairment review, nor did the Company record any impairment.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March 30, 2016, or at December 30, 2015, and did not recognize interest or penalties during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thirteen weeks ended March 30, 2016, or April 1, 2015, since there were no material unrecognized tax benefits. Management believes no material changes to the amount of unrecognized tax benefits will occur within the next twelve months.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111,349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property and equipment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193,993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186,914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(87,122)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(84,493)</w:t>
            </w: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expense was $3.8 million and $3.1 million for the thirteen weeks ended March 30, 2016, and April 1, 2015, respectively. The gross value of assets under capital leases for buildings and improvements was $1,559,200 and $1,559,200 at March 30, 2016 and December 30, 2015, respectively. Accumulated depreciation for assets under capital leases was $1,478,000 and $1,470,000 as of March 30, 2016 and December 30, 2015, respectively. For the thirteen weeks ended March 30, 2016, capital expenditures totaled $8.5 million, including $1.5 million for restaurant remodeling and $5.5 million for new restaurant expenditures.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At March 30, 2016, options to purchase 1,992,401 shares of common stock were outstanding, including 1,715,243 vested and 277,158 unvested. Unvested options vest over time, or upon our achieving annual financial goals. However, upon a change in control, the board may accelerate vesting. At March 30, 2016, 1,665,505 premium options remained outstanding. For the thirteen weeks ended March 30, 2016, there were no exercises of stock options. For the thirteen weeks ended April 1, 2015, there were exercises of stock options for 19,720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30, 2016, there were 12,352 unvested restricted shares outstanding. Restricted shares vest over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30, 2016, we had total unrecognized compensation expense of $0.6 million, related to unvested stock options and restricted shares, which we expect to recognize over a weighted-average period of 1.3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Total stock-based compensation expense was $11,000 and $297,000 for the thirteen weeks ended March 30, 2016 and April 1, 2015,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March 30, 2016, $7.2 million of letters of credit were outstanding and $72.3 million was available to borrow under the revolving line of credit. The 2014 Revolver will mature on or about December 11, 2019.</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2.02% to 2.19% for the thirteen weeks ended March 30, 2016.</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March 30, 2016.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are no required principal payments prior to maturity for the 2014 Revolver. During the thirteen weeks ended March 30, 2016, the Company elected to pay down $2.5 million of outstanding borrowing on our 2014 Revolver, primarily from our cash flow from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March 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sales and property taxes</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Gift card liability</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17,543</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March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w:t>
            </w:r>
          </w:p>
        </w:tc>
        <w:tc>
          <w:tcPr>
            <w:tcW w:w="2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43,658</w:t>
            </w: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77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180"/>
        <w:spacing w:after="0" w:line="293" w:lineRule="auto"/>
        <w:rPr>
          <w:sz w:val="20"/>
          <w:szCs w:val="20"/>
          <w:color w:val="auto"/>
        </w:rPr>
      </w:pPr>
      <w:r>
        <w:rPr>
          <w:rFonts w:ascii="Arial" w:cs="Arial" w:eastAsia="Arial" w:hAnsi="Arial"/>
          <w:sz w:val="16"/>
          <w:szCs w:val="16"/>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have executed a Memorandum of Understanding outlining an agreement in principle between the parties to settle the claims on a class-wide basis. The parties are working to memorialize the settlement and secure the required court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right="4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Defendants intend to vigorously defend against the claims asserted. In addition, on September 16, 2015, the Company and certain of its officers and directors received an informal, non-public inquiry from the SEC requesting voluntary production of documents and information. All parties are cooperating fully with the SEC's request.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about November 5, 2015, a purported EPL shareholder filed a derivative complaint on behalf of the Company in the Court of Chancery of the State of Delaware against certain EPL officers, directors and Trimaran Pollo Partners, L.L.C. The derivative complaint alleges that these defendants breached their fiduciary duties to EPL and were unjustly enriched when they sold shares of EPL at artificially inflated prices due to alleged misrepresentations and omissions regarding EPL’s comparable store sales in the second quarter of 2015. The EPL shareholder’s requested remedies include an award of compensatory damages to EPL, as well as a court order to improve corporate governance by putting forward for stockholder vote certain resolutions for amendments to EPL’s Bylaws or Certificate of Incorporation.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$13.2 million as of March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30, 2016, the Company’s total estimated commitment to purchase chicken was $31.7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franchisees, the Company is contingently liable on four lease agreements. These leases have various terms, the latest of which expires in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March 30, 2016, the potential amount of undiscounted payments the Company could be required to make in the event of non-payment by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lessee was $1,289,000. The present value of these potential payments discounted at the Company’s estimated pre-tax cost of debt at March 30, 2016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$1,171,000. The Company’s franchisees are primarily liable on the leases. The Company has cross-default provisions with these franchisees that would put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them in default of their franchise agreements in the event of non-payment under the leases. The Company believes that these cross-default provisions reduce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risk that payments will be required to be made under these leases. Accordingly, no liability has been recorded in the Company’s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related to these contingent liabilities.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has employment agreements with three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weeks ended March 30, 2016, and April 1, 2015.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6"/>
          </w:tcPr>
          <w:p>
            <w:pPr>
              <w:ind w:left="62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17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60"/>
              <w:spacing w:after="0" w:line="133" w:lineRule="exact"/>
              <w:rPr>
                <w:sz w:val="20"/>
                <w:szCs w:val="20"/>
                <w:color w:val="auto"/>
              </w:rPr>
            </w:pPr>
            <w:r>
              <w:rPr>
                <w:rFonts w:ascii="Arial" w:cs="Arial" w:eastAsia="Arial" w:hAnsi="Arial"/>
                <w:sz w:val="14"/>
                <w:szCs w:val="14"/>
                <w:b w:val="1"/>
                <w:bCs w:val="1"/>
                <w:color w:val="auto"/>
              </w:rPr>
              <w:t>March 30,</w:t>
            </w: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6"/>
              <w:spacing w:after="0" w:line="133" w:lineRule="exact"/>
              <w:rPr>
                <w:sz w:val="20"/>
                <w:szCs w:val="20"/>
                <w:color w:val="auto"/>
              </w:rPr>
            </w:pPr>
            <w:r>
              <w:rPr>
                <w:rFonts w:ascii="Arial" w:cs="Arial" w:eastAsia="Arial" w:hAnsi="Arial"/>
                <w:sz w:val="14"/>
                <w:szCs w:val="14"/>
                <w:b w:val="1"/>
                <w:bCs w:val="1"/>
                <w:color w:val="auto"/>
              </w:rPr>
              <w:t>April 1,</w:t>
            </w:r>
          </w:p>
        </w:tc>
        <w:tc>
          <w:tcPr>
            <w:tcW w:w="22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45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6,791</w:t>
            </w:r>
          </w:p>
        </w:tc>
        <w:tc>
          <w:tcPr>
            <w:tcW w:w="22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Weighted-average shares outstanding—basic</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38,284,435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37,424,745</w:t>
            </w:r>
          </w:p>
        </w:tc>
        <w:tc>
          <w:tcPr>
            <w:tcW w:w="22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outstanding—diluted</w:t>
            </w: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39,001,078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38,921,884</w:t>
            </w:r>
          </w:p>
        </w:tc>
        <w:tc>
          <w:tcPr>
            <w:tcW w:w="220" w:type="dxa"/>
            <w:vAlign w:val="bottom"/>
            <w:shd w:val="clear" w:color="auto" w:fill="CFF0FC"/>
          </w:tcPr>
          <w:p>
            <w:pPr>
              <w:spacing w:after="0"/>
              <w:rPr>
                <w:sz w:val="19"/>
                <w:szCs w:val="19"/>
                <w:color w:val="auto"/>
              </w:rPr>
            </w:pPr>
          </w:p>
        </w:tc>
      </w:tr>
      <w:tr>
        <w:trPr>
          <w:trHeight w:val="223"/>
        </w:trPr>
        <w:tc>
          <w:tcPr>
            <w:tcW w:w="6280" w:type="dxa"/>
            <w:vAlign w:val="bottom"/>
            <w:gridSpan w:val="2"/>
          </w:tcPr>
          <w:p>
            <w:pPr>
              <w:ind w:left="1720"/>
              <w:spacing w:after="0"/>
              <w:rPr>
                <w:sz w:val="20"/>
                <w:szCs w:val="20"/>
                <w:color w:val="auto"/>
              </w:rPr>
            </w:pPr>
            <w:r>
              <w:rPr>
                <w:rFonts w:ascii="Arial" w:cs="Arial" w:eastAsia="Arial" w:hAnsi="Arial"/>
                <w:sz w:val="18"/>
                <w:szCs w:val="18"/>
                <w:color w:val="auto"/>
              </w:rPr>
              <w:t>Net income per share—basic</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share—diluted</w:t>
            </w:r>
          </w:p>
        </w:tc>
        <w:tc>
          <w:tcPr>
            <w:tcW w:w="28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9"/>
                <w:szCs w:val="19"/>
                <w:color w:val="auto"/>
              </w:rPr>
            </w:pPr>
          </w:p>
        </w:tc>
      </w:tr>
      <w:tr>
        <w:trPr>
          <w:trHeight w:val="209"/>
        </w:trPr>
        <w:tc>
          <w:tcPr>
            <w:tcW w:w="6280" w:type="dxa"/>
            <w:vAlign w:val="bottom"/>
            <w:gridSpan w:val="2"/>
          </w:tcPr>
          <w:p>
            <w:pPr>
              <w:ind w:left="1720"/>
              <w:spacing w:after="0"/>
              <w:rPr>
                <w:sz w:val="20"/>
                <w:szCs w:val="20"/>
                <w:color w:val="auto"/>
              </w:rPr>
            </w:pPr>
            <w:r>
              <w:rPr>
                <w:rFonts w:ascii="Arial" w:cs="Arial" w:eastAsia="Arial" w:hAnsi="Arial"/>
                <w:sz w:val="18"/>
                <w:szCs w:val="18"/>
                <w:color w:val="auto"/>
              </w:rPr>
              <w:t>Anti-dilutive securities not considered in diluted EPS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calculation</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220" w:type="dxa"/>
            <w:vAlign w:val="bottom"/>
          </w:tcPr>
          <w:p>
            <w:pPr>
              <w:spacing w:after="0"/>
              <w:rPr>
                <w:sz w:val="20"/>
                <w:szCs w:val="20"/>
                <w:color w:val="auto"/>
              </w:rPr>
            </w:pPr>
          </w:p>
        </w:tc>
      </w:tr>
      <w:tr>
        <w:trPr>
          <w:trHeight w:val="426"/>
        </w:trPr>
        <w:tc>
          <w:tcPr>
            <w:tcW w:w="6280" w:type="dxa"/>
            <w:vAlign w:val="bottom"/>
            <w:gridSpan w:val="2"/>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6"/>
        </w:trPr>
        <w:tc>
          <w:tcPr>
            <w:tcW w:w="1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6"/>
          </w:tcPr>
          <w:p>
            <w:pPr>
              <w:ind w:left="640"/>
              <w:spacing w:after="0"/>
              <w:rPr>
                <w:sz w:val="20"/>
                <w:szCs w:val="20"/>
                <w:color w:val="auto"/>
              </w:rPr>
            </w:pPr>
            <w:r>
              <w:rPr>
                <w:rFonts w:ascii="Arial" w:cs="Arial" w:eastAsia="Arial" w:hAnsi="Arial"/>
                <w:sz w:val="14"/>
                <w:szCs w:val="14"/>
                <w:b w:val="1"/>
                <w:bCs w:val="1"/>
                <w:color w:val="auto"/>
              </w:rPr>
              <w:t>Thirteen Weeks Ended</w:t>
            </w:r>
          </w:p>
        </w:tc>
      </w:tr>
      <w:tr>
        <w:trPr>
          <w:trHeight w:val="133"/>
        </w:trPr>
        <w:tc>
          <w:tcPr>
            <w:tcW w:w="17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80"/>
              <w:spacing w:after="0" w:line="133" w:lineRule="exact"/>
              <w:rPr>
                <w:sz w:val="20"/>
                <w:szCs w:val="20"/>
                <w:color w:val="auto"/>
              </w:rPr>
            </w:pPr>
            <w:r>
              <w:rPr>
                <w:rFonts w:ascii="Arial" w:cs="Arial" w:eastAsia="Arial" w:hAnsi="Arial"/>
                <w:sz w:val="14"/>
                <w:szCs w:val="14"/>
                <w:b w:val="1"/>
                <w:bCs w:val="1"/>
                <w:color w:val="auto"/>
              </w:rPr>
              <w:t>March 30,</w:t>
            </w: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16"/>
              <w:spacing w:after="0" w:line="133" w:lineRule="exact"/>
              <w:rPr>
                <w:sz w:val="20"/>
                <w:szCs w:val="20"/>
                <w:color w:val="auto"/>
              </w:rPr>
            </w:pPr>
            <w:r>
              <w:rPr>
                <w:rFonts w:ascii="Arial" w:cs="Arial" w:eastAsia="Arial" w:hAnsi="Arial"/>
                <w:sz w:val="14"/>
                <w:szCs w:val="14"/>
                <w:b w:val="1"/>
                <w:bCs w:val="1"/>
                <w:color w:val="auto"/>
                <w:w w:val="96"/>
              </w:rPr>
              <w:t>April 1,</w:t>
            </w:r>
          </w:p>
        </w:tc>
        <w:tc>
          <w:tcPr>
            <w:tcW w:w="22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45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outstanding—basic</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38,284,435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37,424,745</w:t>
            </w:r>
          </w:p>
        </w:tc>
        <w:tc>
          <w:tcPr>
            <w:tcW w:w="22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effect of stock options and restricted shares</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716,643</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1,497,139</w:t>
            </w:r>
          </w:p>
        </w:tc>
        <w:tc>
          <w:tcPr>
            <w:tcW w:w="22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outstanding—diluted</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39,001,078</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38,921,884</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43.7%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discussion and analysis should be read in conjunction with Item 1 above and with the financial statements contained in our annual report on Form 10-K for the year ended December 30, 2015. This discussion and analysis contains forward-looking statements that involve risks, uncertainties and assumptions. Outcomes may differ materially from our expectations. For more information, we direct you to the sections “Risk Factors” and “Forward-Looking Statements” in our annual report. We make no guarantees regarding outcomes, and assume no obligations to update the forward-looking statements herein, except pursuant to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Baja Shrimp Tacos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40"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30, 2016, we had 436 locations in five states. In fiscal 2015, we opened fourteen new company-operated and five new franchised restaurants across Arizona, California, Nevada, and Texas. For the quarter ended March 30, 2016, we opened three new company-operated restaurants, in Arizona and Texas, and one franchised restaurant in Texas and closed one company-operated restaurant in California. In 2016, we intend to open 17 to 20 new company-operated and 10 to 15 new franchised restaurants in Arizona, California, Nevada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System-wide, for the quarter ended March 30, 2016, comparable restaurant sales increased 0.7%. For company-operated restaurants, comparable restaurant sales, for the quarter, decreased by 0.6%. For company-operated restaurants, the quarter’s comparable restaurant sales consisted of a 0.8% decrease in traffic, offset by a 0.2% increase in average check size year over year. For franchised restaurants, comparable restaurant sales increased 1.8%.</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thirteen weeks ended March 30, 2016, were as follows.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Thirteen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Weeks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Fiscal Year Ended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March 30,</w:t>
            </w:r>
          </w:p>
        </w:tc>
        <w:tc>
          <w:tcPr>
            <w:tcW w:w="22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Franchised restaurant activity: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System-wide restaurant activity: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Closures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Restaurants at end of period</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March 30, 2016, together we had remodeled 108 company-operated and 173 franchised restaurants, or 281 system-wide, over 70% of our restaurant system. Remodeling is a use of cash and has implications for our net property and depreciation line items on our condensed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recovery of insurance proceeds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November 2015, one of the Company’s restaurants incurred damage resulting from a fire. During the thirteen weeks ended March 30, 2016, we incurred costs directly related to the fire of $48,000 and recognized a gain of $289,000 resulting from the receipt from the insurance company of $400,000 in cash.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5" w:right="379" w:bottom="1440" w:gutter="0" w:footer="0" w:header="0"/>
        </w:sectPr>
      </w:pPr>
    </w:p>
    <w:bookmarkStart w:id="16" w:name="page17"/>
    <w:bookmarkEnd w:id="16"/>
    <w:p>
      <w:pPr>
        <w:ind w:right="100"/>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30, 2015,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 of cash flows. ASU 2016-09 is effective for annual periods beginning after December 15, 2016, and interim periods therein (our fiscal year 2018). Early application is permitted. We are currently evaluating the impact of this guidance on our Condensed Consolidated Financial Statements.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of the pending adoption of the new standard on the consolidated financial statements.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the Company's fiscal year beginning December 28, 2017 and interim periods within that fiscal year. The impact of this expected adoption of ASU 2016-01 is being evaluated by the Company.</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the Company’s pending adoption of ASU 2014-09 on the Company’s financial statements and has not yet determined the method by which it will adopt the standard in fiscal 2018.</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consist of the depreciation of fixed assets, including leasehold improvements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of unpaid rent remaining on the life of a lease offset by assumed sublease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30, 2016 and April 1, 2015, there were 404 and 396 comparable restaurants, 167 and 159 company-operated and 237 and 237 franchised, respectively. Comparable restaurant sales indicate the performance of existing restaurants, since new restaurants are excluded.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3"/>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March 30,</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36"/>
              <w:spacing w:after="0" w:line="133" w:lineRule="exact"/>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88,369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84,733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Company restaurant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70,109</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65,841</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Restaurant contribution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3"/>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March 30,</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5,443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Non-GAAP adjustments: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13,788</w:t>
            </w:r>
          </w:p>
        </w:tc>
        <w:tc>
          <w:tcPr>
            <w:tcW w:w="140" w:type="dxa"/>
            <w:vAlign w:val="bottom"/>
          </w:tcPr>
          <w:p>
            <w:pPr>
              <w:spacing w:after="0"/>
              <w:rPr>
                <w:sz w:val="20"/>
                <w:szCs w:val="20"/>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15,862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(a)</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(b)(c)</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fire loss</w:t>
            </w:r>
            <w:r>
              <w:rPr>
                <w:rFonts w:ascii="Arial" w:cs="Arial" w:eastAsia="Arial" w:hAnsi="Arial"/>
                <w:sz w:val="15"/>
                <w:szCs w:val="15"/>
                <w:color w:val="auto"/>
              </w:rPr>
              <w:t>(c)</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Gain on recovery of insurance proceeds</w:t>
            </w:r>
            <w:r>
              <w:rPr>
                <w:rFonts w:ascii="Arial" w:cs="Arial" w:eastAsia="Arial" w:hAnsi="Arial"/>
                <w:sz w:val="15"/>
                <w:szCs w:val="15"/>
                <w:color w:val="auto"/>
              </w:rPr>
              <w:t>(c)</w:t>
            </w: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r>
              <w:rPr>
                <w:rFonts w:ascii="Arial" w:cs="Arial" w:eastAsia="Arial" w:hAnsi="Arial"/>
                <w:sz w:val="15"/>
                <w:szCs w:val="15"/>
                <w:color w:val="auto"/>
              </w:rPr>
              <w:t>(d)</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Income tax receivable agreement expense</w:t>
            </w:r>
            <w:r>
              <w:rPr>
                <w:rFonts w:ascii="Arial" w:cs="Arial" w:eastAsia="Arial" w:hAnsi="Arial"/>
                <w:sz w:val="15"/>
                <w:szCs w:val="15"/>
                <w:color w:val="auto"/>
              </w:rPr>
              <w:t>(e)</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Securities class action legal expense</w:t>
            </w:r>
            <w:r>
              <w:rPr>
                <w:rFonts w:ascii="Arial" w:cs="Arial" w:eastAsia="Arial" w:hAnsi="Arial"/>
                <w:sz w:val="15"/>
                <w:szCs w:val="15"/>
                <w:color w:val="auto"/>
              </w:rPr>
              <w:t>(f)</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(g)</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16,044</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16,597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117" w:lineRule="exact"/>
        <w:rPr>
          <w:rFonts w:ascii="Arial" w:cs="Arial" w:eastAsia="Arial" w:hAnsi="Arial"/>
          <w:sz w:val="18"/>
          <w:szCs w:val="18"/>
          <w:color w:val="auto"/>
        </w:rPr>
      </w:pPr>
    </w:p>
    <w:p>
      <w:pPr>
        <w:ind w:left="520" w:right="40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62" w:lineRule="exact"/>
        <w:rPr>
          <w:rFonts w:ascii="Arial" w:cs="Arial" w:eastAsia="Arial" w:hAnsi="Arial"/>
          <w:sz w:val="18"/>
          <w:szCs w:val="18"/>
          <w:color w:val="auto"/>
        </w:rPr>
      </w:pPr>
    </w:p>
    <w:p>
      <w:pPr>
        <w:ind w:left="520" w:right="36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November 2015, one of the Company’s restaurants incurred damage resulting from a fire. During the thirteen weeks ended March 30, 2016, we incurred costs directly related to the fire of $48,000 and recognized a gain of $289,000 resulting from the receipt from the insurance company of $400,000 in cash.</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left="520" w:right="140" w:hanging="512"/>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weeks ended March 30, 2016, income tax receivable agreement expense consisted of the amortization of interest expense and changes in estimates for actual tax returns filed, related to our total expected TRA payments.</w:t>
      </w:r>
    </w:p>
    <w:p>
      <w:pPr>
        <w:spacing w:after="0" w:line="78"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costs related to a securities class action lawsuit. See the Notes to the Condensed Consolidated Financial Statements, Note 7 Commitments and Contingencies, Legal Matters.</w:t>
      </w:r>
    </w:p>
    <w:p>
      <w:pPr>
        <w:spacing w:after="0" w:line="62" w:lineRule="exact"/>
        <w:rPr>
          <w:rFonts w:ascii="Arial" w:cs="Arial" w:eastAsia="Arial" w:hAnsi="Arial"/>
          <w:sz w:val="18"/>
          <w:szCs w:val="18"/>
          <w:color w:val="auto"/>
        </w:rPr>
      </w:pPr>
    </w:p>
    <w:p>
      <w:pPr>
        <w:ind w:left="520" w:right="40" w:hanging="512"/>
        <w:spacing w:after="0" w:line="279"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Results of Operations for the Thirteen Weeks Ended March 30, 2016 and April 1, 2015</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operating results for the thirteen weeks ended March 30, 2016, and April 1, 2015, in absolute terms, and expressed as percentages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6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March 30, 2016</w:t>
            </w:r>
          </w:p>
        </w:tc>
        <w:tc>
          <w:tcPr>
            <w:tcW w:w="160" w:type="dxa"/>
            <w:vAlign w:val="bottom"/>
          </w:tcPr>
          <w:p>
            <w:pPr>
              <w:spacing w:after="0"/>
              <w:rPr>
                <w:sz w:val="11"/>
                <w:szCs w:val="11"/>
                <w:color w:val="auto"/>
              </w:rPr>
            </w:pPr>
          </w:p>
        </w:tc>
        <w:tc>
          <w:tcPr>
            <w:tcW w:w="12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6"/>
              </w:rPr>
              <w:t>April 1, 2015</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jc w:val="center"/>
              <w:ind w:left="172"/>
              <w:spacing w:after="0" w:line="133" w:lineRule="exact"/>
              <w:rPr>
                <w:sz w:val="20"/>
                <w:szCs w:val="20"/>
                <w:color w:val="auto"/>
              </w:rPr>
            </w:pPr>
            <w:r>
              <w:rPr>
                <w:rFonts w:ascii="Arial" w:cs="Arial" w:eastAsia="Arial" w:hAnsi="Arial"/>
                <w:sz w:val="14"/>
                <w:szCs w:val="14"/>
                <w:b w:val="1"/>
                <w:bCs w:val="1"/>
                <w:color w:val="auto"/>
                <w:w w:val="92"/>
              </w:rPr>
              <w:t>Increase /</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89"/>
              </w:rPr>
              <w:t>(Decrease)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3"/>
              </w:rPr>
              <w:t>,000)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3"/>
              </w:rPr>
              <w:t>,000)</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246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88,369</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84,733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94,354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90,426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26,768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27,123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24,507</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21,582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18,834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70,109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65,841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fire loss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Gain on recovery of insurance proceeds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84,060</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77,459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10,294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12,967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(2,673)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8"/>
              </w:rPr>
              <w:t>Income (loss) before provision (benefit) for income</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taxes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9,204</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11,505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(2,301)</w:t>
            </w: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(953)</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5,443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6,791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19"/>
                <w:szCs w:val="19"/>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quarter, company-operated restaurant revenue increased $3.6 million, or 4.3%, from the comparable period in the prior year. The growth in company-operated restaurant sales was due to $4.2 million of additional non-comparable restaurant sales primarily from fourteen new restaurants opened in fiscal 2015 and three new restaurants opened during the thirteen weeks ended March 30, 2016. These increases were partially offset by one unit closed in fiscal 2016 and a decrease of $0.5 million resulting from a decline in company-operated comparable restaurant sales for the quarter of 0.6% compared to the prior year. This decline consisted of a decrease in traffic of 0.8%, offset by an increase in average check size of 0.2%.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the quarter, franchise revenue increased $0.3 million, or 5.1%, from the comparable period in the prior year. This increase was due to a $0.3 million increase in royalties from franchised comparable restaurant sales growth of 1.8% and five new franchised restaurants opened in fiscal 2015 and one new restaurant opened in the thirteen weeks ended March 30,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For the quarter, food and paper costs decreased $0.4 million, or 1.3%, from the comparable period in the prior year, due to a $0.3 million decrease in food costs and a $0.1 million decrease in paper costs. The decrease in food and paper costs was due primarily to lower commodity costs related to chicken.</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quarter, food and paper costs as a percentage of company-operated restaurant revenue were 30.3%, from 32.0% in the comparable period of the prior year. The decrease for the quarter was due primarily to the lower commodity costs, noted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quarter, payroll and benefit expenses increased $2.9 million, or 13.6%, from the comparable period in the prior year. This increase was due primarily to increased labor costs resulting from the opening of fourteen new restaurants in fiscal 2015 and three new restaurant during the thirteen weeks ended March 30, 2016, additional labor invested in our existing restaurants, and the impact of the California minimum wage increase to $10.00 per hour in January 2016. These increases were partially offset by lower worker’s compensation costs due to lower claims activity.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quarter, payroll and benefit expenses as a percentage of company-operated restaurant revenue were 27.7%, from 25.5% in the comparable period in the prior year. This increase was due primarily to the increase in the labor costs noted above and the impact of the incremental labor required during the start-up period for 11 new restaurants opened in the fourth quarter of 2015 and three new restaurants opened in the quarter ended March 30, 2016, partially offset by the lower worker’s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quarter, occupancy and other operating expenses increased $1.7 million, or 9.9%, from the comparable period of the prior year. This increase for the quarter was due primarily to a $0.7 million increase in occupancy costs, due primarily to increased rent, as a result of new restaurants opened in fiscal 2015 and the thirteen weeks ended March 30, 2016 and a $0.8 million increase in other operating expenses, resulting primarily from increases in credit card fees, due primarily to higher credit card receipts and higher other operating expenses, also related to the new restaurants opened in 2015 and the first quarter of 2016.</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quarter, occupancy and other operating expenses as a percentage of company-operated restaurant revenue were 21.3%, from 20.2% in the comparable period of the prior year. This increase resulted primarily from (i) rent expense on new restaurant leases and the renewal of leases on our existing restaurants and the accounting treatment to straight line the rental increases over the lease term, (ii) the temporary closure of one unit due to a fire and (iii) incremental costs related to opening the new restaurants in the fourth quarter of 2015 and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quarter, general and administrative expenses increased $1.8 million, or 23.4%, from the comparable period in the prior year. The increase for the quarter was due primarily to (i) $1.5 million of legal expense related to the securities class action litigation, (ii) a $0.4 million increase in restaurant pre-opening costs and (iii) a $0.3 million increase in travel and other professional fees. These cost increases were partially offset by $0.4 million in capitalization of internal costs related to site selection and construction activities.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For the quarter, general and administrative expenses as a percentage of total revenue were 9.8%, from 8.3% in the comparable period of the prior year. This increase was due primarily to the legal expense related to the securities class action litigation, noted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the quarter, interest expense, net, decreased $0.4 million from the comparable period of the prior year. This decrease was due primarily to pre-payments on the 2014 Revolver reducing our outstanding balance to $120.5 million as of March 30, 2016 compared to an outstanding balance of $150.0 million as of April 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we recorded income tax receivable agreement expense of $0.3 million, for the amortization of interest expense related to our total expected TRA payments and changes in estimates for actual tax returns filed.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For the quarter ended March 30, 2016, we recorded an income tax provision of $3.8 million, reflecting an estimated effective tax rate of 40.9%. For the quarter ended April 1, 2015, we recorded an income tax provision of $4.7 million, reflecting an estimated effective tax rate of 41.0%.</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196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March 30, 2016</w:t>
            </w: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April 1, 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(used) by</w:t>
            </w:r>
          </w:p>
        </w:tc>
        <w:tc>
          <w:tcPr>
            <w:tcW w:w="1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11,003</w:t>
            </w:r>
          </w:p>
        </w:tc>
        <w:tc>
          <w:tcPr>
            <w:tcW w:w="2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(5,665)</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thirteen weeks ended March 30, 2016, net cash provided by operating activities decreased by $3.3 million from the comparable period of the prior year. This was due primarily to legal payments related to the securities class action litigation and the cash payment of certain annual insurance premiums in 2016 versus financing these insurance costs in 2015. These increases were partially offset by lower interest payments, resulting primarily from lower debt balances.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thirteen weeks ended March 30, 2016, net cash used by investing activities increased by $3.3 million from the comparable period of the prior year. This was due primarily to opening three new company restaurants in the thirteen weeks ended March 30, 2016 compared to one new restaurant opened in the thirteen weeks ended April 1, 2015.</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the year ending December 28, 2016, we expect to incur capital expenditures of $34 million to $38 million, consisting of $23 to $28 million related to new restaurants, $4 million related to the remodeling of existing restaurants, and $6 million related to maintenance and other corporate capital expenditures.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thirteen weeks ended March 30, 2016, net cash used by financing activities decreased by $12.3 million from the comparable period of the prior year. This was due primarily to the pre-payment of $2.5 million on the 2014 Revolver during the thirteen weeks ended March 30, 2016 compared to a pre-payment of $15.0 million for the thirteen weeks ended April 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 March 30, 2016, $7.2 million of letters of credit were outstanding and $72.3 million was available to borrow under the revolving line of credit. The 2014 Revolver will mature on or about December 11, 2019.</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2.02% to 2.19% for the thirteen weeks ended March 30, 2016.</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March 30, 2016.</w:t>
      </w:r>
    </w:p>
    <w:p>
      <w:pPr>
        <w:spacing w:after="0" w:line="15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81"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consolidated fixed charge coverage ratio to be less than 1.75 times.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was for a notional amount of $30 million, with a cap rate of 3.00% based on 1 month USD LIBOR, which terminated on December 1, 2015. The second interest rate cap is for a notional amount of $120 million, with a cap rate of 3.00% based on 1 month USD LIBOR, terminating on December 1, 2016. As of March 30, 2016 and December 30, 2015, the amounts included in other assets in our condensed consolidated balance sheets, related to these interest rate caps, were not material to our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entered into new chicken purchasing contracts in the first quarter of 2016 with twelve-month terms resulting in an estimated commitment to purchase chicken of $31.7 million at March 30, 2016.</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With the exception noted above, our contractual commitments outstanding on March 30, 2016, have not changed materially since our annual report on Form 10-K for the year ended December 30, 2015.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30, 2016, we were using $7.2 million of borrowing capacity on the 2014 Revolver for letters of credit in support of our insurance programs.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1.75% and 2.50%. As of March 30, 2016, we had outstanding borrowings of $121.1 million and another $7.2 million of letters of credit in support of our insurance programs. A</w:t>
      </w:r>
    </w:p>
    <w:p>
      <w:pPr>
        <w:ind w:right="220"/>
        <w:spacing w:after="0" w:line="261" w:lineRule="auto"/>
        <w:rPr>
          <w:sz w:val="20"/>
          <w:szCs w:val="20"/>
          <w:color w:val="auto"/>
        </w:rPr>
      </w:pPr>
      <w:r>
        <w:rPr>
          <w:rFonts w:ascii="Arial" w:cs="Arial" w:eastAsia="Arial" w:hAnsi="Arial"/>
          <w:sz w:val="18"/>
          <w:szCs w:val="18"/>
          <w:color w:val="auto"/>
        </w:rPr>
        <w:t>1.00% increase in the effective interest rate applied to these borrowings would result in a pre-tax interest expense increase of $1.2 million on an annualized basis.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more information about labor costs, see Part II, Item 1A, “Risk Factors—If we or our franchisees face labor shortages or increased labor costs, our results of operations and growth could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have executed a Memorandum of Understanding outlining an agreement in principle between the parties to settle the claims on a class-wide basis. The parties are working to memorialize the settlement and secure the required court approval.</w:t>
      </w:r>
    </w:p>
    <w:p>
      <w:pPr>
        <w:spacing w:after="0" w:line="16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Defendants intend to vigorously defend against the claims asserted. In addition, on September 16, 2015, the Company and certain of its officers and directors received an informal, non-public inquiry from the SEC requesting voluntary production of documents and information. All parties are cooperating fully with the SEC's request.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about November 5, 2015, a purported EPL shareholder filed a derivative complaint on behalf of the Company in the Court of Chancery of the State of Delaware against certain EPL officers, directors and Trimaran Pollo Partners, L.L.C. The derivative complaint alleges that these defendants breached their fiduciary duties to EPL and were unjustly enriched when they sold shares of EPL at artificially inflated prices due to alleged misrepresentations and omissions regarding EPL’s comparable store sales in the second quarter of 2015. The EPL shareholder’s requested remedies include an award of compensatory damages to EPL, as well as a court order to improve corporate governance by putting forward for stockholder vote certain resolutions for amendments to EPL’s Bylaws or Certificate of Incorporation.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30, 2015, except for the risk factor that follows, which is revised and restated in its entirety.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federal, state, or local minimum wages or in other employee benefits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520"/>
        <w:spacing w:after="0" w:line="277" w:lineRule="auto"/>
        <w:rPr>
          <w:sz w:val="20"/>
          <w:szCs w:val="20"/>
          <w:color w:val="auto"/>
        </w:rPr>
      </w:pPr>
      <w:r>
        <w:rPr>
          <w:rFonts w:ascii="Arial" w:cs="Arial" w:eastAsia="Arial" w:hAnsi="Arial"/>
          <w:sz w:val="18"/>
          <w:szCs w:val="18"/>
          <w:color w:val="auto"/>
        </w:rPr>
        <w:t>(including costs associated with health insurance coverage or workers’ compensation insurance), our and our franchisees’ operating expenses could increase, and our growth could be adversely affected.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 substantial number of hourly employees who are paid wage rates at or based on the applicable federal, state, or local minimum wage, and increases in the minimum wage will increase our labor costs and the labor costs of our franchisees.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federal minimum wage has been $7.25 per hour since July 24, 2009.</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January 1, 2016, the State of California (where most of our restaurants are located) has had a minimum wage of $10.00 per hour. From January 1, 2008, to June 30, 2014, it had been $8.00 per hour, and from July 1, 2014, to December 31, 2015, it had been $9.00 per hour. It is scheduled to rise to (i) $10.50 per hour on January 1, 2017, (ii) $11.00 per hour on January 1, 2018, (iii) $12.00 per hour on January 1, 2019, (iv) $13.00 per hour on January 1, 2020, (v) $14.00 per hour on January 1, 2021, and (vi) $15.00 per hour on January 1, 2022, subject, in each case (except for the increase to $10.50 per hour), to the governor’s ability to pause any scheduled increase (“off-ramp”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Local minimum wages may exceed or ramp up faster than state levels. In particular, the minimum wage in the City of Los Angeles and the unincorporated areas of the County of Los Angeles is scheduled to rise to $15.00 by July 1, 2020:</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right="20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July 1, 2020, $15.00, and (vi) from July 1, 2022, indexed to inflation.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in the County of Los Angeles and elsewhere have followed and may continue to follow. For example: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2015, approximately 80% of our revenue came from company-operated and franchised restaurants in the greater Los Angeles area, including 12% from the City of Los Angeles, 43%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Number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9400" w:type="dxa"/>
            <w:vAlign w:val="bottom"/>
          </w:tcPr>
          <w:p>
            <w:pPr>
              <w:spacing w:after="0"/>
              <w:rPr>
                <w:sz w:val="14"/>
                <w:szCs w:val="14"/>
                <w:color w:val="auto"/>
              </w:rPr>
            </w:pPr>
          </w:p>
        </w:tc>
      </w:tr>
      <w:tr>
        <w:trPr>
          <w:trHeight w:val="331"/>
        </w:trPr>
        <w:tc>
          <w:tcPr>
            <w:tcW w:w="8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Employment Agreement between John Dawson and El Pollo Loco</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323"/>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 Sarbanes–</w:t>
            </w: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Oxley Act of 2002</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117" w:lineRule="exact"/>
        <w:rPr>
          <w:sz w:val="20"/>
          <w:szCs w:val="20"/>
          <w:color w:val="auto"/>
        </w:rPr>
      </w:pPr>
    </w:p>
    <w:p>
      <w:pPr>
        <w:ind w:left="520" w:hanging="512"/>
        <w:spacing w:after="0" w:line="286"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 Pollo Loco Holdings, Inc.</w:t>
            </w:r>
          </w:p>
        </w:tc>
      </w:tr>
      <w:tr>
        <w:trPr>
          <w:trHeight w:val="224"/>
        </w:trPr>
        <w:tc>
          <w:tcPr>
            <w:tcW w:w="63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6320" w:type="dxa"/>
            <w:vAlign w:val="bottom"/>
          </w:tcPr>
          <w:p>
            <w:pPr>
              <w:spacing w:after="0"/>
              <w:rPr>
                <w:sz w:val="20"/>
                <w:szCs w:val="20"/>
                <w:color w:val="auto"/>
              </w:rPr>
            </w:pPr>
            <w:r>
              <w:rPr>
                <w:rFonts w:ascii="Arial" w:cs="Arial" w:eastAsia="Arial" w:hAnsi="Arial"/>
                <w:sz w:val="18"/>
                <w:szCs w:val="18"/>
                <w:color w:val="auto"/>
              </w:rPr>
              <w:t>May 6, 2016</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Stephen J. Sather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May 6, 2016</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Laurance Roberts</w:t>
            </w:r>
          </w:p>
        </w:tc>
      </w:tr>
      <w:tr>
        <w:trPr>
          <w:trHeight w:val="195"/>
        </w:trPr>
        <w:tc>
          <w:tcPr>
            <w:tcW w:w="6320" w:type="dxa"/>
            <w:vAlign w:val="bottom"/>
          </w:tcPr>
          <w:p>
            <w:pPr>
              <w:ind w:left="540"/>
              <w:spacing w:after="0" w:line="195" w:lineRule="exact"/>
              <w:rPr>
                <w:sz w:val="20"/>
                <w:szCs w:val="20"/>
                <w:color w:val="auto"/>
              </w:rPr>
            </w:pPr>
            <w:r>
              <w:rPr>
                <w:rFonts w:ascii="Arial" w:cs="Arial" w:eastAsia="Arial" w:hAnsi="Arial"/>
                <w:sz w:val="18"/>
                <w:szCs w:val="18"/>
                <w:color w:val="auto"/>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Laurance Roberts</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DAWSON</w:t>
      </w:r>
    </w:p>
    <w:p>
      <w:pPr>
        <w:spacing w:after="0" w:line="211" w:lineRule="exact"/>
        <w:rPr>
          <w:sz w:val="20"/>
          <w:szCs w:val="20"/>
          <w:color w:val="auto"/>
        </w:rPr>
      </w:pPr>
    </w:p>
    <w:p>
      <w:pPr>
        <w:ind w:right="200" w:firstLine="1552"/>
        <w:spacing w:after="0" w:line="277" w:lineRule="auto"/>
        <w:rPr>
          <w:sz w:val="20"/>
          <w:szCs w:val="20"/>
          <w:color w:val="auto"/>
        </w:rPr>
      </w:pPr>
      <w:r>
        <w:rPr>
          <w:rFonts w:ascii="Arial" w:cs="Arial" w:eastAsia="Arial" w:hAnsi="Arial"/>
          <w:sz w:val="18"/>
          <w:szCs w:val="18"/>
          <w:color w:val="auto"/>
        </w:rPr>
        <w:t>EMPLOYMENT AGREEMENT (the "Agreement"), dated as of April 28, 2016, by and between El Pollo Loco, Inc. (the "Company") and John Dawson (the "Executive").</w:t>
      </w:r>
    </w:p>
    <w:p>
      <w:pPr>
        <w:spacing w:after="0" w:line="170"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WHEREAS, the Company desires to employ Executive and to enter into an agreement embodying the terms of such employment; and</w:t>
      </w:r>
    </w:p>
    <w:p>
      <w:pPr>
        <w:spacing w:after="0" w:line="24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WHEREAS, Executive is willing to accept employment on the terms hereinafter set forth in this Agreement.</w:t>
      </w:r>
    </w:p>
    <w:p>
      <w:pPr>
        <w:spacing w:after="0" w:line="225" w:lineRule="exact"/>
        <w:rPr>
          <w:sz w:val="20"/>
          <w:szCs w:val="20"/>
          <w:color w:val="auto"/>
        </w:rPr>
      </w:pPr>
    </w:p>
    <w:p>
      <w:pPr>
        <w:ind w:right="160" w:firstLine="1552"/>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and for other good and valuable consideration, the parties agree as follows:</w:t>
      </w:r>
    </w:p>
    <w:p>
      <w:pPr>
        <w:spacing w:after="0" w:line="17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 of Employment; Executive Representation.</w:t>
      </w:r>
    </w:p>
    <w:p>
      <w:pPr>
        <w:spacing w:after="0" w:line="225" w:lineRule="exact"/>
        <w:rPr>
          <w:rFonts w:ascii="Arial" w:cs="Arial" w:eastAsia="Arial" w:hAnsi="Arial"/>
          <w:sz w:val="18"/>
          <w:szCs w:val="18"/>
          <w:color w:val="auto"/>
        </w:rPr>
      </w:pPr>
    </w:p>
    <w:p>
      <w:pPr>
        <w:ind w:right="20" w:firstLine="784"/>
        <w:spacing w:after="0" w:line="272" w:lineRule="auto"/>
        <w:tabs>
          <w:tab w:leader="none" w:pos="946"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Employment Term.</w:t>
      </w:r>
      <w:r>
        <w:rPr>
          <w:rFonts w:ascii="Arial" w:cs="Arial" w:eastAsia="Arial" w:hAnsi="Arial"/>
          <w:sz w:val="17"/>
          <w:szCs w:val="17"/>
          <w:color w:val="auto"/>
        </w:rPr>
        <w:t xml:space="preserve"> Subject to the terms and conditions set forth in this Agreement, the term of Executive's employment under this Agreement shall commence on May 2,2016 (the "Effective Date") and end on the first anniversary of the Effective Date (the "Employment Term"). Notwithstanding the preceding sentence, commencing on the first anniversary of the Effective Date and on each anniversary thereafter (each an "Extension Date"), the Employment Term shall be automatically extended for an additional one-year period, unless the Company or Executive provides the other party hereto at least sixty (60) days prior written notice before the next Extension Date that the Employment Term shall not be so extended. For the avoidance of doubt, the term "Employment Term" shall include any extension that becomes applicable pursuant to the preceding sentence. The Employment Term shall terminate upon termination of Executive's employment as set forth in Section 7.</w:t>
      </w:r>
    </w:p>
    <w:p>
      <w:pPr>
        <w:spacing w:after="0" w:line="177" w:lineRule="exact"/>
        <w:rPr>
          <w:rFonts w:ascii="Arial" w:cs="Arial" w:eastAsia="Arial" w:hAnsi="Arial"/>
          <w:sz w:val="17"/>
          <w:szCs w:val="17"/>
          <w:color w:val="auto"/>
        </w:rPr>
      </w:pPr>
    </w:p>
    <w:p>
      <w:pPr>
        <w:ind w:right="120" w:firstLine="784"/>
        <w:spacing w:after="0" w:line="264" w:lineRule="auto"/>
        <w:tabs>
          <w:tab w:leader="none" w:pos="956"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Executive Representation.</w:t>
      </w:r>
      <w:r>
        <w:rPr>
          <w:rFonts w:ascii="Arial" w:cs="Arial" w:eastAsia="Arial" w:hAnsi="Arial"/>
          <w:sz w:val="18"/>
          <w:szCs w:val="18"/>
          <w:color w:val="auto"/>
        </w:rPr>
        <w:t xml:space="preserve"> Executive hereby represents to the Company that the execution and delivery of this Agreement by Executive and the Company and the performance by Executive of the Executive's duties hereunder shall not constitute a breach of, or otherwise contravene, the terms of any employment agreement or other agreement or policy to which Executive is a party or otherwise bound.</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Position.</w:t>
      </w:r>
    </w:p>
    <w:p>
      <w:pPr>
        <w:spacing w:after="0" w:line="225" w:lineRule="exact"/>
        <w:rPr>
          <w:rFonts w:ascii="Arial" w:cs="Arial" w:eastAsia="Arial" w:hAnsi="Arial"/>
          <w:sz w:val="18"/>
          <w:szCs w:val="18"/>
          <w:color w:val="auto"/>
        </w:rPr>
      </w:pPr>
    </w:p>
    <w:p>
      <w:pPr>
        <w:ind w:right="140" w:firstLine="784"/>
        <w:spacing w:after="0" w:line="257" w:lineRule="auto"/>
        <w:tabs>
          <w:tab w:leader="none" w:pos="9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During the Employment Term, Executive shall serve as the Chief Development Officer and shall principally perform Executive's duties to the Company and its affiliates from the Company's offices in the Orange County, California metropolitan area, subject to normal and customary travel requirements in the conduct of the Company's business. Executive shall have such authorities, duties and responsibilities as shall be determined from time to time by the Chief Executive Officer of the Company and reasonably consistent with those customarily performed by a chief development officer, and the Executive shall report directly to the Chief Executive Officer.</w:t>
      </w:r>
    </w:p>
    <w:p>
      <w:pPr>
        <w:spacing w:after="0" w:line="188" w:lineRule="exact"/>
        <w:rPr>
          <w:rFonts w:ascii="Arial" w:cs="Arial" w:eastAsia="Arial" w:hAnsi="Arial"/>
          <w:sz w:val="18"/>
          <w:szCs w:val="18"/>
          <w:color w:val="auto"/>
        </w:rPr>
      </w:pPr>
    </w:p>
    <w:p>
      <w:pPr>
        <w:ind w:right="20" w:firstLine="784"/>
        <w:spacing w:after="0" w:line="297" w:lineRule="auto"/>
        <w:tabs>
          <w:tab w:leader="none" w:pos="956"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During the Employment Term, Executive will devote Executive's full business time and best efforts to the performance of Executive's duties hereunder and will not engage in any other business, profession or occupation (including in an advisory capacity, consulting capacity, or otherwise) for compensation or otherwise which would conflict with the rendition of such services either directly or indirectly, without the prior written consent of the Board of Directors of the Company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 shall be permitted to participate in such charitable and community-related services as Executive may choose;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each case, and in the aggregate, such services do not materially interfere with his duties hereunder.</w:t>
      </w:r>
    </w:p>
    <w:p>
      <w:pPr>
        <w:spacing w:after="0" w:line="158" w:lineRule="exact"/>
        <w:rPr>
          <w:rFonts w:ascii="Arial" w:cs="Arial" w:eastAsia="Arial" w:hAnsi="Arial"/>
          <w:sz w:val="16"/>
          <w:szCs w:val="16"/>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225" w:lineRule="exact"/>
        <w:rPr>
          <w:rFonts w:ascii="Arial" w:cs="Arial" w:eastAsia="Arial" w:hAnsi="Arial"/>
          <w:sz w:val="18"/>
          <w:szCs w:val="18"/>
          <w:color w:val="auto"/>
        </w:rPr>
      </w:pPr>
    </w:p>
    <w:p>
      <w:pPr>
        <w:ind w:left="960" w:hanging="176"/>
        <w:spacing w:after="0"/>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During the Employment Term, the Company shall pay Executive a base salary (the "Base Salary") at the annual rate of $300,000.00 and a</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$600.00 per month business transportation allowance (less applicable withholding taxes), payable in regular installments in accordance with the Company's usual payment practices. Executive shall be entitled to such increases in Executive's Base Salary, if any, as may be determined from time to time in the sole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ind w:right="220" w:firstLine="776"/>
        <w:spacing w:after="0" w:line="302" w:lineRule="auto"/>
        <w:rPr>
          <w:sz w:val="20"/>
          <w:szCs w:val="20"/>
          <w:color w:val="auto"/>
        </w:rPr>
      </w:pPr>
      <w:r>
        <w:rPr>
          <w:rFonts w:ascii="Arial" w:cs="Arial" w:eastAsia="Arial" w:hAnsi="Arial"/>
          <w:sz w:val="16"/>
          <w:szCs w:val="16"/>
          <w:color w:val="auto"/>
        </w:rPr>
        <w:t>b. With respect to each full calendar year during the Employment Term, Executive shall be eligible to earn an annual bonus award (an "Annual Bonus") based on the achievement of specified performance goals which shall be determined by the Board in its sole discretion within ninety (90) days following the commencement of each calendar year, with a targeted bonus equal to seventy-five percent (75%) of Executive's then current Base Salary (the “Target Bonus”). The Annual Bonus, if any, will be paid between January 1 and April 15 of the year following the year to which it relates.</w:t>
      </w:r>
    </w:p>
    <w:p>
      <w:pPr>
        <w:spacing w:after="0" w:line="154" w:lineRule="exact"/>
        <w:rPr>
          <w:sz w:val="20"/>
          <w:szCs w:val="20"/>
          <w:color w:val="auto"/>
        </w:rPr>
      </w:pPr>
    </w:p>
    <w:p>
      <w:pPr>
        <w:ind w:right="120" w:firstLine="776"/>
        <w:spacing w:after="0" w:line="277" w:lineRule="auto"/>
        <w:rPr>
          <w:sz w:val="20"/>
          <w:szCs w:val="20"/>
          <w:color w:val="auto"/>
        </w:rPr>
      </w:pPr>
      <w:r>
        <w:rPr>
          <w:rFonts w:ascii="Arial" w:cs="Arial" w:eastAsia="Arial" w:hAnsi="Arial"/>
          <w:sz w:val="18"/>
          <w:szCs w:val="18"/>
          <w:color w:val="auto"/>
        </w:rPr>
        <w:t>c. During the Employment Term, Executive shall continue to receive the business transportation allowance and related benefits on the same terms and conditions as Executive was entitled to receive from the Company immediately prior to the date hereof.</w:t>
      </w:r>
    </w:p>
    <w:p>
      <w:pPr>
        <w:spacing w:after="0" w:line="170" w:lineRule="exact"/>
        <w:rPr>
          <w:sz w:val="20"/>
          <w:szCs w:val="20"/>
          <w:color w:val="auto"/>
        </w:rPr>
      </w:pPr>
    </w:p>
    <w:p>
      <w:pPr>
        <w:ind w:right="4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During the Employment Term, Executive shall be eligible to participate in the Company's equity-based compensation plan, subject to the terms and conditions thereof.</w:t>
      </w:r>
    </w:p>
    <w:p>
      <w:pPr>
        <w:spacing w:after="0" w:line="170" w:lineRule="exact"/>
        <w:rPr>
          <w:rFonts w:ascii="Arial" w:cs="Arial" w:eastAsia="Arial" w:hAnsi="Arial"/>
          <w:sz w:val="18"/>
          <w:szCs w:val="18"/>
          <w:color w:val="auto"/>
        </w:rPr>
      </w:pPr>
    </w:p>
    <w:p>
      <w:pPr>
        <w:ind w:firstLine="8"/>
        <w:spacing w:after="0" w:line="259"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During the Employment Term, Executive shall be provided, in accordance with the terms of the Company's employee benefit plans as in effect from time to time, health insurance, retirement benefits and fringe benefits (collectively "Employee Benefits") on the same basis as those benefits are generally made available to other senior executives of the Company. Executive shall be provided with annual vacation of four (4) weeks per each 12- month period or additional weeks on a basis consistent with Company policy.</w:t>
      </w:r>
    </w:p>
    <w:p>
      <w:pPr>
        <w:spacing w:after="0" w:line="186" w:lineRule="exact"/>
        <w:rPr>
          <w:rFonts w:ascii="Arial" w:cs="Arial" w:eastAsia="Arial" w:hAnsi="Arial"/>
          <w:sz w:val="18"/>
          <w:szCs w:val="18"/>
          <w:color w:val="auto"/>
        </w:rPr>
      </w:pPr>
    </w:p>
    <w:p>
      <w:pPr>
        <w:ind w:right="30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xml:space="preserve"> During the Employment Term, reasonable, documented business expenses incurred by Executive in the performance of Executive's duties hereunder shall be reimbursed by the Company in accordance with Company policies.</w:t>
      </w:r>
    </w:p>
    <w:p>
      <w:pPr>
        <w:spacing w:after="0" w:line="170" w:lineRule="exact"/>
        <w:rPr>
          <w:rFonts w:ascii="Arial" w:cs="Arial" w:eastAsia="Arial" w:hAnsi="Arial"/>
          <w:sz w:val="18"/>
          <w:szCs w:val="18"/>
          <w:color w:val="auto"/>
        </w:rPr>
      </w:pPr>
    </w:p>
    <w:p>
      <w:pPr>
        <w:ind w:right="240" w:firstLine="8"/>
        <w:spacing w:after="0" w:line="259"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Company at least ninety (90) days advance written notice of any resignation of Executive's employment. Notwithstanding any other provision of this Agreement, the provisions of this Section 7 shall exclusively govern Executive's rights upon termination of employment with the Company and its affiliates.</w:t>
      </w:r>
    </w:p>
    <w:p>
      <w:pPr>
        <w:spacing w:after="0" w:line="186" w:lineRule="exact"/>
        <w:rPr>
          <w:rFonts w:ascii="Arial" w:cs="Arial" w:eastAsia="Arial" w:hAnsi="Arial"/>
          <w:sz w:val="18"/>
          <w:szCs w:val="18"/>
          <w:color w:val="auto"/>
        </w:rPr>
      </w:pPr>
    </w:p>
    <w:p>
      <w:pPr>
        <w:ind w:left="960" w:hanging="176"/>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By the Company For Cause or By Executive's Resignation without Good Reason.</w:t>
      </w:r>
    </w:p>
    <w:p>
      <w:pPr>
        <w:spacing w:after="0" w:line="225" w:lineRule="exact"/>
        <w:rPr>
          <w:rFonts w:ascii="Arial" w:cs="Arial" w:eastAsia="Arial" w:hAnsi="Arial"/>
          <w:sz w:val="18"/>
          <w:szCs w:val="18"/>
          <w:color w:val="auto"/>
        </w:rPr>
      </w:pPr>
    </w:p>
    <w:p>
      <w:pPr>
        <w:ind w:left="780" w:right="180" w:firstLine="727"/>
        <w:spacing w:after="0" w:line="277" w:lineRule="auto"/>
        <w:tabs>
          <w:tab w:leader="none" w:pos="1718"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Company for Cause (as defined below) or by Executive's resignation without Good Reason (as defined below).</w:t>
      </w:r>
    </w:p>
    <w:p>
      <w:pPr>
        <w:spacing w:after="0" w:line="170" w:lineRule="exact"/>
        <w:rPr>
          <w:rFonts w:ascii="Arial" w:cs="Arial" w:eastAsia="Arial" w:hAnsi="Arial"/>
          <w:sz w:val="18"/>
          <w:szCs w:val="18"/>
          <w:color w:val="auto"/>
        </w:rPr>
      </w:pPr>
    </w:p>
    <w:p>
      <w:pPr>
        <w:ind w:left="780" w:right="60" w:firstLine="729"/>
        <w:spacing w:after="0" w:line="273" w:lineRule="auto"/>
        <w:tabs>
          <w:tab w:leader="none" w:pos="1769" w:val="left"/>
        </w:tabs>
        <w:numPr>
          <w:ilvl w:val="2"/>
          <w:numId w:val="16"/>
        </w:numPr>
        <w:rPr>
          <w:rFonts w:ascii="Arial" w:cs="Arial" w:eastAsia="Arial" w:hAnsi="Arial"/>
          <w:sz w:val="17"/>
          <w:szCs w:val="17"/>
          <w:color w:val="auto"/>
        </w:rPr>
      </w:pPr>
      <w:r>
        <w:rPr>
          <w:rFonts w:ascii="Arial" w:cs="Arial" w:eastAsia="Arial" w:hAnsi="Arial"/>
          <w:sz w:val="17"/>
          <w:szCs w:val="17"/>
          <w:color w:val="auto"/>
        </w:rPr>
        <w:t>For purposes of this Agreement, "Cause" shall mean action by the Executive that constitutes misconduct, dishonesty, the failure to comply with specific directions of the Board that are consistent with the terms hereof (after having been given a reasonably detailed written notice of, and a period of 20 days to cure, such misconduct or failure), a deliberate and premeditated act against the Company or its affiliates, Executive's commission of a felony, substance abuse or alcohol abuse which renders the Executive unfit to perform his duties, or any breach of the covenants set forth in Section 8 of this Agreement. Any voluntary termination of employment by the Executive in anticipation of an involuntary termination of the Executive's employment for Cause shall be deemed to be a termination for Cause.</w:t>
      </w:r>
    </w:p>
    <w:p>
      <w:pPr>
        <w:spacing w:after="0" w:line="178" w:lineRule="exact"/>
        <w:rPr>
          <w:rFonts w:ascii="Arial" w:cs="Arial" w:eastAsia="Arial" w:hAnsi="Arial"/>
          <w:sz w:val="17"/>
          <w:szCs w:val="17"/>
          <w:color w:val="auto"/>
        </w:rPr>
      </w:pPr>
    </w:p>
    <w:p>
      <w:pPr>
        <w:ind w:left="780" w:right="160" w:firstLine="729"/>
        <w:spacing w:after="0" w:line="277" w:lineRule="auto"/>
        <w:tabs>
          <w:tab w:leader="none" w:pos="1819"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Executive's employment is terminated by the Company for Cause, or if Executive resigns without Good Reason, Executive shall be entitled to receive:</w:t>
      </w:r>
    </w:p>
    <w:p>
      <w:pPr>
        <w:spacing w:after="0" w:line="170" w:lineRule="exact"/>
        <w:rPr>
          <w:rFonts w:ascii="Arial" w:cs="Arial" w:eastAsia="Arial" w:hAnsi="Arial"/>
          <w:sz w:val="18"/>
          <w:szCs w:val="18"/>
          <w:color w:val="auto"/>
        </w:rPr>
      </w:pPr>
    </w:p>
    <w:p>
      <w:pPr>
        <w:ind w:left="2520" w:hanging="290"/>
        <w:spacing w:after="0"/>
        <w:tabs>
          <w:tab w:leader="none" w:pos="2520"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Base Salary through the date of termination;</w:t>
      </w:r>
    </w:p>
    <w:p>
      <w:pPr>
        <w:spacing w:after="0" w:line="225" w:lineRule="exact"/>
        <w:rPr>
          <w:rFonts w:ascii="Arial" w:cs="Arial" w:eastAsia="Arial" w:hAnsi="Arial"/>
          <w:sz w:val="18"/>
          <w:szCs w:val="18"/>
          <w:color w:val="auto"/>
        </w:rPr>
      </w:pPr>
    </w:p>
    <w:p>
      <w:pPr>
        <w:ind w:left="2520" w:hanging="288"/>
        <w:spacing w:after="0"/>
        <w:tabs>
          <w:tab w:leader="none" w:pos="2520" w:val="left"/>
        </w:tabs>
        <w:numPr>
          <w:ilvl w:val="3"/>
          <w:numId w:val="16"/>
        </w:numPr>
        <w:rPr>
          <w:rFonts w:ascii="Arial" w:cs="Arial" w:eastAsia="Arial" w:hAnsi="Arial"/>
          <w:sz w:val="18"/>
          <w:szCs w:val="18"/>
          <w:color w:val="auto"/>
        </w:rPr>
      </w:pPr>
      <w:r>
        <w:rPr>
          <w:rFonts w:ascii="Arial" w:cs="Arial" w:eastAsia="Arial" w:hAnsi="Arial"/>
          <w:sz w:val="18"/>
          <w:szCs w:val="18"/>
          <w:color w:val="auto"/>
        </w:rPr>
        <w:t>any Annual Bonus earned but unpaid as of the date of termination for any previously completed calendar year;</w:t>
      </w:r>
    </w:p>
    <w:p>
      <w:pPr>
        <w:spacing w:after="0" w:line="225" w:lineRule="exact"/>
        <w:rPr>
          <w:rFonts w:ascii="Arial" w:cs="Arial" w:eastAsia="Arial" w:hAnsi="Arial"/>
          <w:sz w:val="18"/>
          <w:szCs w:val="18"/>
          <w:color w:val="auto"/>
        </w:rPr>
      </w:pPr>
    </w:p>
    <w:p>
      <w:pPr>
        <w:ind w:left="1560" w:right="420" w:firstLine="670"/>
        <w:spacing w:after="0" w:line="277" w:lineRule="auto"/>
        <w:tabs>
          <w:tab w:leader="none" w:pos="2515" w:val="left"/>
        </w:tabs>
        <w:numPr>
          <w:ilvl w:val="3"/>
          <w:numId w:val="16"/>
        </w:numPr>
        <w:rPr>
          <w:rFonts w:ascii="Arial" w:cs="Arial" w:eastAsia="Arial" w:hAnsi="Arial"/>
          <w:sz w:val="18"/>
          <w:szCs w:val="18"/>
          <w:color w:val="auto"/>
        </w:rPr>
      </w:pPr>
      <w:r>
        <w:rPr>
          <w:rFonts w:ascii="Arial" w:cs="Arial" w:eastAsia="Arial" w:hAnsi="Arial"/>
          <w:sz w:val="18"/>
          <w:szCs w:val="18"/>
          <w:color w:val="auto"/>
        </w:rPr>
        <w:t>reimbursement for any unreimbursed business expenses properly incurred by Executive in accordance with Company policy prior to the date of Executive's termination; and</w:t>
      </w:r>
    </w:p>
    <w:p>
      <w:pPr>
        <w:spacing w:after="0" w:line="170" w:lineRule="exact"/>
        <w:rPr>
          <w:rFonts w:ascii="Arial" w:cs="Arial" w:eastAsia="Arial" w:hAnsi="Arial"/>
          <w:sz w:val="18"/>
          <w:szCs w:val="18"/>
          <w:color w:val="auto"/>
        </w:rPr>
      </w:pPr>
    </w:p>
    <w:p>
      <w:pPr>
        <w:ind w:left="5660" w:right="140" w:hanging="3428"/>
        <w:spacing w:after="0" w:line="528" w:lineRule="auto"/>
        <w:tabs>
          <w:tab w:leader="none" w:pos="2518" w:val="left"/>
        </w:tabs>
        <w:numPr>
          <w:ilvl w:val="3"/>
          <w:numId w:val="16"/>
        </w:numPr>
        <w:rPr>
          <w:rFonts w:ascii="Arial" w:cs="Arial" w:eastAsia="Arial" w:hAnsi="Arial"/>
          <w:sz w:val="18"/>
          <w:szCs w:val="18"/>
          <w:color w:val="auto"/>
        </w:rPr>
      </w:pPr>
      <w:r>
        <w:rPr>
          <w:rFonts w:ascii="Arial" w:cs="Arial" w:eastAsia="Arial" w:hAnsi="Arial"/>
          <w:sz w:val="18"/>
          <w:szCs w:val="18"/>
          <w:color w:val="auto"/>
        </w:rPr>
        <w:t>such Employee Benefits, if any as to which Executive may be entitled under the employee benefit plans of the Company;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left="780" w:right="140" w:firstLine="670"/>
        <w:spacing w:after="0" w:line="259" w:lineRule="auto"/>
        <w:tabs>
          <w:tab w:leader="none" w:pos="17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amounts or benefits due under any applicable plan, program, agreement or arrangement of the Company or its affiliates or pursuant to applicable law (the amounts described in clauses (A) through (E) hereof being referred to as the "Accrued Rights"). The Accrued Rights under this Section 7 shall in all events be paid in accordance with the Company's normal payroll procedures, expense reimbursement procedures or plan terms, as applicable.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Following such termination of Executive's employment by the Company for Cause or resignation by Executive without Good Reason, except as set forth in this Section 7(a), Executive shall have no further rights to any contract damages, other compensation or any other benefits under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p>
    <w:p>
      <w:pPr>
        <w:spacing w:after="0" w:line="225" w:lineRule="exact"/>
        <w:rPr>
          <w:sz w:val="20"/>
          <w:szCs w:val="20"/>
          <w:color w:val="auto"/>
        </w:rPr>
      </w:pPr>
    </w:p>
    <w:p>
      <w:pPr>
        <w:ind w:right="40" w:firstLine="729"/>
        <w:spacing w:after="0" w:line="293" w:lineRule="auto"/>
        <w:tabs>
          <w:tab w:leader="none" w:pos="9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if Executive (A) is unable to engage in any substantial gainful activity by reason of any medically determinable physical or mental impairment which can be expected to result in death or can be expected to last for a continuous period of not less than twelve (12) months, or (B)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or disability plan, covering employees of the Company or an affiliate of the company (such incapacity is hereinafter referred to as "Disability").</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 shall select a third who shall make such determination in writing. The determination of Disability made in writing to the Company and Executive shall be final and conclusive for all purposes of the Agreement.</w:t>
      </w:r>
    </w:p>
    <w:p>
      <w:pPr>
        <w:spacing w:after="0" w:line="188" w:lineRule="exact"/>
        <w:rPr>
          <w:sz w:val="20"/>
          <w:szCs w:val="20"/>
          <w:color w:val="auto"/>
        </w:rPr>
      </w:pPr>
    </w:p>
    <w:p>
      <w:pPr>
        <w:ind w:right="300" w:firstLine="729"/>
        <w:spacing w:after="0" w:line="277" w:lineRule="auto"/>
        <w:tabs>
          <w:tab w:leader="none" w:pos="9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for either Disability or death, Executive or Executive's estate (as the case may be) shall be entitled to receive:</w:t>
      </w:r>
    </w:p>
    <w:p>
      <w:pPr>
        <w:spacing w:after="0" w:line="170" w:lineRule="exact"/>
        <w:rPr>
          <w:rFonts w:ascii="Arial" w:cs="Arial" w:eastAsia="Arial" w:hAnsi="Arial"/>
          <w:sz w:val="18"/>
          <w:szCs w:val="18"/>
          <w:color w:val="auto"/>
        </w:rPr>
      </w:pPr>
    </w:p>
    <w:p>
      <w:pPr>
        <w:ind w:left="1740" w:hanging="290"/>
        <w:spacing w:after="0"/>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Accrued Rights; and</w:t>
      </w:r>
    </w:p>
    <w:p>
      <w:pPr>
        <w:spacing w:after="0" w:line="225" w:lineRule="exact"/>
        <w:rPr>
          <w:rFonts w:ascii="Arial" w:cs="Arial" w:eastAsia="Arial" w:hAnsi="Arial"/>
          <w:sz w:val="18"/>
          <w:szCs w:val="18"/>
          <w:color w:val="auto"/>
        </w:rPr>
      </w:pPr>
    </w:p>
    <w:p>
      <w:pPr>
        <w:ind w:left="780" w:right="120" w:firstLine="672"/>
        <w:spacing w:after="0" w:line="257" w:lineRule="auto"/>
        <w:tabs>
          <w:tab w:leader="none" w:pos="1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Annual Bonus that the Executive would have been entitled to receive pursuant to Section 3(b) hereof in respect of the year in which such termination occurs based upon the actual achievement of the performance goals, multiplied by a fraction the numerator of which is the number of days Executive is employed by the Company in such year, payable when such Annual Bonus would have otherwise been payable in accordance with Section 3(b) had the Executive's employment not terminated (the "Pro-Rata Bonus").</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Following Executive's termination of employment due to death or Disability, except as set forth in this Section 7(b), Executive or Executive's estate (as the case may be) shall have no further rights to any contract damages, other compensation or any other benefits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Company Without Cause or by Executive's Resignation with Good Reason.</w:t>
      </w:r>
    </w:p>
    <w:p>
      <w:pPr>
        <w:spacing w:after="0" w:line="225" w:lineRule="exact"/>
        <w:rPr>
          <w:sz w:val="20"/>
          <w:szCs w:val="20"/>
          <w:color w:val="auto"/>
        </w:rPr>
      </w:pPr>
    </w:p>
    <w:p>
      <w:pPr>
        <w:ind w:right="260" w:firstLine="729"/>
        <w:spacing w:after="0" w:line="277" w:lineRule="auto"/>
        <w:tabs>
          <w:tab w:leader="none" w:pos="9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Company without Cause or by Executive with Good Reason.</w:t>
      </w:r>
    </w:p>
    <w:p>
      <w:pPr>
        <w:spacing w:after="0" w:line="170" w:lineRule="exact"/>
        <w:rPr>
          <w:rFonts w:ascii="Arial" w:cs="Arial" w:eastAsia="Arial" w:hAnsi="Arial"/>
          <w:sz w:val="18"/>
          <w:szCs w:val="18"/>
          <w:color w:val="auto"/>
        </w:rPr>
      </w:pPr>
    </w:p>
    <w:p>
      <w:pPr>
        <w:ind w:left="1000" w:hanging="27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this Agreement, "Good Reason" shall mean:</w:t>
      </w:r>
    </w:p>
    <w:p>
      <w:pPr>
        <w:spacing w:after="0" w:line="225" w:lineRule="exact"/>
        <w:rPr>
          <w:rFonts w:ascii="Arial" w:cs="Arial" w:eastAsia="Arial" w:hAnsi="Arial"/>
          <w:sz w:val="18"/>
          <w:szCs w:val="18"/>
          <w:color w:val="auto"/>
        </w:rPr>
      </w:pPr>
    </w:p>
    <w:p>
      <w:pPr>
        <w:ind w:left="1740" w:hanging="290"/>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Executive's relocation by the Company outside Orange County, California;</w:t>
      </w:r>
    </w:p>
    <w:p>
      <w:pPr>
        <w:spacing w:after="0" w:line="225" w:lineRule="exact"/>
        <w:rPr>
          <w:rFonts w:ascii="Arial" w:cs="Arial" w:eastAsia="Arial" w:hAnsi="Arial"/>
          <w:sz w:val="18"/>
          <w:szCs w:val="18"/>
          <w:color w:val="auto"/>
        </w:rPr>
      </w:pPr>
    </w:p>
    <w:p>
      <w:pPr>
        <w:ind w:left="1740" w:hanging="288"/>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material diminution of Executive’s authority, duties, title or responsibilities as set forth in Section 2(a) hereof;</w:t>
      </w:r>
    </w:p>
    <w:p>
      <w:pPr>
        <w:spacing w:after="0" w:line="225" w:lineRule="exact"/>
        <w:rPr>
          <w:rFonts w:ascii="Arial" w:cs="Arial" w:eastAsia="Arial" w:hAnsi="Arial"/>
          <w:sz w:val="18"/>
          <w:szCs w:val="18"/>
          <w:color w:val="auto"/>
        </w:rPr>
      </w:pPr>
    </w:p>
    <w:p>
      <w:pPr>
        <w:ind w:left="1740" w:hanging="288"/>
        <w:spacing w:after="0"/>
        <w:tabs>
          <w:tab w:leader="none" w:pos="17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 material reduction of Executive's Base Salary (as increased from time to time) as set forth in Section 3(a) hereof; or</w:t>
      </w:r>
    </w:p>
    <w:p>
      <w:pPr>
        <w:spacing w:after="0" w:line="236" w:lineRule="exact"/>
        <w:rPr>
          <w:rFonts w:ascii="Arial" w:cs="Arial" w:eastAsia="Arial" w:hAnsi="Arial"/>
          <w:sz w:val="17"/>
          <w:szCs w:val="17"/>
          <w:color w:val="auto"/>
        </w:rPr>
      </w:pPr>
    </w:p>
    <w:p>
      <w:pPr>
        <w:ind w:left="780" w:right="400" w:firstLine="672"/>
        <w:spacing w:after="0" w:line="277" w:lineRule="auto"/>
        <w:tabs>
          <w:tab w:leader="none" w:pos="17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failure of the Company to provide or cause to be provided to Executive any of the Employee Benefits described in Section 5 hereof; or</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40"/>
          </w:cols>
          <w:pgMar w:left="1020" w:top="557" w:right="239" w:bottom="1440" w:gutter="0" w:footer="0" w:header="0"/>
        </w:sectPr>
      </w:pPr>
    </w:p>
    <w:bookmarkStart w:id="34" w:name="page35"/>
    <w:bookmarkEnd w:id="34"/>
    <w:p>
      <w:pPr>
        <w:ind w:left="1560" w:right="80" w:firstLine="672"/>
        <w:spacing w:after="0" w:line="302" w:lineRule="auto"/>
        <w:tabs>
          <w:tab w:leader="none" w:pos="2506"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a requirement that Executive report to anyone other than the Chief Executive Officer;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events described in clauses (A) through (E) of this Section 7(c)(ii) shall constitute Good Reason unless Executive shall have notified the Company in writing describing the event which constitutes Good Reason within thirty (30) of the initial occurrence of such event and then only if the Company shall have failed to cure such event within thirty (30) days after the Company's receipt of such written notice.</w:t>
      </w:r>
    </w:p>
    <w:p>
      <w:pPr>
        <w:spacing w:after="0" w:line="154" w:lineRule="exact"/>
        <w:rPr>
          <w:rFonts w:ascii="Arial" w:cs="Arial" w:eastAsia="Arial" w:hAnsi="Arial"/>
          <w:sz w:val="16"/>
          <w:szCs w:val="16"/>
          <w:color w:val="auto"/>
        </w:rPr>
      </w:pPr>
    </w:p>
    <w:p>
      <w:pPr>
        <w:ind w:left="780" w:right="680" w:firstLine="729"/>
        <w:spacing w:after="0" w:line="277" w:lineRule="auto"/>
        <w:tabs>
          <w:tab w:leader="none" w:pos="18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Executive's employment is terminated by the Company without Cause (other than by reason of death or Disability), or by Executive with Good Reason, Executive shall be entitled to receive:</w:t>
      </w:r>
    </w:p>
    <w:p>
      <w:pPr>
        <w:spacing w:after="0" w:line="170" w:lineRule="exact"/>
        <w:rPr>
          <w:rFonts w:ascii="Arial" w:cs="Arial" w:eastAsia="Arial" w:hAnsi="Arial"/>
          <w:sz w:val="18"/>
          <w:szCs w:val="18"/>
          <w:color w:val="auto"/>
        </w:rPr>
      </w:pPr>
    </w:p>
    <w:p>
      <w:pPr>
        <w:ind w:left="2520" w:hanging="290"/>
        <w:spacing w:after="0"/>
        <w:tabs>
          <w:tab w:leader="none" w:pos="2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225" w:lineRule="exact"/>
        <w:rPr>
          <w:rFonts w:ascii="Arial" w:cs="Arial" w:eastAsia="Arial" w:hAnsi="Arial"/>
          <w:sz w:val="18"/>
          <w:szCs w:val="18"/>
          <w:color w:val="auto"/>
        </w:rPr>
      </w:pPr>
    </w:p>
    <w:p>
      <w:pPr>
        <w:ind w:left="2520" w:hanging="290"/>
        <w:spacing w:after="0"/>
        <w:tabs>
          <w:tab w:leader="none" w:pos="2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Pro-Rata Bonus; and</w:t>
      </w:r>
    </w:p>
    <w:p>
      <w:pPr>
        <w:spacing w:after="0" w:line="225" w:lineRule="exact"/>
        <w:rPr>
          <w:rFonts w:ascii="Arial" w:cs="Arial" w:eastAsia="Arial" w:hAnsi="Arial"/>
          <w:sz w:val="18"/>
          <w:szCs w:val="18"/>
          <w:color w:val="auto"/>
        </w:rPr>
      </w:pPr>
    </w:p>
    <w:p>
      <w:pPr>
        <w:ind w:left="1560" w:firstLine="672"/>
        <w:spacing w:after="0" w:line="254" w:lineRule="auto"/>
        <w:tabs>
          <w:tab w:leader="none" w:pos="25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subject to Executive's execution of a general release of claims in a form reasonably determined by the Company (the "Release"), the expiration of the applicable revocation period with respect to such Release within sixty (60) days following the date of termination and Executive's continued compliance with the provisions of Sections 8 and 9, continued payment of the Base Salary in accordance with the Company's normal payroll practices for a period of twelve (12) months following the date of such termination, which shall commence on the sixtieth (60</w:t>
      </w:r>
      <w:r>
        <w:rPr>
          <w:rFonts w:ascii="Arial" w:cs="Arial" w:eastAsia="Arial" w:hAnsi="Arial"/>
          <w:sz w:val="15"/>
          <w:szCs w:val="15"/>
          <w:color w:val="auto"/>
        </w:rPr>
        <w:t>th</w:t>
      </w:r>
      <w:r>
        <w:rPr>
          <w:rFonts w:ascii="Arial" w:cs="Arial" w:eastAsia="Arial" w:hAnsi="Arial"/>
          <w:sz w:val="18"/>
          <w:szCs w:val="18"/>
          <w:color w:val="auto"/>
        </w:rPr>
        <w:t xml:space="preserve">) day following such termination (with the first payment equal to the cumulative amount that would have been paid in such initial sixty (60) 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aggregate amount described in the clause (C) shall be in lieu of any other cash severance or termination benefits payable to Executive under any other plans, programs or arrangements of the Company or its affiliates.</w:t>
      </w:r>
    </w:p>
    <w:p>
      <w:pPr>
        <w:spacing w:after="0" w:line="192" w:lineRule="exact"/>
        <w:rPr>
          <w:sz w:val="20"/>
          <w:szCs w:val="20"/>
          <w:color w:val="auto"/>
        </w:rPr>
      </w:pPr>
    </w:p>
    <w:p>
      <w:pPr>
        <w:jc w:val="both"/>
        <w:ind w:left="780" w:right="120"/>
        <w:spacing w:after="0" w:line="264" w:lineRule="auto"/>
        <w:rPr>
          <w:sz w:val="20"/>
          <w:szCs w:val="20"/>
          <w:color w:val="auto"/>
        </w:rPr>
      </w:pPr>
      <w:r>
        <w:rPr>
          <w:rFonts w:ascii="Arial" w:cs="Arial" w:eastAsia="Arial" w:hAnsi="Arial"/>
          <w:sz w:val="18"/>
          <w:szCs w:val="18"/>
          <w:color w:val="auto"/>
        </w:rPr>
        <w:t>Following Executive's termination of employment by the Company without Cause (other than by reason of Executive's death or Disability) or by Executive's resignation with Good Reason, except as set forth In this Section 7(c), Executive shall have no further rights to any contract damages, other compensation or any other benefits under this Agreement.</w:t>
      </w:r>
    </w:p>
    <w:p>
      <w:pPr>
        <w:spacing w:after="0" w:line="181" w:lineRule="exact"/>
        <w:rPr>
          <w:sz w:val="20"/>
          <w:szCs w:val="20"/>
          <w:color w:val="auto"/>
        </w:rPr>
      </w:pPr>
    </w:p>
    <w:p>
      <w:pPr>
        <w:ind w:right="200" w:firstLine="777"/>
        <w:spacing w:after="0" w:line="30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Company or by Executive (other than due to Executive's death) shall be communicated by written Notice of Termination to the other party hereto in accordance with Section 1l(g)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54" w:lineRule="exact"/>
        <w:rPr>
          <w:sz w:val="20"/>
          <w:szCs w:val="20"/>
          <w:color w:val="auto"/>
        </w:rPr>
      </w:pPr>
    </w:p>
    <w:p>
      <w:pPr>
        <w:ind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Non-Interference/Non-Solicitation.</w:t>
      </w:r>
      <w:r>
        <w:rPr>
          <w:rFonts w:ascii="Arial" w:cs="Arial" w:eastAsia="Arial" w:hAnsi="Arial"/>
          <w:sz w:val="18"/>
          <w:szCs w:val="18"/>
          <w:color w:val="auto"/>
        </w:rPr>
        <w:t xml:space="preserve"> Executive acknowledges and recognizes that in the course of performing services for the Company, Executive will have access to certain confidential and proprietary information of the Company and its affiliates that is extremely valuable to the Company and its affiliates and is not known to the general public. Accordingly, Executive agrees as follows:</w:t>
      </w:r>
    </w:p>
    <w:p>
      <w:pPr>
        <w:spacing w:after="0" w:line="181" w:lineRule="exact"/>
        <w:rPr>
          <w:rFonts w:ascii="Arial" w:cs="Arial" w:eastAsia="Arial" w:hAnsi="Arial"/>
          <w:sz w:val="18"/>
          <w:szCs w:val="18"/>
          <w:color w:val="auto"/>
        </w:rPr>
      </w:pPr>
    </w:p>
    <w:p>
      <w:pPr>
        <w:ind w:right="140" w:firstLine="785"/>
        <w:spacing w:after="0" w:line="279" w:lineRule="auto"/>
        <w:tabs>
          <w:tab w:leader="none" w:pos="947" w:val="left"/>
        </w:tabs>
        <w:numPr>
          <w:ilvl w:val="1"/>
          <w:numId w:val="23"/>
        </w:numPr>
        <w:rPr>
          <w:rFonts w:ascii="Arial" w:cs="Arial" w:eastAsia="Arial" w:hAnsi="Arial"/>
          <w:sz w:val="17"/>
          <w:szCs w:val="17"/>
          <w:color w:val="auto"/>
        </w:rPr>
      </w:pPr>
      <w:r>
        <w:rPr>
          <w:rFonts w:ascii="Arial" w:cs="Arial" w:eastAsia="Arial" w:hAnsi="Arial"/>
          <w:sz w:val="17"/>
          <w:szCs w:val="17"/>
          <w:color w:val="auto"/>
        </w:rPr>
        <w:t>Executive agrees that during the term of employment and until the first anniversary of the date of termination of Executive's employment with the Company or any subsidiary of the Company, as the case may be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the Executive will not directly or indirectly, use any Company Confidential Information (as defined in Section 9) to interfere with business relationships (whether formed before or after the date of this Agreement) between the Company or any of its affiliates and customers, suppliers, partners, members or investors of the Company or its affiliates.</w:t>
      </w:r>
    </w:p>
    <w:p>
      <w:pPr>
        <w:spacing w:after="0" w:line="171" w:lineRule="exact"/>
        <w:rPr>
          <w:rFonts w:ascii="Arial" w:cs="Arial" w:eastAsia="Arial" w:hAnsi="Arial"/>
          <w:sz w:val="17"/>
          <w:szCs w:val="17"/>
          <w:color w:val="auto"/>
        </w:rPr>
      </w:pPr>
    </w:p>
    <w:p>
      <w:pPr>
        <w:jc w:val="both"/>
        <w:ind w:right="20" w:firstLine="785"/>
        <w:spacing w:after="0" w:line="259" w:lineRule="auto"/>
        <w:tabs>
          <w:tab w:leader="none" w:pos="9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 further agrees that during the Restricted Period, Executive will not, directly or indirectly, (i) solicit or encourage any employee of the Company or its affiliates to leave the employment of the Company or its affiliates, (ii) solicit or encourage to cease to work with the Company or its affiliates any consultant then under contract with the Company or its affiliates; provided, however, that general advertising not directed specifically at employees of the Company or any affiliate shall not be deemed to violate this Section 8(b).</w:t>
      </w:r>
    </w:p>
    <w:p>
      <w:pPr>
        <w:spacing w:after="0" w:line="186" w:lineRule="exact"/>
        <w:rPr>
          <w:rFonts w:ascii="Arial" w:cs="Arial" w:eastAsia="Arial" w:hAnsi="Arial"/>
          <w:sz w:val="18"/>
          <w:szCs w:val="18"/>
          <w:color w:val="auto"/>
        </w:rPr>
      </w:pPr>
    </w:p>
    <w:p>
      <w:pPr>
        <w:ind w:right="60" w:firstLine="785"/>
        <w:spacing w:after="0" w:line="273" w:lineRule="auto"/>
        <w:tabs>
          <w:tab w:leader="none" w:pos="947" w:val="left"/>
        </w:tabs>
        <w:numPr>
          <w:ilvl w:val="1"/>
          <w:numId w:val="23"/>
        </w:numPr>
        <w:rPr>
          <w:rFonts w:ascii="Arial" w:cs="Arial" w:eastAsia="Arial" w:hAnsi="Arial"/>
          <w:sz w:val="17"/>
          <w:szCs w:val="17"/>
          <w:color w:val="auto"/>
        </w:rPr>
      </w:pPr>
      <w:r>
        <w:rPr>
          <w:rFonts w:ascii="Arial" w:cs="Arial" w:eastAsia="Arial" w:hAnsi="Arial"/>
          <w:sz w:val="17"/>
          <w:szCs w:val="17"/>
          <w:color w:val="auto"/>
        </w:rPr>
        <w:t>It is expressly understood and agreed that although Executive and the Company consider the restrictions contained in this Section 8 to be reasonable, if a final judicial determination is made by a court of competent jurisdiction that any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78" w:lineRule="exact"/>
        <w:rPr>
          <w:rFonts w:ascii="Arial" w:cs="Arial" w:eastAsia="Arial" w:hAnsi="Arial"/>
          <w:sz w:val="17"/>
          <w:szCs w:val="17"/>
          <w:color w:val="auto"/>
        </w:rPr>
      </w:pPr>
    </w:p>
    <w:p>
      <w:pPr>
        <w:ind w:right="28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Executive will not at any time (whether during or after Executive's employment with the Company) disclose or use for Executive's own benefit or purposes or the benefit or purposes of any other person, firm, partnership, joint venture, association,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t>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of any subsidiary or affiliate of the Company ("</w:t>
      </w:r>
      <w:r>
        <w:rPr>
          <w:rFonts w:ascii="Arial" w:cs="Arial" w:eastAsia="Arial" w:hAnsi="Arial"/>
          <w:sz w:val="16"/>
          <w:szCs w:val="16"/>
          <w:u w:val="single" w:color="auto"/>
          <w:color w:val="auto"/>
        </w:rPr>
        <w:t>Company Confidential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which is not unique to the Company or which is generally known to the industry or the public other than as a result of Executive's breach of this covenant: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foregoing shall not apply when Executive is required to divulge, disclose or make accessible such information by a court of competent jurisdiction or an individual duly appointed thereby, by any administrative body or legislative body (including a committee thereof) having supervisory authority over the business of the Company, or by any administrative body or legislative body (including a committee thereof) with jurisdiction to order Executive to divulge, disclose or make accessible such information. Executive agrees that upon termination of Executive's employment with the Company for any reason, he will return to the Company immediately all memoranda, books, papers, plans, information, letters and other data, and all copies thereof or therefrom, in any way relating to the business of the Company and its affiliates, except that he may retain personal notes, notebooks and diaries that do not contain Company Confidential Information of the type described in the preceding sentence. Executive further agrees that he will not retain or use for Executive's account at any time any trade names, trademark or other proprietary business designation used or owned in connection with the business of the Company or its affiliates.</w:t>
      </w:r>
    </w:p>
    <w:p>
      <w:pPr>
        <w:spacing w:after="0" w:line="175" w:lineRule="exact"/>
        <w:rPr>
          <w:sz w:val="20"/>
          <w:szCs w:val="20"/>
          <w:color w:val="auto"/>
        </w:rPr>
      </w:pPr>
    </w:p>
    <w:p>
      <w:pPr>
        <w:ind w:firstLine="8"/>
        <w:spacing w:after="0" w:line="257"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Executive acknowledges and agrees that the Company's remedies at law for a breach or threatened breach of any of the provisions of Section 8 or Section 9 would be inadequate and, in recognition of this fact, Executive agrees that, in the event of such a breach or threatened breach, in addition to any remedies at law, the Company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188"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right="240" w:firstLine="785"/>
        <w:spacing w:after="0" w:line="277" w:lineRule="auto"/>
        <w:tabs>
          <w:tab w:leader="none" w:pos="94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laws of the State of California, without regard to conflicts of laws principles thereof.</w:t>
      </w:r>
    </w:p>
    <w:p>
      <w:pPr>
        <w:spacing w:after="0" w:line="170" w:lineRule="exact"/>
        <w:rPr>
          <w:rFonts w:ascii="Arial" w:cs="Arial" w:eastAsia="Arial" w:hAnsi="Arial"/>
          <w:sz w:val="18"/>
          <w:szCs w:val="18"/>
          <w:color w:val="auto"/>
        </w:rPr>
      </w:pPr>
    </w:p>
    <w:p>
      <w:pPr>
        <w:ind w:firstLine="785"/>
        <w:spacing w:after="0" w:line="257" w:lineRule="auto"/>
        <w:tabs>
          <w:tab w:leader="none" w:pos="95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Entire Agreement/Amendments.</w:t>
      </w:r>
      <w:r>
        <w:rPr>
          <w:rFonts w:ascii="Arial" w:cs="Arial" w:eastAsia="Arial" w:hAnsi="Arial"/>
          <w:sz w:val="18"/>
          <w:szCs w:val="18"/>
          <w:color w:val="auto"/>
        </w:rPr>
        <w:t xml:space="preserve"> This Agreement 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This Agreement supersedes any other agreements or representations, oral or otherwise, express or implied, with respect to the subject matter hereof which have been made by either party. This Agreement may not be altered, modified, or amended except by written instrument signed by the parties hereto.</w:t>
      </w:r>
    </w:p>
    <w:p>
      <w:pPr>
        <w:spacing w:after="0" w:line="188" w:lineRule="exact"/>
        <w:rPr>
          <w:rFonts w:ascii="Arial" w:cs="Arial" w:eastAsia="Arial" w:hAnsi="Arial"/>
          <w:sz w:val="18"/>
          <w:szCs w:val="18"/>
          <w:color w:val="auto"/>
        </w:rPr>
      </w:pPr>
    </w:p>
    <w:p>
      <w:pPr>
        <w:ind w:right="40" w:firstLine="785"/>
        <w:spacing w:after="0" w:line="342" w:lineRule="auto"/>
        <w:tabs>
          <w:tab w:leader="none" w:pos="947"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xml:space="preser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23" w:lineRule="exact"/>
        <w:rPr>
          <w:rFonts w:ascii="Arial" w:cs="Arial" w:eastAsia="Arial" w:hAnsi="Arial"/>
          <w:sz w:val="16"/>
          <w:szCs w:val="16"/>
          <w:color w:val="auto"/>
        </w:rPr>
      </w:pPr>
    </w:p>
    <w:p>
      <w:pPr>
        <w:ind w:right="220" w:firstLine="785"/>
        <w:spacing w:after="0" w:line="308" w:lineRule="auto"/>
        <w:tabs>
          <w:tab w:leader="none" w:pos="957"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46" w:lineRule="exact"/>
        <w:rPr>
          <w:rFonts w:ascii="Arial" w:cs="Arial" w:eastAsia="Arial" w:hAnsi="Arial"/>
          <w:sz w:val="17"/>
          <w:szCs w:val="17"/>
          <w:color w:val="auto"/>
        </w:rPr>
      </w:pPr>
    </w:p>
    <w:p>
      <w:pPr>
        <w:ind w:right="120" w:firstLine="785"/>
        <w:spacing w:after="0" w:line="257" w:lineRule="auto"/>
        <w:tabs>
          <w:tab w:leader="none" w:pos="94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assignable by Executive. This Agreement may be assigned by the Company to a company which is a successor in interest to substantially all of the business operations of the Company. Such assignment shall become effective when the Company notifies the Executive of such assignment or at such later date as may be specified in such notice. Upon such assignment, the rights and obligations of the Company hereunder shall become the rights and obligations of such successor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assignee expressly assumes the obligations, rights and privileges of this Agreement.</w:t>
      </w:r>
    </w:p>
    <w:p>
      <w:pPr>
        <w:spacing w:after="0" w:line="188" w:lineRule="exact"/>
        <w:rPr>
          <w:rFonts w:ascii="Arial" w:cs="Arial" w:eastAsia="Arial" w:hAnsi="Arial"/>
          <w:sz w:val="18"/>
          <w:szCs w:val="18"/>
          <w:color w:val="auto"/>
        </w:rPr>
      </w:pPr>
    </w:p>
    <w:p>
      <w:pPr>
        <w:ind w:right="200" w:firstLine="785"/>
        <w:spacing w:after="0" w:line="277"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xml:space="preserve"> This Agreement shall inure to the benefit of and be binding upon personal or legal representatives, executors, administrators, successors, heirs, distributes, devises and legatees.</w:t>
      </w:r>
    </w:p>
    <w:p>
      <w:pPr>
        <w:spacing w:after="0" w:line="170" w:lineRule="exact"/>
        <w:rPr>
          <w:rFonts w:ascii="Arial" w:cs="Arial" w:eastAsia="Arial" w:hAnsi="Arial"/>
          <w:sz w:val="18"/>
          <w:szCs w:val="18"/>
          <w:color w:val="auto"/>
        </w:rPr>
      </w:pPr>
    </w:p>
    <w:p>
      <w:pPr>
        <w:ind w:right="80" w:firstLine="785"/>
        <w:spacing w:after="0" w:line="259" w:lineRule="auto"/>
        <w:tabs>
          <w:tab w:leader="none" w:pos="95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Agreement, or to such other address as either party may have furnished to the other in writing in accordance herewith, except that notice of change of address shall be effective only upon receipt.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El Pollo Loco,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3535 Harbor Boulevard</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Costa Mesa, CA 92626</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Attn: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Executive: To the most recent address of Executive set forth in the personnel records of the Company.</w:t>
      </w:r>
    </w:p>
    <w:p>
      <w:pPr>
        <w:spacing w:after="0" w:line="225" w:lineRule="exact"/>
        <w:rPr>
          <w:sz w:val="20"/>
          <w:szCs w:val="20"/>
          <w:color w:val="auto"/>
        </w:rPr>
      </w:pPr>
    </w:p>
    <w:p>
      <w:pPr>
        <w:ind w:right="120" w:firstLine="777"/>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The Company may withhold from any amounts payable under this Agreement such Federal, state and local taxes as may be required to be withheld pursuant to any applicable law or regulation.</w:t>
      </w:r>
    </w:p>
    <w:p>
      <w:pPr>
        <w:spacing w:after="0" w:line="170" w:lineRule="exact"/>
        <w:rPr>
          <w:sz w:val="20"/>
          <w:szCs w:val="20"/>
          <w:color w:val="auto"/>
        </w:rPr>
      </w:pPr>
    </w:p>
    <w:p>
      <w:pPr>
        <w:ind w:right="160" w:firstLine="777"/>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The Company may withhold from any amounts payable under this Agreement such Federal, state and local taxes as may be required to be withheld pursuant to any applicable law or regulation.</w:t>
      </w:r>
    </w:p>
    <w:p>
      <w:pPr>
        <w:spacing w:after="0" w:line="170" w:lineRule="exact"/>
        <w:rPr>
          <w:sz w:val="20"/>
          <w:szCs w:val="20"/>
          <w:color w:val="auto"/>
        </w:rPr>
      </w:pPr>
    </w:p>
    <w:p>
      <w:pPr>
        <w:ind w:right="120" w:firstLine="777"/>
        <w:spacing w:after="0" w:line="276" w:lineRule="auto"/>
        <w:rPr>
          <w:sz w:val="20"/>
          <w:szCs w:val="20"/>
          <w:color w:val="auto"/>
        </w:rPr>
      </w:pPr>
      <w:r>
        <w:rPr>
          <w:rFonts w:ascii="Arial" w:cs="Arial" w:eastAsia="Arial" w:hAnsi="Arial"/>
          <w:sz w:val="17"/>
          <w:szCs w:val="17"/>
          <w:color w:val="auto"/>
        </w:rPr>
        <w:t xml:space="preserve">j.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The intent of the parties is that payments and benefits under this Agreement comply with Section 409A of the Internal Revenue Code of 1986, as amended (the "Code"),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of the Code until the Executive has incurred a "separation from service" from the Company within the meaning of Section 409 A of the Code.</w:t>
      </w:r>
    </w:p>
    <w:p>
      <w:pPr>
        <w:spacing w:after="0" w:line="173" w:lineRule="exact"/>
        <w:rPr>
          <w:sz w:val="20"/>
          <w:szCs w:val="20"/>
          <w:color w:val="auto"/>
        </w:rPr>
      </w:pPr>
    </w:p>
    <w:p>
      <w:pPr>
        <w:ind w:firstLine="776"/>
        <w:spacing w:after="0" w:line="270" w:lineRule="auto"/>
        <w:rPr>
          <w:sz w:val="20"/>
          <w:szCs w:val="20"/>
          <w:color w:val="auto"/>
        </w:rPr>
      </w:pPr>
      <w:r>
        <w:rPr>
          <w:rFonts w:ascii="Arial" w:cs="Arial" w:eastAsia="Arial" w:hAnsi="Arial"/>
          <w:sz w:val="17"/>
          <w:szCs w:val="17"/>
          <w:color w:val="auto"/>
        </w:rPr>
        <w:t>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during the six-month period immediately following an Executive's separation from service shall instead be paid on the first business day after the date that is six months following the Executive's separation from service (or, if earlier, the Executive's date of death). To the extent required to avoid an accelerated or additional tax under Section 409A of the Code, amounts reimbursable to the Executive under the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from applying to any such payment.</w:t>
      </w:r>
    </w:p>
    <w:p>
      <w:pPr>
        <w:spacing w:after="0" w:line="178" w:lineRule="exact"/>
        <w:rPr>
          <w:sz w:val="20"/>
          <w:szCs w:val="20"/>
          <w:color w:val="auto"/>
        </w:rPr>
      </w:pPr>
    </w:p>
    <w:p>
      <w:pPr>
        <w:ind w:right="80" w:firstLine="777"/>
        <w:spacing w:after="0" w:line="27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counterparts, each of which shall be an original, with the same effect as if the signatures thereto and hereto were upon the same instrument.</w:t>
      </w:r>
    </w:p>
    <w:p>
      <w:pPr>
        <w:spacing w:after="0" w:line="17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DAWSON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4/28/16</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 POLLO LOCO,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Stephen J. Sather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7"/>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5"/>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25"/>
    </w:lvl>
  </w:abstractNum>
  <w:abstractNum w:abstractNumId="11">
    <w:nsid w:val="721DA317"/>
    <w:multiLevelType w:val="hybridMultilevel"/>
    <w:lvl w:ilvl="0">
      <w:lvlJc w:val="left"/>
      <w:lvlText w:val="(%1)"/>
      <w:numFmt w:val="lowerRoman"/>
      <w:start w:val="5"/>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
    <w:nsid w:val="8EDBDAB"/>
    <w:multiLevelType w:val="hybridMultilevel"/>
    <w:lvl w:ilvl="0">
      <w:lvlJc w:val="left"/>
      <w:lvlText w:val="(%1)"/>
      <w:numFmt w:val="upperLetter"/>
      <w:start w:val="5"/>
    </w:lvl>
  </w:abstractNum>
  <w:abstractNum w:abstractNumId="17">
    <w:nsid w:val="79838CB2"/>
    <w:multiLevelType w:val="hybridMultilevel"/>
    <w:lvl w:ilvl="0">
      <w:lvlJc w:val="left"/>
      <w:lvlText w:val="(%1)"/>
      <w:numFmt w:val="lowerRoman"/>
      <w:start w:val="1"/>
    </w:lvl>
  </w:abstractNum>
  <w:abstractNum w:abstractNumId="18">
    <w:nsid w:val="4353D0CD"/>
    <w:multiLevelType w:val="hybridMultilevel"/>
    <w:lvl w:ilvl="0">
      <w:lvlJc w:val="left"/>
      <w:lvlText w:val="(%1)"/>
      <w:numFmt w:val="lowerRoman"/>
      <w:start w:val="2"/>
    </w:lvl>
    <w:lvl w:ilvl="1">
      <w:lvlJc w:val="left"/>
      <w:lvlText w:val="(%2)"/>
      <w:numFmt w:val="upperLetter"/>
      <w:start w:val="1"/>
    </w:lvl>
  </w:abstractNum>
  <w:abstractNum w:abstractNumId="19">
    <w:nsid w:val="B03E0C6"/>
    <w:multiLevelType w:val="hybridMultilevel"/>
    <w:lvl w:ilvl="0">
      <w:lvlJc w:val="left"/>
      <w:lvlText w:val="(%1)"/>
      <w:numFmt w:val="lowerRoman"/>
      <w:start w:val="1"/>
    </w:lvl>
    <w:lvl w:ilvl="1">
      <w:lvlJc w:val="left"/>
      <w:lvlText w:val="(%2)"/>
      <w:numFmt w:val="upperLetter"/>
      <w:start w:val="1"/>
    </w:lvl>
  </w:abstractNum>
  <w:abstractNum w:abstractNumId="20">
    <w:nsid w:val="189A769B"/>
    <w:multiLevelType w:val="hybridMultilevel"/>
    <w:lvl w:ilvl="0">
      <w:lvlJc w:val="left"/>
      <w:lvlText w:val="%1"/>
      <w:numFmt w:val="lowerRoman"/>
      <w:start w:val="1"/>
    </w:lvl>
    <w:lvl w:ilvl="1">
      <w:lvlJc w:val="left"/>
      <w:lvlText w:val="(%2)"/>
      <w:numFmt w:val="upperLetter"/>
      <w:start w:val="5"/>
    </w:lvl>
  </w:abstractNum>
  <w:abstractNum w:abstractNumId="21">
    <w:nsid w:val="54E49EB4"/>
    <w:multiLevelType w:val="hybridMultilevel"/>
    <w:lvl w:ilvl="0">
      <w:lvlJc w:val="left"/>
      <w:lvlText w:val="(%1)"/>
      <w:numFmt w:val="lowerRoman"/>
      <w:start w:val="3"/>
    </w:lvl>
    <w:lvl w:ilvl="1">
      <w:lvlJc w:val="left"/>
      <w:lvlText w:val="(%2)"/>
      <w:numFmt w:val="upperLetter"/>
      <w:start w:val="1"/>
    </w:lvl>
  </w:abstractNum>
  <w:abstractNum w:abstractNumId="22">
    <w:nsid w:val="71F32454"/>
    <w:multiLevelType w:val="hybridMultilevel"/>
    <w:lvl w:ilvl="0">
      <w:lvlJc w:val="left"/>
      <w:lvlText w:val="%1."/>
      <w:numFmt w:val="decimal"/>
      <w:start w:val="8"/>
    </w:lvl>
    <w:lvl w:ilvl="1">
      <w:lvlJc w:val="left"/>
      <w:lvlText w:val="%2."/>
      <w:numFmt w:val="lowerLetter"/>
      <w:start w:val="1"/>
    </w:lvl>
  </w:abstractNum>
  <w:abstractNum w:abstractNumId="23">
    <w:nsid w:val="2CA88611"/>
    <w:multiLevelType w:val="hybridMultilevel"/>
    <w:lvl w:ilvl="0">
      <w:lvlJc w:val="left"/>
      <w:lvlText w:val="%1."/>
      <w:numFmt w:val="decimal"/>
      <w:start w:val="10"/>
    </w:lvl>
    <w:lvl w:ilvl="1">
      <w:lvlJc w:val="left"/>
      <w:lvlText w:val="%2."/>
      <w:numFmt w:val="lowerLetter"/>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5"/>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2019-12-29T10:53:14Z</dcterms:created>
  <dcterms:modified xsi:type="dcterms:W3CDTF">2019-12-29T10:53:14Z</dcterms:modified>
</cp:coreProperties>
</file>