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338455</wp:posOffset>
            </wp:positionV>
            <wp:extent cx="6506210"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06210" cy="323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403860</wp:posOffset>
            </wp:positionV>
            <wp:extent cx="6506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621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105410</wp:posOffset>
            </wp:positionV>
            <wp:extent cx="163258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2585" cy="16510"/>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77470</wp:posOffset>
            </wp:positionV>
            <wp:extent cx="16325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2585" cy="8255"/>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100" w:lineRule="exact"/>
        <w:rPr>
          <w:sz w:val="24"/>
          <w:szCs w:val="24"/>
          <w:color w:val="auto"/>
        </w:rPr>
      </w:pPr>
    </w:p>
    <w:p>
      <w:pPr>
        <w:ind w:left="720" w:right="420" w:hanging="661"/>
        <w:spacing w:after="0" w:line="265" w:lineRule="auto"/>
        <w:tabs>
          <w:tab w:leader="none" w:pos="72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 the quarterly period ended September 29, 2021</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or</w:t>
      </w:r>
    </w:p>
    <w:p>
      <w:pPr>
        <w:spacing w:after="0" w:line="99" w:lineRule="exact"/>
        <w:rPr>
          <w:sz w:val="24"/>
          <w:szCs w:val="24"/>
          <w:color w:val="auto"/>
        </w:rPr>
      </w:pPr>
    </w:p>
    <w:p>
      <w:pPr>
        <w:ind w:left="720" w:right="400" w:hanging="655"/>
        <w:spacing w:after="0" w:line="267" w:lineRule="auto"/>
        <w:tabs>
          <w:tab w:leader="none" w:pos="72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74" w:lineRule="exact"/>
        <w:rPr>
          <w:sz w:val="24"/>
          <w:szCs w:val="24"/>
          <w:color w:val="auto"/>
        </w:rPr>
      </w:pPr>
    </w:p>
    <w:p>
      <w:pPr>
        <w:ind w:left="3240"/>
        <w:spacing w:after="0"/>
        <w:tabs>
          <w:tab w:leader="none" w:pos="606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3343275</wp:posOffset>
            </wp:positionH>
            <wp:positionV relativeFrom="paragraph">
              <wp:posOffset>-3810</wp:posOffset>
            </wp:positionV>
            <wp:extent cx="10801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Number: 001-36556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76835</wp:posOffset>
            </wp:positionV>
            <wp:extent cx="163258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2585" cy="16510"/>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EL POLLO LOCO HOLDINGS, INC.</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115570</wp:posOffset>
            </wp:positionV>
            <wp:extent cx="16325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32585" cy="825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tbl>
      <w:tblPr>
        <w:tblLayout w:type="fixed"/>
        <w:tblInd w:w="720" w:type="dxa"/>
        <w:tblCellMar>
          <w:top w:w="0" w:type="dxa"/>
          <w:left w:w="0" w:type="dxa"/>
          <w:bottom w:w="0" w:type="dxa"/>
          <w:right w:w="0" w:type="dxa"/>
        </w:tblCellMar>
      </w:tblPr>
      <w:tr>
        <w:trPr>
          <w:trHeight w:val="188"/>
        </w:trPr>
        <w:tc>
          <w:tcPr>
            <w:tcW w:w="5940" w:type="dxa"/>
            <w:vAlign w:val="bottom"/>
          </w:tcPr>
          <w:p>
            <w:pPr>
              <w:jc w:val="center"/>
              <w:ind w:right="2372"/>
              <w:spacing w:after="0"/>
              <w:rPr>
                <w:sz w:val="20"/>
                <w:szCs w:val="20"/>
                <w:color w:val="auto"/>
              </w:rPr>
            </w:pPr>
            <w:r>
              <w:rPr>
                <w:rFonts w:ascii="Arial" w:cs="Arial" w:eastAsia="Arial" w:hAnsi="Arial"/>
                <w:sz w:val="15"/>
                <w:szCs w:val="15"/>
                <w:b w:val="1"/>
                <w:bCs w:val="1"/>
                <w:color w:val="auto"/>
                <w:w w:val="94"/>
              </w:rPr>
              <w:t>Delaware</w:t>
            </w:r>
          </w:p>
        </w:tc>
        <w:tc>
          <w:tcPr>
            <w:tcW w:w="2020" w:type="dxa"/>
            <w:vAlign w:val="bottom"/>
          </w:tcPr>
          <w:p>
            <w:pPr>
              <w:jc w:val="right"/>
              <w:ind w:right="472"/>
              <w:spacing w:after="0"/>
              <w:rPr>
                <w:sz w:val="20"/>
                <w:szCs w:val="20"/>
                <w:color w:val="auto"/>
              </w:rPr>
            </w:pPr>
            <w:r>
              <w:rPr>
                <w:rFonts w:ascii="Arial" w:cs="Arial" w:eastAsia="Arial" w:hAnsi="Arial"/>
                <w:sz w:val="15"/>
                <w:szCs w:val="15"/>
                <w:b w:val="1"/>
                <w:bCs w:val="1"/>
                <w:color w:val="auto"/>
              </w:rPr>
              <w:t>20-3563182</w:t>
            </w:r>
          </w:p>
        </w:tc>
      </w:tr>
      <w:tr>
        <w:trPr>
          <w:trHeight w:val="154"/>
        </w:trPr>
        <w:tc>
          <w:tcPr>
            <w:tcW w:w="5940" w:type="dxa"/>
            <w:vAlign w:val="bottom"/>
          </w:tcPr>
          <w:p>
            <w:pPr>
              <w:jc w:val="center"/>
              <w:ind w:right="2372"/>
              <w:spacing w:after="0"/>
              <w:rPr>
                <w:sz w:val="20"/>
                <w:szCs w:val="20"/>
                <w:color w:val="auto"/>
              </w:rPr>
            </w:pPr>
            <w:r>
              <w:rPr>
                <w:rFonts w:ascii="Arial" w:cs="Arial" w:eastAsia="Arial" w:hAnsi="Arial"/>
                <w:sz w:val="12"/>
                <w:szCs w:val="12"/>
                <w:b w:val="1"/>
                <w:bCs w:val="1"/>
                <w:color w:val="auto"/>
                <w:w w:val="90"/>
              </w:rPr>
              <w:t>(State or other jurisdiction of incorporation or organization)</w:t>
            </w:r>
          </w:p>
        </w:tc>
        <w:tc>
          <w:tcPr>
            <w:tcW w:w="2020" w:type="dxa"/>
            <w:vAlign w:val="bottom"/>
          </w:tcPr>
          <w:p>
            <w:pPr>
              <w:jc w:val="center"/>
              <w:ind w:left="132"/>
              <w:spacing w:after="0"/>
              <w:rPr>
                <w:sz w:val="20"/>
                <w:szCs w:val="20"/>
                <w:color w:val="auto"/>
              </w:rPr>
            </w:pPr>
            <w:r>
              <w:rPr>
                <w:rFonts w:ascii="Arial" w:cs="Arial" w:eastAsia="Arial" w:hAnsi="Arial"/>
                <w:sz w:val="12"/>
                <w:szCs w:val="12"/>
                <w:b w:val="1"/>
                <w:bCs w:val="1"/>
                <w:color w:val="auto"/>
                <w:w w:val="92"/>
              </w:rPr>
              <w:t>(I.R.S. Employer Identification No.)</w:t>
            </w:r>
          </w:p>
        </w:tc>
      </w:tr>
      <w:tr>
        <w:trPr>
          <w:trHeight w:val="306"/>
        </w:trPr>
        <w:tc>
          <w:tcPr>
            <w:tcW w:w="5940" w:type="dxa"/>
            <w:vAlign w:val="bottom"/>
          </w:tcPr>
          <w:p>
            <w:pPr>
              <w:jc w:val="center"/>
              <w:ind w:right="2372"/>
              <w:spacing w:after="0"/>
              <w:rPr>
                <w:sz w:val="20"/>
                <w:szCs w:val="20"/>
                <w:color w:val="auto"/>
              </w:rPr>
            </w:pPr>
            <w:r>
              <w:rPr>
                <w:rFonts w:ascii="Arial" w:cs="Arial" w:eastAsia="Arial" w:hAnsi="Arial"/>
                <w:sz w:val="15"/>
                <w:szCs w:val="15"/>
                <w:b w:val="1"/>
                <w:bCs w:val="1"/>
                <w:color w:val="auto"/>
                <w:w w:val="94"/>
              </w:rPr>
              <w:t>3535 Harbor Blvd., Suite 100, Costa Mesa, California</w:t>
            </w:r>
          </w:p>
        </w:tc>
        <w:tc>
          <w:tcPr>
            <w:tcW w:w="2020" w:type="dxa"/>
            <w:vAlign w:val="bottom"/>
          </w:tcPr>
          <w:p>
            <w:pPr>
              <w:jc w:val="right"/>
              <w:ind w:right="652"/>
              <w:spacing w:after="0"/>
              <w:rPr>
                <w:sz w:val="20"/>
                <w:szCs w:val="20"/>
                <w:color w:val="auto"/>
              </w:rPr>
            </w:pPr>
            <w:r>
              <w:rPr>
                <w:rFonts w:ascii="Arial" w:cs="Arial" w:eastAsia="Arial" w:hAnsi="Arial"/>
                <w:sz w:val="15"/>
                <w:szCs w:val="15"/>
                <w:b w:val="1"/>
                <w:bCs w:val="1"/>
                <w:color w:val="auto"/>
              </w:rPr>
              <w:t>92626</w:t>
            </w:r>
          </w:p>
        </w:tc>
      </w:tr>
      <w:tr>
        <w:trPr>
          <w:trHeight w:val="154"/>
        </w:trPr>
        <w:tc>
          <w:tcPr>
            <w:tcW w:w="5940" w:type="dxa"/>
            <w:vAlign w:val="bottom"/>
          </w:tcPr>
          <w:p>
            <w:pPr>
              <w:jc w:val="center"/>
              <w:ind w:right="2372"/>
              <w:spacing w:after="0"/>
              <w:rPr>
                <w:sz w:val="20"/>
                <w:szCs w:val="20"/>
                <w:color w:val="auto"/>
              </w:rPr>
            </w:pPr>
            <w:r>
              <w:rPr>
                <w:rFonts w:ascii="Arial" w:cs="Arial" w:eastAsia="Arial" w:hAnsi="Arial"/>
                <w:sz w:val="12"/>
                <w:szCs w:val="12"/>
                <w:b w:val="1"/>
                <w:bCs w:val="1"/>
                <w:color w:val="auto"/>
                <w:w w:val="88"/>
              </w:rPr>
              <w:t>(Address of principal executive offices)</w:t>
            </w:r>
          </w:p>
        </w:tc>
        <w:tc>
          <w:tcPr>
            <w:tcW w:w="2020" w:type="dxa"/>
            <w:vAlign w:val="bottom"/>
          </w:tcPr>
          <w:p>
            <w:pPr>
              <w:jc w:val="center"/>
              <w:ind w:left="132"/>
              <w:spacing w:after="0"/>
              <w:rPr>
                <w:sz w:val="20"/>
                <w:szCs w:val="20"/>
                <w:color w:val="auto"/>
              </w:rPr>
            </w:pPr>
            <w:r>
              <w:rPr>
                <w:rFonts w:ascii="Arial" w:cs="Arial" w:eastAsia="Arial" w:hAnsi="Arial"/>
                <w:sz w:val="12"/>
                <w:szCs w:val="12"/>
                <w:b w:val="1"/>
                <w:bCs w:val="1"/>
                <w:color w:val="auto"/>
                <w:w w:val="90"/>
              </w:rPr>
              <w:t>(Zip Code)</w:t>
            </w:r>
          </w:p>
        </w:tc>
      </w:tr>
      <w:tr>
        <w:trPr>
          <w:trHeight w:val="306"/>
        </w:trPr>
        <w:tc>
          <w:tcPr>
            <w:tcW w:w="5940" w:type="dxa"/>
            <w:vAlign w:val="bottom"/>
          </w:tcPr>
          <w:p>
            <w:pPr>
              <w:jc w:val="right"/>
              <w:ind w:right="992"/>
              <w:spacing w:after="0"/>
              <w:rPr>
                <w:sz w:val="20"/>
                <w:szCs w:val="20"/>
                <w:color w:val="auto"/>
              </w:rPr>
            </w:pPr>
            <w:r>
              <w:rPr>
                <w:rFonts w:ascii="Arial" w:cs="Arial" w:eastAsia="Arial" w:hAnsi="Arial"/>
                <w:sz w:val="15"/>
                <w:szCs w:val="15"/>
                <w:b w:val="1"/>
                <w:bCs w:val="1"/>
                <w:color w:val="auto"/>
              </w:rPr>
              <w:t>(714) 599-5000</w:t>
            </w:r>
          </w:p>
        </w:tc>
        <w:tc>
          <w:tcPr>
            <w:tcW w:w="2020" w:type="dxa"/>
            <w:vAlign w:val="bottom"/>
          </w:tcPr>
          <w:p>
            <w:pPr>
              <w:spacing w:after="0"/>
              <w:rPr>
                <w:sz w:val="24"/>
                <w:szCs w:val="24"/>
                <w:color w:val="auto"/>
              </w:rPr>
            </w:pPr>
          </w:p>
        </w:tc>
      </w:tr>
      <w:tr>
        <w:trPr>
          <w:trHeight w:val="154"/>
        </w:trPr>
        <w:tc>
          <w:tcPr>
            <w:tcW w:w="5940" w:type="dxa"/>
            <w:vAlign w:val="bottom"/>
          </w:tcPr>
          <w:p>
            <w:pPr>
              <w:jc w:val="center"/>
              <w:ind w:left="2812"/>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2020" w:type="dxa"/>
            <w:vAlign w:val="bottom"/>
          </w:tcPr>
          <w:p>
            <w:pPr>
              <w:spacing w:after="0"/>
              <w:rPr>
                <w:sz w:val="13"/>
                <w:szCs w:val="13"/>
                <w:color w:val="auto"/>
              </w:rPr>
            </w:pP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N/A</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(Former name, former address and former fiscal year, if changed since last report)</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84" w:lineRule="exact"/>
        <w:rPr>
          <w:sz w:val="24"/>
          <w:szCs w:val="24"/>
          <w:color w:val="auto"/>
        </w:rPr>
      </w:pPr>
    </w:p>
    <w:tbl>
      <w:tblPr>
        <w:tblLayout w:type="fixed"/>
        <w:tblInd w:w="30" w:type="dxa"/>
        <w:tblCellMar>
          <w:top w:w="0" w:type="dxa"/>
          <w:left w:w="0" w:type="dxa"/>
          <w:bottom w:w="0" w:type="dxa"/>
          <w:right w:w="0" w:type="dxa"/>
        </w:tblCellMar>
      </w:tblPr>
      <w:tr>
        <w:trPr>
          <w:trHeight w:val="205"/>
        </w:trPr>
        <w:tc>
          <w:tcPr>
            <w:tcW w:w="3860" w:type="dxa"/>
            <w:vAlign w:val="bottom"/>
            <w:tcBorders>
              <w:top w:val="single" w:sz="8" w:color="auto"/>
              <w:left w:val="single" w:sz="8" w:color="auto"/>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5"/>
                <w:szCs w:val="15"/>
                <w:color w:val="auto"/>
                <w:w w:val="93"/>
              </w:rPr>
              <w:t>Title of each class</w:t>
            </w:r>
          </w:p>
        </w:tc>
        <w:tc>
          <w:tcPr>
            <w:tcW w:w="2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Trading Symbol(s)</w:t>
            </w:r>
          </w:p>
        </w:tc>
        <w:tc>
          <w:tcPr>
            <w:tcW w:w="3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Name of each exchange on which registered</w:t>
            </w:r>
          </w:p>
        </w:tc>
      </w:tr>
      <w:tr>
        <w:trPr>
          <w:trHeight w:val="185"/>
        </w:trPr>
        <w:tc>
          <w:tcPr>
            <w:tcW w:w="3860" w:type="dxa"/>
            <w:vAlign w:val="bottom"/>
            <w:tcBorders>
              <w:left w:val="single" w:sz="8" w:color="auto"/>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5"/>
                <w:szCs w:val="15"/>
                <w:color w:val="auto"/>
                <w:w w:val="92"/>
              </w:rPr>
              <w:t>Common Stock, par value $0.01 per share</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8"/>
              </w:rPr>
              <w:t>LOCO</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The Nasdaq Stock Market LLC</w:t>
            </w:r>
          </w:p>
        </w:tc>
      </w:tr>
      <w:tr>
        <w:trPr>
          <w:trHeight w:val="165"/>
        </w:trPr>
        <w:tc>
          <w:tcPr>
            <w:tcW w:w="38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c>
          <w:tcPr>
            <w:tcW w:w="3860" w:type="dxa"/>
            <w:vAlign w:val="bottom"/>
          </w:tcPr>
          <w:p>
            <w:pPr>
              <w:spacing w:after="0"/>
              <w:rPr>
                <w:sz w:val="14"/>
                <w:szCs w:val="14"/>
                <w:color w:val="auto"/>
              </w:rPr>
            </w:pPr>
          </w:p>
        </w:tc>
      </w:tr>
    </w:tbl>
    <w:p>
      <w:pPr>
        <w:spacing w:after="0" w:line="145" w:lineRule="exact"/>
        <w:rPr>
          <w:sz w:val="24"/>
          <w:szCs w:val="24"/>
          <w:color w:val="auto"/>
        </w:rPr>
      </w:pPr>
    </w:p>
    <w:p>
      <w:pPr>
        <w:ind w:right="200" w:firstLine="479"/>
        <w:spacing w:after="0" w:line="198"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47" w:lineRule="exact"/>
        <w:rPr>
          <w:sz w:val="24"/>
          <w:szCs w:val="24"/>
          <w:color w:val="auto"/>
        </w:rPr>
      </w:pPr>
    </w:p>
    <w:p>
      <w:pPr>
        <w:ind w:right="480" w:firstLine="479"/>
        <w:spacing w:after="0" w:line="288"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300" w:hanging="218"/>
        <w:spacing w:after="0" w:line="173" w:lineRule="exact"/>
        <w:tabs>
          <w:tab w:leader="none" w:pos="300"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93" w:lineRule="exact"/>
        <w:rPr>
          <w:sz w:val="24"/>
          <w:szCs w:val="24"/>
          <w:color w:val="auto"/>
        </w:rPr>
      </w:pPr>
    </w:p>
    <w:p>
      <w:pPr>
        <w:jc w:val="both"/>
        <w:ind w:right="380" w:firstLine="479"/>
        <w:spacing w:after="0" w:line="282"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60" w:type="dxa"/>
        <w:tblCellMar>
          <w:top w:w="0" w:type="dxa"/>
          <w:left w:w="0" w:type="dxa"/>
          <w:bottom w:w="0" w:type="dxa"/>
          <w:right w:w="0" w:type="dxa"/>
        </w:tblCellMar>
      </w:tblPr>
      <w:tr>
        <w:trPr>
          <w:trHeight w:val="240"/>
        </w:trPr>
        <w:tc>
          <w:tcPr>
            <w:tcW w:w="17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040" w:type="dxa"/>
            <w:vAlign w:val="bottom"/>
          </w:tcPr>
          <w:p>
            <w:pPr>
              <w:ind w:left="260"/>
              <w:spacing w:after="0" w:line="151" w:lineRule="exact"/>
              <w:rPr>
                <w:sz w:val="20"/>
                <w:szCs w:val="20"/>
                <w:color w:val="auto"/>
              </w:rPr>
            </w:pPr>
            <w:r>
              <w:rPr>
                <w:rFonts w:ascii="MS PGothic" w:cs="MS PGothic" w:eastAsia="MS PGothic" w:hAnsi="MS PGothic"/>
                <w:sz w:val="15"/>
                <w:szCs w:val="15"/>
                <w:color w:val="auto"/>
              </w:rPr>
              <w:t>☐</w:t>
            </w:r>
          </w:p>
        </w:tc>
        <w:tc>
          <w:tcPr>
            <w:tcW w:w="4660" w:type="dxa"/>
            <w:vAlign w:val="bottom"/>
          </w:tcPr>
          <w:p>
            <w:pPr>
              <w:ind w:left="2640"/>
              <w:spacing w:after="0"/>
              <w:rPr>
                <w:sz w:val="20"/>
                <w:szCs w:val="20"/>
                <w:color w:val="auto"/>
              </w:rPr>
            </w:pPr>
            <w:r>
              <w:rPr>
                <w:rFonts w:ascii="Arial" w:cs="Arial" w:eastAsia="Arial" w:hAnsi="Arial"/>
                <w:sz w:val="15"/>
                <w:szCs w:val="15"/>
                <w:color w:val="auto"/>
              </w:rPr>
              <w:t>Accelerated Filer</w:t>
            </w:r>
          </w:p>
        </w:tc>
        <w:tc>
          <w:tcPr>
            <w:tcW w:w="420" w:type="dxa"/>
            <w:vAlign w:val="bottom"/>
          </w:tcPr>
          <w:p>
            <w:pPr>
              <w:ind w:left="2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69"/>
        </w:trPr>
        <w:tc>
          <w:tcPr>
            <w:tcW w:w="1720" w:type="dxa"/>
            <w:vAlign w:val="bottom"/>
          </w:tcPr>
          <w:p>
            <w:pPr>
              <w:spacing w:after="0"/>
              <w:rPr>
                <w:sz w:val="20"/>
                <w:szCs w:val="20"/>
                <w:color w:val="auto"/>
              </w:rPr>
            </w:pPr>
            <w:r>
              <w:rPr>
                <w:rFonts w:ascii="Arial" w:cs="Arial" w:eastAsia="Arial" w:hAnsi="Arial"/>
                <w:sz w:val="15"/>
                <w:szCs w:val="15"/>
                <w:color w:val="auto"/>
              </w:rPr>
              <w:t>Non-accelerated Filer</w:t>
            </w:r>
          </w:p>
        </w:tc>
        <w:tc>
          <w:tcPr>
            <w:tcW w:w="3040" w:type="dxa"/>
            <w:vAlign w:val="bottom"/>
          </w:tcPr>
          <w:p>
            <w:pPr>
              <w:ind w:left="260"/>
              <w:spacing w:after="0" w:line="151" w:lineRule="exact"/>
              <w:rPr>
                <w:sz w:val="20"/>
                <w:szCs w:val="20"/>
                <w:color w:val="auto"/>
              </w:rPr>
            </w:pPr>
            <w:r>
              <w:rPr>
                <w:rFonts w:ascii="MS PGothic" w:cs="MS PGothic" w:eastAsia="MS PGothic" w:hAnsi="MS PGothic"/>
                <w:sz w:val="15"/>
                <w:szCs w:val="15"/>
                <w:color w:val="auto"/>
              </w:rPr>
              <w:t>☐</w:t>
            </w:r>
          </w:p>
        </w:tc>
        <w:tc>
          <w:tcPr>
            <w:tcW w:w="4660" w:type="dxa"/>
            <w:vAlign w:val="bottom"/>
          </w:tcPr>
          <w:p>
            <w:pPr>
              <w:ind w:left="2640"/>
              <w:spacing w:after="0"/>
              <w:rPr>
                <w:sz w:val="20"/>
                <w:szCs w:val="20"/>
                <w:color w:val="auto"/>
              </w:rPr>
            </w:pPr>
            <w:r>
              <w:rPr>
                <w:rFonts w:ascii="Arial" w:cs="Arial" w:eastAsia="Arial" w:hAnsi="Arial"/>
                <w:sz w:val="15"/>
                <w:szCs w:val="15"/>
                <w:color w:val="auto"/>
              </w:rPr>
              <w:t>Smaller Reporting Company</w:t>
            </w:r>
          </w:p>
        </w:tc>
        <w:tc>
          <w:tcPr>
            <w:tcW w:w="420" w:type="dxa"/>
            <w:vAlign w:val="bottom"/>
          </w:tcPr>
          <w:p>
            <w:pPr>
              <w:ind w:left="2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69"/>
        </w:trPr>
        <w:tc>
          <w:tcPr>
            <w:tcW w:w="172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4660" w:type="dxa"/>
            <w:vAlign w:val="bottom"/>
          </w:tcPr>
          <w:p>
            <w:pPr>
              <w:ind w:left="2640"/>
              <w:spacing w:after="0"/>
              <w:rPr>
                <w:sz w:val="20"/>
                <w:szCs w:val="20"/>
                <w:color w:val="auto"/>
              </w:rPr>
            </w:pPr>
            <w:r>
              <w:rPr>
                <w:rFonts w:ascii="Arial" w:cs="Arial" w:eastAsia="Arial" w:hAnsi="Arial"/>
                <w:sz w:val="15"/>
                <w:szCs w:val="15"/>
                <w:color w:val="auto"/>
              </w:rPr>
              <w:t>Emerging Growth Company</w:t>
            </w:r>
          </w:p>
        </w:tc>
        <w:tc>
          <w:tcPr>
            <w:tcW w:w="420" w:type="dxa"/>
            <w:vAlign w:val="bottom"/>
          </w:tcPr>
          <w:p>
            <w:pPr>
              <w:ind w:left="28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58" w:lineRule="exact"/>
        <w:rPr>
          <w:sz w:val="24"/>
          <w:szCs w:val="24"/>
          <w:color w:val="auto"/>
        </w:rPr>
      </w:pPr>
    </w:p>
    <w:p>
      <w:pPr>
        <w:ind w:right="140" w:firstLine="479"/>
        <w:spacing w:after="0" w:line="202"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6" w:lineRule="exact"/>
        <w:rPr>
          <w:sz w:val="24"/>
          <w:szCs w:val="24"/>
          <w:color w:val="auto"/>
        </w:rPr>
      </w:pPr>
    </w:p>
    <w:p>
      <w:pPr>
        <w:ind w:left="480" w:right="1680"/>
        <w:spacing w:after="0" w:line="241"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As of October 29, 2021, there were 36,560,966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628650</wp:posOffset>
            </wp:positionV>
            <wp:extent cx="6506210" cy="24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06210" cy="241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60325</wp:posOffset>
            </wp:positionV>
            <wp:extent cx="65062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100965</wp:posOffset>
            </wp:positionV>
            <wp:extent cx="6506210" cy="32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06210" cy="32385"/>
                    </a:xfrm>
                    <a:prstGeom prst="rect">
                      <a:avLst/>
                    </a:prstGeom>
                    <a:noFill/>
                  </pic:spPr>
                </pic:pic>
              </a:graphicData>
            </a:graphic>
          </wp:anchor>
        </w:drawing>
      </w:r>
    </w:p>
    <w:p>
      <w:pPr>
        <w:sectPr>
          <w:pgSz w:w="11900" w:h="16838" w:orient="portrait"/>
          <w:cols w:equalWidth="0" w:num="1">
            <w:col w:w="10240"/>
          </w:cols>
          <w:pgMar w:left="820" w:top="639" w:right="839" w:bottom="1440" w:gutter="0" w:footer="0" w:header="0"/>
        </w:sectPr>
      </w:pPr>
    </w:p>
    <w:bookmarkStart w:id="1" w:name="page2"/>
    <w:bookmarkEnd w:id="1"/>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8460" w:type="dxa"/>
            <w:vAlign w:val="bottom"/>
            <w:gridSpan w:val="25"/>
          </w:tcPr>
          <w:p>
            <w:pPr>
              <w:spacing w:after="0"/>
              <w:rPr>
                <w:sz w:val="20"/>
                <w:szCs w:val="20"/>
                <w:color w:val="auto"/>
              </w:rPr>
            </w:pPr>
            <w:r>
              <w:rPr>
                <w:rFonts w:ascii="Arial" w:cs="Arial" w:eastAsia="Arial" w:hAnsi="Arial"/>
                <w:sz w:val="14"/>
                <w:szCs w:val="14"/>
                <w:b w:val="1"/>
                <w:bCs w:val="1"/>
                <w:color w:val="auto"/>
              </w:rPr>
              <w:t>Table of Contents</w:t>
            </w:r>
          </w:p>
        </w:tc>
        <w:tc>
          <w:tcPr>
            <w:tcW w:w="3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2800" w:type="dxa"/>
            <w:vAlign w:val="bottom"/>
            <w:tcBorders>
              <w:bottom w:val="single" w:sz="8" w:color="0000EE"/>
            </w:tcBorders>
            <w:gridSpan w:val="15"/>
          </w:tcPr>
          <w:p>
            <w:pPr>
              <w:spacing w:after="0"/>
              <w:rPr>
                <w:rFonts w:ascii="Arial" w:cs="Arial" w:eastAsia="Arial" w:hAnsi="Arial"/>
                <w:sz w:val="17"/>
                <w:szCs w:val="17"/>
                <w:color w:val="0000EE"/>
                <w:w w:val="97"/>
              </w:rPr>
            </w:pPr>
            <w:hyperlink w:anchor="page3">
              <w:r>
                <w:rPr>
                  <w:rFonts w:ascii="Arial" w:cs="Arial" w:eastAsia="Arial" w:hAnsi="Arial"/>
                  <w:sz w:val="17"/>
                  <w:szCs w:val="17"/>
                  <w:color w:val="0000EE"/>
                  <w:w w:val="97"/>
                </w:rPr>
                <w:t>PART I—FINANCIAL INFORMATION</w:t>
              </w:r>
            </w:hyperlink>
          </w:p>
        </w:tc>
        <w:tc>
          <w:tcPr>
            <w:tcW w:w="1180" w:type="dxa"/>
            <w:vAlign w:val="bottom"/>
            <w:vMerge w:val="restart"/>
          </w:tcPr>
          <w:p>
            <w:pPr>
              <w:spacing w:after="0"/>
              <w:rPr>
                <w:sz w:val="24"/>
                <w:szCs w:val="24"/>
                <w:color w:val="auto"/>
              </w:rPr>
            </w:pPr>
          </w:p>
        </w:tc>
        <w:tc>
          <w:tcPr>
            <w:tcW w:w="440" w:type="dxa"/>
            <w:vAlign w:val="bottom"/>
            <w:vMerge w:val="restart"/>
          </w:tcPr>
          <w:p>
            <w:pPr>
              <w:spacing w:after="0"/>
              <w:rPr>
                <w:sz w:val="24"/>
                <w:szCs w:val="24"/>
                <w:color w:val="auto"/>
              </w:rPr>
            </w:pPr>
          </w:p>
        </w:tc>
        <w:tc>
          <w:tcPr>
            <w:tcW w:w="26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60" w:type="dxa"/>
            <w:vAlign w:val="bottom"/>
            <w:vMerge w:val="restart"/>
          </w:tcPr>
          <w:p>
            <w:pPr>
              <w:spacing w:after="0"/>
              <w:rPr>
                <w:sz w:val="24"/>
                <w:szCs w:val="24"/>
                <w:color w:val="auto"/>
              </w:rPr>
            </w:pPr>
          </w:p>
        </w:tc>
        <w:tc>
          <w:tcPr>
            <w:tcW w:w="56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520" w:type="dxa"/>
            <w:vAlign w:val="bottom"/>
            <w:vMerge w:val="restart"/>
          </w:tcPr>
          <w:p>
            <w:pPr>
              <w:spacing w:after="0"/>
              <w:rPr>
                <w:sz w:val="24"/>
                <w:szCs w:val="24"/>
                <w:color w:val="auto"/>
              </w:rPr>
            </w:pPr>
          </w:p>
        </w:tc>
        <w:tc>
          <w:tcPr>
            <w:tcW w:w="1780" w:type="dxa"/>
            <w:vAlign w:val="bottom"/>
            <w:vMerge w:val="restart"/>
          </w:tcPr>
          <w:p>
            <w:pPr>
              <w:spacing w:after="0"/>
              <w:rPr>
                <w:sz w:val="24"/>
                <w:szCs w:val="2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980" w:type="dxa"/>
            <w:vAlign w:val="bottom"/>
            <w:gridSpan w:val="9"/>
            <w:vMerge w:val="restart"/>
          </w:tcPr>
          <w:p>
            <w:pPr>
              <w:spacing w:after="0"/>
              <w:rPr>
                <w:rFonts w:ascii="Arial" w:cs="Arial" w:eastAsia="Arial" w:hAnsi="Arial"/>
                <w:sz w:val="17"/>
                <w:szCs w:val="17"/>
                <w:color w:val="0000EE"/>
                <w:w w:val="89"/>
              </w:rPr>
            </w:pPr>
            <w:hyperlink w:anchor="page3">
              <w:r>
                <w:rPr>
                  <w:rFonts w:ascii="Arial" w:cs="Arial" w:eastAsia="Arial" w:hAnsi="Arial"/>
                  <w:sz w:val="17"/>
                  <w:szCs w:val="17"/>
                  <w:color w:val="0000EE"/>
                  <w:w w:val="89"/>
                </w:rPr>
                <w:t>Item 1. Financial Statements.</w:t>
              </w:r>
            </w:hyperlink>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1780" w:type="dxa"/>
            <w:vAlign w:val="bottom"/>
            <w:vMerge w:val="continue"/>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980" w:type="dxa"/>
            <w:vAlign w:val="bottom"/>
            <w:tcBorders>
              <w:bottom w:val="single" w:sz="8" w:color="0000EE"/>
            </w:tcBorders>
            <w:gridSpan w:val="9"/>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spacing w:after="0"/>
              <w:rPr>
                <w:sz w:val="14"/>
                <w:szCs w:val="14"/>
                <w:color w:val="auto"/>
              </w:rPr>
            </w:pPr>
          </w:p>
        </w:tc>
        <w:tc>
          <w:tcPr>
            <w:tcW w:w="440" w:type="dxa"/>
            <w:vAlign w:val="bottom"/>
            <w:vMerge w:val="restart"/>
          </w:tcPr>
          <w:p>
            <w:pPr>
              <w:spacing w:after="0"/>
              <w:rPr>
                <w:sz w:val="14"/>
                <w:szCs w:val="14"/>
                <w:color w:val="auto"/>
              </w:rPr>
            </w:pPr>
          </w:p>
        </w:tc>
        <w:tc>
          <w:tcPr>
            <w:tcW w:w="2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60" w:type="dxa"/>
            <w:vAlign w:val="bottom"/>
            <w:vMerge w:val="restart"/>
          </w:tcPr>
          <w:p>
            <w:pPr>
              <w:spacing w:after="0"/>
              <w:rPr>
                <w:sz w:val="14"/>
                <w:szCs w:val="14"/>
                <w:color w:val="auto"/>
              </w:rPr>
            </w:pPr>
          </w:p>
        </w:tc>
        <w:tc>
          <w:tcPr>
            <w:tcW w:w="560" w:type="dxa"/>
            <w:vAlign w:val="bottom"/>
            <w:vMerge w:val="restart"/>
          </w:tcPr>
          <w:p>
            <w:pPr>
              <w:spacing w:after="0"/>
              <w:rPr>
                <w:sz w:val="14"/>
                <w:szCs w:val="14"/>
                <w:color w:val="auto"/>
              </w:rPr>
            </w:pPr>
          </w:p>
        </w:tc>
        <w:tc>
          <w:tcPr>
            <w:tcW w:w="620" w:type="dxa"/>
            <w:vAlign w:val="bottom"/>
            <w:vMerge w:val="restart"/>
          </w:tcPr>
          <w:p>
            <w:pPr>
              <w:spacing w:after="0"/>
              <w:rPr>
                <w:sz w:val="14"/>
                <w:szCs w:val="14"/>
                <w:color w:val="auto"/>
              </w:rPr>
            </w:pPr>
          </w:p>
        </w:tc>
        <w:tc>
          <w:tcPr>
            <w:tcW w:w="520" w:type="dxa"/>
            <w:vAlign w:val="bottom"/>
            <w:vMerge w:val="restart"/>
          </w:tcPr>
          <w:p>
            <w:pPr>
              <w:spacing w:after="0"/>
              <w:rPr>
                <w:sz w:val="14"/>
                <w:szCs w:val="14"/>
                <w:color w:val="auto"/>
              </w:rPr>
            </w:pPr>
          </w:p>
        </w:tc>
        <w:tc>
          <w:tcPr>
            <w:tcW w:w="1780" w:type="dxa"/>
            <w:vAlign w:val="bottom"/>
            <w:vMerge w:val="restart"/>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56"/>
        </w:trPr>
        <w:tc>
          <w:tcPr>
            <w:tcW w:w="2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3640" w:type="dxa"/>
            <w:vAlign w:val="bottom"/>
            <w:gridSpan w:val="14"/>
            <w:vMerge w:val="restart"/>
          </w:tcPr>
          <w:p>
            <w:pPr>
              <w:spacing w:after="0"/>
              <w:rPr>
                <w:rFonts w:ascii="Arial" w:cs="Arial" w:eastAsia="Arial" w:hAnsi="Arial"/>
                <w:sz w:val="17"/>
                <w:szCs w:val="17"/>
                <w:color w:val="0000EE"/>
                <w:w w:val="88"/>
              </w:rPr>
            </w:pPr>
            <w:hyperlink w:anchor="page3">
              <w:r>
                <w:rPr>
                  <w:rFonts w:ascii="Arial" w:cs="Arial" w:eastAsia="Arial" w:hAnsi="Arial"/>
                  <w:sz w:val="17"/>
                  <w:szCs w:val="17"/>
                  <w:color w:val="0000EE"/>
                  <w:w w:val="88"/>
                </w:rPr>
                <w:t>Condensed Consolidated Balance Sheets (Unaudited)</w:t>
              </w:r>
            </w:hyperlink>
          </w:p>
        </w:tc>
        <w:tc>
          <w:tcPr>
            <w:tcW w:w="44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1780" w:type="dxa"/>
            <w:vAlign w:val="bottom"/>
            <w:vMerge w:val="continue"/>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40" w:type="dxa"/>
            <w:vAlign w:val="bottom"/>
            <w:tcBorders>
              <w:bottom w:val="single" w:sz="8" w:color="0000EE"/>
            </w:tcBorders>
            <w:gridSpan w:val="14"/>
            <w:vMerge w:val="continue"/>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60" w:type="dxa"/>
            <w:vAlign w:val="bottom"/>
            <w:vMerge w:val="restart"/>
          </w:tcPr>
          <w:p>
            <w:pPr>
              <w:spacing w:after="0"/>
              <w:rPr>
                <w:sz w:val="14"/>
                <w:szCs w:val="14"/>
                <w:color w:val="auto"/>
              </w:rPr>
            </w:pPr>
          </w:p>
        </w:tc>
        <w:tc>
          <w:tcPr>
            <w:tcW w:w="560" w:type="dxa"/>
            <w:vAlign w:val="bottom"/>
            <w:vMerge w:val="restart"/>
          </w:tcPr>
          <w:p>
            <w:pPr>
              <w:spacing w:after="0"/>
              <w:rPr>
                <w:sz w:val="14"/>
                <w:szCs w:val="14"/>
                <w:color w:val="auto"/>
              </w:rPr>
            </w:pPr>
          </w:p>
        </w:tc>
        <w:tc>
          <w:tcPr>
            <w:tcW w:w="620" w:type="dxa"/>
            <w:vAlign w:val="bottom"/>
            <w:vMerge w:val="restart"/>
          </w:tcPr>
          <w:p>
            <w:pPr>
              <w:spacing w:after="0"/>
              <w:rPr>
                <w:sz w:val="14"/>
                <w:szCs w:val="14"/>
                <w:color w:val="auto"/>
              </w:rPr>
            </w:pPr>
          </w:p>
        </w:tc>
        <w:tc>
          <w:tcPr>
            <w:tcW w:w="520" w:type="dxa"/>
            <w:vAlign w:val="bottom"/>
            <w:vMerge w:val="restart"/>
          </w:tcPr>
          <w:p>
            <w:pPr>
              <w:spacing w:after="0"/>
              <w:rPr>
                <w:sz w:val="14"/>
                <w:szCs w:val="14"/>
                <w:color w:val="auto"/>
              </w:rPr>
            </w:pPr>
          </w:p>
        </w:tc>
        <w:tc>
          <w:tcPr>
            <w:tcW w:w="1780" w:type="dxa"/>
            <w:vAlign w:val="bottom"/>
            <w:vMerge w:val="restart"/>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80" w:type="dxa"/>
            <w:vAlign w:val="bottom"/>
            <w:gridSpan w:val="15"/>
            <w:vMerge w:val="restart"/>
          </w:tcPr>
          <w:p>
            <w:pPr>
              <w:spacing w:after="0"/>
              <w:rPr>
                <w:rFonts w:ascii="Arial" w:cs="Arial" w:eastAsia="Arial" w:hAnsi="Arial"/>
                <w:sz w:val="17"/>
                <w:szCs w:val="17"/>
                <w:color w:val="0000EE"/>
                <w:w w:val="89"/>
              </w:rPr>
            </w:pPr>
            <w:hyperlink w:anchor="page4">
              <w:r>
                <w:rPr>
                  <w:rFonts w:ascii="Arial" w:cs="Arial" w:eastAsia="Arial" w:hAnsi="Arial"/>
                  <w:sz w:val="17"/>
                  <w:szCs w:val="17"/>
                  <w:color w:val="0000EE"/>
                  <w:w w:val="89"/>
                </w:rPr>
                <w:t>Condensed Consolidated Statements of Income (Unaudited)</w:t>
              </w:r>
            </w:hyperlink>
          </w:p>
        </w:tc>
        <w:tc>
          <w:tcPr>
            <w:tcW w:w="2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1780" w:type="dxa"/>
            <w:vAlign w:val="bottom"/>
            <w:vMerge w:val="continue"/>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80" w:type="dxa"/>
            <w:vAlign w:val="bottom"/>
            <w:tcBorders>
              <w:bottom w:val="single" w:sz="8" w:color="0000EE"/>
            </w:tcBorders>
            <w:gridSpan w:val="15"/>
            <w:vMerge w:val="continue"/>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vMerge w:val="restart"/>
          </w:tcPr>
          <w:p>
            <w:pPr>
              <w:spacing w:after="0"/>
              <w:rPr>
                <w:sz w:val="14"/>
                <w:szCs w:val="14"/>
                <w:color w:val="auto"/>
              </w:rPr>
            </w:pPr>
          </w:p>
        </w:tc>
        <w:tc>
          <w:tcPr>
            <w:tcW w:w="520" w:type="dxa"/>
            <w:vAlign w:val="bottom"/>
            <w:vMerge w:val="restart"/>
          </w:tcPr>
          <w:p>
            <w:pPr>
              <w:spacing w:after="0"/>
              <w:rPr>
                <w:sz w:val="14"/>
                <w:szCs w:val="14"/>
                <w:color w:val="auto"/>
              </w:rPr>
            </w:pPr>
          </w:p>
        </w:tc>
        <w:tc>
          <w:tcPr>
            <w:tcW w:w="1780" w:type="dxa"/>
            <w:vAlign w:val="bottom"/>
            <w:vMerge w:val="restart"/>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0" w:type="dxa"/>
            <w:vAlign w:val="bottom"/>
            <w:gridSpan w:val="20"/>
            <w:vMerge w:val="restart"/>
          </w:tcPr>
          <w:p>
            <w:pPr>
              <w:spacing w:after="0"/>
              <w:rPr>
                <w:rFonts w:ascii="Arial" w:cs="Arial" w:eastAsia="Arial" w:hAnsi="Arial"/>
                <w:sz w:val="17"/>
                <w:szCs w:val="17"/>
                <w:color w:val="0000EE"/>
                <w:w w:val="89"/>
              </w:rPr>
            </w:pPr>
            <w:hyperlink w:anchor="page5">
              <w:r>
                <w:rPr>
                  <w:rFonts w:ascii="Arial" w:cs="Arial" w:eastAsia="Arial" w:hAnsi="Arial"/>
                  <w:sz w:val="17"/>
                  <w:szCs w:val="17"/>
                  <w:color w:val="0000EE"/>
                  <w:w w:val="89"/>
                </w:rPr>
                <w:t>Condensed Consolidated Statements of Comprehensive Income (Unaudited)</w:t>
              </w:r>
            </w:hyperlink>
          </w:p>
        </w:tc>
        <w:tc>
          <w:tcPr>
            <w:tcW w:w="62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1780" w:type="dxa"/>
            <w:vAlign w:val="bottom"/>
            <w:vMerge w:val="continue"/>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0" w:type="dxa"/>
            <w:vAlign w:val="bottom"/>
            <w:tcBorders>
              <w:bottom w:val="single" w:sz="8" w:color="0000EE"/>
            </w:tcBorders>
            <w:gridSpan w:val="20"/>
            <w:vMerge w:val="continue"/>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vMerge w:val="restart"/>
          </w:tcPr>
          <w:p>
            <w:pPr>
              <w:spacing w:after="0"/>
              <w:rPr>
                <w:sz w:val="14"/>
                <w:szCs w:val="14"/>
                <w:color w:val="auto"/>
              </w:rPr>
            </w:pPr>
          </w:p>
        </w:tc>
        <w:tc>
          <w:tcPr>
            <w:tcW w:w="1780" w:type="dxa"/>
            <w:vAlign w:val="bottom"/>
            <w:vMerge w:val="restart"/>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20" w:type="dxa"/>
            <w:vAlign w:val="bottom"/>
            <w:gridSpan w:val="21"/>
            <w:vMerge w:val="restart"/>
          </w:tcPr>
          <w:p>
            <w:pPr>
              <w:spacing w:after="0"/>
              <w:rPr>
                <w:rFonts w:ascii="Arial" w:cs="Arial" w:eastAsia="Arial" w:hAnsi="Arial"/>
                <w:sz w:val="17"/>
                <w:szCs w:val="17"/>
                <w:color w:val="0000EE"/>
                <w:w w:val="90"/>
              </w:rPr>
            </w:pPr>
            <w:hyperlink w:anchor="page6">
              <w:r>
                <w:rPr>
                  <w:rFonts w:ascii="Arial" w:cs="Arial" w:eastAsia="Arial" w:hAnsi="Arial"/>
                  <w:sz w:val="17"/>
                  <w:szCs w:val="17"/>
                  <w:color w:val="0000EE"/>
                  <w:w w:val="90"/>
                </w:rPr>
                <w:t>Condensed Consolidated Statements of Changes in Stockholders’ Equity (Unaudited)</w:t>
              </w:r>
            </w:hyperlink>
          </w:p>
        </w:tc>
        <w:tc>
          <w:tcPr>
            <w:tcW w:w="520" w:type="dxa"/>
            <w:vAlign w:val="bottom"/>
            <w:vMerge w:val="continue"/>
          </w:tcPr>
          <w:p>
            <w:pPr>
              <w:spacing w:after="0"/>
              <w:rPr>
                <w:sz w:val="4"/>
                <w:szCs w:val="4"/>
                <w:color w:val="auto"/>
              </w:rPr>
            </w:pPr>
          </w:p>
        </w:tc>
        <w:tc>
          <w:tcPr>
            <w:tcW w:w="1780" w:type="dxa"/>
            <w:vAlign w:val="bottom"/>
            <w:vMerge w:val="continue"/>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20" w:type="dxa"/>
            <w:vAlign w:val="bottom"/>
            <w:tcBorders>
              <w:bottom w:val="single" w:sz="8" w:color="0000EE"/>
            </w:tcBorders>
            <w:gridSpan w:val="21"/>
            <w:vMerge w:val="continue"/>
          </w:tcPr>
          <w:p>
            <w:pPr>
              <w:spacing w:after="0"/>
              <w:rPr>
                <w:sz w:val="14"/>
                <w:szCs w:val="14"/>
                <w:color w:val="auto"/>
              </w:rPr>
            </w:pPr>
          </w:p>
        </w:tc>
        <w:tc>
          <w:tcPr>
            <w:tcW w:w="520" w:type="dxa"/>
            <w:vAlign w:val="bottom"/>
            <w:vMerge w:val="restart"/>
          </w:tcPr>
          <w:p>
            <w:pPr>
              <w:spacing w:after="0"/>
              <w:rPr>
                <w:sz w:val="14"/>
                <w:szCs w:val="14"/>
                <w:color w:val="auto"/>
              </w:rPr>
            </w:pPr>
          </w:p>
        </w:tc>
        <w:tc>
          <w:tcPr>
            <w:tcW w:w="1780" w:type="dxa"/>
            <w:vAlign w:val="bottom"/>
            <w:vMerge w:val="restart"/>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380" w:type="dxa"/>
            <w:vAlign w:val="bottom"/>
            <w:gridSpan w:val="18"/>
            <w:vMerge w:val="restart"/>
          </w:tcPr>
          <w:p>
            <w:pPr>
              <w:spacing w:after="0"/>
              <w:rPr>
                <w:rFonts w:ascii="Arial" w:cs="Arial" w:eastAsia="Arial" w:hAnsi="Arial"/>
                <w:sz w:val="17"/>
                <w:szCs w:val="17"/>
                <w:color w:val="0000EE"/>
                <w:w w:val="89"/>
              </w:rPr>
            </w:pPr>
            <w:hyperlink w:anchor="page8">
              <w:r>
                <w:rPr>
                  <w:rFonts w:ascii="Arial" w:cs="Arial" w:eastAsia="Arial" w:hAnsi="Arial"/>
                  <w:sz w:val="17"/>
                  <w:szCs w:val="17"/>
                  <w:color w:val="0000EE"/>
                  <w:w w:val="89"/>
                </w:rPr>
                <w:t>Condensed Consolidated Statements of Cash Flows (Unaudited)</w:t>
              </w:r>
            </w:hyperlink>
          </w:p>
        </w:tc>
        <w:tc>
          <w:tcPr>
            <w:tcW w:w="260" w:type="dxa"/>
            <w:vAlign w:val="bottom"/>
          </w:tcPr>
          <w:p>
            <w:pPr>
              <w:spacing w:after="0"/>
              <w:rPr>
                <w:sz w:val="4"/>
                <w:szCs w:val="4"/>
                <w:color w:val="auto"/>
              </w:rPr>
            </w:pPr>
          </w:p>
        </w:tc>
        <w:tc>
          <w:tcPr>
            <w:tcW w:w="1180" w:type="dxa"/>
            <w:vAlign w:val="bottom"/>
            <w:gridSpan w:val="2"/>
          </w:tcPr>
          <w:p>
            <w:pPr>
              <w:spacing w:after="0"/>
              <w:rPr>
                <w:sz w:val="4"/>
                <w:szCs w:val="4"/>
                <w:color w:val="auto"/>
              </w:rPr>
            </w:pPr>
          </w:p>
        </w:tc>
        <w:tc>
          <w:tcPr>
            <w:tcW w:w="520" w:type="dxa"/>
            <w:vAlign w:val="bottom"/>
            <w:vMerge w:val="continue"/>
          </w:tcPr>
          <w:p>
            <w:pPr>
              <w:spacing w:after="0"/>
              <w:rPr>
                <w:sz w:val="4"/>
                <w:szCs w:val="4"/>
                <w:color w:val="auto"/>
              </w:rPr>
            </w:pPr>
          </w:p>
        </w:tc>
        <w:tc>
          <w:tcPr>
            <w:tcW w:w="1780" w:type="dxa"/>
            <w:vAlign w:val="bottom"/>
            <w:vMerge w:val="continue"/>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380" w:type="dxa"/>
            <w:vAlign w:val="bottom"/>
            <w:tcBorders>
              <w:bottom w:val="single" w:sz="8" w:color="0000EE"/>
            </w:tcBorders>
            <w:gridSpan w:val="18"/>
            <w:vMerge w:val="continue"/>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vMerge w:val="restart"/>
          </w:tcPr>
          <w:p>
            <w:pPr>
              <w:spacing w:after="0"/>
              <w:rPr>
                <w:sz w:val="14"/>
                <w:szCs w:val="14"/>
                <w:color w:val="auto"/>
              </w:rPr>
            </w:pPr>
          </w:p>
        </w:tc>
        <w:tc>
          <w:tcPr>
            <w:tcW w:w="1780" w:type="dxa"/>
            <w:vAlign w:val="bottom"/>
            <w:vMerge w:val="restart"/>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20" w:type="dxa"/>
            <w:vAlign w:val="bottom"/>
            <w:gridSpan w:val="18"/>
            <w:vMerge w:val="restart"/>
          </w:tcPr>
          <w:p>
            <w:pPr>
              <w:spacing w:after="0"/>
              <w:rPr>
                <w:rFonts w:ascii="Arial" w:cs="Arial" w:eastAsia="Arial" w:hAnsi="Arial"/>
                <w:sz w:val="17"/>
                <w:szCs w:val="17"/>
                <w:color w:val="0000EE"/>
                <w:w w:val="89"/>
              </w:rPr>
            </w:pPr>
            <w:hyperlink w:anchor="page9">
              <w:r>
                <w:rPr>
                  <w:rFonts w:ascii="Arial" w:cs="Arial" w:eastAsia="Arial" w:hAnsi="Arial"/>
                  <w:sz w:val="17"/>
                  <w:szCs w:val="17"/>
                  <w:color w:val="0000EE"/>
                  <w:w w:val="89"/>
                </w:rPr>
                <w:t>Notes to Condensed Consolidated Financial Statements (Unaudited)</w:t>
              </w:r>
            </w:hyperlink>
          </w:p>
        </w:tc>
        <w:tc>
          <w:tcPr>
            <w:tcW w:w="1700" w:type="dxa"/>
            <w:vAlign w:val="bottom"/>
            <w:gridSpan w:val="3"/>
            <w:vMerge w:val="continue"/>
          </w:tcPr>
          <w:p>
            <w:pPr>
              <w:spacing w:after="0"/>
              <w:rPr>
                <w:sz w:val="4"/>
                <w:szCs w:val="4"/>
                <w:color w:val="auto"/>
              </w:rPr>
            </w:pPr>
          </w:p>
        </w:tc>
        <w:tc>
          <w:tcPr>
            <w:tcW w:w="1780" w:type="dxa"/>
            <w:vAlign w:val="bottom"/>
            <w:vMerge w:val="continue"/>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tcBorders>
              <w:bottom w:val="single" w:sz="8" w:color="0000EE"/>
            </w:tcBorders>
            <w:gridSpan w:val="18"/>
            <w:vMerge w:val="continue"/>
          </w:tcPr>
          <w:p>
            <w:pPr>
              <w:spacing w:after="0"/>
              <w:rPr>
                <w:sz w:val="14"/>
                <w:szCs w:val="14"/>
                <w:color w:val="auto"/>
              </w:rPr>
            </w:pPr>
          </w:p>
        </w:tc>
        <w:tc>
          <w:tcPr>
            <w:tcW w:w="1700" w:type="dxa"/>
            <w:vAlign w:val="bottom"/>
            <w:gridSpan w:val="3"/>
          </w:tcPr>
          <w:p>
            <w:pPr>
              <w:spacing w:after="0"/>
              <w:rPr>
                <w:sz w:val="14"/>
                <w:szCs w:val="14"/>
                <w:color w:val="auto"/>
              </w:rPr>
            </w:pPr>
          </w:p>
        </w:tc>
        <w:tc>
          <w:tcPr>
            <w:tcW w:w="1780" w:type="dxa"/>
            <w:vAlign w:val="bottom"/>
            <w:vMerge w:val="restart"/>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56"/>
        </w:trPr>
        <w:tc>
          <w:tcPr>
            <w:tcW w:w="6680" w:type="dxa"/>
            <w:vAlign w:val="bottom"/>
            <w:gridSpan w:val="24"/>
            <w:vMerge w:val="restart"/>
          </w:tcPr>
          <w:p>
            <w:pPr>
              <w:spacing w:after="0"/>
              <w:rPr>
                <w:rFonts w:ascii="Arial" w:cs="Arial" w:eastAsia="Arial" w:hAnsi="Arial"/>
                <w:sz w:val="17"/>
                <w:szCs w:val="17"/>
                <w:color w:val="0000EE"/>
                <w:w w:val="91"/>
              </w:rPr>
            </w:pPr>
            <w:hyperlink w:anchor="page30">
              <w:r>
                <w:rPr>
                  <w:rFonts w:ascii="Arial" w:cs="Arial" w:eastAsia="Arial" w:hAnsi="Arial"/>
                  <w:sz w:val="17"/>
                  <w:szCs w:val="17"/>
                  <w:color w:val="0000EE"/>
                  <w:w w:val="91"/>
                </w:rPr>
                <w:t>Item 2. Management’s Discussion and Analysis of Financial Condition and Results of Operations.</w:t>
              </w:r>
            </w:hyperlink>
          </w:p>
        </w:tc>
        <w:tc>
          <w:tcPr>
            <w:tcW w:w="1780" w:type="dxa"/>
            <w:vAlign w:val="bottom"/>
            <w:vMerge w:val="continue"/>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6680" w:type="dxa"/>
            <w:vAlign w:val="bottom"/>
            <w:tcBorders>
              <w:bottom w:val="single" w:sz="8" w:color="0000EE"/>
            </w:tcBorders>
            <w:gridSpan w:val="24"/>
            <w:vMerge w:val="continue"/>
          </w:tcPr>
          <w:p>
            <w:pPr>
              <w:spacing w:after="0"/>
              <w:rPr>
                <w:sz w:val="14"/>
                <w:szCs w:val="14"/>
                <w:color w:val="auto"/>
              </w:rPr>
            </w:pPr>
          </w:p>
        </w:tc>
        <w:tc>
          <w:tcPr>
            <w:tcW w:w="1780" w:type="dxa"/>
            <w:vAlign w:val="bottom"/>
            <w:vMerge w:val="restart"/>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56"/>
        </w:trPr>
        <w:tc>
          <w:tcPr>
            <w:tcW w:w="4700" w:type="dxa"/>
            <w:vAlign w:val="bottom"/>
            <w:gridSpan w:val="19"/>
            <w:vMerge w:val="restart"/>
          </w:tcPr>
          <w:p>
            <w:pPr>
              <w:spacing w:after="0"/>
              <w:rPr>
                <w:rFonts w:ascii="Arial" w:cs="Arial" w:eastAsia="Arial" w:hAnsi="Arial"/>
                <w:sz w:val="17"/>
                <w:szCs w:val="17"/>
                <w:color w:val="0000EE"/>
                <w:w w:val="92"/>
              </w:rPr>
            </w:pPr>
            <w:hyperlink w:anchor="page47">
              <w:r>
                <w:rPr>
                  <w:rFonts w:ascii="Arial" w:cs="Arial" w:eastAsia="Arial" w:hAnsi="Arial"/>
                  <w:sz w:val="17"/>
                  <w:szCs w:val="17"/>
                  <w:color w:val="0000EE"/>
                  <w:w w:val="92"/>
                </w:rPr>
                <w:t>Item 3. Quantitative and Qualitative Disclosures About Market Risk.</w:t>
              </w:r>
            </w:hyperlink>
          </w:p>
        </w:tc>
        <w:tc>
          <w:tcPr>
            <w:tcW w:w="1980" w:type="dxa"/>
            <w:vAlign w:val="bottom"/>
            <w:gridSpan w:val="5"/>
          </w:tcPr>
          <w:p>
            <w:pPr>
              <w:spacing w:after="0"/>
              <w:rPr>
                <w:sz w:val="4"/>
                <w:szCs w:val="4"/>
                <w:color w:val="auto"/>
              </w:rPr>
            </w:pPr>
          </w:p>
        </w:tc>
        <w:tc>
          <w:tcPr>
            <w:tcW w:w="1780" w:type="dxa"/>
            <w:vAlign w:val="bottom"/>
            <w:vMerge w:val="continue"/>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4700" w:type="dxa"/>
            <w:vAlign w:val="bottom"/>
            <w:tcBorders>
              <w:bottom w:val="single" w:sz="8" w:color="0000EE"/>
            </w:tcBorders>
            <w:gridSpan w:val="19"/>
            <w:vMerge w:val="continue"/>
          </w:tcPr>
          <w:p>
            <w:pPr>
              <w:spacing w:after="0"/>
              <w:rPr>
                <w:sz w:val="14"/>
                <w:szCs w:val="14"/>
                <w:color w:val="auto"/>
              </w:rPr>
            </w:pPr>
          </w:p>
        </w:tc>
        <w:tc>
          <w:tcPr>
            <w:tcW w:w="3760" w:type="dxa"/>
            <w:vAlign w:val="bottom"/>
            <w:gridSpan w:val="6"/>
            <w:vMerge w:val="restart"/>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56"/>
        </w:trPr>
        <w:tc>
          <w:tcPr>
            <w:tcW w:w="2260" w:type="dxa"/>
            <w:vAlign w:val="bottom"/>
            <w:gridSpan w:val="12"/>
            <w:vMerge w:val="restart"/>
          </w:tcPr>
          <w:p>
            <w:pPr>
              <w:spacing w:after="0"/>
              <w:rPr>
                <w:rFonts w:ascii="Arial" w:cs="Arial" w:eastAsia="Arial" w:hAnsi="Arial"/>
                <w:sz w:val="17"/>
                <w:szCs w:val="17"/>
                <w:color w:val="0000EE"/>
                <w:w w:val="89"/>
              </w:rPr>
            </w:pPr>
            <w:hyperlink w:anchor="page47">
              <w:r>
                <w:rPr>
                  <w:rFonts w:ascii="Arial" w:cs="Arial" w:eastAsia="Arial" w:hAnsi="Arial"/>
                  <w:sz w:val="17"/>
                  <w:szCs w:val="17"/>
                  <w:color w:val="0000EE"/>
                  <w:w w:val="89"/>
                </w:rPr>
                <w:t>Item 4. Controls and Procedures.</w:t>
              </w:r>
            </w:hyperlink>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920" w:type="dxa"/>
            <w:vAlign w:val="bottom"/>
            <w:gridSpan w:val="4"/>
          </w:tcPr>
          <w:p>
            <w:pPr>
              <w:spacing w:after="0"/>
              <w:rPr>
                <w:sz w:val="4"/>
                <w:szCs w:val="4"/>
                <w:color w:val="auto"/>
              </w:rPr>
            </w:pPr>
          </w:p>
        </w:tc>
        <w:tc>
          <w:tcPr>
            <w:tcW w:w="20" w:type="dxa"/>
            <w:vAlign w:val="bottom"/>
          </w:tcPr>
          <w:p>
            <w:pPr>
              <w:spacing w:after="0"/>
              <w:rPr>
                <w:sz w:val="4"/>
                <w:szCs w:val="4"/>
                <w:color w:val="auto"/>
              </w:rPr>
            </w:pPr>
          </w:p>
        </w:tc>
        <w:tc>
          <w:tcPr>
            <w:tcW w:w="3760" w:type="dxa"/>
            <w:vAlign w:val="bottom"/>
            <w:gridSpan w:val="6"/>
            <w:vMerge w:val="continue"/>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260" w:type="dxa"/>
            <w:vAlign w:val="bottom"/>
            <w:tcBorders>
              <w:bottom w:val="single" w:sz="8" w:color="0000EE"/>
            </w:tcBorders>
            <w:gridSpan w:val="12"/>
            <w:vMerge w:val="continue"/>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restart"/>
          </w:tcPr>
          <w:p>
            <w:pPr>
              <w:spacing w:after="0"/>
              <w:rPr>
                <w:sz w:val="14"/>
                <w:szCs w:val="14"/>
                <w:color w:val="auto"/>
              </w:rPr>
            </w:pPr>
          </w:p>
        </w:tc>
        <w:tc>
          <w:tcPr>
            <w:tcW w:w="1920" w:type="dxa"/>
            <w:vAlign w:val="bottom"/>
            <w:gridSpan w:val="4"/>
            <w:vMerge w:val="restart"/>
          </w:tcPr>
          <w:p>
            <w:pPr>
              <w:spacing w:after="0"/>
              <w:rPr>
                <w:sz w:val="14"/>
                <w:szCs w:val="14"/>
                <w:color w:val="auto"/>
              </w:rPr>
            </w:pPr>
          </w:p>
        </w:tc>
        <w:tc>
          <w:tcPr>
            <w:tcW w:w="3780" w:type="dxa"/>
            <w:vAlign w:val="bottom"/>
            <w:gridSpan w:val="7"/>
            <w:vMerge w:val="restart"/>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56"/>
        </w:trPr>
        <w:tc>
          <w:tcPr>
            <w:tcW w:w="2520" w:type="dxa"/>
            <w:vAlign w:val="bottom"/>
            <w:gridSpan w:val="13"/>
            <w:vMerge w:val="restart"/>
          </w:tcPr>
          <w:p>
            <w:pPr>
              <w:spacing w:after="0"/>
              <w:rPr>
                <w:rFonts w:ascii="Arial" w:cs="Arial" w:eastAsia="Arial" w:hAnsi="Arial"/>
                <w:sz w:val="17"/>
                <w:szCs w:val="17"/>
                <w:color w:val="0000EE"/>
                <w:w w:val="96"/>
              </w:rPr>
            </w:pPr>
            <w:hyperlink w:anchor="page49">
              <w:r>
                <w:rPr>
                  <w:rFonts w:ascii="Arial" w:cs="Arial" w:eastAsia="Arial" w:hAnsi="Arial"/>
                  <w:sz w:val="17"/>
                  <w:szCs w:val="17"/>
                  <w:color w:val="0000EE"/>
                  <w:w w:val="96"/>
                </w:rPr>
                <w:t>PART II—OTHER INFORMATION</w:t>
              </w:r>
            </w:hyperlink>
          </w:p>
        </w:tc>
        <w:tc>
          <w:tcPr>
            <w:tcW w:w="240" w:type="dxa"/>
            <w:vAlign w:val="bottom"/>
            <w:vMerge w:val="continue"/>
          </w:tcPr>
          <w:p>
            <w:pPr>
              <w:spacing w:after="0"/>
              <w:rPr>
                <w:sz w:val="4"/>
                <w:szCs w:val="4"/>
                <w:color w:val="auto"/>
              </w:rPr>
            </w:pPr>
          </w:p>
        </w:tc>
        <w:tc>
          <w:tcPr>
            <w:tcW w:w="1920" w:type="dxa"/>
            <w:vAlign w:val="bottom"/>
            <w:gridSpan w:val="4"/>
            <w:vMerge w:val="continue"/>
          </w:tcPr>
          <w:p>
            <w:pPr>
              <w:spacing w:after="0"/>
              <w:rPr>
                <w:sz w:val="4"/>
                <w:szCs w:val="4"/>
                <w:color w:val="auto"/>
              </w:rPr>
            </w:pPr>
          </w:p>
        </w:tc>
        <w:tc>
          <w:tcPr>
            <w:tcW w:w="3780" w:type="dxa"/>
            <w:vAlign w:val="bottom"/>
            <w:gridSpan w:val="7"/>
            <w:vMerge w:val="continue"/>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5"/>
        </w:trPr>
        <w:tc>
          <w:tcPr>
            <w:tcW w:w="2520" w:type="dxa"/>
            <w:vAlign w:val="bottom"/>
            <w:tcBorders>
              <w:bottom w:val="single" w:sz="8" w:color="0000EE"/>
            </w:tcBorders>
            <w:gridSpan w:val="13"/>
            <w:vMerge w:val="continue"/>
          </w:tcPr>
          <w:p>
            <w:pPr>
              <w:spacing w:after="0"/>
              <w:rPr>
                <w:sz w:val="24"/>
                <w:szCs w:val="24"/>
                <w:color w:val="auto"/>
              </w:rPr>
            </w:pPr>
          </w:p>
        </w:tc>
        <w:tc>
          <w:tcPr>
            <w:tcW w:w="240" w:type="dxa"/>
            <w:vAlign w:val="bottom"/>
            <w:vMerge w:val="restart"/>
          </w:tcPr>
          <w:p>
            <w:pPr>
              <w:spacing w:after="0"/>
              <w:rPr>
                <w:sz w:val="24"/>
                <w:szCs w:val="24"/>
                <w:color w:val="auto"/>
              </w:rPr>
            </w:pPr>
          </w:p>
        </w:tc>
        <w:tc>
          <w:tcPr>
            <w:tcW w:w="1920" w:type="dxa"/>
            <w:vAlign w:val="bottom"/>
            <w:gridSpan w:val="4"/>
            <w:vMerge w:val="restart"/>
          </w:tcPr>
          <w:p>
            <w:pPr>
              <w:spacing w:after="0"/>
              <w:rPr>
                <w:sz w:val="24"/>
                <w:szCs w:val="24"/>
                <w:color w:val="auto"/>
              </w:rPr>
            </w:pPr>
          </w:p>
        </w:tc>
        <w:tc>
          <w:tcPr>
            <w:tcW w:w="3780" w:type="dxa"/>
            <w:vAlign w:val="bottom"/>
            <w:gridSpan w:val="7"/>
            <w:vMerge w:val="restart"/>
          </w:tcPr>
          <w:p>
            <w:pPr>
              <w:spacing w:after="0"/>
              <w:rPr>
                <w:sz w:val="24"/>
                <w:szCs w:val="2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56"/>
        </w:trPr>
        <w:tc>
          <w:tcPr>
            <w:tcW w:w="1840" w:type="dxa"/>
            <w:vAlign w:val="bottom"/>
            <w:gridSpan w:val="9"/>
            <w:vMerge w:val="restart"/>
          </w:tcPr>
          <w:p>
            <w:pPr>
              <w:spacing w:after="0"/>
              <w:rPr>
                <w:rFonts w:ascii="Arial" w:cs="Arial" w:eastAsia="Arial" w:hAnsi="Arial"/>
                <w:sz w:val="17"/>
                <w:szCs w:val="17"/>
                <w:color w:val="0000EE"/>
                <w:w w:val="89"/>
              </w:rPr>
            </w:pPr>
            <w:hyperlink w:anchor="page49">
              <w:r>
                <w:rPr>
                  <w:rFonts w:ascii="Arial" w:cs="Arial" w:eastAsia="Arial" w:hAnsi="Arial"/>
                  <w:sz w:val="17"/>
                  <w:szCs w:val="17"/>
                  <w:color w:val="0000EE"/>
                  <w:w w:val="89"/>
                </w:rPr>
                <w:t>Item 1. Legal Proceedings.</w:t>
              </w:r>
            </w:hyperlink>
          </w:p>
        </w:tc>
        <w:tc>
          <w:tcPr>
            <w:tcW w:w="400" w:type="dxa"/>
            <w:vAlign w:val="bottom"/>
            <w:gridSpan w:val="2"/>
          </w:tcPr>
          <w:p>
            <w:pPr>
              <w:spacing w:after="0"/>
              <w:rPr>
                <w:sz w:val="4"/>
                <w:szCs w:val="4"/>
                <w:color w:val="auto"/>
              </w:rPr>
            </w:pPr>
          </w:p>
        </w:tc>
        <w:tc>
          <w:tcPr>
            <w:tcW w:w="280" w:type="dxa"/>
            <w:vAlign w:val="bottom"/>
            <w:gridSpan w:val="2"/>
          </w:tcPr>
          <w:p>
            <w:pPr>
              <w:spacing w:after="0"/>
              <w:rPr>
                <w:sz w:val="4"/>
                <w:szCs w:val="4"/>
                <w:color w:val="auto"/>
              </w:rPr>
            </w:pPr>
          </w:p>
        </w:tc>
        <w:tc>
          <w:tcPr>
            <w:tcW w:w="240" w:type="dxa"/>
            <w:vAlign w:val="bottom"/>
            <w:vMerge w:val="continue"/>
          </w:tcPr>
          <w:p>
            <w:pPr>
              <w:spacing w:after="0"/>
              <w:rPr>
                <w:sz w:val="4"/>
                <w:szCs w:val="4"/>
                <w:color w:val="auto"/>
              </w:rPr>
            </w:pPr>
          </w:p>
        </w:tc>
        <w:tc>
          <w:tcPr>
            <w:tcW w:w="1920" w:type="dxa"/>
            <w:vAlign w:val="bottom"/>
            <w:gridSpan w:val="4"/>
            <w:vMerge w:val="continue"/>
          </w:tcPr>
          <w:p>
            <w:pPr>
              <w:spacing w:after="0"/>
              <w:rPr>
                <w:sz w:val="4"/>
                <w:szCs w:val="4"/>
                <w:color w:val="auto"/>
              </w:rPr>
            </w:pPr>
          </w:p>
        </w:tc>
        <w:tc>
          <w:tcPr>
            <w:tcW w:w="3780" w:type="dxa"/>
            <w:vAlign w:val="bottom"/>
            <w:gridSpan w:val="7"/>
            <w:vMerge w:val="continue"/>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1840" w:type="dxa"/>
            <w:vAlign w:val="bottom"/>
            <w:tcBorders>
              <w:bottom w:val="single" w:sz="8" w:color="0000EE"/>
            </w:tcBorders>
            <w:gridSpan w:val="9"/>
            <w:vMerge w:val="continue"/>
          </w:tcPr>
          <w:p>
            <w:pPr>
              <w:spacing w:after="0"/>
              <w:rPr>
                <w:sz w:val="14"/>
                <w:szCs w:val="14"/>
                <w:color w:val="auto"/>
              </w:rPr>
            </w:pPr>
          </w:p>
        </w:tc>
        <w:tc>
          <w:tcPr>
            <w:tcW w:w="400" w:type="dxa"/>
            <w:vAlign w:val="bottom"/>
            <w:gridSpan w:val="2"/>
            <w:vMerge w:val="restart"/>
          </w:tcPr>
          <w:p>
            <w:pPr>
              <w:spacing w:after="0"/>
              <w:rPr>
                <w:sz w:val="14"/>
                <w:szCs w:val="14"/>
                <w:color w:val="auto"/>
              </w:rPr>
            </w:pPr>
          </w:p>
        </w:tc>
        <w:tc>
          <w:tcPr>
            <w:tcW w:w="520" w:type="dxa"/>
            <w:vAlign w:val="bottom"/>
            <w:gridSpan w:val="3"/>
            <w:vMerge w:val="restart"/>
          </w:tcPr>
          <w:p>
            <w:pPr>
              <w:spacing w:after="0"/>
              <w:rPr>
                <w:sz w:val="14"/>
                <w:szCs w:val="14"/>
                <w:color w:val="auto"/>
              </w:rPr>
            </w:pPr>
          </w:p>
        </w:tc>
        <w:tc>
          <w:tcPr>
            <w:tcW w:w="1920" w:type="dxa"/>
            <w:vAlign w:val="bottom"/>
            <w:gridSpan w:val="4"/>
            <w:vMerge w:val="restart"/>
          </w:tcPr>
          <w:p>
            <w:pPr>
              <w:spacing w:after="0"/>
              <w:rPr>
                <w:sz w:val="14"/>
                <w:szCs w:val="14"/>
                <w:color w:val="auto"/>
              </w:rPr>
            </w:pPr>
          </w:p>
        </w:tc>
        <w:tc>
          <w:tcPr>
            <w:tcW w:w="3780" w:type="dxa"/>
            <w:vAlign w:val="bottom"/>
            <w:gridSpan w:val="7"/>
            <w:vMerge w:val="restart"/>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56"/>
        </w:trPr>
        <w:tc>
          <w:tcPr>
            <w:tcW w:w="1540" w:type="dxa"/>
            <w:vAlign w:val="bottom"/>
            <w:gridSpan w:val="7"/>
            <w:vMerge w:val="restart"/>
          </w:tcPr>
          <w:p>
            <w:pPr>
              <w:spacing w:after="0"/>
              <w:rPr>
                <w:rFonts w:ascii="Arial" w:cs="Arial" w:eastAsia="Arial" w:hAnsi="Arial"/>
                <w:sz w:val="17"/>
                <w:szCs w:val="17"/>
                <w:color w:val="0000EE"/>
                <w:w w:val="90"/>
              </w:rPr>
            </w:pPr>
            <w:hyperlink w:anchor="page49">
              <w:r>
                <w:rPr>
                  <w:rFonts w:ascii="Arial" w:cs="Arial" w:eastAsia="Arial" w:hAnsi="Arial"/>
                  <w:sz w:val="17"/>
                  <w:szCs w:val="17"/>
                  <w:color w:val="0000EE"/>
                  <w:w w:val="90"/>
                </w:rPr>
                <w:t>Item 1A. Risk Factors.</w:t>
              </w:r>
            </w:hyperlink>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520" w:type="dxa"/>
            <w:vAlign w:val="bottom"/>
            <w:gridSpan w:val="3"/>
            <w:vMerge w:val="continue"/>
          </w:tcPr>
          <w:p>
            <w:pPr>
              <w:spacing w:after="0"/>
              <w:rPr>
                <w:sz w:val="4"/>
                <w:szCs w:val="4"/>
                <w:color w:val="auto"/>
              </w:rPr>
            </w:pPr>
          </w:p>
        </w:tc>
        <w:tc>
          <w:tcPr>
            <w:tcW w:w="1920" w:type="dxa"/>
            <w:vAlign w:val="bottom"/>
            <w:gridSpan w:val="4"/>
            <w:vMerge w:val="continue"/>
          </w:tcPr>
          <w:p>
            <w:pPr>
              <w:spacing w:after="0"/>
              <w:rPr>
                <w:sz w:val="4"/>
                <w:szCs w:val="4"/>
                <w:color w:val="auto"/>
              </w:rPr>
            </w:pPr>
          </w:p>
        </w:tc>
        <w:tc>
          <w:tcPr>
            <w:tcW w:w="3780" w:type="dxa"/>
            <w:vAlign w:val="bottom"/>
            <w:gridSpan w:val="7"/>
            <w:vMerge w:val="continue"/>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1540" w:type="dxa"/>
            <w:vAlign w:val="bottom"/>
            <w:tcBorders>
              <w:bottom w:val="single" w:sz="8" w:color="0000EE"/>
            </w:tcBorders>
            <w:gridSpan w:val="7"/>
            <w:vMerge w:val="continue"/>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gridSpan w:val="3"/>
          </w:tcPr>
          <w:p>
            <w:pPr>
              <w:spacing w:after="0"/>
              <w:rPr>
                <w:sz w:val="14"/>
                <w:szCs w:val="14"/>
                <w:color w:val="auto"/>
              </w:rPr>
            </w:pPr>
          </w:p>
        </w:tc>
        <w:tc>
          <w:tcPr>
            <w:tcW w:w="520" w:type="dxa"/>
            <w:vAlign w:val="bottom"/>
            <w:gridSpan w:val="3"/>
          </w:tcPr>
          <w:p>
            <w:pPr>
              <w:spacing w:after="0"/>
              <w:rPr>
                <w:sz w:val="14"/>
                <w:szCs w:val="14"/>
                <w:color w:val="auto"/>
              </w:rPr>
            </w:pPr>
          </w:p>
        </w:tc>
        <w:tc>
          <w:tcPr>
            <w:tcW w:w="1920" w:type="dxa"/>
            <w:vAlign w:val="bottom"/>
            <w:gridSpan w:val="4"/>
          </w:tcPr>
          <w:p>
            <w:pPr>
              <w:spacing w:after="0"/>
              <w:rPr>
                <w:sz w:val="14"/>
                <w:szCs w:val="14"/>
                <w:color w:val="auto"/>
              </w:rPr>
            </w:pPr>
          </w:p>
        </w:tc>
        <w:tc>
          <w:tcPr>
            <w:tcW w:w="3780" w:type="dxa"/>
            <w:vAlign w:val="bottom"/>
            <w:gridSpan w:val="7"/>
            <w:vMerge w:val="restart"/>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56"/>
        </w:trPr>
        <w:tc>
          <w:tcPr>
            <w:tcW w:w="4680" w:type="dxa"/>
            <w:vAlign w:val="bottom"/>
            <w:gridSpan w:val="18"/>
            <w:vMerge w:val="restart"/>
          </w:tcPr>
          <w:p>
            <w:pPr>
              <w:spacing w:after="0"/>
              <w:rPr>
                <w:rFonts w:ascii="Arial" w:cs="Arial" w:eastAsia="Arial" w:hAnsi="Arial"/>
                <w:sz w:val="17"/>
                <w:szCs w:val="17"/>
                <w:color w:val="0000EE"/>
                <w:w w:val="89"/>
              </w:rPr>
            </w:pPr>
            <w:hyperlink w:anchor="page49">
              <w:r>
                <w:rPr>
                  <w:rFonts w:ascii="Arial" w:cs="Arial" w:eastAsia="Arial" w:hAnsi="Arial"/>
                  <w:sz w:val="17"/>
                  <w:szCs w:val="17"/>
                  <w:color w:val="0000EE"/>
                  <w:w w:val="89"/>
                </w:rPr>
                <w:t>Item 2. Unregistered Sales of Equity Securities and Use of Proceeds.</w:t>
              </w:r>
            </w:hyperlink>
          </w:p>
        </w:tc>
        <w:tc>
          <w:tcPr>
            <w:tcW w:w="3780" w:type="dxa"/>
            <w:vAlign w:val="bottom"/>
            <w:gridSpan w:val="7"/>
            <w:vMerge w:val="continue"/>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4680" w:type="dxa"/>
            <w:vAlign w:val="bottom"/>
            <w:tcBorders>
              <w:bottom w:val="single" w:sz="8" w:color="0000EE"/>
            </w:tcBorders>
            <w:gridSpan w:val="18"/>
            <w:vMerge w:val="continue"/>
          </w:tcPr>
          <w:p>
            <w:pPr>
              <w:spacing w:after="0"/>
              <w:rPr>
                <w:sz w:val="14"/>
                <w:szCs w:val="14"/>
                <w:color w:val="auto"/>
              </w:rPr>
            </w:pPr>
          </w:p>
        </w:tc>
        <w:tc>
          <w:tcPr>
            <w:tcW w:w="3780" w:type="dxa"/>
            <w:vAlign w:val="bottom"/>
            <w:gridSpan w:val="7"/>
            <w:vMerge w:val="restart"/>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56"/>
        </w:trPr>
        <w:tc>
          <w:tcPr>
            <w:tcW w:w="2760" w:type="dxa"/>
            <w:vAlign w:val="bottom"/>
            <w:gridSpan w:val="14"/>
            <w:vMerge w:val="restart"/>
          </w:tcPr>
          <w:p>
            <w:pPr>
              <w:spacing w:after="0"/>
              <w:rPr>
                <w:rFonts w:ascii="Arial" w:cs="Arial" w:eastAsia="Arial" w:hAnsi="Arial"/>
                <w:sz w:val="17"/>
                <w:szCs w:val="17"/>
                <w:color w:val="0000EE"/>
                <w:w w:val="90"/>
              </w:rPr>
            </w:pPr>
            <w:hyperlink w:anchor="page49">
              <w:r>
                <w:rPr>
                  <w:rFonts w:ascii="Arial" w:cs="Arial" w:eastAsia="Arial" w:hAnsi="Arial"/>
                  <w:sz w:val="17"/>
                  <w:szCs w:val="17"/>
                  <w:color w:val="0000EE"/>
                  <w:w w:val="90"/>
                </w:rPr>
                <w:t>Item 3. Defaults Upon Senior Securities.</w:t>
              </w:r>
            </w:hyperlink>
          </w:p>
        </w:tc>
        <w:tc>
          <w:tcPr>
            <w:tcW w:w="1920" w:type="dxa"/>
            <w:vAlign w:val="bottom"/>
            <w:gridSpan w:val="4"/>
          </w:tcPr>
          <w:p>
            <w:pPr>
              <w:spacing w:after="0"/>
              <w:rPr>
                <w:sz w:val="4"/>
                <w:szCs w:val="4"/>
                <w:color w:val="auto"/>
              </w:rPr>
            </w:pPr>
          </w:p>
        </w:tc>
        <w:tc>
          <w:tcPr>
            <w:tcW w:w="3780" w:type="dxa"/>
            <w:vAlign w:val="bottom"/>
            <w:gridSpan w:val="7"/>
            <w:vMerge w:val="continue"/>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760" w:type="dxa"/>
            <w:vAlign w:val="bottom"/>
            <w:tcBorders>
              <w:bottom w:val="single" w:sz="8" w:color="0000EE"/>
            </w:tcBorders>
            <w:gridSpan w:val="14"/>
            <w:vMerge w:val="continue"/>
          </w:tcPr>
          <w:p>
            <w:pPr>
              <w:spacing w:after="0"/>
              <w:rPr>
                <w:sz w:val="14"/>
                <w:szCs w:val="14"/>
                <w:color w:val="auto"/>
              </w:rPr>
            </w:pPr>
          </w:p>
        </w:tc>
        <w:tc>
          <w:tcPr>
            <w:tcW w:w="5700" w:type="dxa"/>
            <w:vAlign w:val="bottom"/>
            <w:gridSpan w:val="11"/>
            <w:vMerge w:val="restart"/>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56"/>
        </w:trPr>
        <w:tc>
          <w:tcPr>
            <w:tcW w:w="2240" w:type="dxa"/>
            <w:vAlign w:val="bottom"/>
            <w:gridSpan w:val="11"/>
            <w:vMerge w:val="restart"/>
          </w:tcPr>
          <w:p>
            <w:pPr>
              <w:spacing w:after="0"/>
              <w:rPr>
                <w:rFonts w:ascii="Arial" w:cs="Arial" w:eastAsia="Arial" w:hAnsi="Arial"/>
                <w:sz w:val="17"/>
                <w:szCs w:val="17"/>
                <w:color w:val="0000EE"/>
                <w:w w:val="91"/>
              </w:rPr>
            </w:pPr>
            <w:hyperlink w:anchor="page49">
              <w:r>
                <w:rPr>
                  <w:rFonts w:ascii="Arial" w:cs="Arial" w:eastAsia="Arial" w:hAnsi="Arial"/>
                  <w:sz w:val="17"/>
                  <w:szCs w:val="17"/>
                  <w:color w:val="0000EE"/>
                  <w:w w:val="91"/>
                </w:rPr>
                <w:t>Item 4. Mine Safety Disclosures.</w:t>
              </w:r>
            </w:hyperlink>
          </w:p>
        </w:tc>
        <w:tc>
          <w:tcPr>
            <w:tcW w:w="520" w:type="dxa"/>
            <w:vAlign w:val="bottom"/>
            <w:gridSpan w:val="3"/>
          </w:tcPr>
          <w:p>
            <w:pPr>
              <w:spacing w:after="0"/>
              <w:rPr>
                <w:sz w:val="4"/>
                <w:szCs w:val="4"/>
                <w:color w:val="auto"/>
              </w:rPr>
            </w:pPr>
          </w:p>
        </w:tc>
        <w:tc>
          <w:tcPr>
            <w:tcW w:w="5700" w:type="dxa"/>
            <w:vAlign w:val="bottom"/>
            <w:gridSpan w:val="11"/>
            <w:vMerge w:val="continue"/>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240" w:type="dxa"/>
            <w:vAlign w:val="bottom"/>
            <w:tcBorders>
              <w:bottom w:val="single" w:sz="8" w:color="0000EE"/>
            </w:tcBorders>
            <w:gridSpan w:val="11"/>
            <w:vMerge w:val="continue"/>
          </w:tcPr>
          <w:p>
            <w:pPr>
              <w:spacing w:after="0"/>
              <w:rPr>
                <w:sz w:val="14"/>
                <w:szCs w:val="14"/>
                <w:color w:val="auto"/>
              </w:rPr>
            </w:pPr>
          </w:p>
        </w:tc>
        <w:tc>
          <w:tcPr>
            <w:tcW w:w="6220" w:type="dxa"/>
            <w:vAlign w:val="bottom"/>
            <w:gridSpan w:val="14"/>
            <w:vMerge w:val="restart"/>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56"/>
        </w:trPr>
        <w:tc>
          <w:tcPr>
            <w:tcW w:w="1820" w:type="dxa"/>
            <w:vAlign w:val="bottom"/>
            <w:gridSpan w:val="8"/>
            <w:vMerge w:val="restart"/>
          </w:tcPr>
          <w:p>
            <w:pPr>
              <w:spacing w:after="0"/>
              <w:rPr>
                <w:rFonts w:ascii="Arial" w:cs="Arial" w:eastAsia="Arial" w:hAnsi="Arial"/>
                <w:sz w:val="17"/>
                <w:szCs w:val="17"/>
                <w:color w:val="0000EE"/>
                <w:w w:val="92"/>
              </w:rPr>
            </w:pPr>
            <w:hyperlink w:anchor="page49">
              <w:r>
                <w:rPr>
                  <w:rFonts w:ascii="Arial" w:cs="Arial" w:eastAsia="Arial" w:hAnsi="Arial"/>
                  <w:sz w:val="17"/>
                  <w:szCs w:val="17"/>
                  <w:color w:val="0000EE"/>
                  <w:w w:val="92"/>
                </w:rPr>
                <w:t>Item 5. Other Information.</w:t>
              </w:r>
            </w:hyperlink>
          </w:p>
        </w:tc>
        <w:tc>
          <w:tcPr>
            <w:tcW w:w="420" w:type="dxa"/>
            <w:vAlign w:val="bottom"/>
            <w:gridSpan w:val="3"/>
          </w:tcPr>
          <w:p>
            <w:pPr>
              <w:spacing w:after="0"/>
              <w:rPr>
                <w:sz w:val="4"/>
                <w:szCs w:val="4"/>
                <w:color w:val="auto"/>
              </w:rPr>
            </w:pPr>
          </w:p>
        </w:tc>
        <w:tc>
          <w:tcPr>
            <w:tcW w:w="6220" w:type="dxa"/>
            <w:vAlign w:val="bottom"/>
            <w:gridSpan w:val="14"/>
            <w:vMerge w:val="continue"/>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1820" w:type="dxa"/>
            <w:vAlign w:val="bottom"/>
            <w:tcBorders>
              <w:bottom w:val="single" w:sz="8" w:color="0000EE"/>
            </w:tcBorders>
            <w:gridSpan w:val="8"/>
            <w:vMerge w:val="continue"/>
          </w:tcPr>
          <w:p>
            <w:pPr>
              <w:spacing w:after="0"/>
              <w:rPr>
                <w:sz w:val="14"/>
                <w:szCs w:val="14"/>
                <w:color w:val="auto"/>
              </w:rPr>
            </w:pPr>
          </w:p>
        </w:tc>
        <w:tc>
          <w:tcPr>
            <w:tcW w:w="6640" w:type="dxa"/>
            <w:vAlign w:val="bottom"/>
            <w:gridSpan w:val="17"/>
            <w:vMerge w:val="restart"/>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56"/>
        </w:trPr>
        <w:tc>
          <w:tcPr>
            <w:tcW w:w="1140" w:type="dxa"/>
            <w:vAlign w:val="bottom"/>
            <w:gridSpan w:val="6"/>
            <w:vMerge w:val="restart"/>
          </w:tcPr>
          <w:p>
            <w:pPr>
              <w:spacing w:after="0"/>
              <w:rPr>
                <w:rFonts w:ascii="Arial" w:cs="Arial" w:eastAsia="Arial" w:hAnsi="Arial"/>
                <w:sz w:val="17"/>
                <w:szCs w:val="17"/>
                <w:color w:val="0000EE"/>
                <w:w w:val="92"/>
              </w:rPr>
            </w:pPr>
            <w:hyperlink w:anchor="page50">
              <w:r>
                <w:rPr>
                  <w:rFonts w:ascii="Arial" w:cs="Arial" w:eastAsia="Arial" w:hAnsi="Arial"/>
                  <w:sz w:val="17"/>
                  <w:szCs w:val="17"/>
                  <w:color w:val="0000EE"/>
                  <w:w w:val="92"/>
                </w:rPr>
                <w:t>Item 6. Exhibits.</w:t>
              </w:r>
            </w:hyperlink>
          </w:p>
        </w:tc>
        <w:tc>
          <w:tcPr>
            <w:tcW w:w="680" w:type="dxa"/>
            <w:vAlign w:val="bottom"/>
            <w:gridSpan w:val="2"/>
          </w:tcPr>
          <w:p>
            <w:pPr>
              <w:spacing w:after="0"/>
              <w:rPr>
                <w:sz w:val="4"/>
                <w:szCs w:val="4"/>
                <w:color w:val="auto"/>
              </w:rPr>
            </w:pPr>
          </w:p>
        </w:tc>
        <w:tc>
          <w:tcPr>
            <w:tcW w:w="6640" w:type="dxa"/>
            <w:vAlign w:val="bottom"/>
            <w:gridSpan w:val="17"/>
            <w:vMerge w:val="continue"/>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1140" w:type="dxa"/>
            <w:vAlign w:val="bottom"/>
            <w:tcBorders>
              <w:bottom w:val="single" w:sz="8" w:color="0000EE"/>
            </w:tcBorders>
            <w:gridSpan w:val="6"/>
            <w:vMerge w:val="continue"/>
          </w:tcPr>
          <w:p>
            <w:pPr>
              <w:spacing w:after="0"/>
              <w:rPr>
                <w:sz w:val="14"/>
                <w:szCs w:val="14"/>
                <w:color w:val="auto"/>
              </w:rPr>
            </w:pPr>
          </w:p>
        </w:tc>
        <w:tc>
          <w:tcPr>
            <w:tcW w:w="7320" w:type="dxa"/>
            <w:vAlign w:val="bottom"/>
            <w:gridSpan w:val="19"/>
            <w:vMerge w:val="restart"/>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56"/>
        </w:trPr>
        <w:tc>
          <w:tcPr>
            <w:tcW w:w="720" w:type="dxa"/>
            <w:vAlign w:val="bottom"/>
            <w:gridSpan w:val="4"/>
            <w:vMerge w:val="restart"/>
          </w:tcPr>
          <w:p>
            <w:pPr>
              <w:spacing w:after="0"/>
              <w:rPr>
                <w:rFonts w:ascii="Arial" w:cs="Arial" w:eastAsia="Arial" w:hAnsi="Arial"/>
                <w:sz w:val="17"/>
                <w:szCs w:val="17"/>
                <w:color w:val="0000EE"/>
                <w:w w:val="86"/>
              </w:rPr>
            </w:pPr>
            <w:hyperlink w:anchor="page51">
              <w:r>
                <w:rPr>
                  <w:rFonts w:ascii="Arial" w:cs="Arial" w:eastAsia="Arial" w:hAnsi="Arial"/>
                  <w:sz w:val="17"/>
                  <w:szCs w:val="17"/>
                  <w:color w:val="0000EE"/>
                  <w:w w:val="86"/>
                </w:rPr>
                <w:t>Signatures</w:t>
              </w:r>
            </w:hyperlink>
          </w:p>
        </w:tc>
        <w:tc>
          <w:tcPr>
            <w:tcW w:w="420" w:type="dxa"/>
            <w:vAlign w:val="bottom"/>
            <w:gridSpan w:val="2"/>
          </w:tcPr>
          <w:p>
            <w:pPr>
              <w:spacing w:after="0"/>
              <w:rPr>
                <w:sz w:val="4"/>
                <w:szCs w:val="4"/>
                <w:color w:val="auto"/>
              </w:rPr>
            </w:pPr>
          </w:p>
        </w:tc>
        <w:tc>
          <w:tcPr>
            <w:tcW w:w="7320" w:type="dxa"/>
            <w:vAlign w:val="bottom"/>
            <w:gridSpan w:val="19"/>
            <w:vMerge w:val="continue"/>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Borders>
              <w:bottom w:val="single" w:sz="8" w:color="0000EE"/>
            </w:tcBorders>
            <w:gridSpan w:val="4"/>
            <w:vMerge w:val="continue"/>
          </w:tcPr>
          <w:p>
            <w:pPr>
              <w:spacing w:after="0"/>
              <w:rPr>
                <w:sz w:val="14"/>
                <w:szCs w:val="14"/>
                <w:color w:val="auto"/>
              </w:rPr>
            </w:pPr>
          </w:p>
        </w:tc>
        <w:tc>
          <w:tcPr>
            <w:tcW w:w="7740" w:type="dxa"/>
            <w:vAlign w:val="bottom"/>
            <w:gridSpan w:val="21"/>
            <w:vMerge w:val="restart"/>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56"/>
        </w:trPr>
        <w:tc>
          <w:tcPr>
            <w:tcW w:w="720" w:type="dxa"/>
            <w:vAlign w:val="bottom"/>
            <w:gridSpan w:val="4"/>
          </w:tcPr>
          <w:p>
            <w:pPr>
              <w:spacing w:after="0"/>
              <w:rPr>
                <w:sz w:val="4"/>
                <w:szCs w:val="4"/>
                <w:color w:val="auto"/>
              </w:rPr>
            </w:pPr>
          </w:p>
        </w:tc>
        <w:tc>
          <w:tcPr>
            <w:tcW w:w="7740" w:type="dxa"/>
            <w:vAlign w:val="bottom"/>
            <w:gridSpan w:val="21"/>
            <w:vMerge w:val="continue"/>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2" w:name="page3"/>
    <w:bookmarkEnd w:id="2"/>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I—FINANCIAL INFORMATION</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 Financial Statements.</w:t>
      </w:r>
    </w:p>
    <w:p>
      <w:pPr>
        <w:spacing w:after="0" w:line="112" w:lineRule="exact"/>
        <w:rPr>
          <w:sz w:val="20"/>
          <w:szCs w:val="20"/>
          <w:color w:val="auto"/>
        </w:rPr>
      </w:pPr>
    </w:p>
    <w:p>
      <w:pPr>
        <w:jc w:val="center"/>
        <w:ind w:left="1580" w:right="1740"/>
        <w:spacing w:after="0" w:line="385" w:lineRule="auto"/>
        <w:rPr>
          <w:sz w:val="20"/>
          <w:szCs w:val="20"/>
          <w:color w:val="auto"/>
        </w:rPr>
      </w:pPr>
      <w:r>
        <w:rPr>
          <w:rFonts w:ascii="Arial" w:cs="Arial" w:eastAsia="Arial" w:hAnsi="Arial"/>
          <w:sz w:val="17"/>
          <w:szCs w:val="17"/>
          <w:b w:val="1"/>
          <w:bCs w:val="1"/>
          <w:color w:val="auto"/>
        </w:rPr>
        <w:t>EL POLLO LOCO HOLDINGS, INC. CONDENSED CONSOLIDATED BALANCE SHEETS (UNAUDITED) (Amounts in thousands, except share data)</w:t>
      </w:r>
    </w:p>
    <w:tbl>
      <w:tblPr>
        <w:tblLayout w:type="fixed"/>
        <w:tblInd w:w="40" w:type="dxa"/>
        <w:tblCellMar>
          <w:top w:w="0" w:type="dxa"/>
          <w:left w:w="0" w:type="dxa"/>
          <w:bottom w:w="0" w:type="dxa"/>
          <w:right w:w="0" w:type="dxa"/>
        </w:tblCellMar>
      </w:tblPr>
      <w:tr>
        <w:trPr>
          <w:trHeight w:val="143"/>
        </w:trPr>
        <w:tc>
          <w:tcPr>
            <w:tcW w:w="6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September 29,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104"/>
              <w:spacing w:after="0" w:line="143" w:lineRule="exact"/>
              <w:rPr>
                <w:sz w:val="20"/>
                <w:szCs w:val="20"/>
                <w:color w:val="auto"/>
              </w:rPr>
            </w:pPr>
            <w:r>
              <w:rPr>
                <w:rFonts w:ascii="Arial" w:cs="Arial" w:eastAsia="Arial" w:hAnsi="Arial"/>
                <w:sz w:val="14"/>
                <w:szCs w:val="14"/>
                <w:b w:val="1"/>
                <w:bCs w:val="1"/>
                <w:color w:val="auto"/>
                <w:w w:val="90"/>
              </w:rPr>
              <w:t>December 30,</w:t>
            </w:r>
          </w:p>
        </w:tc>
      </w:tr>
      <w:tr>
        <w:trPr>
          <w:trHeight w:val="161"/>
        </w:trPr>
        <w:tc>
          <w:tcPr>
            <w:tcW w:w="60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2020</w:t>
            </w:r>
          </w:p>
        </w:tc>
      </w:tr>
      <w:tr>
        <w:trPr>
          <w:trHeight w:val="185"/>
        </w:trPr>
        <w:tc>
          <w:tcPr>
            <w:tcW w:w="60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Arial" w:cs="Arial" w:eastAsia="Arial" w:hAnsi="Arial"/>
                <w:sz w:val="15"/>
                <w:szCs w:val="15"/>
                <w:b w:val="1"/>
                <w:bCs w:val="1"/>
                <w:color w:val="auto"/>
              </w:rPr>
              <w:t>Current assets: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24,669</w:t>
            </w:r>
          </w:p>
        </w:tc>
        <w:tc>
          <w:tcPr>
            <w:tcW w:w="24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13,219</w:t>
            </w:r>
          </w:p>
        </w:tc>
      </w:tr>
      <w:tr>
        <w:trPr>
          <w:trHeight w:val="192"/>
        </w:trPr>
        <w:tc>
          <w:tcPr>
            <w:tcW w:w="6040" w:type="dxa"/>
            <w:vAlign w:val="bottom"/>
          </w:tcPr>
          <w:p>
            <w:pPr>
              <w:spacing w:after="0"/>
              <w:rPr>
                <w:sz w:val="20"/>
                <w:szCs w:val="20"/>
                <w:color w:val="auto"/>
              </w:rPr>
            </w:pPr>
            <w:r>
              <w:rPr>
                <w:rFonts w:ascii="Arial" w:cs="Arial" w:eastAsia="Arial" w:hAnsi="Arial"/>
                <w:sz w:val="15"/>
                <w:szCs w:val="15"/>
                <w:color w:val="auto"/>
              </w:rPr>
              <w:t>Accounts and other receivables, net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11,510</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9,963</w:t>
            </w:r>
          </w:p>
        </w:tc>
      </w:tr>
      <w:tr>
        <w:trPr>
          <w:trHeight w:val="192"/>
        </w:trPr>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rPr>
              <w:t>Inventories</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2,127</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2,100</w:t>
            </w:r>
          </w:p>
        </w:tc>
      </w:tr>
      <w:tr>
        <w:trPr>
          <w:trHeight w:val="192"/>
        </w:trPr>
        <w:tc>
          <w:tcPr>
            <w:tcW w:w="6040" w:type="dxa"/>
            <w:vAlign w:val="bottom"/>
          </w:tcPr>
          <w:p>
            <w:pPr>
              <w:spacing w:after="0"/>
              <w:rPr>
                <w:sz w:val="20"/>
                <w:szCs w:val="20"/>
                <w:color w:val="auto"/>
              </w:rPr>
            </w:pPr>
            <w:r>
              <w:rPr>
                <w:rFonts w:ascii="Arial" w:cs="Arial" w:eastAsia="Arial" w:hAnsi="Arial"/>
                <w:sz w:val="15"/>
                <w:szCs w:val="15"/>
                <w:color w:val="auto"/>
              </w:rPr>
              <w:t>Prepaid expenses and other current assets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3,041</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3,865</w:t>
            </w:r>
          </w:p>
        </w:tc>
      </w:tr>
      <w:tr>
        <w:trPr>
          <w:trHeight w:val="192"/>
        </w:trPr>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rPr>
              <w:t>Income tax receivable</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2,522</w:t>
            </w:r>
          </w:p>
        </w:tc>
      </w:tr>
      <w:tr>
        <w:trPr>
          <w:trHeight w:val="185"/>
        </w:trPr>
        <w:tc>
          <w:tcPr>
            <w:tcW w:w="6040" w:type="dxa"/>
            <w:vAlign w:val="bottom"/>
          </w:tcPr>
          <w:p>
            <w:pPr>
              <w:spacing w:after="0"/>
              <w:rPr>
                <w:sz w:val="20"/>
                <w:szCs w:val="20"/>
                <w:color w:val="auto"/>
              </w:rPr>
            </w:pPr>
            <w:r>
              <w:rPr>
                <w:rFonts w:ascii="Arial" w:cs="Arial" w:eastAsia="Arial" w:hAnsi="Arial"/>
                <w:sz w:val="15"/>
                <w:szCs w:val="15"/>
                <w:b w:val="1"/>
                <w:bCs w:val="1"/>
                <w:color w:val="auto"/>
              </w:rPr>
              <w:t>Total current assets</w:t>
            </w: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41,347</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31,669</w:t>
            </w:r>
          </w:p>
        </w:tc>
      </w:tr>
      <w:tr>
        <w:trPr>
          <w:trHeight w:val="192"/>
        </w:trPr>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rPr>
              <w:t>Property and equipment, net</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74,836</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79,642</w:t>
            </w:r>
          </w:p>
        </w:tc>
      </w:tr>
      <w:tr>
        <w:trPr>
          <w:trHeight w:val="192"/>
        </w:trPr>
        <w:tc>
          <w:tcPr>
            <w:tcW w:w="6040" w:type="dxa"/>
            <w:vAlign w:val="bottom"/>
          </w:tcPr>
          <w:p>
            <w:pPr>
              <w:spacing w:after="0"/>
              <w:rPr>
                <w:sz w:val="20"/>
                <w:szCs w:val="20"/>
                <w:color w:val="auto"/>
              </w:rPr>
            </w:pPr>
            <w:r>
              <w:rPr>
                <w:rFonts w:ascii="Arial" w:cs="Arial" w:eastAsia="Arial" w:hAnsi="Arial"/>
                <w:sz w:val="15"/>
                <w:szCs w:val="15"/>
                <w:color w:val="auto"/>
              </w:rPr>
              <w:t>Property and equipment held under finance lease, net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1,666</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1,661</w:t>
            </w:r>
          </w:p>
        </w:tc>
      </w:tr>
      <w:tr>
        <w:trPr>
          <w:trHeight w:val="192"/>
        </w:trPr>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rPr>
              <w:t>Property and equipment held under operating leases, net ("ROU asset")</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172,823</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177,129</w:t>
            </w:r>
          </w:p>
        </w:tc>
      </w:tr>
      <w:tr>
        <w:trPr>
          <w:trHeight w:val="192"/>
        </w:trPr>
        <w:tc>
          <w:tcPr>
            <w:tcW w:w="6040" w:type="dxa"/>
            <w:vAlign w:val="bottom"/>
          </w:tcPr>
          <w:p>
            <w:pPr>
              <w:spacing w:after="0"/>
              <w:rPr>
                <w:sz w:val="20"/>
                <w:szCs w:val="20"/>
                <w:color w:val="auto"/>
              </w:rPr>
            </w:pPr>
            <w:r>
              <w:rPr>
                <w:rFonts w:ascii="Arial" w:cs="Arial" w:eastAsia="Arial" w:hAnsi="Arial"/>
                <w:sz w:val="15"/>
                <w:szCs w:val="15"/>
                <w:color w:val="auto"/>
              </w:rPr>
              <w:t>Goodwill</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248,674</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248,674</w:t>
            </w:r>
          </w:p>
        </w:tc>
      </w:tr>
      <w:tr>
        <w:trPr>
          <w:trHeight w:val="192"/>
        </w:trPr>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rPr>
              <w:t>Trademarks</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61,888</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61,888</w:t>
            </w:r>
          </w:p>
        </w:tc>
      </w:tr>
      <w:tr>
        <w:trPr>
          <w:trHeight w:val="192"/>
        </w:trPr>
        <w:tc>
          <w:tcPr>
            <w:tcW w:w="6040" w:type="dxa"/>
            <w:vAlign w:val="bottom"/>
          </w:tcPr>
          <w:p>
            <w:pPr>
              <w:spacing w:after="0"/>
              <w:rPr>
                <w:sz w:val="20"/>
                <w:szCs w:val="20"/>
                <w:color w:val="auto"/>
              </w:rPr>
            </w:pPr>
            <w:r>
              <w:rPr>
                <w:rFonts w:ascii="Arial" w:cs="Arial" w:eastAsia="Arial" w:hAnsi="Arial"/>
                <w:sz w:val="15"/>
                <w:szCs w:val="15"/>
                <w:color w:val="auto"/>
              </w:rPr>
              <w:t>Deferred tax assets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2,136</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3,166</w:t>
            </w:r>
          </w:p>
        </w:tc>
      </w:tr>
      <w:tr>
        <w:trPr>
          <w:trHeight w:val="192"/>
        </w:trPr>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rPr>
              <w:t>Other assets</w:t>
            </w:r>
          </w:p>
        </w:tc>
        <w:tc>
          <w:tcPr>
            <w:tcW w:w="2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915</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1,392</w:t>
            </w:r>
          </w:p>
        </w:tc>
      </w:tr>
      <w:tr>
        <w:trPr>
          <w:trHeight w:val="225"/>
        </w:trPr>
        <w:tc>
          <w:tcPr>
            <w:tcW w:w="6040" w:type="dxa"/>
            <w:vAlign w:val="bottom"/>
            <w:tcBorders>
              <w:bottom w:val="single" w:sz="8" w:color="CCEEFF"/>
            </w:tcBorders>
          </w:tcPr>
          <w:p>
            <w:pPr>
              <w:spacing w:after="0"/>
              <w:rPr>
                <w:sz w:val="20"/>
                <w:szCs w:val="20"/>
                <w:color w:val="auto"/>
              </w:rPr>
            </w:pPr>
            <w:r>
              <w:rPr>
                <w:rFonts w:ascii="Arial" w:cs="Arial" w:eastAsia="Arial" w:hAnsi="Arial"/>
                <w:sz w:val="15"/>
                <w:szCs w:val="15"/>
                <w:b w:val="1"/>
                <w:bCs w:val="1"/>
                <w:color w:val="auto"/>
              </w:rPr>
              <w:t>Total assets</w:t>
            </w: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604,285</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605,221</w:t>
            </w:r>
          </w:p>
        </w:tc>
      </w:tr>
      <w:tr>
        <w:trPr>
          <w:trHeight w:val="170"/>
        </w:trPr>
        <w:tc>
          <w:tcPr>
            <w:tcW w:w="6040" w:type="dxa"/>
            <w:vAlign w:val="bottom"/>
            <w:shd w:val="clear" w:color="auto" w:fill="CCEEFF"/>
          </w:tcPr>
          <w:p>
            <w:pPr>
              <w:spacing w:after="0" w:line="165" w:lineRule="exact"/>
              <w:rPr>
                <w:sz w:val="20"/>
                <w:szCs w:val="20"/>
                <w:color w:val="auto"/>
              </w:rPr>
            </w:pPr>
            <w:r>
              <w:rPr>
                <w:rFonts w:ascii="Arial" w:cs="Arial" w:eastAsia="Arial" w:hAnsi="Arial"/>
                <w:sz w:val="15"/>
                <w:szCs w:val="15"/>
                <w:b w:val="1"/>
                <w:bCs w:val="1"/>
                <w:color w:val="auto"/>
              </w:rPr>
              <w:t>Liabilities and Stockholders’ Equity</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92"/>
        </w:trPr>
        <w:tc>
          <w:tcPr>
            <w:tcW w:w="6040" w:type="dxa"/>
            <w:vAlign w:val="bottom"/>
          </w:tcPr>
          <w:p>
            <w:pPr>
              <w:spacing w:after="0"/>
              <w:rPr>
                <w:sz w:val="20"/>
                <w:szCs w:val="20"/>
                <w:color w:val="auto"/>
              </w:rPr>
            </w:pPr>
            <w:r>
              <w:rPr>
                <w:rFonts w:ascii="Arial" w:cs="Arial" w:eastAsia="Arial" w:hAnsi="Arial"/>
                <w:sz w:val="15"/>
                <w:szCs w:val="15"/>
                <w:b w:val="1"/>
                <w:bCs w:val="1"/>
                <w:color w:val="auto"/>
              </w:rPr>
              <w:t>Current liabilities: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rPr>
              <w:t>Current portion of obligations under finance leases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w:t>
            </w:r>
          </w:p>
        </w:tc>
        <w:tc>
          <w:tcPr>
            <w:tcW w:w="24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w:t>
            </w:r>
          </w:p>
        </w:tc>
      </w:tr>
      <w:tr>
        <w:trPr>
          <w:trHeight w:val="192"/>
        </w:trPr>
        <w:tc>
          <w:tcPr>
            <w:tcW w:w="6040" w:type="dxa"/>
            <w:vAlign w:val="bottom"/>
          </w:tcPr>
          <w:p>
            <w:pPr>
              <w:spacing w:after="0"/>
              <w:rPr>
                <w:sz w:val="20"/>
                <w:szCs w:val="20"/>
                <w:color w:val="auto"/>
              </w:rPr>
            </w:pPr>
            <w:r>
              <w:rPr>
                <w:rFonts w:ascii="Arial" w:cs="Arial" w:eastAsia="Arial" w:hAnsi="Arial"/>
                <w:sz w:val="15"/>
                <w:szCs w:val="15"/>
                <w:color w:val="auto"/>
              </w:rPr>
              <w:t>Current portion of obligations under operating leases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19,718</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19,907</w:t>
            </w:r>
          </w:p>
        </w:tc>
      </w:tr>
      <w:tr>
        <w:trPr>
          <w:trHeight w:val="192"/>
        </w:trPr>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rPr>
              <w:t>Accounts payable</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7,391</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7,472</w:t>
            </w:r>
          </w:p>
        </w:tc>
      </w:tr>
      <w:tr>
        <w:trPr>
          <w:trHeight w:val="192"/>
        </w:trPr>
        <w:tc>
          <w:tcPr>
            <w:tcW w:w="6040" w:type="dxa"/>
            <w:vAlign w:val="bottom"/>
          </w:tcPr>
          <w:p>
            <w:pPr>
              <w:spacing w:after="0"/>
              <w:rPr>
                <w:sz w:val="20"/>
                <w:szCs w:val="20"/>
                <w:color w:val="auto"/>
              </w:rPr>
            </w:pPr>
            <w:r>
              <w:rPr>
                <w:rFonts w:ascii="Arial" w:cs="Arial" w:eastAsia="Arial" w:hAnsi="Arial"/>
                <w:sz w:val="15"/>
                <w:szCs w:val="15"/>
                <w:color w:val="auto"/>
              </w:rPr>
              <w:t>Accrued salaries and vacation</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8,050</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10,166</w:t>
            </w:r>
          </w:p>
        </w:tc>
      </w:tr>
      <w:tr>
        <w:trPr>
          <w:trHeight w:val="192"/>
        </w:trPr>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rPr>
              <w:t>Accrued insurance</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11,031</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10,416</w:t>
            </w:r>
          </w:p>
        </w:tc>
      </w:tr>
      <w:tr>
        <w:trPr>
          <w:trHeight w:val="192"/>
        </w:trPr>
        <w:tc>
          <w:tcPr>
            <w:tcW w:w="6040" w:type="dxa"/>
            <w:vAlign w:val="bottom"/>
          </w:tcPr>
          <w:p>
            <w:pPr>
              <w:spacing w:after="0"/>
              <w:rPr>
                <w:sz w:val="20"/>
                <w:szCs w:val="20"/>
                <w:color w:val="auto"/>
              </w:rPr>
            </w:pPr>
            <w:r>
              <w:rPr>
                <w:rFonts w:ascii="Arial" w:cs="Arial" w:eastAsia="Arial" w:hAnsi="Arial"/>
                <w:sz w:val="15"/>
                <w:szCs w:val="15"/>
                <w:color w:val="auto"/>
              </w:rPr>
              <w:t>Accrued income taxes payable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1,094</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2"/>
        </w:trPr>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rPr>
              <w:t>Accrued interest</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w:t>
            </w:r>
          </w:p>
        </w:tc>
      </w:tr>
      <w:tr>
        <w:trPr>
          <w:trHeight w:val="192"/>
        </w:trPr>
        <w:tc>
          <w:tcPr>
            <w:tcW w:w="6040" w:type="dxa"/>
            <w:vAlign w:val="bottom"/>
          </w:tcPr>
          <w:p>
            <w:pPr>
              <w:spacing w:after="0"/>
              <w:rPr>
                <w:sz w:val="20"/>
                <w:szCs w:val="20"/>
                <w:color w:val="auto"/>
              </w:rPr>
            </w:pPr>
            <w:r>
              <w:rPr>
                <w:rFonts w:ascii="Arial" w:cs="Arial" w:eastAsia="Arial" w:hAnsi="Arial"/>
                <w:sz w:val="15"/>
                <w:szCs w:val="15"/>
                <w:color w:val="auto"/>
              </w:rPr>
              <w:t>Current portion of income tax receivable agreement payable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1,638</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1,577</w:t>
            </w:r>
          </w:p>
        </w:tc>
      </w:tr>
      <w:tr>
        <w:trPr>
          <w:trHeight w:val="192"/>
        </w:trPr>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rPr>
              <w:t>Other accrued expenses and current liabilities</w:t>
            </w:r>
          </w:p>
        </w:tc>
        <w:tc>
          <w:tcPr>
            <w:tcW w:w="2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20,546</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16,715</w:t>
            </w:r>
          </w:p>
        </w:tc>
      </w:tr>
      <w:tr>
        <w:trPr>
          <w:trHeight w:val="185"/>
        </w:trPr>
        <w:tc>
          <w:tcPr>
            <w:tcW w:w="6040" w:type="dxa"/>
            <w:vAlign w:val="bottom"/>
          </w:tcPr>
          <w:p>
            <w:pPr>
              <w:spacing w:after="0"/>
              <w:rPr>
                <w:sz w:val="20"/>
                <w:szCs w:val="20"/>
                <w:color w:val="auto"/>
              </w:rPr>
            </w:pPr>
            <w:r>
              <w:rPr>
                <w:rFonts w:ascii="Arial" w:cs="Arial" w:eastAsia="Arial" w:hAnsi="Arial"/>
                <w:sz w:val="15"/>
                <w:szCs w:val="15"/>
                <w:b w:val="1"/>
                <w:bCs w:val="1"/>
                <w:color w:val="auto"/>
              </w:rPr>
              <w:t>Total current liabilities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69,707</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66,412</w:t>
            </w:r>
          </w:p>
        </w:tc>
      </w:tr>
      <w:tr>
        <w:trPr>
          <w:trHeight w:val="192"/>
        </w:trPr>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rPr>
              <w:t>Revolver loan</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40,000</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62,800</w:t>
            </w:r>
          </w:p>
        </w:tc>
      </w:tr>
      <w:tr>
        <w:trPr>
          <w:trHeight w:val="192"/>
        </w:trPr>
        <w:tc>
          <w:tcPr>
            <w:tcW w:w="6040" w:type="dxa"/>
            <w:vAlign w:val="bottom"/>
          </w:tcPr>
          <w:p>
            <w:pPr>
              <w:spacing w:after="0"/>
              <w:rPr>
                <w:sz w:val="20"/>
                <w:szCs w:val="20"/>
                <w:color w:val="auto"/>
              </w:rPr>
            </w:pPr>
            <w:r>
              <w:rPr>
                <w:rFonts w:ascii="Arial" w:cs="Arial" w:eastAsia="Arial" w:hAnsi="Arial"/>
                <w:sz w:val="15"/>
                <w:szCs w:val="15"/>
                <w:color w:val="auto"/>
              </w:rPr>
              <w:t>Obligations under finance leases, net of current portion</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1,742</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1,692</w:t>
            </w:r>
          </w:p>
        </w:tc>
      </w:tr>
      <w:tr>
        <w:trPr>
          <w:trHeight w:val="192"/>
        </w:trPr>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rPr>
              <w:t>Obligations under operating leases, net of current portion</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172,797</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178,658</w:t>
            </w:r>
          </w:p>
        </w:tc>
      </w:tr>
      <w:tr>
        <w:trPr>
          <w:trHeight w:val="192"/>
        </w:trPr>
        <w:tc>
          <w:tcPr>
            <w:tcW w:w="6040" w:type="dxa"/>
            <w:vAlign w:val="bottom"/>
          </w:tcPr>
          <w:p>
            <w:pPr>
              <w:spacing w:after="0"/>
              <w:rPr>
                <w:sz w:val="20"/>
                <w:szCs w:val="20"/>
                <w:color w:val="auto"/>
              </w:rPr>
            </w:pPr>
            <w:r>
              <w:rPr>
                <w:rFonts w:ascii="Arial" w:cs="Arial" w:eastAsia="Arial" w:hAnsi="Arial"/>
                <w:sz w:val="15"/>
                <w:szCs w:val="15"/>
                <w:color w:val="auto"/>
              </w:rPr>
              <w:t>Deferred taxes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6,334</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5,227</w:t>
            </w:r>
          </w:p>
        </w:tc>
      </w:tr>
      <w:tr>
        <w:trPr>
          <w:trHeight w:val="192"/>
        </w:trPr>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rPr>
              <w:t>Income tax receivable agreement payable, net of current portion</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1,432</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1,562</w:t>
            </w:r>
          </w:p>
        </w:tc>
      </w:tr>
      <w:tr>
        <w:trPr>
          <w:trHeight w:val="192"/>
        </w:trPr>
        <w:tc>
          <w:tcPr>
            <w:tcW w:w="60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 noncurrent liabilities</w:t>
            </w:r>
          </w:p>
        </w:tc>
        <w:tc>
          <w:tcPr>
            <w:tcW w:w="2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8,355</w:t>
            </w:r>
          </w:p>
        </w:tc>
        <w:tc>
          <w:tcPr>
            <w:tcW w:w="2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11,292</w:t>
            </w:r>
          </w:p>
        </w:tc>
      </w:tr>
      <w:tr>
        <w:trPr>
          <w:trHeight w:val="185"/>
        </w:trPr>
        <w:tc>
          <w:tcPr>
            <w:tcW w:w="60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liabilities</w:t>
            </w:r>
          </w:p>
        </w:tc>
        <w:tc>
          <w:tcPr>
            <w:tcW w:w="2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300,367</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327,643</w:t>
            </w:r>
          </w:p>
        </w:tc>
      </w:tr>
      <w:tr>
        <w:trPr>
          <w:trHeight w:val="179"/>
        </w:trPr>
        <w:tc>
          <w:tcPr>
            <w:tcW w:w="6040" w:type="dxa"/>
            <w:vAlign w:val="bottom"/>
          </w:tcPr>
          <w:p>
            <w:pPr>
              <w:spacing w:after="0"/>
              <w:rPr>
                <w:sz w:val="20"/>
                <w:szCs w:val="20"/>
                <w:color w:val="auto"/>
              </w:rPr>
            </w:pPr>
            <w:r>
              <w:rPr>
                <w:rFonts w:ascii="Arial" w:cs="Arial" w:eastAsia="Arial" w:hAnsi="Arial"/>
                <w:sz w:val="15"/>
                <w:szCs w:val="15"/>
                <w:b w:val="1"/>
                <w:bCs w:val="1"/>
                <w:color w:val="auto"/>
              </w:rPr>
              <w:t>Commitments and contingencies (Note 7)</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7"/>
        </w:trPr>
        <w:tc>
          <w:tcPr>
            <w:tcW w:w="60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Stockholders’ equity</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2"/>
        </w:trPr>
        <w:tc>
          <w:tcPr>
            <w:tcW w:w="6040" w:type="dxa"/>
            <w:vAlign w:val="bottom"/>
          </w:tcPr>
          <w:p>
            <w:pPr>
              <w:spacing w:after="0"/>
              <w:rPr>
                <w:sz w:val="20"/>
                <w:szCs w:val="20"/>
                <w:color w:val="auto"/>
              </w:rPr>
            </w:pPr>
            <w:r>
              <w:rPr>
                <w:rFonts w:ascii="Arial" w:cs="Arial" w:eastAsia="Arial" w:hAnsi="Arial"/>
                <w:sz w:val="15"/>
                <w:szCs w:val="15"/>
                <w:color w:val="auto"/>
                <w:w w:val="97"/>
              </w:rPr>
              <w:t>Preferred stock, $0.01 par value, 100,000,000 shares authorized; none issued or outstanding</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4"/>
        </w:trPr>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w w:val="97"/>
              </w:rPr>
              <w:t>Common stock, $0.01 par value, 200,000,000 shares authorized; 36,671,447 and 36,423,505</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00"/>
        </w:trPr>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w w:val="95"/>
              </w:rPr>
              <w:t>shares issued and outstanding as of September 29, 2021 and December 30, 2020, respectively</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364</w:t>
            </w:r>
          </w:p>
        </w:tc>
      </w:tr>
      <w:tr>
        <w:trPr>
          <w:trHeight w:val="192"/>
        </w:trPr>
        <w:tc>
          <w:tcPr>
            <w:tcW w:w="6040" w:type="dxa"/>
            <w:vAlign w:val="bottom"/>
          </w:tcPr>
          <w:p>
            <w:pPr>
              <w:spacing w:after="0"/>
              <w:rPr>
                <w:sz w:val="20"/>
                <w:szCs w:val="20"/>
                <w:color w:val="auto"/>
              </w:rPr>
            </w:pPr>
            <w:r>
              <w:rPr>
                <w:rFonts w:ascii="Arial" w:cs="Arial" w:eastAsia="Arial" w:hAnsi="Arial"/>
                <w:sz w:val="15"/>
                <w:szCs w:val="15"/>
                <w:color w:val="auto"/>
              </w:rPr>
              <w:t>Additional paid-in-capital</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342,656</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339,561</w:t>
            </w:r>
          </w:p>
        </w:tc>
      </w:tr>
      <w:tr>
        <w:trPr>
          <w:trHeight w:val="192"/>
        </w:trPr>
        <w:tc>
          <w:tcPr>
            <w:tcW w:w="6040" w:type="dxa"/>
            <w:vAlign w:val="bottom"/>
            <w:shd w:val="clear" w:color="auto" w:fill="CCEEFF"/>
          </w:tcPr>
          <w:p>
            <w:pPr>
              <w:spacing w:after="0"/>
              <w:rPr>
                <w:sz w:val="20"/>
                <w:szCs w:val="20"/>
                <w:color w:val="auto"/>
              </w:rPr>
            </w:pPr>
            <w:r>
              <w:rPr>
                <w:rFonts w:ascii="Arial" w:cs="Arial" w:eastAsia="Arial" w:hAnsi="Arial"/>
                <w:sz w:val="15"/>
                <w:szCs w:val="15"/>
                <w:color w:val="auto"/>
              </w:rPr>
              <w:t>Accumulated deficit</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(38,571)</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(61,514)</w:t>
            </w:r>
          </w:p>
        </w:tc>
      </w:tr>
      <w:tr>
        <w:trPr>
          <w:trHeight w:val="192"/>
        </w:trPr>
        <w:tc>
          <w:tcPr>
            <w:tcW w:w="60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Accumulated other comprehensive loss</w:t>
            </w:r>
          </w:p>
        </w:tc>
        <w:tc>
          <w:tcPr>
            <w:tcW w:w="2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(533)</w:t>
            </w:r>
          </w:p>
        </w:tc>
        <w:tc>
          <w:tcPr>
            <w:tcW w:w="2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(833)</w:t>
            </w:r>
          </w:p>
        </w:tc>
      </w:tr>
      <w:tr>
        <w:trPr>
          <w:trHeight w:val="185"/>
        </w:trPr>
        <w:tc>
          <w:tcPr>
            <w:tcW w:w="60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stockholders’ equity</w:t>
            </w:r>
          </w:p>
        </w:tc>
        <w:tc>
          <w:tcPr>
            <w:tcW w:w="2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303,918</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277,578</w:t>
            </w:r>
          </w:p>
        </w:tc>
      </w:tr>
      <w:tr>
        <w:trPr>
          <w:trHeight w:val="185"/>
        </w:trPr>
        <w:tc>
          <w:tcPr>
            <w:tcW w:w="6040" w:type="dxa"/>
            <w:vAlign w:val="bottom"/>
          </w:tcPr>
          <w:p>
            <w:pPr>
              <w:spacing w:after="0"/>
              <w:rPr>
                <w:sz w:val="20"/>
                <w:szCs w:val="20"/>
                <w:color w:val="auto"/>
              </w:rPr>
            </w:pPr>
            <w:r>
              <w:rPr>
                <w:rFonts w:ascii="Arial" w:cs="Arial" w:eastAsia="Arial" w:hAnsi="Arial"/>
                <w:sz w:val="15"/>
                <w:szCs w:val="15"/>
                <w:b w:val="1"/>
                <w:bCs w:val="1"/>
                <w:color w:val="auto"/>
              </w:rPr>
              <w:t>Total liabilities and stockholders’ equity</w:t>
            </w:r>
          </w:p>
        </w:tc>
        <w:tc>
          <w:tcPr>
            <w:tcW w:w="2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604,285</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605,221</w:t>
            </w:r>
          </w:p>
        </w:tc>
      </w:tr>
      <w:tr>
        <w:trPr>
          <w:trHeight w:val="20"/>
        </w:trPr>
        <w:tc>
          <w:tcPr>
            <w:tcW w:w="6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3" w:name="page4"/>
    <w:bookmarkEnd w:id="3"/>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EL POLLO LOCO HOLDINGS, INC.</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INCOME (UNAUDITED)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(Amounts in thousands, except share data)</w:t>
      </w:r>
    </w:p>
    <w:p>
      <w:pPr>
        <w:spacing w:after="0" w:line="200" w:lineRule="exact"/>
        <w:rPr>
          <w:sz w:val="20"/>
          <w:szCs w:val="20"/>
          <w:color w:val="auto"/>
        </w:rPr>
      </w:pP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4"/>
          </w:tcPr>
          <w:p>
            <w:pPr>
              <w:jc w:val="right"/>
              <w:ind w:right="495"/>
              <w:spacing w:after="0"/>
              <w:rPr>
                <w:sz w:val="20"/>
                <w:szCs w:val="20"/>
                <w:color w:val="auto"/>
              </w:rPr>
            </w:pPr>
            <w:r>
              <w:rPr>
                <w:rFonts w:ascii="Arial" w:cs="Arial" w:eastAsia="Arial" w:hAnsi="Arial"/>
                <w:sz w:val="14"/>
                <w:szCs w:val="14"/>
                <w:b w:val="1"/>
                <w:bCs w:val="1"/>
                <w:color w:val="auto"/>
              </w:rPr>
              <w:t>Thirteen Weeks Ended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33"/>
        </w:trPr>
        <w:tc>
          <w:tcPr>
            <w:tcW w:w="35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20" w:type="dxa"/>
            <w:vAlign w:val="bottom"/>
            <w:tcBorders>
              <w:top w:val="single" w:sz="8" w:color="auto"/>
              <w:bottom w:val="single" w:sz="8" w:color="auto"/>
            </w:tcBorders>
            <w:gridSpan w:val="2"/>
          </w:tcPr>
          <w:p>
            <w:pPr>
              <w:jc w:val="right"/>
              <w:spacing w:after="0" w:line="134" w:lineRule="exact"/>
              <w:rPr>
                <w:sz w:val="20"/>
                <w:szCs w:val="20"/>
                <w:color w:val="auto"/>
              </w:rPr>
            </w:pPr>
            <w:r>
              <w:rPr>
                <w:rFonts w:ascii="Arial" w:cs="Arial" w:eastAsia="Arial" w:hAnsi="Arial"/>
                <w:sz w:val="14"/>
                <w:szCs w:val="14"/>
                <w:b w:val="1"/>
                <w:bCs w:val="1"/>
                <w:color w:val="auto"/>
                <w:w w:val="88"/>
              </w:rPr>
              <w:t>September 29, 2021</w:t>
            </w:r>
          </w:p>
        </w:tc>
        <w:tc>
          <w:tcPr>
            <w:tcW w:w="40" w:type="dxa"/>
            <w:vAlign w:val="bottom"/>
            <w:tcBorders>
              <w:top w:val="single" w:sz="8" w:color="auto"/>
              <w:bottom w:val="single" w:sz="8" w:color="CCEEFF"/>
            </w:tcBorders>
          </w:tcPr>
          <w:p>
            <w:pPr>
              <w:spacing w:after="0"/>
              <w:rPr>
                <w:sz w:val="11"/>
                <w:szCs w:val="11"/>
                <w:color w:val="auto"/>
              </w:rPr>
            </w:pPr>
          </w:p>
        </w:tc>
        <w:tc>
          <w:tcPr>
            <w:tcW w:w="1240" w:type="dxa"/>
            <w:vAlign w:val="bottom"/>
            <w:tcBorders>
              <w:top w:val="single" w:sz="8" w:color="auto"/>
              <w:bottom w:val="single" w:sz="8" w:color="auto"/>
            </w:tcBorders>
            <w:gridSpan w:val="2"/>
          </w:tcPr>
          <w:p>
            <w:pPr>
              <w:jc w:val="right"/>
              <w:spacing w:after="0" w:line="134" w:lineRule="exact"/>
              <w:rPr>
                <w:sz w:val="20"/>
                <w:szCs w:val="20"/>
                <w:color w:val="auto"/>
              </w:rPr>
            </w:pPr>
            <w:r>
              <w:rPr>
                <w:rFonts w:ascii="Arial" w:cs="Arial" w:eastAsia="Arial" w:hAnsi="Arial"/>
                <w:sz w:val="14"/>
                <w:szCs w:val="14"/>
                <w:b w:val="1"/>
                <w:bCs w:val="1"/>
                <w:color w:val="auto"/>
                <w:w w:val="88"/>
              </w:rPr>
              <w:t>September 23, 2020</w:t>
            </w:r>
          </w:p>
        </w:tc>
        <w:tc>
          <w:tcPr>
            <w:tcW w:w="140" w:type="dxa"/>
            <w:vAlign w:val="bottom"/>
            <w:tcBorders>
              <w:bottom w:val="single" w:sz="8" w:color="CCEEFF"/>
            </w:tcBorders>
          </w:tcPr>
          <w:p>
            <w:pPr>
              <w:spacing w:after="0"/>
              <w:rPr>
                <w:sz w:val="11"/>
                <w:szCs w:val="11"/>
                <w:color w:val="auto"/>
              </w:rPr>
            </w:pPr>
          </w:p>
        </w:tc>
        <w:tc>
          <w:tcPr>
            <w:tcW w:w="1220" w:type="dxa"/>
            <w:vAlign w:val="bottom"/>
            <w:tcBorders>
              <w:top w:val="single" w:sz="8" w:color="auto"/>
              <w:bottom w:val="single" w:sz="8" w:color="auto"/>
            </w:tcBorders>
            <w:gridSpan w:val="2"/>
          </w:tcPr>
          <w:p>
            <w:pPr>
              <w:jc w:val="right"/>
              <w:spacing w:after="0" w:line="134" w:lineRule="exact"/>
              <w:rPr>
                <w:sz w:val="20"/>
                <w:szCs w:val="20"/>
                <w:color w:val="auto"/>
              </w:rPr>
            </w:pPr>
            <w:r>
              <w:rPr>
                <w:rFonts w:ascii="Arial" w:cs="Arial" w:eastAsia="Arial" w:hAnsi="Arial"/>
                <w:sz w:val="14"/>
                <w:szCs w:val="14"/>
                <w:b w:val="1"/>
                <w:bCs w:val="1"/>
                <w:color w:val="auto"/>
                <w:w w:val="88"/>
              </w:rPr>
              <w:t>September 29, 2021</w:t>
            </w:r>
          </w:p>
        </w:tc>
        <w:tc>
          <w:tcPr>
            <w:tcW w:w="60" w:type="dxa"/>
            <w:vAlign w:val="bottom"/>
            <w:tcBorders>
              <w:top w:val="single" w:sz="8" w:color="auto"/>
              <w:bottom w:val="single" w:sz="8" w:color="CCEEFF"/>
            </w:tcBorders>
          </w:tcPr>
          <w:p>
            <w:pPr>
              <w:spacing w:after="0"/>
              <w:rPr>
                <w:sz w:val="11"/>
                <w:szCs w:val="11"/>
                <w:color w:val="auto"/>
              </w:rPr>
            </w:pPr>
          </w:p>
        </w:tc>
        <w:tc>
          <w:tcPr>
            <w:tcW w:w="1220" w:type="dxa"/>
            <w:vAlign w:val="bottom"/>
            <w:tcBorders>
              <w:top w:val="single" w:sz="8" w:color="auto"/>
              <w:bottom w:val="single" w:sz="8" w:color="auto"/>
            </w:tcBorders>
            <w:gridSpan w:val="2"/>
          </w:tcPr>
          <w:p>
            <w:pPr>
              <w:jc w:val="right"/>
              <w:spacing w:after="0" w:line="134" w:lineRule="exact"/>
              <w:rPr>
                <w:sz w:val="20"/>
                <w:szCs w:val="20"/>
                <w:color w:val="auto"/>
              </w:rPr>
            </w:pPr>
            <w:r>
              <w:rPr>
                <w:rFonts w:ascii="Arial" w:cs="Arial" w:eastAsia="Arial" w:hAnsi="Arial"/>
                <w:sz w:val="14"/>
                <w:szCs w:val="14"/>
                <w:b w:val="1"/>
                <w:bCs w:val="1"/>
                <w:color w:val="auto"/>
                <w:w w:val="88"/>
              </w:rPr>
              <w:t>September 23, 2020</w:t>
            </w: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3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60" w:type="dxa"/>
            <w:vAlign w:val="bottom"/>
          </w:tcPr>
          <w:p>
            <w:pPr>
              <w:spacing w:after="0"/>
              <w:rPr>
                <w:sz w:val="20"/>
                <w:szCs w:val="20"/>
                <w:color w:val="auto"/>
              </w:rPr>
            </w:pPr>
            <w:r>
              <w:rPr>
                <w:rFonts w:ascii="Arial" w:cs="Arial" w:eastAsia="Arial" w:hAnsi="Arial"/>
                <w:sz w:val="17"/>
                <w:szCs w:val="17"/>
                <w:color w:val="auto"/>
              </w:rPr>
              <w:t>Company-operated restaurant revenue</w:t>
            </w:r>
          </w:p>
        </w:tc>
        <w:tc>
          <w:tcPr>
            <w:tcW w:w="320" w:type="dxa"/>
            <w:vAlign w:val="bottom"/>
            <w:gridSpan w:val="2"/>
          </w:tcPr>
          <w:p>
            <w:pPr>
              <w:jc w:val="right"/>
              <w:ind w:right="89"/>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99,986</w:t>
            </w:r>
          </w:p>
        </w:tc>
        <w:tc>
          <w:tcPr>
            <w:tcW w:w="300" w:type="dxa"/>
            <w:vAlign w:val="bottom"/>
            <w:gridSpan w:val="2"/>
          </w:tcPr>
          <w:p>
            <w:pPr>
              <w:jc w:val="right"/>
              <w:ind w:right="83"/>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97,276</w:t>
            </w:r>
          </w:p>
        </w:tc>
        <w:tc>
          <w:tcPr>
            <w:tcW w:w="380" w:type="dxa"/>
            <w:vAlign w:val="bottom"/>
            <w:gridSpan w:val="2"/>
          </w:tcPr>
          <w:p>
            <w:pPr>
              <w:jc w:val="right"/>
              <w:ind w:right="89"/>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301,117</w:t>
            </w:r>
          </w:p>
        </w:tc>
        <w:tc>
          <w:tcPr>
            <w:tcW w:w="300" w:type="dxa"/>
            <w:vAlign w:val="bottom"/>
            <w:gridSpan w:val="2"/>
          </w:tcPr>
          <w:p>
            <w:pPr>
              <w:jc w:val="right"/>
              <w:ind w:right="89"/>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277,617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Franchise revenue</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8,918</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7,781</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24,919</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21,562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Franchise advertising fee revenue</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6,796</w:t>
            </w:r>
          </w:p>
        </w:tc>
        <w:tc>
          <w:tcPr>
            <w:tcW w:w="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5,922</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19,370</w:t>
            </w:r>
          </w:p>
        </w:tc>
        <w:tc>
          <w:tcPr>
            <w:tcW w:w="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16,567</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revenue</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115,700</w:t>
            </w:r>
          </w:p>
        </w:tc>
        <w:tc>
          <w:tcPr>
            <w:tcW w:w="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110,979</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345,406</w:t>
            </w:r>
          </w:p>
        </w:tc>
        <w:tc>
          <w:tcPr>
            <w:tcW w:w="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315,746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60" w:type="dxa"/>
            <w:vAlign w:val="bottom"/>
          </w:tcPr>
          <w:p>
            <w:pPr>
              <w:spacing w:after="0"/>
              <w:rPr>
                <w:sz w:val="20"/>
                <w:szCs w:val="20"/>
                <w:color w:val="auto"/>
              </w:rPr>
            </w:pPr>
            <w:r>
              <w:rPr>
                <w:rFonts w:ascii="Arial" w:cs="Arial" w:eastAsia="Arial" w:hAnsi="Arial"/>
                <w:sz w:val="17"/>
                <w:szCs w:val="17"/>
                <w:b w:val="1"/>
                <w:bCs w:val="1"/>
                <w:color w:val="auto"/>
              </w:rPr>
              <w:t>Cost of operations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Food and paper cost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26,698</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24,922</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78,971</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73,357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60" w:type="dxa"/>
            <w:vAlign w:val="bottom"/>
          </w:tcPr>
          <w:p>
            <w:pPr>
              <w:spacing w:after="0"/>
              <w:rPr>
                <w:sz w:val="20"/>
                <w:szCs w:val="20"/>
                <w:color w:val="auto"/>
              </w:rPr>
            </w:pPr>
            <w:r>
              <w:rPr>
                <w:rFonts w:ascii="Arial" w:cs="Arial" w:eastAsia="Arial" w:hAnsi="Arial"/>
                <w:sz w:val="17"/>
                <w:szCs w:val="17"/>
                <w:color w:val="auto"/>
              </w:rPr>
              <w:t>Labor and related expenses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27,802</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28,756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90,060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83,208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Occupancy and other operating expenses</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25,108</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23,836</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74,288</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67,867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560" w:type="dxa"/>
            <w:vAlign w:val="bottom"/>
          </w:tcPr>
          <w:p>
            <w:pPr>
              <w:spacing w:after="0" w:line="193" w:lineRule="exact"/>
              <w:rPr>
                <w:sz w:val="20"/>
                <w:szCs w:val="20"/>
                <w:color w:val="auto"/>
              </w:rPr>
            </w:pPr>
            <w:r>
              <w:rPr>
                <w:rFonts w:ascii="Arial" w:cs="Arial" w:eastAsia="Arial" w:hAnsi="Arial"/>
                <w:sz w:val="17"/>
                <w:szCs w:val="17"/>
                <w:color w:val="auto"/>
              </w:rPr>
              <w:t>Gain on recovery of insurance proceeds, lost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profits</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(2,000)</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Company restaurant expenses</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79,608</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75,514</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243,319</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222,432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60" w:type="dxa"/>
            <w:vAlign w:val="bottom"/>
          </w:tcPr>
          <w:p>
            <w:pPr>
              <w:spacing w:after="0"/>
              <w:rPr>
                <w:sz w:val="20"/>
                <w:szCs w:val="20"/>
                <w:color w:val="auto"/>
              </w:rPr>
            </w:pPr>
            <w:r>
              <w:rPr>
                <w:rFonts w:ascii="Arial" w:cs="Arial" w:eastAsia="Arial" w:hAnsi="Arial"/>
                <w:sz w:val="17"/>
                <w:szCs w:val="17"/>
                <w:color w:val="auto"/>
              </w:rPr>
              <w:t>General and administrative expenses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9,357</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9,803</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30,354</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29,599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Franchise expenses</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8,545</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7,572</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24,457</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21,110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6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3,685</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4,092</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11,540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12,629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Loss on disposal of assets</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560" w:type="dxa"/>
            <w:vAlign w:val="bottom"/>
          </w:tcPr>
          <w:p>
            <w:pPr>
              <w:spacing w:after="0" w:line="193" w:lineRule="exact"/>
              <w:rPr>
                <w:sz w:val="20"/>
                <w:szCs w:val="20"/>
                <w:color w:val="auto"/>
              </w:rPr>
            </w:pPr>
            <w:r>
              <w:rPr>
                <w:rFonts w:ascii="Arial" w:cs="Arial" w:eastAsia="Arial" w:hAnsi="Arial"/>
                <w:sz w:val="17"/>
                <w:szCs w:val="17"/>
                <w:color w:val="auto"/>
              </w:rPr>
              <w:t>Recovery of securities lawsuits related legal</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7"/>
                <w:szCs w:val="17"/>
                <w:color w:val="auto"/>
              </w:rPr>
              <w:t>expenses and other insurance claims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Loss on disposition of restaurants</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1,534</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35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Impairment and closed-store reserves</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w:t>
            </w:r>
          </w:p>
        </w:tc>
        <w:tc>
          <w:tcPr>
            <w:tcW w:w="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1,776</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1,091</w:t>
            </w:r>
          </w:p>
        </w:tc>
        <w:tc>
          <w:tcPr>
            <w:tcW w:w="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4,615</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expenses</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101,455</w:t>
            </w:r>
          </w:p>
        </w:tc>
        <w:tc>
          <w:tcPr>
            <w:tcW w:w="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98,786</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312,489</w:t>
            </w:r>
          </w:p>
        </w:tc>
        <w:tc>
          <w:tcPr>
            <w:tcW w:w="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290,418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60" w:type="dxa"/>
            <w:vAlign w:val="bottom"/>
          </w:tcPr>
          <w:p>
            <w:pPr>
              <w:spacing w:after="0"/>
              <w:rPr>
                <w:sz w:val="20"/>
                <w:szCs w:val="20"/>
                <w:color w:val="auto"/>
              </w:rPr>
            </w:pPr>
            <w:r>
              <w:rPr>
                <w:rFonts w:ascii="Arial" w:cs="Arial" w:eastAsia="Arial" w:hAnsi="Arial"/>
                <w:sz w:val="17"/>
                <w:szCs w:val="17"/>
                <w:b w:val="1"/>
                <w:bCs w:val="1"/>
                <w:color w:val="auto"/>
              </w:rPr>
              <w:t>Income from operations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14,245</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12,193</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32,917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25,328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770</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1,399</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560" w:type="dxa"/>
            <w:vAlign w:val="bottom"/>
          </w:tcPr>
          <w:p>
            <w:pPr>
              <w:spacing w:after="0" w:line="193" w:lineRule="exact"/>
              <w:rPr>
                <w:sz w:val="20"/>
                <w:szCs w:val="20"/>
                <w:color w:val="auto"/>
              </w:rPr>
            </w:pPr>
            <w:r>
              <w:rPr>
                <w:rFonts w:ascii="Arial" w:cs="Arial" w:eastAsia="Arial" w:hAnsi="Arial"/>
                <w:sz w:val="17"/>
                <w:szCs w:val="17"/>
                <w:color w:val="auto"/>
              </w:rPr>
              <w:t>Income tax receivable agreement expense</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(income)</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w:t>
            </w: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Income before provision for income taxes</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13,815</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11,567</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31,587</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22,719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Provision for income taxes</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3,654</w:t>
            </w:r>
          </w:p>
        </w:tc>
        <w:tc>
          <w:tcPr>
            <w:tcW w:w="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1,647</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8,644</w:t>
            </w:r>
          </w:p>
        </w:tc>
        <w:tc>
          <w:tcPr>
            <w:tcW w:w="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3,700</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10,161</w:t>
            </w: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9,920</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22,943</w:t>
            </w:r>
          </w:p>
        </w:tc>
        <w:tc>
          <w:tcPr>
            <w:tcW w:w="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19,019</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7"/>
                <w:szCs w:val="17"/>
                <w:b w:val="1"/>
                <w:bCs w:val="1"/>
                <w:color w:val="auto"/>
              </w:rPr>
              <w:t>Net income per share</w:t>
            </w: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Basic</w:t>
            </w:r>
          </w:p>
        </w:tc>
        <w:tc>
          <w:tcPr>
            <w:tcW w:w="320" w:type="dxa"/>
            <w:vAlign w:val="bottom"/>
            <w:gridSpan w:val="2"/>
            <w:shd w:val="clear" w:color="auto" w:fill="CCEEFF"/>
          </w:tcPr>
          <w:p>
            <w:pPr>
              <w:jc w:val="right"/>
              <w:ind w:right="89"/>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0.28</w:t>
            </w:r>
          </w:p>
        </w:tc>
        <w:tc>
          <w:tcPr>
            <w:tcW w:w="300" w:type="dxa"/>
            <w:vAlign w:val="bottom"/>
            <w:gridSpan w:val="2"/>
            <w:shd w:val="clear" w:color="auto" w:fill="CCEEFF"/>
          </w:tcPr>
          <w:p>
            <w:pPr>
              <w:jc w:val="right"/>
              <w:ind w:right="8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0.28</w:t>
            </w:r>
          </w:p>
        </w:tc>
        <w:tc>
          <w:tcPr>
            <w:tcW w:w="380" w:type="dxa"/>
            <w:vAlign w:val="bottom"/>
            <w:gridSpan w:val="2"/>
            <w:shd w:val="clear" w:color="auto" w:fill="CCEEFF"/>
          </w:tcPr>
          <w:p>
            <w:pPr>
              <w:jc w:val="right"/>
              <w:ind w:right="89"/>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0.64</w:t>
            </w:r>
          </w:p>
        </w:tc>
        <w:tc>
          <w:tcPr>
            <w:tcW w:w="300" w:type="dxa"/>
            <w:vAlign w:val="bottom"/>
            <w:gridSpan w:val="2"/>
            <w:shd w:val="clear" w:color="auto" w:fill="CCEEFF"/>
          </w:tcPr>
          <w:p>
            <w:pPr>
              <w:jc w:val="right"/>
              <w:ind w:right="89"/>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60" w:type="dxa"/>
            <w:vAlign w:val="bottom"/>
          </w:tcPr>
          <w:p>
            <w:pPr>
              <w:spacing w:after="0"/>
              <w:rPr>
                <w:sz w:val="20"/>
                <w:szCs w:val="20"/>
                <w:color w:val="auto"/>
              </w:rPr>
            </w:pPr>
            <w:r>
              <w:rPr>
                <w:rFonts w:ascii="Arial" w:cs="Arial" w:eastAsia="Arial" w:hAnsi="Arial"/>
                <w:sz w:val="17"/>
                <w:szCs w:val="17"/>
                <w:color w:val="auto"/>
              </w:rPr>
              <w:t>Diluted</w:t>
            </w:r>
          </w:p>
        </w:tc>
        <w:tc>
          <w:tcPr>
            <w:tcW w:w="320" w:type="dxa"/>
            <w:vAlign w:val="bottom"/>
            <w:gridSpan w:val="2"/>
          </w:tcPr>
          <w:p>
            <w:pPr>
              <w:jc w:val="right"/>
              <w:ind w:right="89"/>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0.28</w:t>
            </w:r>
          </w:p>
        </w:tc>
        <w:tc>
          <w:tcPr>
            <w:tcW w:w="300" w:type="dxa"/>
            <w:vAlign w:val="bottom"/>
            <w:gridSpan w:val="2"/>
          </w:tcPr>
          <w:p>
            <w:pPr>
              <w:jc w:val="right"/>
              <w:ind w:right="83"/>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0.28</w:t>
            </w:r>
          </w:p>
        </w:tc>
        <w:tc>
          <w:tcPr>
            <w:tcW w:w="380" w:type="dxa"/>
            <w:vAlign w:val="bottom"/>
            <w:gridSpan w:val="2"/>
          </w:tcPr>
          <w:p>
            <w:pPr>
              <w:jc w:val="right"/>
              <w:ind w:right="89"/>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0.63</w:t>
            </w:r>
          </w:p>
        </w:tc>
        <w:tc>
          <w:tcPr>
            <w:tcW w:w="300" w:type="dxa"/>
            <w:vAlign w:val="bottom"/>
            <w:gridSpan w:val="2"/>
          </w:tcPr>
          <w:p>
            <w:pPr>
              <w:jc w:val="right"/>
              <w:ind w:right="89"/>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0.53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5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w w:val="90"/>
              </w:rPr>
              <w:t>Weighted-average shares used in computing net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income per share</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560" w:type="dxa"/>
            <w:vAlign w:val="bottom"/>
          </w:tcPr>
          <w:p>
            <w:pPr>
              <w:spacing w:after="0"/>
              <w:rPr>
                <w:sz w:val="20"/>
                <w:szCs w:val="20"/>
                <w:color w:val="auto"/>
              </w:rPr>
            </w:pPr>
            <w:r>
              <w:rPr>
                <w:rFonts w:ascii="Arial" w:cs="Arial" w:eastAsia="Arial" w:hAnsi="Arial"/>
                <w:sz w:val="17"/>
                <w:szCs w:val="17"/>
                <w:color w:val="auto"/>
              </w:rPr>
              <w:t>Basic</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36,067,754</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35,471,452</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35,930,246</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34,989,007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Diluted</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36,525,424</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36,064,559</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36,457,110</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35,609,320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4" w:name="page5"/>
    <w:bookmarkEnd w:id="4"/>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EL POLLO LOCO HOLDINGS, INC.</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COMPREHENSIVE INCOME (UNAUDITED)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(Amounts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Thirteen Weeks Ended</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33"/>
        </w:trPr>
        <w:tc>
          <w:tcPr>
            <w:tcW w:w="3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jc w:val="right"/>
              <w:spacing w:after="0" w:line="134" w:lineRule="exact"/>
              <w:rPr>
                <w:sz w:val="20"/>
                <w:szCs w:val="20"/>
                <w:color w:val="auto"/>
              </w:rPr>
            </w:pPr>
            <w:r>
              <w:rPr>
                <w:rFonts w:ascii="Arial" w:cs="Arial" w:eastAsia="Arial" w:hAnsi="Arial"/>
                <w:sz w:val="14"/>
                <w:szCs w:val="14"/>
                <w:b w:val="1"/>
                <w:bCs w:val="1"/>
                <w:color w:val="auto"/>
                <w:w w:val="88"/>
              </w:rPr>
              <w:t>September 29, 2021</w:t>
            </w:r>
          </w:p>
        </w:tc>
        <w:tc>
          <w:tcPr>
            <w:tcW w:w="120" w:type="dxa"/>
            <w:vAlign w:val="bottom"/>
          </w:tcPr>
          <w:p>
            <w:pPr>
              <w:spacing w:after="0"/>
              <w:rPr>
                <w:sz w:val="11"/>
                <w:szCs w:val="11"/>
                <w:color w:val="auto"/>
              </w:rPr>
            </w:pPr>
          </w:p>
        </w:tc>
        <w:tc>
          <w:tcPr>
            <w:tcW w:w="1240" w:type="dxa"/>
            <w:vAlign w:val="bottom"/>
            <w:gridSpan w:val="2"/>
          </w:tcPr>
          <w:p>
            <w:pPr>
              <w:jc w:val="right"/>
              <w:spacing w:after="0" w:line="134" w:lineRule="exact"/>
              <w:rPr>
                <w:sz w:val="20"/>
                <w:szCs w:val="20"/>
                <w:color w:val="auto"/>
              </w:rPr>
            </w:pPr>
            <w:r>
              <w:rPr>
                <w:rFonts w:ascii="Arial" w:cs="Arial" w:eastAsia="Arial" w:hAnsi="Arial"/>
                <w:sz w:val="14"/>
                <w:szCs w:val="14"/>
                <w:b w:val="1"/>
                <w:bCs w:val="1"/>
                <w:color w:val="auto"/>
                <w:w w:val="88"/>
              </w:rPr>
              <w:t>September 23, 2020</w:t>
            </w:r>
          </w:p>
        </w:tc>
        <w:tc>
          <w:tcPr>
            <w:tcW w:w="140" w:type="dxa"/>
            <w:vAlign w:val="bottom"/>
          </w:tcPr>
          <w:p>
            <w:pPr>
              <w:spacing w:after="0"/>
              <w:rPr>
                <w:sz w:val="11"/>
                <w:szCs w:val="11"/>
                <w:color w:val="auto"/>
              </w:rPr>
            </w:pPr>
          </w:p>
        </w:tc>
        <w:tc>
          <w:tcPr>
            <w:tcW w:w="1380" w:type="dxa"/>
            <w:vAlign w:val="bottom"/>
            <w:gridSpan w:val="3"/>
          </w:tcPr>
          <w:p>
            <w:pPr>
              <w:ind w:left="40"/>
              <w:spacing w:after="0" w:line="134" w:lineRule="exact"/>
              <w:rPr>
                <w:sz w:val="20"/>
                <w:szCs w:val="20"/>
                <w:color w:val="auto"/>
              </w:rPr>
            </w:pPr>
            <w:r>
              <w:rPr>
                <w:rFonts w:ascii="Arial" w:cs="Arial" w:eastAsia="Arial" w:hAnsi="Arial"/>
                <w:sz w:val="14"/>
                <w:szCs w:val="14"/>
                <w:b w:val="1"/>
                <w:bCs w:val="1"/>
                <w:color w:val="auto"/>
              </w:rPr>
              <w:t>September 29, 2021</w:t>
            </w:r>
          </w:p>
        </w:tc>
        <w:tc>
          <w:tcPr>
            <w:tcW w:w="20" w:type="dxa"/>
            <w:vAlign w:val="bottom"/>
          </w:tcPr>
          <w:p>
            <w:pPr>
              <w:spacing w:after="0"/>
              <w:rPr>
                <w:sz w:val="11"/>
                <w:szCs w:val="11"/>
                <w:color w:val="auto"/>
              </w:rPr>
            </w:pPr>
          </w:p>
        </w:tc>
        <w:tc>
          <w:tcPr>
            <w:tcW w:w="1200" w:type="dxa"/>
            <w:vAlign w:val="bottom"/>
            <w:gridSpan w:val="2"/>
          </w:tcPr>
          <w:p>
            <w:pPr>
              <w:jc w:val="right"/>
              <w:spacing w:after="0" w:line="134" w:lineRule="exact"/>
              <w:rPr>
                <w:sz w:val="20"/>
                <w:szCs w:val="20"/>
                <w:color w:val="auto"/>
              </w:rPr>
            </w:pPr>
            <w:r>
              <w:rPr>
                <w:rFonts w:ascii="Arial" w:cs="Arial" w:eastAsia="Arial" w:hAnsi="Arial"/>
                <w:sz w:val="14"/>
                <w:szCs w:val="14"/>
                <w:b w:val="1"/>
                <w:bCs w:val="1"/>
                <w:color w:val="auto"/>
                <w:w w:val="87"/>
              </w:rPr>
              <w:t>September 23, 2020</w:t>
            </w:r>
          </w:p>
        </w:tc>
        <w:tc>
          <w:tcPr>
            <w:tcW w:w="140" w:type="dxa"/>
            <w:vAlign w:val="bottom"/>
          </w:tcPr>
          <w:p>
            <w:pPr>
              <w:spacing w:after="0"/>
              <w:rPr>
                <w:sz w:val="11"/>
                <w:szCs w:val="11"/>
                <w:color w:val="auto"/>
              </w:rPr>
            </w:pPr>
          </w:p>
        </w:tc>
      </w:tr>
      <w:tr>
        <w:trPr>
          <w:trHeight w:val="197"/>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w:t>
            </w:r>
          </w:p>
        </w:tc>
        <w:tc>
          <w:tcPr>
            <w:tcW w:w="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10,161</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4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9,920</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22,943</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545"/>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19,019</w:t>
            </w:r>
          </w:p>
        </w:tc>
        <w:tc>
          <w:tcPr>
            <w:tcW w:w="140" w:type="dxa"/>
            <w:vAlign w:val="bottom"/>
            <w:tcBorders>
              <w:top w:val="single" w:sz="8" w:color="CCEEFF"/>
            </w:tcBorders>
            <w:shd w:val="clear" w:color="auto" w:fill="CCEEFF"/>
          </w:tcPr>
          <w:p>
            <w:pPr>
              <w:spacing w:after="0"/>
              <w:rPr>
                <w:sz w:val="17"/>
                <w:szCs w:val="17"/>
                <w:color w:val="auto"/>
              </w:rPr>
            </w:pPr>
          </w:p>
        </w:tc>
      </w:tr>
      <w:tr>
        <w:trPr>
          <w:trHeight w:val="205"/>
        </w:trPr>
        <w:tc>
          <w:tcPr>
            <w:tcW w:w="3380" w:type="dxa"/>
            <w:vAlign w:val="bottom"/>
          </w:tcPr>
          <w:p>
            <w:pPr>
              <w:spacing w:after="0"/>
              <w:rPr>
                <w:sz w:val="20"/>
                <w:szCs w:val="20"/>
                <w:color w:val="auto"/>
              </w:rPr>
            </w:pPr>
            <w:r>
              <w:rPr>
                <w:rFonts w:ascii="Arial" w:cs="Arial" w:eastAsia="Arial" w:hAnsi="Arial"/>
                <w:sz w:val="17"/>
                <w:szCs w:val="17"/>
                <w:color w:val="auto"/>
              </w:rPr>
              <w:t>Other comprehensive income (loss)</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33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Changes in derivative instruments</w:t>
            </w: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2"/>
        </w:trPr>
        <w:tc>
          <w:tcPr>
            <w:tcW w:w="3380" w:type="dxa"/>
            <w:vAlign w:val="bottom"/>
          </w:tcPr>
          <w:p>
            <w:pPr>
              <w:ind w:left="220"/>
              <w:spacing w:after="0" w:line="193" w:lineRule="exact"/>
              <w:rPr>
                <w:sz w:val="20"/>
                <w:szCs w:val="20"/>
                <w:color w:val="auto"/>
              </w:rPr>
            </w:pPr>
            <w:r>
              <w:rPr>
                <w:rFonts w:ascii="Arial" w:cs="Arial" w:eastAsia="Arial" w:hAnsi="Arial"/>
                <w:sz w:val="17"/>
                <w:szCs w:val="17"/>
                <w:color w:val="auto"/>
                <w:w w:val="96"/>
              </w:rPr>
              <w:t>Unrealized net (losses) gains arising during</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7"/>
        </w:trPr>
        <w:tc>
          <w:tcPr>
            <w:tcW w:w="3380" w:type="dxa"/>
            <w:vAlign w:val="bottom"/>
          </w:tcPr>
          <w:p>
            <w:pPr>
              <w:ind w:left="220"/>
              <w:spacing w:after="0"/>
              <w:rPr>
                <w:sz w:val="20"/>
                <w:szCs w:val="20"/>
                <w:color w:val="auto"/>
              </w:rPr>
            </w:pPr>
            <w:r>
              <w:rPr>
                <w:rFonts w:ascii="Arial" w:cs="Arial" w:eastAsia="Arial" w:hAnsi="Arial"/>
                <w:sz w:val="17"/>
                <w:szCs w:val="17"/>
                <w:color w:val="auto"/>
              </w:rPr>
              <w:t>the period from interest rate swap</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6"/>
              </w:rPr>
              <w:t>(1,791)</w:t>
            </w:r>
          </w:p>
        </w:tc>
        <w:tc>
          <w:tcPr>
            <w:tcW w:w="140" w:type="dxa"/>
            <w:vAlign w:val="bottom"/>
          </w:tcPr>
          <w:p>
            <w:pPr>
              <w:spacing w:after="0"/>
              <w:rPr>
                <w:sz w:val="18"/>
                <w:szCs w:val="18"/>
                <w:color w:val="auto"/>
              </w:rPr>
            </w:pPr>
          </w:p>
        </w:tc>
      </w:tr>
      <w:tr>
        <w:trPr>
          <w:trHeight w:val="205"/>
        </w:trPr>
        <w:tc>
          <w:tcPr>
            <w:tcW w:w="338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8"/>
              </w:rPr>
              <w:t>Reclassifications of losses into net income</w:t>
            </w: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140" w:type="dxa"/>
            <w:vAlign w:val="bottom"/>
            <w:shd w:val="clear" w:color="auto" w:fill="CCEEFF"/>
          </w:tcPr>
          <w:p>
            <w:pPr>
              <w:spacing w:after="0"/>
              <w:rPr>
                <w:sz w:val="17"/>
                <w:szCs w:val="17"/>
                <w:color w:val="auto"/>
              </w:rPr>
            </w:pPr>
          </w:p>
        </w:tc>
      </w:tr>
      <w:tr>
        <w:trPr>
          <w:trHeight w:val="205"/>
        </w:trPr>
        <w:tc>
          <w:tcPr>
            <w:tcW w:w="33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Income tax (expense) benefit</w:t>
            </w:r>
          </w:p>
        </w:tc>
        <w:tc>
          <w:tcPr>
            <w:tcW w:w="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441</w:t>
            </w:r>
          </w:p>
        </w:tc>
        <w:tc>
          <w:tcPr>
            <w:tcW w:w="140" w:type="dxa"/>
            <w:vAlign w:val="bottom"/>
            <w:tcBorders>
              <w:bottom w:val="single" w:sz="8" w:color="CCEEFF"/>
            </w:tcBorders>
          </w:tcPr>
          <w:p>
            <w:pPr>
              <w:spacing w:after="0"/>
              <w:rPr>
                <w:sz w:val="17"/>
                <w:szCs w:val="17"/>
                <w:color w:val="auto"/>
              </w:rPr>
            </w:pPr>
          </w:p>
        </w:tc>
      </w:tr>
      <w:tr>
        <w:trPr>
          <w:trHeight w:val="197"/>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w w:val="91"/>
              </w:rPr>
              <w:t>Other comprehensive income (loss), net of taxes</w:t>
            </w:r>
          </w:p>
        </w:tc>
        <w:tc>
          <w:tcPr>
            <w:tcW w:w="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2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(1,194)</w:t>
            </w:r>
          </w:p>
        </w:tc>
        <w:tc>
          <w:tcPr>
            <w:tcW w:w="140" w:type="dxa"/>
            <w:vAlign w:val="bottom"/>
            <w:shd w:val="clear" w:color="auto" w:fill="CCEEFF"/>
          </w:tcPr>
          <w:p>
            <w:pPr>
              <w:spacing w:after="0"/>
              <w:rPr>
                <w:sz w:val="17"/>
                <w:szCs w:val="17"/>
                <w:color w:val="auto"/>
              </w:rPr>
            </w:pPr>
          </w:p>
        </w:tc>
      </w:tr>
      <w:tr>
        <w:trPr>
          <w:trHeight w:val="197"/>
        </w:trPr>
        <w:tc>
          <w:tcPr>
            <w:tcW w:w="3380" w:type="dxa"/>
            <w:vAlign w:val="bottom"/>
          </w:tcPr>
          <w:p>
            <w:pPr>
              <w:spacing w:after="0"/>
              <w:rPr>
                <w:sz w:val="20"/>
                <w:szCs w:val="20"/>
                <w:color w:val="auto"/>
              </w:rPr>
            </w:pPr>
            <w:r>
              <w:rPr>
                <w:rFonts w:ascii="Arial" w:cs="Arial" w:eastAsia="Arial" w:hAnsi="Arial"/>
                <w:sz w:val="17"/>
                <w:szCs w:val="17"/>
                <w:color w:val="auto"/>
              </w:rPr>
              <w:t>Comprehensive income</w:t>
            </w:r>
          </w:p>
        </w:tc>
        <w:tc>
          <w:tcPr>
            <w:tcW w:w="60" w:type="dxa"/>
            <w:vAlign w:val="bottom"/>
          </w:tcPr>
          <w:p>
            <w:pPr>
              <w:spacing w:after="0"/>
              <w:rPr>
                <w:sz w:val="17"/>
                <w:szCs w:val="17"/>
                <w:color w:val="auto"/>
              </w:rPr>
            </w:pP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10,235</w:t>
            </w:r>
          </w:p>
        </w:tc>
        <w:tc>
          <w:tcPr>
            <w:tcW w:w="120" w:type="dxa"/>
            <w:vAlign w:val="bottom"/>
          </w:tcPr>
          <w:p>
            <w:pPr>
              <w:spacing w:after="0"/>
              <w:rPr>
                <w:sz w:val="17"/>
                <w:szCs w:val="17"/>
                <w:color w:val="auto"/>
              </w:rPr>
            </w:pPr>
          </w:p>
        </w:tc>
        <w:tc>
          <w:tcPr>
            <w:tcW w:w="700" w:type="dxa"/>
            <w:vAlign w:val="bottom"/>
            <w:tcBorders>
              <w:bottom w:val="single" w:sz="8" w:color="auto"/>
            </w:tcBorders>
          </w:tcPr>
          <w:p>
            <w:pPr>
              <w:jc w:val="right"/>
              <w:ind w:right="548"/>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9,978</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23,243</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45"/>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17,825</w:t>
            </w:r>
          </w:p>
        </w:tc>
        <w:tc>
          <w:tcPr>
            <w:tcW w:w="140" w:type="dxa"/>
            <w:vAlign w:val="bottom"/>
          </w:tcPr>
          <w:p>
            <w:pPr>
              <w:spacing w:after="0"/>
              <w:rPr>
                <w:sz w:val="17"/>
                <w:szCs w:val="17"/>
                <w:color w:val="auto"/>
              </w:rPr>
            </w:pPr>
          </w:p>
        </w:tc>
      </w:tr>
      <w:tr>
        <w:trPr>
          <w:trHeight w:val="20"/>
        </w:trPr>
        <w:tc>
          <w:tcPr>
            <w:tcW w:w="3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5" w:name="page6"/>
    <w:bookmarkEnd w:id="5"/>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EL POLLO LOCO HOLDINGS, INC.</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CHANGES IN STOCKHOLDERS’ EQUITY (UNAUDITED)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(Amounts in thousands, except share data)</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gridSpan w:val="13"/>
          </w:tcPr>
          <w:p>
            <w:pPr>
              <w:ind w:left="480"/>
              <w:spacing w:after="0"/>
              <w:rPr>
                <w:sz w:val="20"/>
                <w:szCs w:val="20"/>
                <w:color w:val="auto"/>
              </w:rPr>
            </w:pPr>
            <w:r>
              <w:rPr>
                <w:rFonts w:ascii="Arial" w:cs="Arial" w:eastAsia="Arial" w:hAnsi="Arial"/>
                <w:sz w:val="14"/>
                <w:szCs w:val="14"/>
                <w:b w:val="1"/>
                <w:bCs w:val="1"/>
                <w:color w:val="auto"/>
              </w:rPr>
              <w:t>Thirteen Weeks Ended September 29, 2021</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220"/>
              <w:spacing w:after="0" w:line="113" w:lineRule="exact"/>
              <w:rPr>
                <w:sz w:val="20"/>
                <w:szCs w:val="20"/>
                <w:color w:val="auto"/>
              </w:rPr>
            </w:pPr>
            <w:r>
              <w:rPr>
                <w:rFonts w:ascii="Arial" w:cs="Arial" w:eastAsia="Arial" w:hAnsi="Arial"/>
                <w:sz w:val="12"/>
                <w:szCs w:val="12"/>
                <w:b w:val="1"/>
                <w:bCs w:val="1"/>
                <w:color w:val="auto"/>
              </w:rPr>
              <w:t>Accumulated</w:t>
            </w: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0"/>
              </w:rPr>
              <w:t>Additional</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720" w:type="dxa"/>
            <w:vAlign w:val="bottom"/>
          </w:tcPr>
          <w:p>
            <w:pPr>
              <w:jc w:val="center"/>
              <w:ind w:right="98"/>
              <w:spacing w:after="0" w:line="141"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1"/>
        </w:trPr>
        <w:tc>
          <w:tcPr>
            <w:tcW w:w="3120" w:type="dxa"/>
            <w:vAlign w:val="bottom"/>
          </w:tcPr>
          <w:p>
            <w:pPr>
              <w:spacing w:after="0"/>
              <w:rPr>
                <w:sz w:val="14"/>
                <w:szCs w:val="14"/>
                <w:color w:val="auto"/>
              </w:rPr>
            </w:pPr>
          </w:p>
        </w:tc>
        <w:tc>
          <w:tcPr>
            <w:tcW w:w="18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Paid-in</w:t>
            </w:r>
          </w:p>
        </w:tc>
        <w:tc>
          <w:tcPr>
            <w:tcW w:w="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Comprehensive</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33"/>
        </w:trPr>
        <w:tc>
          <w:tcPr>
            <w:tcW w:w="3120" w:type="dxa"/>
            <w:vAlign w:val="bottom"/>
          </w:tcPr>
          <w:p>
            <w:pPr>
              <w:spacing w:after="0"/>
              <w:rPr>
                <w:sz w:val="11"/>
                <w:szCs w:val="11"/>
                <w:color w:val="auto"/>
              </w:rPr>
            </w:pPr>
          </w:p>
        </w:tc>
        <w:tc>
          <w:tcPr>
            <w:tcW w:w="1080" w:type="dxa"/>
            <w:vAlign w:val="bottom"/>
            <w:tcBorders>
              <w:top w:val="single" w:sz="8" w:color="auto"/>
            </w:tcBorders>
            <w:gridSpan w:val="2"/>
          </w:tcPr>
          <w:p>
            <w:pPr>
              <w:jc w:val="right"/>
              <w:ind w:right="420"/>
              <w:spacing w:after="0" w:line="134"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40"/>
              <w:spacing w:after="0" w:line="134" w:lineRule="exact"/>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1"/>
                <w:szCs w:val="11"/>
                <w:color w:val="auto"/>
              </w:rPr>
            </w:pPr>
          </w:p>
        </w:tc>
        <w:tc>
          <w:tcPr>
            <w:tcW w:w="740" w:type="dxa"/>
            <w:vAlign w:val="bottom"/>
            <w:gridSpan w:val="2"/>
          </w:tcPr>
          <w:p>
            <w:pPr>
              <w:jc w:val="center"/>
              <w:ind w:right="220"/>
              <w:spacing w:after="0" w:line="134" w:lineRule="exact"/>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1"/>
                <w:szCs w:val="11"/>
                <w:color w:val="auto"/>
              </w:rPr>
            </w:pPr>
          </w:p>
        </w:tc>
        <w:tc>
          <w:tcPr>
            <w:tcW w:w="1100" w:type="dxa"/>
            <w:vAlign w:val="bottom"/>
            <w:gridSpan w:val="3"/>
          </w:tcPr>
          <w:p>
            <w:pPr>
              <w:jc w:val="center"/>
              <w:ind w:right="140"/>
              <w:spacing w:after="0" w:line="134" w:lineRule="exact"/>
              <w:rPr>
                <w:sz w:val="20"/>
                <w:szCs w:val="20"/>
                <w:color w:val="auto"/>
              </w:rPr>
            </w:pPr>
            <w:r>
              <w:rPr>
                <w:rFonts w:ascii="Arial" w:cs="Arial" w:eastAsia="Arial" w:hAnsi="Arial"/>
                <w:sz w:val="14"/>
                <w:szCs w:val="14"/>
                <w:b w:val="1"/>
                <w:bCs w:val="1"/>
                <w:color w:val="auto"/>
                <w:w w:val="88"/>
              </w:rPr>
              <w:t>(Loss) Income</w:t>
            </w:r>
          </w:p>
        </w:tc>
        <w:tc>
          <w:tcPr>
            <w:tcW w:w="180" w:type="dxa"/>
            <w:vAlign w:val="bottom"/>
          </w:tcPr>
          <w:p>
            <w:pPr>
              <w:spacing w:after="0"/>
              <w:rPr>
                <w:sz w:val="11"/>
                <w:szCs w:val="11"/>
                <w:color w:val="auto"/>
              </w:rPr>
            </w:pPr>
          </w:p>
        </w:tc>
        <w:tc>
          <w:tcPr>
            <w:tcW w:w="720" w:type="dxa"/>
            <w:vAlign w:val="bottom"/>
          </w:tcPr>
          <w:p>
            <w:pPr>
              <w:jc w:val="center"/>
              <w:ind w:right="78"/>
              <w:spacing w:after="0" w:line="134"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7"/>
        </w:trPr>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June 30, 2021</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36,637,761</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367</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341,358</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(48,732)</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(607)</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292,386</w:t>
            </w:r>
          </w:p>
        </w:tc>
        <w:tc>
          <w:tcPr>
            <w:tcW w:w="0" w:type="dxa"/>
            <w:vAlign w:val="bottom"/>
          </w:tcPr>
          <w:p>
            <w:pPr>
              <w:spacing w:after="0"/>
              <w:rPr>
                <w:sz w:val="1"/>
                <w:szCs w:val="1"/>
                <w:color w:val="auto"/>
              </w:rPr>
            </w:pPr>
          </w:p>
        </w:tc>
      </w:tr>
      <w:tr>
        <w:trPr>
          <w:trHeight w:val="205"/>
        </w:trPr>
        <w:tc>
          <w:tcPr>
            <w:tcW w:w="312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1,042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1,042</w:t>
            </w:r>
          </w:p>
        </w:tc>
        <w:tc>
          <w:tcPr>
            <w:tcW w:w="0" w:type="dxa"/>
            <w:vAlign w:val="bottom"/>
          </w:tcPr>
          <w:p>
            <w:pPr>
              <w:spacing w:after="0"/>
              <w:rPr>
                <w:sz w:val="1"/>
                <w:szCs w:val="1"/>
                <w:color w:val="auto"/>
              </w:rPr>
            </w:pPr>
          </w:p>
        </w:tc>
      </w:tr>
      <w:tr>
        <w:trPr>
          <w:trHeight w:val="192"/>
        </w:trPr>
        <w:tc>
          <w:tcPr>
            <w:tcW w:w="31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9"/>
              </w:rPr>
              <w:t>Issuance of common stock upon exercise</w:t>
            </w: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of stock options</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0" w:type="dxa"/>
            <w:vAlign w:val="bottom"/>
          </w:tcPr>
          <w:p>
            <w:pPr>
              <w:spacing w:after="0"/>
              <w:rPr>
                <w:sz w:val="1"/>
                <w:szCs w:val="1"/>
                <w:color w:val="auto"/>
              </w:rPr>
            </w:pPr>
          </w:p>
        </w:tc>
      </w:tr>
      <w:tr>
        <w:trPr>
          <w:trHeight w:val="192"/>
        </w:trPr>
        <w:tc>
          <w:tcPr>
            <w:tcW w:w="3120" w:type="dxa"/>
            <w:vAlign w:val="bottom"/>
          </w:tcPr>
          <w:p>
            <w:pPr>
              <w:spacing w:after="0" w:line="193" w:lineRule="exact"/>
              <w:rPr>
                <w:sz w:val="20"/>
                <w:szCs w:val="20"/>
                <w:color w:val="auto"/>
              </w:rPr>
            </w:pPr>
            <w:r>
              <w:rPr>
                <w:rFonts w:ascii="Arial" w:cs="Arial" w:eastAsia="Arial" w:hAnsi="Arial"/>
                <w:sz w:val="17"/>
                <w:szCs w:val="17"/>
                <w:color w:val="auto"/>
              </w:rPr>
              <w:t>Shares repurchased for employee tax</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120" w:type="dxa"/>
            <w:vAlign w:val="bottom"/>
          </w:tcPr>
          <w:p>
            <w:pPr>
              <w:spacing w:after="0"/>
              <w:rPr>
                <w:sz w:val="20"/>
                <w:szCs w:val="20"/>
                <w:color w:val="auto"/>
              </w:rPr>
            </w:pPr>
            <w:r>
              <w:rPr>
                <w:rFonts w:ascii="Arial" w:cs="Arial" w:eastAsia="Arial" w:hAnsi="Arial"/>
                <w:sz w:val="17"/>
                <w:szCs w:val="17"/>
                <w:color w:val="auto"/>
              </w:rPr>
              <w:t>withholdings</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(2,446)</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193"/>
        </w:trPr>
        <w:tc>
          <w:tcPr>
            <w:tcW w:w="31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Forfeiture of common stock related to</w:t>
            </w: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restricted shares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(5,084)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3120" w:type="dxa"/>
            <w:vAlign w:val="bottom"/>
          </w:tcPr>
          <w:p>
            <w:pPr>
              <w:spacing w:after="0"/>
              <w:rPr>
                <w:sz w:val="20"/>
                <w:szCs w:val="20"/>
                <w:color w:val="auto"/>
              </w:rPr>
            </w:pPr>
            <w:r>
              <w:rPr>
                <w:rFonts w:ascii="Arial" w:cs="Arial" w:eastAsia="Arial" w:hAnsi="Arial"/>
                <w:sz w:val="17"/>
                <w:szCs w:val="17"/>
                <w:color w:val="auto"/>
              </w:rPr>
              <w:t>Other comprehensive income, net of tax</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05"/>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10,161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10,161</w:t>
            </w: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Balance, September 29, 2021</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36,671,447</w:t>
            </w:r>
          </w:p>
        </w:tc>
        <w:tc>
          <w:tcPr>
            <w:tcW w:w="1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366</w:t>
            </w: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342,656</w:t>
            </w:r>
          </w:p>
        </w:tc>
        <w:tc>
          <w:tcPr>
            <w:tcW w:w="14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(38,571)</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(533)</w:t>
            </w:r>
          </w:p>
        </w:tc>
        <w:tc>
          <w:tcPr>
            <w:tcW w:w="14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303,918</w:t>
            </w:r>
          </w:p>
        </w:tc>
        <w:tc>
          <w:tcPr>
            <w:tcW w:w="0" w:type="dxa"/>
            <w:vAlign w:val="bottom"/>
          </w:tcPr>
          <w:p>
            <w:pPr>
              <w:spacing w:after="0"/>
              <w:rPr>
                <w:sz w:val="1"/>
                <w:szCs w:val="1"/>
                <w:color w:val="auto"/>
              </w:rPr>
            </w:pPr>
          </w:p>
        </w:tc>
      </w:tr>
      <w:tr>
        <w:trPr>
          <w:trHeight w:val="183"/>
        </w:trPr>
        <w:tc>
          <w:tcPr>
            <w:tcW w:w="3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1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13"/>
          </w:tcPr>
          <w:p>
            <w:pPr>
              <w:ind w:left="480"/>
              <w:spacing w:after="0"/>
              <w:rPr>
                <w:sz w:val="20"/>
                <w:szCs w:val="20"/>
                <w:color w:val="auto"/>
              </w:rPr>
            </w:pPr>
            <w:r>
              <w:rPr>
                <w:rFonts w:ascii="Arial" w:cs="Arial" w:eastAsia="Arial" w:hAnsi="Arial"/>
                <w:sz w:val="14"/>
                <w:szCs w:val="14"/>
                <w:b w:val="1"/>
                <w:bCs w:val="1"/>
                <w:color w:val="auto"/>
              </w:rPr>
              <w:t>Thirteen Weeks Ended September 23, 2020</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3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220"/>
              <w:spacing w:after="0" w:line="113" w:lineRule="exact"/>
              <w:rPr>
                <w:sz w:val="20"/>
                <w:szCs w:val="20"/>
                <w:color w:val="auto"/>
              </w:rPr>
            </w:pPr>
            <w:r>
              <w:rPr>
                <w:rFonts w:ascii="Arial" w:cs="Arial" w:eastAsia="Arial" w:hAnsi="Arial"/>
                <w:sz w:val="12"/>
                <w:szCs w:val="12"/>
                <w:b w:val="1"/>
                <w:bCs w:val="1"/>
                <w:color w:val="auto"/>
              </w:rPr>
              <w:t>Accumulated</w:t>
            </w: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0"/>
              </w:rPr>
              <w:t>Additional</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720" w:type="dxa"/>
            <w:vAlign w:val="bottom"/>
          </w:tcPr>
          <w:p>
            <w:pPr>
              <w:jc w:val="center"/>
              <w:ind w:right="98"/>
              <w:spacing w:after="0" w:line="141"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1"/>
        </w:trPr>
        <w:tc>
          <w:tcPr>
            <w:tcW w:w="3120" w:type="dxa"/>
            <w:vAlign w:val="bottom"/>
          </w:tcPr>
          <w:p>
            <w:pPr>
              <w:spacing w:after="0"/>
              <w:rPr>
                <w:sz w:val="14"/>
                <w:szCs w:val="14"/>
                <w:color w:val="auto"/>
              </w:rPr>
            </w:pPr>
          </w:p>
        </w:tc>
        <w:tc>
          <w:tcPr>
            <w:tcW w:w="18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Paid-in</w:t>
            </w:r>
          </w:p>
        </w:tc>
        <w:tc>
          <w:tcPr>
            <w:tcW w:w="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Comprehensive</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33"/>
        </w:trPr>
        <w:tc>
          <w:tcPr>
            <w:tcW w:w="3120" w:type="dxa"/>
            <w:vAlign w:val="bottom"/>
            <w:vMerge w:val="restart"/>
          </w:tcPr>
          <w:p>
            <w:pPr>
              <w:spacing w:after="0"/>
              <w:rPr>
                <w:sz w:val="20"/>
                <w:szCs w:val="20"/>
                <w:color w:val="auto"/>
              </w:rPr>
            </w:pPr>
            <w:r>
              <w:rPr>
                <w:rFonts w:ascii="Arial" w:cs="Arial" w:eastAsia="Arial" w:hAnsi="Arial"/>
                <w:sz w:val="17"/>
                <w:szCs w:val="17"/>
                <w:b w:val="1"/>
                <w:bCs w:val="1"/>
                <w:color w:val="auto"/>
              </w:rPr>
              <w:t>Balance, June 24, 2020</w:t>
            </w:r>
          </w:p>
        </w:tc>
        <w:tc>
          <w:tcPr>
            <w:tcW w:w="1080" w:type="dxa"/>
            <w:vAlign w:val="bottom"/>
            <w:tcBorders>
              <w:top w:val="single" w:sz="8" w:color="auto"/>
            </w:tcBorders>
            <w:gridSpan w:val="2"/>
          </w:tcPr>
          <w:p>
            <w:pPr>
              <w:jc w:val="right"/>
              <w:ind w:right="420"/>
              <w:spacing w:after="0" w:line="134"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40"/>
              <w:spacing w:after="0" w:line="134" w:lineRule="exact"/>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1"/>
                <w:szCs w:val="11"/>
                <w:color w:val="auto"/>
              </w:rPr>
            </w:pPr>
          </w:p>
        </w:tc>
        <w:tc>
          <w:tcPr>
            <w:tcW w:w="740" w:type="dxa"/>
            <w:vAlign w:val="bottom"/>
            <w:gridSpan w:val="2"/>
          </w:tcPr>
          <w:p>
            <w:pPr>
              <w:jc w:val="center"/>
              <w:ind w:right="220"/>
              <w:spacing w:after="0" w:line="134" w:lineRule="exact"/>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20"/>
              <w:spacing w:after="0" w:line="134" w:lineRule="exact"/>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1"/>
                <w:szCs w:val="11"/>
                <w:color w:val="auto"/>
              </w:rPr>
            </w:pPr>
          </w:p>
        </w:tc>
        <w:tc>
          <w:tcPr>
            <w:tcW w:w="720" w:type="dxa"/>
            <w:vAlign w:val="bottom"/>
          </w:tcPr>
          <w:p>
            <w:pPr>
              <w:jc w:val="center"/>
              <w:ind w:right="78"/>
              <w:spacing w:after="0" w:line="134"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7"/>
        </w:trPr>
        <w:tc>
          <w:tcPr>
            <w:tcW w:w="3120" w:type="dxa"/>
            <w:vAlign w:val="bottom"/>
            <w:vMerge w:val="continue"/>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35,854,122</w:t>
            </w:r>
          </w:p>
        </w:tc>
        <w:tc>
          <w:tcPr>
            <w:tcW w:w="1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334,088</w:t>
            </w:r>
          </w:p>
        </w:tc>
        <w:tc>
          <w:tcPr>
            <w:tcW w:w="140" w:type="dxa"/>
            <w:vAlign w:val="bottom"/>
          </w:tcPr>
          <w:p>
            <w:pPr>
              <w:spacing w:after="0"/>
              <w:rPr>
                <w:sz w:val="17"/>
                <w:szCs w:val="17"/>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(76,889)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(999)</w:t>
            </w: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256,559</w:t>
            </w:r>
          </w:p>
        </w:tc>
        <w:tc>
          <w:tcPr>
            <w:tcW w:w="0" w:type="dxa"/>
            <w:vAlign w:val="bottom"/>
          </w:tcPr>
          <w:p>
            <w:pPr>
              <w:spacing w:after="0"/>
              <w:rPr>
                <w:sz w:val="1"/>
                <w:szCs w:val="1"/>
                <w:color w:val="auto"/>
              </w:rPr>
            </w:pPr>
          </w:p>
        </w:tc>
      </w:tr>
      <w:tr>
        <w:trPr>
          <w:trHeight w:val="205"/>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909</w:t>
            </w:r>
          </w:p>
        </w:tc>
        <w:tc>
          <w:tcPr>
            <w:tcW w:w="0" w:type="dxa"/>
            <w:vAlign w:val="bottom"/>
          </w:tcPr>
          <w:p>
            <w:pPr>
              <w:spacing w:after="0"/>
              <w:rPr>
                <w:sz w:val="1"/>
                <w:szCs w:val="1"/>
                <w:color w:val="auto"/>
              </w:rPr>
            </w:pPr>
          </w:p>
        </w:tc>
      </w:tr>
      <w:tr>
        <w:trPr>
          <w:trHeight w:val="192"/>
        </w:trPr>
        <w:tc>
          <w:tcPr>
            <w:tcW w:w="3120" w:type="dxa"/>
            <w:vAlign w:val="bottom"/>
          </w:tcPr>
          <w:p>
            <w:pPr>
              <w:spacing w:after="0" w:line="193" w:lineRule="exact"/>
              <w:rPr>
                <w:sz w:val="20"/>
                <w:szCs w:val="20"/>
                <w:color w:val="auto"/>
              </w:rPr>
            </w:pPr>
            <w:r>
              <w:rPr>
                <w:rFonts w:ascii="Arial" w:cs="Arial" w:eastAsia="Arial" w:hAnsi="Arial"/>
                <w:sz w:val="17"/>
                <w:szCs w:val="17"/>
                <w:color w:val="auto"/>
              </w:rPr>
              <w:t>Issuance of common stock related to</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120" w:type="dxa"/>
            <w:vAlign w:val="bottom"/>
          </w:tcPr>
          <w:p>
            <w:pPr>
              <w:spacing w:after="0"/>
              <w:rPr>
                <w:sz w:val="20"/>
                <w:szCs w:val="20"/>
                <w:color w:val="auto"/>
              </w:rPr>
            </w:pPr>
            <w:r>
              <w:rPr>
                <w:rFonts w:ascii="Arial" w:cs="Arial" w:eastAsia="Arial" w:hAnsi="Arial"/>
                <w:sz w:val="17"/>
                <w:szCs w:val="17"/>
                <w:color w:val="auto"/>
              </w:rPr>
              <w:t>restricted shares</w:t>
            </w:r>
          </w:p>
        </w:tc>
        <w:tc>
          <w:tcPr>
            <w:tcW w:w="940" w:type="dxa"/>
            <w:vAlign w:val="bottom"/>
          </w:tcPr>
          <w:p>
            <w:pPr>
              <w:jc w:val="right"/>
              <w:spacing w:after="0"/>
              <w:rPr>
                <w:sz w:val="20"/>
                <w:szCs w:val="20"/>
                <w:color w:val="auto"/>
              </w:rPr>
            </w:pPr>
            <w:r>
              <w:rPr>
                <w:rFonts w:ascii="Arial" w:cs="Arial" w:eastAsia="Arial" w:hAnsi="Arial"/>
                <w:sz w:val="17"/>
                <w:szCs w:val="17"/>
                <w:color w:val="auto"/>
              </w:rPr>
              <w:t>2,798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31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9"/>
              </w:rPr>
              <w:t>Issuance of common stock upon exercise</w:t>
            </w: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of stock options</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593,180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3,681</w:t>
            </w:r>
          </w:p>
        </w:tc>
        <w:tc>
          <w:tcPr>
            <w:tcW w:w="0" w:type="dxa"/>
            <w:vAlign w:val="bottom"/>
          </w:tcPr>
          <w:p>
            <w:pPr>
              <w:spacing w:after="0"/>
              <w:rPr>
                <w:sz w:val="1"/>
                <w:szCs w:val="1"/>
                <w:color w:val="auto"/>
              </w:rPr>
            </w:pPr>
          </w:p>
        </w:tc>
      </w:tr>
      <w:tr>
        <w:trPr>
          <w:trHeight w:val="192"/>
        </w:trPr>
        <w:tc>
          <w:tcPr>
            <w:tcW w:w="3120" w:type="dxa"/>
            <w:vAlign w:val="bottom"/>
          </w:tcPr>
          <w:p>
            <w:pPr>
              <w:spacing w:after="0" w:line="193" w:lineRule="exact"/>
              <w:rPr>
                <w:sz w:val="20"/>
                <w:szCs w:val="20"/>
                <w:color w:val="auto"/>
              </w:rPr>
            </w:pPr>
            <w:r>
              <w:rPr>
                <w:rFonts w:ascii="Arial" w:cs="Arial" w:eastAsia="Arial" w:hAnsi="Arial"/>
                <w:sz w:val="17"/>
                <w:szCs w:val="17"/>
                <w:color w:val="auto"/>
              </w:rPr>
              <w:t>Shares repurchased for employee tax</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120" w:type="dxa"/>
            <w:vAlign w:val="bottom"/>
          </w:tcPr>
          <w:p>
            <w:pPr>
              <w:spacing w:after="0"/>
              <w:rPr>
                <w:sz w:val="20"/>
                <w:szCs w:val="20"/>
                <w:color w:val="auto"/>
              </w:rPr>
            </w:pPr>
            <w:r>
              <w:rPr>
                <w:rFonts w:ascii="Arial" w:cs="Arial" w:eastAsia="Arial" w:hAnsi="Arial"/>
                <w:sz w:val="17"/>
                <w:szCs w:val="17"/>
                <w:color w:val="auto"/>
              </w:rPr>
              <w:t>withholdings</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(2,925)</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193"/>
        </w:trPr>
        <w:tc>
          <w:tcPr>
            <w:tcW w:w="31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Forfeiture of common stock related to</w:t>
            </w: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restricted shares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(5,806)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3120" w:type="dxa"/>
            <w:vAlign w:val="bottom"/>
          </w:tcPr>
          <w:p>
            <w:pPr>
              <w:spacing w:after="0"/>
              <w:rPr>
                <w:sz w:val="20"/>
                <w:szCs w:val="20"/>
                <w:color w:val="auto"/>
              </w:rPr>
            </w:pPr>
            <w:r>
              <w:rPr>
                <w:rFonts w:ascii="Arial" w:cs="Arial" w:eastAsia="Arial" w:hAnsi="Arial"/>
                <w:sz w:val="17"/>
                <w:szCs w:val="17"/>
                <w:color w:val="auto"/>
              </w:rPr>
              <w:t>Other comprehensive income, net of tax</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05"/>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9,920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9,920</w:t>
            </w:r>
          </w:p>
        </w:tc>
        <w:tc>
          <w:tcPr>
            <w:tcW w:w="0" w:type="dxa"/>
            <w:vAlign w:val="bottom"/>
          </w:tcPr>
          <w:p>
            <w:pPr>
              <w:spacing w:after="0"/>
              <w:rPr>
                <w:sz w:val="1"/>
                <w:szCs w:val="1"/>
                <w:color w:val="auto"/>
              </w:rPr>
            </w:pPr>
          </w:p>
        </w:tc>
      </w:tr>
      <w:tr>
        <w:trPr>
          <w:trHeight w:val="197"/>
        </w:trPr>
        <w:tc>
          <w:tcPr>
            <w:tcW w:w="3120" w:type="dxa"/>
            <w:vAlign w:val="bottom"/>
          </w:tcPr>
          <w:p>
            <w:pPr>
              <w:spacing w:after="0"/>
              <w:rPr>
                <w:sz w:val="20"/>
                <w:szCs w:val="20"/>
                <w:color w:val="auto"/>
              </w:rPr>
            </w:pPr>
            <w:r>
              <w:rPr>
                <w:rFonts w:ascii="Arial" w:cs="Arial" w:eastAsia="Arial" w:hAnsi="Arial"/>
                <w:sz w:val="17"/>
                <w:szCs w:val="17"/>
                <w:b w:val="1"/>
                <w:bCs w:val="1"/>
                <w:color w:val="auto"/>
              </w:rPr>
              <w:t>Balance, September 23, 2020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36,441,369</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364</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338,622</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(66,969)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(941)</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271,076</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6" w:name="page7"/>
    <w:bookmarkEnd w:id="6"/>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11"/>
          </w:tcPr>
          <w:p>
            <w:pPr>
              <w:ind w:left="400"/>
              <w:spacing w:after="0"/>
              <w:rPr>
                <w:sz w:val="20"/>
                <w:szCs w:val="20"/>
                <w:color w:val="auto"/>
              </w:rPr>
            </w:pPr>
            <w:r>
              <w:rPr>
                <w:rFonts w:ascii="Arial" w:cs="Arial" w:eastAsia="Arial" w:hAnsi="Arial"/>
                <w:sz w:val="14"/>
                <w:szCs w:val="14"/>
                <w:b w:val="1"/>
                <w:bCs w:val="1"/>
                <w:color w:val="auto"/>
              </w:rPr>
              <w:t>Thirty-Nine Weeks Ended September 29, 2021</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r>
        <w:trPr>
          <w:trHeight w:val="113"/>
        </w:trPr>
        <w:tc>
          <w:tcPr>
            <w:tcW w:w="3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240"/>
              <w:spacing w:after="0" w:line="113" w:lineRule="exact"/>
              <w:rPr>
                <w:sz w:val="20"/>
                <w:szCs w:val="20"/>
                <w:color w:val="auto"/>
              </w:rPr>
            </w:pPr>
            <w:r>
              <w:rPr>
                <w:rFonts w:ascii="Arial" w:cs="Arial" w:eastAsia="Arial" w:hAnsi="Arial"/>
                <w:sz w:val="12"/>
                <w:szCs w:val="12"/>
                <w:b w:val="1"/>
                <w:bCs w:val="1"/>
                <w:color w:val="auto"/>
              </w:rPr>
              <w:t>Accumulated</w:t>
            </w: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41"/>
        </w:trPr>
        <w:tc>
          <w:tcPr>
            <w:tcW w:w="3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0"/>
              </w:rPr>
              <w:t>Additional</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740" w:type="dxa"/>
            <w:vAlign w:val="bottom"/>
          </w:tcPr>
          <w:p>
            <w:pPr>
              <w:jc w:val="center"/>
              <w:ind w:right="78"/>
              <w:spacing w:after="0" w:line="141" w:lineRule="exact"/>
              <w:rPr>
                <w:sz w:val="20"/>
                <w:szCs w:val="20"/>
                <w:color w:val="auto"/>
              </w:rPr>
            </w:pPr>
            <w:r>
              <w:rPr>
                <w:rFonts w:ascii="Arial" w:cs="Arial" w:eastAsia="Arial" w:hAnsi="Arial"/>
                <w:sz w:val="14"/>
                <w:szCs w:val="14"/>
                <w:b w:val="1"/>
                <w:bCs w:val="1"/>
                <w:color w:val="auto"/>
                <w:w w:val="89"/>
              </w:rPr>
              <w:t>Total</w:t>
            </w:r>
          </w:p>
        </w:tc>
      </w:tr>
      <w:tr>
        <w:trPr>
          <w:trHeight w:val="161"/>
        </w:trPr>
        <w:tc>
          <w:tcPr>
            <w:tcW w:w="3120" w:type="dxa"/>
            <w:vAlign w:val="bottom"/>
          </w:tcPr>
          <w:p>
            <w:pPr>
              <w:spacing w:after="0"/>
              <w:rPr>
                <w:sz w:val="14"/>
                <w:szCs w:val="14"/>
                <w:color w:val="auto"/>
              </w:rPr>
            </w:pPr>
          </w:p>
        </w:tc>
        <w:tc>
          <w:tcPr>
            <w:tcW w:w="1880" w:type="dxa"/>
            <w:vAlign w:val="bottom"/>
            <w:gridSpan w:val="5"/>
          </w:tcPr>
          <w:p>
            <w:pPr>
              <w:ind w:left="42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Paid-in</w:t>
            </w:r>
          </w:p>
        </w:tc>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Accumulated</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Comprehensive</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Stockholders’</w:t>
            </w:r>
          </w:p>
        </w:tc>
      </w:tr>
      <w:tr>
        <w:trPr>
          <w:trHeight w:val="133"/>
        </w:trPr>
        <w:tc>
          <w:tcPr>
            <w:tcW w:w="3120" w:type="dxa"/>
            <w:vAlign w:val="bottom"/>
          </w:tcPr>
          <w:p>
            <w:pPr>
              <w:spacing w:after="0"/>
              <w:rPr>
                <w:sz w:val="11"/>
                <w:szCs w:val="11"/>
                <w:color w:val="auto"/>
              </w:rPr>
            </w:pPr>
          </w:p>
        </w:tc>
        <w:tc>
          <w:tcPr>
            <w:tcW w:w="1060" w:type="dxa"/>
            <w:vAlign w:val="bottom"/>
            <w:tcBorders>
              <w:top w:val="single" w:sz="8" w:color="auto"/>
            </w:tcBorders>
            <w:gridSpan w:val="2"/>
          </w:tcPr>
          <w:p>
            <w:pPr>
              <w:ind w:left="260"/>
              <w:spacing w:after="0" w:line="134"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8"/>
              <w:spacing w:after="0" w:line="134" w:lineRule="exact"/>
              <w:rPr>
                <w:sz w:val="20"/>
                <w:szCs w:val="20"/>
                <w:color w:val="auto"/>
              </w:rPr>
            </w:pPr>
            <w:r>
              <w:rPr>
                <w:rFonts w:ascii="Arial" w:cs="Arial" w:eastAsia="Arial" w:hAnsi="Arial"/>
                <w:sz w:val="14"/>
                <w:szCs w:val="14"/>
                <w:b w:val="1"/>
                <w:bCs w:val="1"/>
                <w:color w:val="auto"/>
                <w:w w:val="86"/>
              </w:rPr>
              <w:t>Amount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00"/>
              <w:spacing w:after="0" w:line="134" w:lineRule="exact"/>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1"/>
                <w:szCs w:val="11"/>
                <w:color w:val="auto"/>
              </w:rPr>
            </w:pPr>
          </w:p>
        </w:tc>
        <w:tc>
          <w:tcPr>
            <w:tcW w:w="820" w:type="dxa"/>
            <w:vAlign w:val="bottom"/>
            <w:gridSpan w:val="2"/>
          </w:tcPr>
          <w:p>
            <w:pPr>
              <w:jc w:val="center"/>
              <w:ind w:right="280"/>
              <w:spacing w:after="0" w:line="134" w:lineRule="exact"/>
              <w:rPr>
                <w:sz w:val="20"/>
                <w:szCs w:val="20"/>
                <w:color w:val="auto"/>
              </w:rPr>
            </w:pPr>
            <w:r>
              <w:rPr>
                <w:rFonts w:ascii="Arial" w:cs="Arial" w:eastAsia="Arial" w:hAnsi="Arial"/>
                <w:sz w:val="14"/>
                <w:szCs w:val="14"/>
                <w:b w:val="1"/>
                <w:bCs w:val="1"/>
                <w:color w:val="auto"/>
                <w:w w:val="88"/>
              </w:rPr>
              <w:t>Deficit</w:t>
            </w:r>
          </w:p>
        </w:tc>
        <w:tc>
          <w:tcPr>
            <w:tcW w:w="1120" w:type="dxa"/>
            <w:vAlign w:val="bottom"/>
            <w:gridSpan w:val="3"/>
          </w:tcPr>
          <w:p>
            <w:pPr>
              <w:jc w:val="center"/>
              <w:ind w:right="140"/>
              <w:spacing w:after="0" w:line="134" w:lineRule="exact"/>
              <w:rPr>
                <w:sz w:val="20"/>
                <w:szCs w:val="20"/>
                <w:color w:val="auto"/>
              </w:rPr>
            </w:pPr>
            <w:r>
              <w:rPr>
                <w:rFonts w:ascii="Arial" w:cs="Arial" w:eastAsia="Arial" w:hAnsi="Arial"/>
                <w:sz w:val="14"/>
                <w:szCs w:val="14"/>
                <w:b w:val="1"/>
                <w:bCs w:val="1"/>
                <w:color w:val="auto"/>
                <w:w w:val="86"/>
              </w:rPr>
              <w:t>(Loss) Income</w:t>
            </w:r>
          </w:p>
        </w:tc>
        <w:tc>
          <w:tcPr>
            <w:tcW w:w="160" w:type="dxa"/>
            <w:vAlign w:val="bottom"/>
          </w:tcPr>
          <w:p>
            <w:pPr>
              <w:spacing w:after="0"/>
              <w:rPr>
                <w:sz w:val="11"/>
                <w:szCs w:val="11"/>
                <w:color w:val="auto"/>
              </w:rPr>
            </w:pPr>
          </w:p>
        </w:tc>
        <w:tc>
          <w:tcPr>
            <w:tcW w:w="740" w:type="dxa"/>
            <w:vAlign w:val="bottom"/>
          </w:tcPr>
          <w:p>
            <w:pPr>
              <w:jc w:val="center"/>
              <w:ind w:right="78"/>
              <w:spacing w:after="0" w:line="134" w:lineRule="exact"/>
              <w:rPr>
                <w:sz w:val="20"/>
                <w:szCs w:val="20"/>
                <w:color w:val="auto"/>
              </w:rPr>
            </w:pPr>
            <w:r>
              <w:rPr>
                <w:rFonts w:ascii="Arial" w:cs="Arial" w:eastAsia="Arial" w:hAnsi="Arial"/>
                <w:sz w:val="14"/>
                <w:szCs w:val="14"/>
                <w:b w:val="1"/>
                <w:bCs w:val="1"/>
                <w:color w:val="auto"/>
                <w:w w:val="88"/>
              </w:rPr>
              <w:t>Equity</w:t>
            </w:r>
          </w:p>
        </w:tc>
      </w:tr>
      <w:tr>
        <w:trPr>
          <w:trHeight w:val="197"/>
        </w:trPr>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December 30,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36,423,505</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339,561</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(61,514)</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(833)</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277,578</w:t>
            </w:r>
          </w:p>
        </w:tc>
      </w:tr>
      <w:tr>
        <w:trPr>
          <w:trHeight w:val="205"/>
        </w:trPr>
        <w:tc>
          <w:tcPr>
            <w:tcW w:w="312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2,936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2,936</w:t>
            </w:r>
          </w:p>
        </w:tc>
      </w:tr>
      <w:tr>
        <w:trPr>
          <w:trHeight w:val="192"/>
        </w:trPr>
        <w:tc>
          <w:tcPr>
            <w:tcW w:w="31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Issuance of common stock related to</w:t>
            </w: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17"/>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restricted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206,098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92"/>
        </w:trPr>
        <w:tc>
          <w:tcPr>
            <w:tcW w:w="3120" w:type="dxa"/>
            <w:vAlign w:val="bottom"/>
          </w:tcPr>
          <w:p>
            <w:pPr>
              <w:spacing w:after="0" w:line="193" w:lineRule="exact"/>
              <w:rPr>
                <w:sz w:val="20"/>
                <w:szCs w:val="20"/>
                <w:color w:val="auto"/>
              </w:rPr>
            </w:pPr>
            <w:r>
              <w:rPr>
                <w:rFonts w:ascii="Arial" w:cs="Arial" w:eastAsia="Arial" w:hAnsi="Arial"/>
                <w:sz w:val="17"/>
                <w:szCs w:val="17"/>
                <w:color w:val="auto"/>
                <w:w w:val="99"/>
              </w:rPr>
              <w:t>Issuance of common stock upon exercise</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7"/>
        </w:trPr>
        <w:tc>
          <w:tcPr>
            <w:tcW w:w="3120" w:type="dxa"/>
            <w:vAlign w:val="bottom"/>
          </w:tcPr>
          <w:p>
            <w:pPr>
              <w:spacing w:after="0"/>
              <w:rPr>
                <w:sz w:val="20"/>
                <w:szCs w:val="20"/>
                <w:color w:val="auto"/>
              </w:rPr>
            </w:pPr>
            <w:r>
              <w:rPr>
                <w:rFonts w:ascii="Arial" w:cs="Arial" w:eastAsia="Arial" w:hAnsi="Arial"/>
                <w:sz w:val="17"/>
                <w:szCs w:val="17"/>
                <w:color w:val="auto"/>
              </w:rPr>
              <w:t>of stock options</w:t>
            </w:r>
          </w:p>
        </w:tc>
        <w:tc>
          <w:tcPr>
            <w:tcW w:w="920" w:type="dxa"/>
            <w:vAlign w:val="bottom"/>
          </w:tcPr>
          <w:p>
            <w:pPr>
              <w:jc w:val="right"/>
              <w:spacing w:after="0"/>
              <w:rPr>
                <w:sz w:val="20"/>
                <w:szCs w:val="20"/>
                <w:color w:val="auto"/>
              </w:rPr>
            </w:pPr>
            <w:r>
              <w:rPr>
                <w:rFonts w:ascii="Arial" w:cs="Arial" w:eastAsia="Arial" w:hAnsi="Arial"/>
                <w:sz w:val="17"/>
                <w:szCs w:val="17"/>
                <w:color w:val="auto"/>
              </w:rPr>
              <w:t>132,760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866</w:t>
            </w:r>
          </w:p>
        </w:tc>
      </w:tr>
      <w:tr>
        <w:trPr>
          <w:trHeight w:val="193"/>
        </w:trPr>
        <w:tc>
          <w:tcPr>
            <w:tcW w:w="31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Shares repurchased for employee tax</w:t>
            </w: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17"/>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withholdings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(40,384)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(705)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(705)</w:t>
            </w:r>
          </w:p>
        </w:tc>
      </w:tr>
      <w:tr>
        <w:trPr>
          <w:trHeight w:val="192"/>
        </w:trPr>
        <w:tc>
          <w:tcPr>
            <w:tcW w:w="3120" w:type="dxa"/>
            <w:vAlign w:val="bottom"/>
          </w:tcPr>
          <w:p>
            <w:pPr>
              <w:spacing w:after="0" w:line="193" w:lineRule="exact"/>
              <w:rPr>
                <w:sz w:val="20"/>
                <w:szCs w:val="20"/>
                <w:color w:val="auto"/>
              </w:rPr>
            </w:pPr>
            <w:r>
              <w:rPr>
                <w:rFonts w:ascii="Arial" w:cs="Arial" w:eastAsia="Arial" w:hAnsi="Arial"/>
                <w:sz w:val="17"/>
                <w:szCs w:val="17"/>
                <w:color w:val="auto"/>
              </w:rPr>
              <w:t>Forfeiture of common stock related to</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7"/>
        </w:trPr>
        <w:tc>
          <w:tcPr>
            <w:tcW w:w="3120" w:type="dxa"/>
            <w:vAlign w:val="bottom"/>
          </w:tcPr>
          <w:p>
            <w:pPr>
              <w:spacing w:after="0"/>
              <w:rPr>
                <w:sz w:val="20"/>
                <w:szCs w:val="20"/>
                <w:color w:val="auto"/>
              </w:rPr>
            </w:pPr>
            <w:r>
              <w:rPr>
                <w:rFonts w:ascii="Arial" w:cs="Arial" w:eastAsia="Arial" w:hAnsi="Arial"/>
                <w:sz w:val="17"/>
                <w:szCs w:val="17"/>
                <w:color w:val="auto"/>
              </w:rPr>
              <w:t>restricted shares</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(50,532)</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 net of tax</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r>
      <w:tr>
        <w:trPr>
          <w:trHeight w:val="205"/>
        </w:trPr>
        <w:tc>
          <w:tcPr>
            <w:tcW w:w="3120" w:type="dxa"/>
            <w:vAlign w:val="bottom"/>
          </w:tcPr>
          <w:p>
            <w:pPr>
              <w:spacing w:after="0"/>
              <w:rPr>
                <w:sz w:val="20"/>
                <w:szCs w:val="20"/>
                <w:color w:val="auto"/>
              </w:rPr>
            </w:pPr>
            <w:r>
              <w:rPr>
                <w:rFonts w:ascii="Arial" w:cs="Arial" w:eastAsia="Arial" w:hAnsi="Arial"/>
                <w:sz w:val="17"/>
                <w:szCs w:val="17"/>
                <w:color w:val="auto"/>
              </w:rPr>
              <w:t>Net income</w:t>
            </w: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22,943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22,943</w:t>
            </w:r>
          </w:p>
        </w:tc>
      </w:tr>
      <w:tr>
        <w:trPr>
          <w:trHeight w:val="197"/>
        </w:trPr>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September 29,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36,671,447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342,656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(38,571)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303,918</w:t>
            </w:r>
          </w:p>
        </w:tc>
      </w:tr>
      <w:tr>
        <w:trPr>
          <w:trHeight w:val="20"/>
        </w:trPr>
        <w:tc>
          <w:tcPr>
            <w:tcW w:w="3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324"/>
        </w:trPr>
        <w:tc>
          <w:tcPr>
            <w:tcW w:w="31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11"/>
          </w:tcPr>
          <w:p>
            <w:pPr>
              <w:ind w:left="400"/>
              <w:spacing w:after="0"/>
              <w:rPr>
                <w:sz w:val="20"/>
                <w:szCs w:val="20"/>
                <w:color w:val="auto"/>
              </w:rPr>
            </w:pPr>
            <w:r>
              <w:rPr>
                <w:rFonts w:ascii="Arial" w:cs="Arial" w:eastAsia="Arial" w:hAnsi="Arial"/>
                <w:sz w:val="14"/>
                <w:szCs w:val="14"/>
                <w:b w:val="1"/>
                <w:bCs w:val="1"/>
                <w:color w:val="auto"/>
              </w:rPr>
              <w:t>Thirty-Nine Weeks Ended September 23, 2020</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113"/>
        </w:trPr>
        <w:tc>
          <w:tcPr>
            <w:tcW w:w="3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240"/>
              <w:spacing w:after="0" w:line="113" w:lineRule="exact"/>
              <w:rPr>
                <w:sz w:val="20"/>
                <w:szCs w:val="20"/>
                <w:color w:val="auto"/>
              </w:rPr>
            </w:pPr>
            <w:r>
              <w:rPr>
                <w:rFonts w:ascii="Arial" w:cs="Arial" w:eastAsia="Arial" w:hAnsi="Arial"/>
                <w:sz w:val="12"/>
                <w:szCs w:val="12"/>
                <w:b w:val="1"/>
                <w:bCs w:val="1"/>
                <w:color w:val="auto"/>
              </w:rPr>
              <w:t>Accumulated</w:t>
            </w: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41"/>
        </w:trPr>
        <w:tc>
          <w:tcPr>
            <w:tcW w:w="3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0"/>
              </w:rPr>
              <w:t>Additional</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740" w:type="dxa"/>
            <w:vAlign w:val="bottom"/>
          </w:tcPr>
          <w:p>
            <w:pPr>
              <w:jc w:val="center"/>
              <w:ind w:right="78"/>
              <w:spacing w:after="0" w:line="141" w:lineRule="exact"/>
              <w:rPr>
                <w:sz w:val="20"/>
                <w:szCs w:val="20"/>
                <w:color w:val="auto"/>
              </w:rPr>
            </w:pPr>
            <w:r>
              <w:rPr>
                <w:rFonts w:ascii="Arial" w:cs="Arial" w:eastAsia="Arial" w:hAnsi="Arial"/>
                <w:sz w:val="14"/>
                <w:szCs w:val="14"/>
                <w:b w:val="1"/>
                <w:bCs w:val="1"/>
                <w:color w:val="auto"/>
                <w:w w:val="89"/>
              </w:rPr>
              <w:t>Total</w:t>
            </w:r>
          </w:p>
        </w:tc>
      </w:tr>
      <w:tr>
        <w:trPr>
          <w:trHeight w:val="161"/>
        </w:trPr>
        <w:tc>
          <w:tcPr>
            <w:tcW w:w="3120" w:type="dxa"/>
            <w:vAlign w:val="bottom"/>
          </w:tcPr>
          <w:p>
            <w:pPr>
              <w:spacing w:after="0"/>
              <w:rPr>
                <w:sz w:val="14"/>
                <w:szCs w:val="14"/>
                <w:color w:val="auto"/>
              </w:rPr>
            </w:pPr>
          </w:p>
        </w:tc>
        <w:tc>
          <w:tcPr>
            <w:tcW w:w="1880" w:type="dxa"/>
            <w:vAlign w:val="bottom"/>
            <w:gridSpan w:val="5"/>
          </w:tcPr>
          <w:p>
            <w:pPr>
              <w:ind w:left="42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Paid-in</w:t>
            </w:r>
          </w:p>
        </w:tc>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Accumulated</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Comprehensive</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Stockholders’</w:t>
            </w:r>
          </w:p>
        </w:tc>
      </w:tr>
      <w:tr>
        <w:trPr>
          <w:trHeight w:val="133"/>
        </w:trPr>
        <w:tc>
          <w:tcPr>
            <w:tcW w:w="3120" w:type="dxa"/>
            <w:vAlign w:val="bottom"/>
          </w:tcPr>
          <w:p>
            <w:pPr>
              <w:spacing w:after="0"/>
              <w:rPr>
                <w:sz w:val="11"/>
                <w:szCs w:val="11"/>
                <w:color w:val="auto"/>
              </w:rPr>
            </w:pPr>
          </w:p>
        </w:tc>
        <w:tc>
          <w:tcPr>
            <w:tcW w:w="1060" w:type="dxa"/>
            <w:vAlign w:val="bottom"/>
            <w:tcBorders>
              <w:top w:val="single" w:sz="8" w:color="auto"/>
            </w:tcBorders>
            <w:gridSpan w:val="2"/>
          </w:tcPr>
          <w:p>
            <w:pPr>
              <w:ind w:left="260"/>
              <w:spacing w:after="0" w:line="134"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8"/>
              <w:spacing w:after="0" w:line="134" w:lineRule="exact"/>
              <w:rPr>
                <w:sz w:val="20"/>
                <w:szCs w:val="20"/>
                <w:color w:val="auto"/>
              </w:rPr>
            </w:pPr>
            <w:r>
              <w:rPr>
                <w:rFonts w:ascii="Arial" w:cs="Arial" w:eastAsia="Arial" w:hAnsi="Arial"/>
                <w:sz w:val="14"/>
                <w:szCs w:val="14"/>
                <w:b w:val="1"/>
                <w:bCs w:val="1"/>
                <w:color w:val="auto"/>
                <w:w w:val="86"/>
              </w:rPr>
              <w:t>Amount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00"/>
              <w:spacing w:after="0" w:line="134" w:lineRule="exact"/>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1"/>
                <w:szCs w:val="11"/>
                <w:color w:val="auto"/>
              </w:rPr>
            </w:pPr>
          </w:p>
        </w:tc>
        <w:tc>
          <w:tcPr>
            <w:tcW w:w="820" w:type="dxa"/>
            <w:vAlign w:val="bottom"/>
            <w:gridSpan w:val="2"/>
          </w:tcPr>
          <w:p>
            <w:pPr>
              <w:jc w:val="center"/>
              <w:ind w:right="280"/>
              <w:spacing w:after="0" w:line="134" w:lineRule="exact"/>
              <w:rPr>
                <w:sz w:val="20"/>
                <w:szCs w:val="20"/>
                <w:color w:val="auto"/>
              </w:rPr>
            </w:pPr>
            <w:r>
              <w:rPr>
                <w:rFonts w:ascii="Arial" w:cs="Arial" w:eastAsia="Arial" w:hAnsi="Arial"/>
                <w:sz w:val="14"/>
                <w:szCs w:val="14"/>
                <w:b w:val="1"/>
                <w:bCs w:val="1"/>
                <w:color w:val="auto"/>
                <w:w w:val="88"/>
              </w:rPr>
              <w:t>Deficit</w:t>
            </w:r>
          </w:p>
        </w:tc>
        <w:tc>
          <w:tcPr>
            <w:tcW w:w="1120" w:type="dxa"/>
            <w:vAlign w:val="bottom"/>
            <w:gridSpan w:val="3"/>
          </w:tcPr>
          <w:p>
            <w:pPr>
              <w:jc w:val="center"/>
              <w:ind w:right="140"/>
              <w:spacing w:after="0" w:line="134" w:lineRule="exact"/>
              <w:rPr>
                <w:sz w:val="20"/>
                <w:szCs w:val="20"/>
                <w:color w:val="auto"/>
              </w:rPr>
            </w:pPr>
            <w:r>
              <w:rPr>
                <w:rFonts w:ascii="Arial" w:cs="Arial" w:eastAsia="Arial" w:hAnsi="Arial"/>
                <w:sz w:val="14"/>
                <w:szCs w:val="14"/>
                <w:b w:val="1"/>
                <w:bCs w:val="1"/>
                <w:color w:val="auto"/>
                <w:w w:val="86"/>
              </w:rPr>
              <w:t>(Loss) Income</w:t>
            </w:r>
          </w:p>
        </w:tc>
        <w:tc>
          <w:tcPr>
            <w:tcW w:w="160" w:type="dxa"/>
            <w:vAlign w:val="bottom"/>
          </w:tcPr>
          <w:p>
            <w:pPr>
              <w:spacing w:after="0"/>
              <w:rPr>
                <w:sz w:val="11"/>
                <w:szCs w:val="11"/>
                <w:color w:val="auto"/>
              </w:rPr>
            </w:pPr>
          </w:p>
        </w:tc>
        <w:tc>
          <w:tcPr>
            <w:tcW w:w="740" w:type="dxa"/>
            <w:vAlign w:val="bottom"/>
          </w:tcPr>
          <w:p>
            <w:pPr>
              <w:jc w:val="center"/>
              <w:ind w:right="78"/>
              <w:spacing w:after="0" w:line="134" w:lineRule="exact"/>
              <w:rPr>
                <w:sz w:val="20"/>
                <w:szCs w:val="20"/>
                <w:color w:val="auto"/>
              </w:rPr>
            </w:pPr>
            <w:r>
              <w:rPr>
                <w:rFonts w:ascii="Arial" w:cs="Arial" w:eastAsia="Arial" w:hAnsi="Arial"/>
                <w:sz w:val="14"/>
                <w:szCs w:val="14"/>
                <w:b w:val="1"/>
                <w:bCs w:val="1"/>
                <w:color w:val="auto"/>
                <w:w w:val="88"/>
              </w:rPr>
              <w:t>Equity</w:t>
            </w:r>
          </w:p>
        </w:tc>
      </w:tr>
      <w:tr>
        <w:trPr>
          <w:trHeight w:val="197"/>
        </w:trPr>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December 25,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35,126,582</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351</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330,950</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(85,988)</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245,566</w:t>
            </w:r>
          </w:p>
        </w:tc>
      </w:tr>
      <w:tr>
        <w:trPr>
          <w:trHeight w:val="205"/>
        </w:trPr>
        <w:tc>
          <w:tcPr>
            <w:tcW w:w="312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2,170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2,170</w:t>
            </w:r>
          </w:p>
        </w:tc>
      </w:tr>
      <w:tr>
        <w:trPr>
          <w:trHeight w:val="192"/>
        </w:trPr>
        <w:tc>
          <w:tcPr>
            <w:tcW w:w="31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Issuance of common stock related to</w:t>
            </w: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17"/>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restricted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439,061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92"/>
        </w:trPr>
        <w:tc>
          <w:tcPr>
            <w:tcW w:w="3120" w:type="dxa"/>
            <w:vAlign w:val="bottom"/>
          </w:tcPr>
          <w:p>
            <w:pPr>
              <w:spacing w:after="0" w:line="193" w:lineRule="exact"/>
              <w:rPr>
                <w:sz w:val="20"/>
                <w:szCs w:val="20"/>
                <w:color w:val="auto"/>
              </w:rPr>
            </w:pPr>
            <w:r>
              <w:rPr>
                <w:rFonts w:ascii="Arial" w:cs="Arial" w:eastAsia="Arial" w:hAnsi="Arial"/>
                <w:sz w:val="17"/>
                <w:szCs w:val="17"/>
                <w:color w:val="auto"/>
                <w:w w:val="99"/>
              </w:rPr>
              <w:t>Issuance of common stock upon exercise</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7"/>
        </w:trPr>
        <w:tc>
          <w:tcPr>
            <w:tcW w:w="3120" w:type="dxa"/>
            <w:vAlign w:val="bottom"/>
          </w:tcPr>
          <w:p>
            <w:pPr>
              <w:spacing w:after="0"/>
              <w:rPr>
                <w:sz w:val="20"/>
                <w:szCs w:val="20"/>
                <w:color w:val="auto"/>
              </w:rPr>
            </w:pPr>
            <w:r>
              <w:rPr>
                <w:rFonts w:ascii="Arial" w:cs="Arial" w:eastAsia="Arial" w:hAnsi="Arial"/>
                <w:sz w:val="17"/>
                <w:szCs w:val="17"/>
                <w:color w:val="auto"/>
              </w:rPr>
              <w:t>of stock options</w:t>
            </w:r>
          </w:p>
        </w:tc>
        <w:tc>
          <w:tcPr>
            <w:tcW w:w="920" w:type="dxa"/>
            <w:vAlign w:val="bottom"/>
          </w:tcPr>
          <w:p>
            <w:pPr>
              <w:jc w:val="right"/>
              <w:spacing w:after="0"/>
              <w:rPr>
                <w:sz w:val="20"/>
                <w:szCs w:val="20"/>
                <w:color w:val="auto"/>
              </w:rPr>
            </w:pPr>
            <w:r>
              <w:rPr>
                <w:rFonts w:ascii="Arial" w:cs="Arial" w:eastAsia="Arial" w:hAnsi="Arial"/>
                <w:sz w:val="17"/>
                <w:szCs w:val="17"/>
                <w:color w:val="auto"/>
              </w:rPr>
              <w:t>965,736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5,836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5,846</w:t>
            </w:r>
          </w:p>
        </w:tc>
      </w:tr>
      <w:tr>
        <w:trPr>
          <w:trHeight w:val="193"/>
        </w:trPr>
        <w:tc>
          <w:tcPr>
            <w:tcW w:w="31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Shares repurchased for employee tax</w:t>
            </w: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17"/>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withholdings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(23,118)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(331)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w:t>
            </w:r>
          </w:p>
        </w:tc>
      </w:tr>
      <w:tr>
        <w:trPr>
          <w:trHeight w:val="192"/>
        </w:trPr>
        <w:tc>
          <w:tcPr>
            <w:tcW w:w="3120" w:type="dxa"/>
            <w:vAlign w:val="bottom"/>
          </w:tcPr>
          <w:p>
            <w:pPr>
              <w:spacing w:after="0" w:line="193" w:lineRule="exact"/>
              <w:rPr>
                <w:sz w:val="20"/>
                <w:szCs w:val="20"/>
                <w:color w:val="auto"/>
              </w:rPr>
            </w:pPr>
            <w:r>
              <w:rPr>
                <w:rFonts w:ascii="Arial" w:cs="Arial" w:eastAsia="Arial" w:hAnsi="Arial"/>
                <w:sz w:val="17"/>
                <w:szCs w:val="17"/>
                <w:color w:val="auto"/>
              </w:rPr>
              <w:t>Forfeiture of common stock related to</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7"/>
                <w:szCs w:val="17"/>
                <w:color w:val="auto"/>
              </w:rPr>
              <w:t>restricted shares</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(66,892)</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6"/>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 net of tax</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(1,194)</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(1,194)</w:t>
            </w:r>
          </w:p>
        </w:tc>
      </w:tr>
      <w:tr>
        <w:trPr>
          <w:trHeight w:val="205"/>
        </w:trPr>
        <w:tc>
          <w:tcPr>
            <w:tcW w:w="3120" w:type="dxa"/>
            <w:vAlign w:val="bottom"/>
          </w:tcPr>
          <w:p>
            <w:pPr>
              <w:spacing w:after="0"/>
              <w:rPr>
                <w:sz w:val="20"/>
                <w:szCs w:val="20"/>
                <w:color w:val="auto"/>
              </w:rPr>
            </w:pPr>
            <w:r>
              <w:rPr>
                <w:rFonts w:ascii="Arial" w:cs="Arial" w:eastAsia="Arial" w:hAnsi="Arial"/>
                <w:sz w:val="17"/>
                <w:szCs w:val="17"/>
                <w:color w:val="auto"/>
              </w:rPr>
              <w:t>Net income</w:t>
            </w: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19,019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19,019</w:t>
            </w:r>
          </w:p>
        </w:tc>
      </w:tr>
      <w:tr>
        <w:trPr>
          <w:trHeight w:val="197"/>
        </w:trPr>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September 23,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36,441,369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338,622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(66,969)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271,076</w:t>
            </w:r>
          </w:p>
        </w:tc>
      </w:tr>
      <w:tr>
        <w:trPr>
          <w:trHeight w:val="20"/>
        </w:trPr>
        <w:tc>
          <w:tcPr>
            <w:tcW w:w="3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7" w:name="page8"/>
    <w:bookmarkEnd w:id="7"/>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EL POLLO LOCO HOLDINGS, INC.</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(Amounts in thousands)</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76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220" w:type="dxa"/>
            <w:vAlign w:val="bottom"/>
            <w:tcBorders>
              <w:bottom w:val="single" w:sz="8" w:color="auto"/>
            </w:tcBorders>
            <w:gridSpan w:val="3"/>
          </w:tcPr>
          <w:p>
            <w:pPr>
              <w:jc w:val="right"/>
              <w:ind w:right="40"/>
              <w:spacing w:after="0" w:line="134" w:lineRule="exact"/>
              <w:rPr>
                <w:sz w:val="20"/>
                <w:szCs w:val="20"/>
                <w:color w:val="auto"/>
              </w:rPr>
            </w:pPr>
            <w:r>
              <w:rPr>
                <w:rFonts w:ascii="Arial" w:cs="Arial" w:eastAsia="Arial" w:hAnsi="Arial"/>
                <w:sz w:val="14"/>
                <w:szCs w:val="14"/>
                <w:b w:val="1"/>
                <w:bCs w:val="1"/>
                <w:color w:val="auto"/>
                <w:w w:val="88"/>
              </w:rPr>
              <w:t>September 29, 2021</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20" w:type="dxa"/>
            <w:vAlign w:val="bottom"/>
            <w:tcBorders>
              <w:bottom w:val="single" w:sz="8" w:color="auto"/>
            </w:tcBorders>
            <w:gridSpan w:val="3"/>
          </w:tcPr>
          <w:p>
            <w:pPr>
              <w:jc w:val="right"/>
              <w:ind w:right="40"/>
              <w:spacing w:after="0" w:line="134" w:lineRule="exact"/>
              <w:rPr>
                <w:sz w:val="20"/>
                <w:szCs w:val="20"/>
                <w:color w:val="auto"/>
              </w:rPr>
            </w:pPr>
            <w:r>
              <w:rPr>
                <w:rFonts w:ascii="Arial" w:cs="Arial" w:eastAsia="Arial" w:hAnsi="Arial"/>
                <w:sz w:val="14"/>
                <w:szCs w:val="14"/>
                <w:b w:val="1"/>
                <w:bCs w:val="1"/>
                <w:color w:val="auto"/>
                <w:w w:val="88"/>
              </w:rPr>
              <w:t>September 23, 2020</w:t>
            </w:r>
          </w:p>
        </w:tc>
        <w:tc>
          <w:tcPr>
            <w:tcW w:w="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57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760" w:type="dxa"/>
            <w:vAlign w:val="bottom"/>
          </w:tcPr>
          <w:p>
            <w:pPr>
              <w:spacing w:after="0"/>
              <w:rPr>
                <w:sz w:val="20"/>
                <w:szCs w:val="20"/>
                <w:color w:val="auto"/>
              </w:rPr>
            </w:pPr>
            <w:r>
              <w:rPr>
                <w:rFonts w:ascii="Arial" w:cs="Arial" w:eastAsia="Arial" w:hAnsi="Arial"/>
                <w:sz w:val="15"/>
                <w:szCs w:val="15"/>
                <w:color w:val="auto"/>
              </w:rPr>
              <w:t>Net income</w:t>
            </w:r>
          </w:p>
        </w:tc>
        <w:tc>
          <w:tcPr>
            <w:tcW w:w="680" w:type="dxa"/>
            <w:vAlign w:val="bottom"/>
            <w:gridSpan w:val="3"/>
          </w:tcPr>
          <w:p>
            <w:pPr>
              <w:jc w:val="right"/>
              <w:ind w:right="88"/>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22,943</w:t>
            </w:r>
          </w:p>
        </w:tc>
        <w:tc>
          <w:tcPr>
            <w:tcW w:w="820" w:type="dxa"/>
            <w:vAlign w:val="bottom"/>
            <w:gridSpan w:val="4"/>
          </w:tcPr>
          <w:p>
            <w:pPr>
              <w:jc w:val="right"/>
              <w:ind w:right="548"/>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5"/>
                <w:szCs w:val="15"/>
                <w:color w:val="auto"/>
              </w:rPr>
              <w:t>19,019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60" w:type="dxa"/>
            <w:vAlign w:val="bottom"/>
            <w:shd w:val="clear" w:color="auto" w:fill="CCEEFF"/>
          </w:tcPr>
          <w:p>
            <w:pPr>
              <w:spacing w:after="0"/>
              <w:rPr>
                <w:sz w:val="20"/>
                <w:szCs w:val="20"/>
                <w:color w:val="auto"/>
              </w:rPr>
            </w:pPr>
            <w:r>
              <w:rPr>
                <w:rFonts w:ascii="Arial" w:cs="Arial" w:eastAsia="Arial" w:hAnsi="Arial"/>
                <w:sz w:val="15"/>
                <w:szCs w:val="15"/>
                <w:color w:val="auto"/>
              </w:rPr>
              <w:t>Adjustments to reconcile net income to net cash flows provided by operating activities:</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60" w:type="dxa"/>
            <w:vAlign w:val="bottom"/>
          </w:tcPr>
          <w:p>
            <w:pPr>
              <w:spacing w:after="0"/>
              <w:rPr>
                <w:sz w:val="20"/>
                <w:szCs w:val="20"/>
                <w:color w:val="auto"/>
              </w:rPr>
            </w:pPr>
            <w:r>
              <w:rPr>
                <w:rFonts w:ascii="Arial" w:cs="Arial" w:eastAsia="Arial" w:hAnsi="Arial"/>
                <w:sz w:val="15"/>
                <w:szCs w:val="15"/>
                <w:color w:val="auto"/>
              </w:rPr>
              <w:t>Depreciation and amortization</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11,540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5"/>
                <w:szCs w:val="15"/>
                <w:color w:val="auto"/>
              </w:rPr>
              <w:t>12,629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60" w:type="dxa"/>
            <w:vAlign w:val="bottom"/>
            <w:shd w:val="clear" w:color="auto" w:fill="CCEEFF"/>
          </w:tcPr>
          <w:p>
            <w:pPr>
              <w:spacing w:after="0"/>
              <w:rPr>
                <w:sz w:val="20"/>
                <w:szCs w:val="20"/>
                <w:color w:val="auto"/>
              </w:rPr>
            </w:pPr>
            <w:r>
              <w:rPr>
                <w:rFonts w:ascii="Arial" w:cs="Arial" w:eastAsia="Arial" w:hAnsi="Arial"/>
                <w:sz w:val="15"/>
                <w:szCs w:val="15"/>
                <w:color w:val="auto"/>
              </w:rPr>
              <w:t>Bad debt expense</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190</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60" w:type="dxa"/>
            <w:vAlign w:val="bottom"/>
          </w:tcPr>
          <w:p>
            <w:pPr>
              <w:spacing w:after="0"/>
              <w:rPr>
                <w:sz w:val="20"/>
                <w:szCs w:val="20"/>
                <w:color w:val="auto"/>
              </w:rPr>
            </w:pPr>
            <w:r>
              <w:rPr>
                <w:rFonts w:ascii="Arial" w:cs="Arial" w:eastAsia="Arial" w:hAnsi="Arial"/>
                <w:sz w:val="15"/>
                <w:szCs w:val="15"/>
                <w:color w:val="auto"/>
              </w:rPr>
              <w:t>Stock-based compensation expense</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2,936</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5"/>
                <w:szCs w:val="15"/>
                <w:color w:val="auto"/>
              </w:rPr>
              <w:t>2,170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60" w:type="dxa"/>
            <w:vAlign w:val="bottom"/>
            <w:shd w:val="clear" w:color="auto" w:fill="CCEEFF"/>
          </w:tcPr>
          <w:p>
            <w:pPr>
              <w:spacing w:after="0"/>
              <w:rPr>
                <w:sz w:val="20"/>
                <w:szCs w:val="20"/>
                <w:color w:val="auto"/>
              </w:rPr>
            </w:pPr>
            <w:r>
              <w:rPr>
                <w:rFonts w:ascii="Arial" w:cs="Arial" w:eastAsia="Arial" w:hAnsi="Arial"/>
                <w:sz w:val="15"/>
                <w:szCs w:val="15"/>
                <w:color w:val="auto"/>
              </w:rPr>
              <w:t>Income tax receivable agreement (income) expense</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(69)</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26</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60" w:type="dxa"/>
            <w:vAlign w:val="bottom"/>
          </w:tcPr>
          <w:p>
            <w:pPr>
              <w:spacing w:after="0"/>
              <w:rPr>
                <w:sz w:val="20"/>
                <w:szCs w:val="20"/>
                <w:color w:val="auto"/>
              </w:rPr>
            </w:pPr>
            <w:r>
              <w:rPr>
                <w:rFonts w:ascii="Arial" w:cs="Arial" w:eastAsia="Arial" w:hAnsi="Arial"/>
                <w:sz w:val="15"/>
                <w:szCs w:val="15"/>
                <w:color w:val="auto"/>
              </w:rPr>
              <w:t>Loss on disposition of restaurants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1,534</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5760" w:type="dxa"/>
            <w:vAlign w:val="bottom"/>
            <w:shd w:val="clear" w:color="auto" w:fill="CCEEFF"/>
          </w:tcPr>
          <w:p>
            <w:pPr>
              <w:spacing w:after="0"/>
              <w:rPr>
                <w:sz w:val="20"/>
                <w:szCs w:val="20"/>
                <w:color w:val="auto"/>
              </w:rPr>
            </w:pPr>
            <w:r>
              <w:rPr>
                <w:rFonts w:ascii="Arial" w:cs="Arial" w:eastAsia="Arial" w:hAnsi="Arial"/>
                <w:sz w:val="15"/>
                <w:szCs w:val="15"/>
                <w:color w:val="auto"/>
              </w:rPr>
              <w:t>Loss on disposal of assets</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194</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156</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60" w:type="dxa"/>
            <w:vAlign w:val="bottom"/>
          </w:tcPr>
          <w:p>
            <w:pPr>
              <w:spacing w:after="0"/>
              <w:rPr>
                <w:sz w:val="20"/>
                <w:szCs w:val="20"/>
                <w:color w:val="auto"/>
              </w:rPr>
            </w:pPr>
            <w:r>
              <w:rPr>
                <w:rFonts w:ascii="Arial" w:cs="Arial" w:eastAsia="Arial" w:hAnsi="Arial"/>
                <w:sz w:val="15"/>
                <w:szCs w:val="15"/>
                <w:color w:val="auto"/>
              </w:rPr>
              <w:t>Impairment of property and equipment</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701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5"/>
                <w:szCs w:val="15"/>
                <w:color w:val="auto"/>
              </w:rPr>
              <w:t>3,478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60" w:type="dxa"/>
            <w:vAlign w:val="bottom"/>
            <w:shd w:val="clear" w:color="auto" w:fill="CCEEFF"/>
          </w:tcPr>
          <w:p>
            <w:pPr>
              <w:spacing w:after="0"/>
              <w:rPr>
                <w:sz w:val="20"/>
                <w:szCs w:val="20"/>
                <w:color w:val="auto"/>
              </w:rPr>
            </w:pPr>
            <w:r>
              <w:rPr>
                <w:rFonts w:ascii="Arial" w:cs="Arial" w:eastAsia="Arial" w:hAnsi="Arial"/>
                <w:sz w:val="15"/>
                <w:szCs w:val="15"/>
                <w:color w:val="auto"/>
              </w:rPr>
              <w:t>Amortization of deferred financing costs</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188</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189</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60" w:type="dxa"/>
            <w:vAlign w:val="bottom"/>
          </w:tcPr>
          <w:p>
            <w:pPr>
              <w:spacing w:after="0"/>
              <w:rPr>
                <w:sz w:val="20"/>
                <w:szCs w:val="20"/>
                <w:color w:val="auto"/>
              </w:rPr>
            </w:pPr>
            <w:r>
              <w:rPr>
                <w:rFonts w:ascii="Arial" w:cs="Arial" w:eastAsia="Arial" w:hAnsi="Arial"/>
                <w:sz w:val="15"/>
                <w:szCs w:val="15"/>
                <w:color w:val="auto"/>
              </w:rPr>
              <w:t>Deferred income taxes, net</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2,026</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(110)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60" w:type="dxa"/>
            <w:vAlign w:val="bottom"/>
            <w:shd w:val="clear" w:color="auto" w:fill="CCEEFF"/>
          </w:tcPr>
          <w:p>
            <w:pPr>
              <w:spacing w:after="0"/>
              <w:rPr>
                <w:sz w:val="20"/>
                <w:szCs w:val="20"/>
                <w:color w:val="auto"/>
              </w:rPr>
            </w:pPr>
            <w:r>
              <w:rPr>
                <w:rFonts w:ascii="Arial" w:cs="Arial" w:eastAsia="Arial" w:hAnsi="Arial"/>
                <w:sz w:val="15"/>
                <w:szCs w:val="15"/>
                <w:color w:val="auto"/>
              </w:rPr>
              <w:t>Changes in operating assets and liabilities:</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60" w:type="dxa"/>
            <w:vAlign w:val="bottom"/>
          </w:tcPr>
          <w:p>
            <w:pPr>
              <w:ind w:left="100"/>
              <w:spacing w:after="0"/>
              <w:rPr>
                <w:sz w:val="20"/>
                <w:szCs w:val="20"/>
                <w:color w:val="auto"/>
              </w:rPr>
            </w:pPr>
            <w:r>
              <w:rPr>
                <w:rFonts w:ascii="Arial" w:cs="Arial" w:eastAsia="Arial" w:hAnsi="Arial"/>
                <w:sz w:val="15"/>
                <w:szCs w:val="15"/>
                <w:color w:val="auto"/>
              </w:rPr>
              <w:t>Accounts and other receivables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(1,547)</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(2,527)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Inventories</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72</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60" w:type="dxa"/>
            <w:vAlign w:val="bottom"/>
          </w:tcPr>
          <w:p>
            <w:pPr>
              <w:ind w:left="100"/>
              <w:spacing w:after="0"/>
              <w:rPr>
                <w:sz w:val="20"/>
                <w:szCs w:val="20"/>
                <w:color w:val="auto"/>
              </w:rPr>
            </w:pPr>
            <w:r>
              <w:rPr>
                <w:rFonts w:ascii="Arial" w:cs="Arial" w:eastAsia="Arial" w:hAnsi="Arial"/>
                <w:sz w:val="15"/>
                <w:szCs w:val="15"/>
                <w:color w:val="auto"/>
              </w:rPr>
              <w:t>Prepaid expenses and other current assets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825</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5"/>
                <w:szCs w:val="15"/>
                <w:color w:val="auto"/>
              </w:rPr>
              <w:t>3,163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Income taxes payable</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3,616</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2,264</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60" w:type="dxa"/>
            <w:vAlign w:val="bottom"/>
          </w:tcPr>
          <w:p>
            <w:pPr>
              <w:ind w:left="100"/>
              <w:spacing w:after="0"/>
              <w:rPr>
                <w:sz w:val="20"/>
                <w:szCs w:val="20"/>
                <w:color w:val="auto"/>
              </w:rPr>
            </w:pPr>
            <w:r>
              <w:rPr>
                <w:rFonts w:ascii="Arial" w:cs="Arial" w:eastAsia="Arial" w:hAnsi="Arial"/>
                <w:sz w:val="15"/>
                <w:szCs w:val="15"/>
                <w:color w:val="auto"/>
              </w:rPr>
              <w:t>Other assets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289</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5"/>
                <w:szCs w:val="15"/>
                <w:color w:val="auto"/>
              </w:rPr>
              <w:t>159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Accounts payable</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(507)</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476</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60" w:type="dxa"/>
            <w:vAlign w:val="bottom"/>
          </w:tcPr>
          <w:p>
            <w:pPr>
              <w:ind w:left="100"/>
              <w:spacing w:after="0"/>
              <w:rPr>
                <w:sz w:val="20"/>
                <w:szCs w:val="20"/>
                <w:color w:val="auto"/>
              </w:rPr>
            </w:pPr>
            <w:r>
              <w:rPr>
                <w:rFonts w:ascii="Arial" w:cs="Arial" w:eastAsia="Arial" w:hAnsi="Arial"/>
                <w:sz w:val="15"/>
                <w:szCs w:val="15"/>
                <w:color w:val="auto"/>
              </w:rPr>
              <w:t>Accrued salaries and vacation</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(2,116)</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5"/>
                <w:szCs w:val="15"/>
                <w:color w:val="auto"/>
              </w:rPr>
              <w:t>1,311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Accrued insurance</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615</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816</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6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Other accrued expenses and liabilities</w:t>
            </w:r>
          </w:p>
        </w:tc>
        <w:tc>
          <w:tcPr>
            <w:tcW w:w="2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(809)</w:t>
            </w: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(9,962)</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60" w:type="dxa"/>
            <w:vAlign w:val="bottom"/>
            <w:shd w:val="clear" w:color="auto" w:fill="CCEEFF"/>
          </w:tcPr>
          <w:p>
            <w:pPr>
              <w:spacing w:after="0"/>
              <w:rPr>
                <w:sz w:val="20"/>
                <w:szCs w:val="20"/>
                <w:color w:val="auto"/>
              </w:rPr>
            </w:pPr>
            <w:r>
              <w:rPr>
                <w:rFonts w:ascii="Arial" w:cs="Arial" w:eastAsia="Arial" w:hAnsi="Arial"/>
                <w:sz w:val="15"/>
                <w:szCs w:val="15"/>
                <w:color w:val="auto"/>
              </w:rPr>
              <w:t>Net cash flows provided by operating activities</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42,332</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33,519</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760" w:type="dxa"/>
            <w:vAlign w:val="bottom"/>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760" w:type="dxa"/>
            <w:vAlign w:val="bottom"/>
            <w:shd w:val="clear" w:color="auto" w:fill="CCEEFF"/>
          </w:tcPr>
          <w:p>
            <w:pPr>
              <w:spacing w:after="0"/>
              <w:rPr>
                <w:sz w:val="20"/>
                <w:szCs w:val="20"/>
                <w:color w:val="auto"/>
              </w:rPr>
            </w:pPr>
            <w:r>
              <w:rPr>
                <w:rFonts w:ascii="Arial" w:cs="Arial" w:eastAsia="Arial" w:hAnsi="Arial"/>
                <w:sz w:val="15"/>
                <w:szCs w:val="15"/>
                <w:color w:val="auto"/>
              </w:rPr>
              <w:t>Proceeds from disposition of restaurants</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4,556</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57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Purchase of property and equipment</w:t>
            </w:r>
          </w:p>
        </w:tc>
        <w:tc>
          <w:tcPr>
            <w:tcW w:w="2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(12,699)</w:t>
            </w: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(4,349)</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60" w:type="dxa"/>
            <w:vAlign w:val="bottom"/>
            <w:shd w:val="clear" w:color="auto" w:fill="CCEEFF"/>
          </w:tcPr>
          <w:p>
            <w:pPr>
              <w:spacing w:after="0"/>
              <w:rPr>
                <w:sz w:val="20"/>
                <w:szCs w:val="20"/>
                <w:color w:val="auto"/>
              </w:rPr>
            </w:pPr>
            <w:r>
              <w:rPr>
                <w:rFonts w:ascii="Arial" w:cs="Arial" w:eastAsia="Arial" w:hAnsi="Arial"/>
                <w:sz w:val="15"/>
                <w:szCs w:val="15"/>
                <w:color w:val="auto"/>
              </w:rPr>
              <w:t>Net cash flows used in investing activities</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(8,143)</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(4,349)</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760" w:type="dxa"/>
            <w:vAlign w:val="bottom"/>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760" w:type="dxa"/>
            <w:vAlign w:val="bottom"/>
            <w:shd w:val="clear" w:color="auto" w:fill="CCEEFF"/>
          </w:tcPr>
          <w:p>
            <w:pPr>
              <w:spacing w:after="0"/>
              <w:rPr>
                <w:sz w:val="20"/>
                <w:szCs w:val="20"/>
                <w:color w:val="auto"/>
              </w:rPr>
            </w:pPr>
            <w:r>
              <w:rPr>
                <w:rFonts w:ascii="Arial" w:cs="Arial" w:eastAsia="Arial" w:hAnsi="Arial"/>
                <w:sz w:val="15"/>
                <w:szCs w:val="15"/>
                <w:color w:val="auto"/>
              </w:rPr>
              <w:t>Proceeds from borrowings on revolver and swingline loans</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52,500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760" w:type="dxa"/>
            <w:vAlign w:val="bottom"/>
          </w:tcPr>
          <w:p>
            <w:pPr>
              <w:spacing w:after="0"/>
              <w:rPr>
                <w:sz w:val="20"/>
                <w:szCs w:val="20"/>
                <w:color w:val="auto"/>
              </w:rPr>
            </w:pPr>
            <w:r>
              <w:rPr>
                <w:rFonts w:ascii="Arial" w:cs="Arial" w:eastAsia="Arial" w:hAnsi="Arial"/>
                <w:sz w:val="15"/>
                <w:szCs w:val="15"/>
                <w:color w:val="auto"/>
              </w:rPr>
              <w:t>Payments on revolver and swingline loan</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(22,800)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w w:val="89"/>
              </w:rPr>
              <w:t>(65,700)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60" w:type="dxa"/>
            <w:vAlign w:val="bottom"/>
            <w:shd w:val="clear" w:color="auto" w:fill="CCEEFF"/>
          </w:tcPr>
          <w:p>
            <w:pPr>
              <w:spacing w:after="0"/>
              <w:rPr>
                <w:sz w:val="20"/>
                <w:szCs w:val="20"/>
                <w:color w:val="auto"/>
              </w:rPr>
            </w:pPr>
            <w:r>
              <w:rPr>
                <w:rFonts w:ascii="Arial" w:cs="Arial" w:eastAsia="Arial" w:hAnsi="Arial"/>
                <w:sz w:val="15"/>
                <w:szCs w:val="15"/>
                <w:color w:val="auto"/>
              </w:rPr>
              <w:t>Minimum tax withholdings related to net share settlements</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(705)</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(331)</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60" w:type="dxa"/>
            <w:vAlign w:val="bottom"/>
          </w:tcPr>
          <w:p>
            <w:pPr>
              <w:spacing w:after="0"/>
              <w:rPr>
                <w:sz w:val="20"/>
                <w:szCs w:val="20"/>
                <w:color w:val="auto"/>
              </w:rPr>
            </w:pPr>
            <w:r>
              <w:rPr>
                <w:rFonts w:ascii="Arial" w:cs="Arial" w:eastAsia="Arial" w:hAnsi="Arial"/>
                <w:sz w:val="15"/>
                <w:szCs w:val="15"/>
                <w:color w:val="auto"/>
                <w:w w:val="95"/>
              </w:rPr>
              <w:t>Proceeds from issuance of common stock upon exercise of stock options, net of expenses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866</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5"/>
                <w:szCs w:val="15"/>
                <w:color w:val="auto"/>
              </w:rPr>
              <w:t>5,846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60" w:type="dxa"/>
            <w:vAlign w:val="bottom"/>
            <w:shd w:val="clear" w:color="auto" w:fill="CCEEFF"/>
          </w:tcPr>
          <w:p>
            <w:pPr>
              <w:spacing w:after="0"/>
              <w:rPr>
                <w:sz w:val="20"/>
                <w:szCs w:val="20"/>
                <w:color w:val="auto"/>
              </w:rPr>
            </w:pPr>
            <w:r>
              <w:rPr>
                <w:rFonts w:ascii="Arial" w:cs="Arial" w:eastAsia="Arial" w:hAnsi="Arial"/>
                <w:sz w:val="15"/>
                <w:szCs w:val="15"/>
                <w:color w:val="auto"/>
              </w:rPr>
              <w:t>Payment of obligations under finance leases</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Net cash flows used in financing activities</w:t>
            </w:r>
          </w:p>
        </w:tc>
        <w:tc>
          <w:tcPr>
            <w:tcW w:w="2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(22,739)</w:t>
            </w: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(7,711)</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Increase in cash and cash equivalents</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11,450</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21,459</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60" w:type="dxa"/>
            <w:vAlign w:val="bottom"/>
            <w:tcBorders>
              <w:bottom w:val="single" w:sz="8" w:color="CCEEFF"/>
            </w:tcBorders>
          </w:tcPr>
          <w:p>
            <w:pPr>
              <w:spacing w:after="0"/>
              <w:rPr>
                <w:sz w:val="20"/>
                <w:szCs w:val="20"/>
                <w:color w:val="auto"/>
              </w:rPr>
            </w:pPr>
            <w:r>
              <w:rPr>
                <w:rFonts w:ascii="Arial" w:cs="Arial" w:eastAsia="Arial" w:hAnsi="Arial"/>
                <w:sz w:val="15"/>
                <w:szCs w:val="15"/>
                <w:b w:val="1"/>
                <w:bCs w:val="1"/>
                <w:color w:val="auto"/>
              </w:rPr>
              <w:t xml:space="preserve">Cash and cash equivalents, </w:t>
            </w:r>
            <w:r>
              <w:rPr>
                <w:rFonts w:ascii="Arial" w:cs="Arial" w:eastAsia="Arial" w:hAnsi="Arial"/>
                <w:sz w:val="15"/>
                <w:szCs w:val="15"/>
                <w:color w:val="auto"/>
              </w:rPr>
              <w:t>beginning of period</w:t>
            </w:r>
          </w:p>
        </w:tc>
        <w:tc>
          <w:tcPr>
            <w:tcW w:w="2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13,219</w:t>
            </w: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rPr>
              <w:t>8,070</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 xml:space="preserve">Cash and cash equivalents, </w:t>
            </w:r>
            <w:r>
              <w:rPr>
                <w:rFonts w:ascii="Arial" w:cs="Arial" w:eastAsia="Arial" w:hAnsi="Arial"/>
                <w:sz w:val="15"/>
                <w:szCs w:val="15"/>
                <w:color w:val="auto"/>
              </w:rPr>
              <w:t>end of period</w:t>
            </w:r>
          </w:p>
        </w:tc>
        <w:tc>
          <w:tcPr>
            <w:tcW w:w="2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24,669</w:t>
            </w: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29,529</w:t>
            </w: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6"/>
          </w:tcPr>
          <w:p>
            <w:pPr>
              <w:jc w:val="right"/>
              <w:ind w:right="48"/>
              <w:spacing w:after="0"/>
              <w:rPr>
                <w:sz w:val="20"/>
                <w:szCs w:val="20"/>
                <w:color w:val="auto"/>
              </w:rPr>
            </w:pPr>
            <w:r>
              <w:rPr>
                <w:rFonts w:ascii="Arial" w:cs="Arial" w:eastAsia="Arial" w:hAnsi="Arial"/>
                <w:sz w:val="14"/>
                <w:szCs w:val="14"/>
                <w:b w:val="1"/>
                <w:bCs w:val="1"/>
                <w:color w:val="auto"/>
                <w:w w:val="98"/>
              </w:rPr>
              <w:t>Thirty-Nine Weeks Ended</w:t>
            </w:r>
          </w:p>
        </w:tc>
        <w:tc>
          <w:tcPr>
            <w:tcW w:w="4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4"/>
          </w:tcPr>
          <w:p>
            <w:pPr>
              <w:jc w:val="right"/>
              <w:ind w:right="200"/>
              <w:spacing w:after="0" w:line="134" w:lineRule="exact"/>
              <w:rPr>
                <w:sz w:val="20"/>
                <w:szCs w:val="20"/>
                <w:color w:val="auto"/>
              </w:rPr>
            </w:pPr>
            <w:r>
              <w:rPr>
                <w:rFonts w:ascii="Arial" w:cs="Arial" w:eastAsia="Arial" w:hAnsi="Arial"/>
                <w:sz w:val="14"/>
                <w:szCs w:val="14"/>
                <w:b w:val="1"/>
                <w:bCs w:val="1"/>
                <w:color w:val="auto"/>
                <w:w w:val="88"/>
              </w:rPr>
              <w:t>September 29, 2021</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3"/>
          </w:tcPr>
          <w:p>
            <w:pPr>
              <w:jc w:val="right"/>
              <w:spacing w:after="0" w:line="134" w:lineRule="exact"/>
              <w:rPr>
                <w:sz w:val="20"/>
                <w:szCs w:val="20"/>
                <w:color w:val="auto"/>
              </w:rPr>
            </w:pPr>
            <w:r>
              <w:rPr>
                <w:rFonts w:ascii="Arial" w:cs="Arial" w:eastAsia="Arial" w:hAnsi="Arial"/>
                <w:sz w:val="14"/>
                <w:szCs w:val="14"/>
                <w:b w:val="1"/>
                <w:bCs w:val="1"/>
                <w:color w:val="auto"/>
                <w:w w:val="88"/>
              </w:rPr>
              <w:t>September 23, 2020</w:t>
            </w:r>
          </w:p>
        </w:tc>
        <w:tc>
          <w:tcPr>
            <w:tcW w:w="2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Supplemental cash flow information</w:t>
            </w:r>
          </w:p>
        </w:tc>
        <w:tc>
          <w:tcPr>
            <w:tcW w:w="2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760" w:type="dxa"/>
            <w:vAlign w:val="bottom"/>
          </w:tcPr>
          <w:p>
            <w:pPr>
              <w:spacing w:after="0"/>
              <w:rPr>
                <w:sz w:val="20"/>
                <w:szCs w:val="20"/>
                <w:color w:val="auto"/>
              </w:rPr>
            </w:pPr>
            <w:r>
              <w:rPr>
                <w:rFonts w:ascii="Arial" w:cs="Arial" w:eastAsia="Arial" w:hAnsi="Arial"/>
                <w:sz w:val="15"/>
                <w:szCs w:val="15"/>
                <w:color w:val="auto"/>
              </w:rPr>
              <w:t>Cash paid during the period for interest</w:t>
            </w:r>
          </w:p>
        </w:tc>
        <w:tc>
          <w:tcPr>
            <w:tcW w:w="440" w:type="dxa"/>
            <w:vAlign w:val="bottom"/>
            <w:gridSpan w:val="2"/>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828</w:t>
            </w:r>
          </w:p>
        </w:tc>
        <w:tc>
          <w:tcPr>
            <w:tcW w:w="160" w:type="dxa"/>
            <w:vAlign w:val="bottom"/>
          </w:tcPr>
          <w:p>
            <w:pPr>
              <w:spacing w:after="0"/>
              <w:rPr>
                <w:sz w:val="20"/>
                <w:szCs w:val="20"/>
                <w:color w:val="auto"/>
              </w:rPr>
            </w:pPr>
          </w:p>
        </w:tc>
        <w:tc>
          <w:tcPr>
            <w:tcW w:w="1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2,381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576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Cash paid during the period for income taxes</w:t>
            </w: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4,088</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1,632</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5"/>
                <w:szCs w:val="15"/>
                <w:color w:val="auto"/>
              </w:rPr>
              <w:t>Unpaid purchases of property and equipment</w:t>
            </w: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top w:val="single" w:sz="8" w:color="auto"/>
            </w:tcBorders>
          </w:tcPr>
          <w:p>
            <w:pPr>
              <w:jc w:val="right"/>
              <w:ind w:right="44"/>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5"/>
                <w:szCs w:val="15"/>
                <w:color w:val="auto"/>
              </w:rPr>
              <w:t>2,259</w:t>
            </w:r>
          </w:p>
        </w:tc>
        <w:tc>
          <w:tcPr>
            <w:tcW w:w="16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5"/>
                <w:szCs w:val="15"/>
                <w:color w:val="auto"/>
              </w:rPr>
              <w:t>881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8" w:name="page9"/>
    <w:bookmarkEnd w:id="8"/>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 POLLO LOCO HOLDINGS, INC.</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14" w:lineRule="exact"/>
        <w:rPr>
          <w:sz w:val="20"/>
          <w:szCs w:val="20"/>
          <w:color w:val="auto"/>
        </w:rPr>
      </w:pPr>
    </w:p>
    <w:p>
      <w:pPr>
        <w:ind w:left="40" w:right="1759" w:firstLine="6"/>
        <w:spacing w:after="0" w:line="505" w:lineRule="auto"/>
        <w:tabs>
          <w:tab w:leader="none" w:pos="21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 AND SUMMARY OF SIGNIFICANT ACCOUNTING POLICIES Overview</w:t>
      </w:r>
    </w:p>
    <w:p>
      <w:pPr>
        <w:ind w:left="40" w:right="239"/>
        <w:spacing w:after="0" w:line="277" w:lineRule="auto"/>
        <w:rPr>
          <w:sz w:val="20"/>
          <w:szCs w:val="20"/>
          <w:color w:val="auto"/>
        </w:rPr>
      </w:pPr>
      <w:r>
        <w:rPr>
          <w:rFonts w:ascii="Arial" w:cs="Arial" w:eastAsia="Arial" w:hAnsi="Arial"/>
          <w:sz w:val="16"/>
          <w:szCs w:val="16"/>
          <w:color w:val="auto"/>
        </w:rPr>
        <w:t>El Pollo Loco Holdings, Inc. (“Holdings”) is a Delaware corporation headquartered in Costa Mesa, California. Holdings and its direct and indirect subsidiaries are collectively referred to herein as “we,” “us” or the “Company.” The Company’s activities are conducted principally through its indirect wholly-owned subsidiary, El Pollo Loco, Inc. (“EPL”), which develops, franchises, licenses, and operates quick-service restaurants under the name El Pollo Loco® and operates under one operating segment. At September 29, 2021, the Company operated 190 and franchised 290 El Pollo Loco restaurants.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Basis of Presentation</w:t>
      </w:r>
    </w:p>
    <w:p>
      <w:pPr>
        <w:spacing w:after="0" w:line="218" w:lineRule="exact"/>
        <w:rPr>
          <w:sz w:val="20"/>
          <w:szCs w:val="20"/>
          <w:color w:val="auto"/>
        </w:rPr>
      </w:pPr>
    </w:p>
    <w:p>
      <w:pPr>
        <w:ind w:left="40" w:right="79"/>
        <w:spacing w:after="0" w:line="272" w:lineRule="auto"/>
        <w:rPr>
          <w:sz w:val="20"/>
          <w:szCs w:val="20"/>
          <w:color w:val="auto"/>
        </w:rPr>
      </w:pPr>
      <w:r>
        <w:rPr>
          <w:rFonts w:ascii="Arial" w:cs="Arial" w:eastAsia="Arial" w:hAnsi="Arial"/>
          <w:sz w:val="16"/>
          <w:szCs w:val="16"/>
          <w:color w:val="auto"/>
        </w:rPr>
        <w:t>The accompanying unaudited condensed consolidated financial statements of the Company have been prepared in accordance with U.S. generally accepted accounting principles (“GAAP”) for interim financial statements and pursuant to the rules and regulations of the Securities and Exchange Commission (“SEC”). In the opinion of management, the accompanying unaudited condensed consolidated financial statements reflect all adjustments consisting of normal recurring adjustments necessary for a fair statement of the Company’s consolidated financial position and results of operations and cash flows for the periods presented. Interim results of operations are not necessarily indicative of the results that may be achieved for the full year. The condensed consolidated financial statements and related notes do not include all information and footnotes required by GAAP for annual reports. This quarterly report should be read in conjunction with the consolidated financial statements included in the Company’s annual report on Form 10-K for the year ended December 30, 2020.</w:t>
      </w:r>
    </w:p>
    <w:p>
      <w:pPr>
        <w:spacing w:after="0" w:line="170" w:lineRule="exact"/>
        <w:rPr>
          <w:sz w:val="20"/>
          <w:szCs w:val="20"/>
          <w:color w:val="auto"/>
        </w:rPr>
      </w:pPr>
    </w:p>
    <w:p>
      <w:pPr>
        <w:ind w:left="40" w:right="139"/>
        <w:spacing w:after="0" w:line="299" w:lineRule="auto"/>
        <w:rPr>
          <w:sz w:val="20"/>
          <w:szCs w:val="20"/>
          <w:color w:val="auto"/>
        </w:rPr>
      </w:pPr>
      <w:r>
        <w:rPr>
          <w:rFonts w:ascii="Arial" w:cs="Arial" w:eastAsia="Arial" w:hAnsi="Arial"/>
          <w:sz w:val="15"/>
          <w:szCs w:val="15"/>
          <w:color w:val="auto"/>
        </w:rPr>
        <w:t>The Company uses a 52- or 53-week fiscal year ending on the last Wednesday of the calendar year. In a 52-week fiscal year, each quarter includes 13 weeks of operations; in a 53-week fiscal year, the first, second and third quarters each include 13 weeks of operations, and the fourth quarter includes 14 weeks of operations. Every six or seven years, a 53-week fiscal year occurs. Fiscal 2021 is a 52-week year ending on December 29, 2021, and fiscal 2020 was a 53-week year ended on December 30, 2020. Revenues, expenses, and other financial and operational figures may be elevated in a 53-week year.</w:t>
      </w:r>
    </w:p>
    <w:p>
      <w:pPr>
        <w:spacing w:after="0" w:line="154" w:lineRule="exact"/>
        <w:rPr>
          <w:sz w:val="20"/>
          <w:szCs w:val="20"/>
          <w:color w:val="auto"/>
        </w:rPr>
      </w:pPr>
    </w:p>
    <w:p>
      <w:pPr>
        <w:ind w:left="40" w:right="159"/>
        <w:spacing w:after="0" w:line="257" w:lineRule="auto"/>
        <w:rPr>
          <w:sz w:val="20"/>
          <w:szCs w:val="20"/>
          <w:color w:val="auto"/>
        </w:rPr>
      </w:pPr>
      <w:r>
        <w:rPr>
          <w:rFonts w:ascii="Arial" w:cs="Arial" w:eastAsia="Arial" w:hAnsi="Arial"/>
          <w:sz w:val="17"/>
          <w:szCs w:val="17"/>
          <w:color w:val="auto"/>
        </w:rPr>
        <w:t>Holdings has no material assets or operations. Holdings and Holdings’ direct subsidiary, EPL Intermediate, Inc. (“Intermediate”), guarantee EPL’s 2018 Revolver (as defined below) on a full and unconditional basis (see Note 4, “Long-Term Debt”), and Intermediate has no subsidiaries other than EPL. EPL is a separate and distinct legal entity and has no obligation to make funds available to Intermediate. EPL and Intermediate may pay dividends to Intermediate and to Holdings, respectively, subject to the terms of the 2018 Revolver.</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Principles of Consolidation</w:t>
      </w:r>
    </w:p>
    <w:p>
      <w:pPr>
        <w:spacing w:after="0" w:line="218" w:lineRule="exact"/>
        <w:rPr>
          <w:sz w:val="20"/>
          <w:szCs w:val="20"/>
          <w:color w:val="auto"/>
        </w:rPr>
      </w:pPr>
    </w:p>
    <w:p>
      <w:pPr>
        <w:ind w:left="40" w:right="819"/>
        <w:spacing w:after="0" w:line="308" w:lineRule="auto"/>
        <w:rPr>
          <w:sz w:val="20"/>
          <w:szCs w:val="20"/>
          <w:color w:val="auto"/>
        </w:rPr>
      </w:pPr>
      <w:r>
        <w:rPr>
          <w:rFonts w:ascii="Arial" w:cs="Arial" w:eastAsia="Arial" w:hAnsi="Arial"/>
          <w:sz w:val="16"/>
          <w:szCs w:val="16"/>
          <w:color w:val="auto"/>
        </w:rPr>
        <w:t>The accompanying condensed consolidated financial statements include the accounts of Holdings and its wholly owned subsidiaries. All intercompany balances and transactions have been eliminated in consolidation.</w:t>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Use of Estimates</w:t>
      </w:r>
    </w:p>
    <w:p>
      <w:pPr>
        <w:spacing w:after="0" w:line="218" w:lineRule="exact"/>
        <w:rPr>
          <w:sz w:val="20"/>
          <w:szCs w:val="20"/>
          <w:color w:val="auto"/>
        </w:rPr>
      </w:pPr>
    </w:p>
    <w:p>
      <w:pPr>
        <w:ind w:left="40" w:right="99"/>
        <w:spacing w:after="0" w:line="296" w:lineRule="auto"/>
        <w:rPr>
          <w:sz w:val="20"/>
          <w:szCs w:val="20"/>
          <w:color w:val="auto"/>
        </w:rPr>
      </w:pPr>
      <w:r>
        <w:rPr>
          <w:rFonts w:ascii="Arial" w:cs="Arial" w:eastAsia="Arial" w:hAnsi="Arial"/>
          <w:sz w:val="15"/>
          <w:szCs w:val="15"/>
          <w:color w:val="auto"/>
        </w:rPr>
        <w:t>The preparation of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revenue and expenses during the periods reported. Actual results could materially differ from those estimates. The Company’s significant estimates include estimates for impairment of goodwill, intangible assets and property and equipment, insurance reserves, lease accounting matters, stock-based compensation, income tax receivable agreement liability, contingent liabilities and income tax valuation allowances.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9" w:name="page10"/>
    <w:bookmarkEnd w:id="9"/>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COVID-19</w:t>
      </w:r>
    </w:p>
    <w:p>
      <w:pPr>
        <w:spacing w:after="0" w:line="218" w:lineRule="exact"/>
        <w:rPr>
          <w:sz w:val="20"/>
          <w:szCs w:val="20"/>
          <w:color w:val="auto"/>
        </w:rPr>
      </w:pPr>
    </w:p>
    <w:p>
      <w:pPr>
        <w:ind w:left="40" w:right="59"/>
        <w:spacing w:after="0" w:line="271" w:lineRule="auto"/>
        <w:rPr>
          <w:sz w:val="20"/>
          <w:szCs w:val="20"/>
          <w:color w:val="auto"/>
        </w:rPr>
      </w:pPr>
      <w:r>
        <w:rPr>
          <w:rFonts w:ascii="Arial" w:cs="Arial" w:eastAsia="Arial" w:hAnsi="Arial"/>
          <w:sz w:val="16"/>
          <w:szCs w:val="16"/>
          <w:color w:val="auto"/>
        </w:rPr>
        <w:t>During the COVID-19 pandemic, the Company has experienced periods of significant disruption to its restaurant operations. Following the pandemic declaration in March 2020, federal, state and local governments have periodically responded to the public health crisis by requiring social distancing, issuing “stay at home” directives, and implementing restaurant restrictions - including government-mandated dining room closures - that limited business to off-premise services only (take-out, drive-thru and delivery). Many state and local governments continue to periodically implement certain restrictions to try and contain the spread of the virus. As of September 29, 2021, all of the Company’s restaurants have dining rooms open at full capacity and continue to maintain take-away, mobile pick-up, delivery, and drive-thru operations where available. The Company continues to experience staffing challenges which resulted in reduced operating hours and service channels. Further, there have been inflationary pressures due to supply chain disruptions that impacted the Company’s business and results of operations during the thirteen and thirty-nine weeks ended September 29, 2021.</w:t>
      </w:r>
    </w:p>
    <w:p>
      <w:pPr>
        <w:spacing w:after="0" w:line="174" w:lineRule="exact"/>
        <w:rPr>
          <w:sz w:val="20"/>
          <w:szCs w:val="20"/>
          <w:color w:val="auto"/>
        </w:rPr>
      </w:pPr>
    </w:p>
    <w:p>
      <w:pPr>
        <w:ind w:left="40" w:right="199"/>
        <w:spacing w:after="0" w:line="259" w:lineRule="auto"/>
        <w:rPr>
          <w:sz w:val="20"/>
          <w:szCs w:val="20"/>
          <w:color w:val="auto"/>
        </w:rPr>
      </w:pPr>
      <w:r>
        <w:rPr>
          <w:rFonts w:ascii="Arial" w:cs="Arial" w:eastAsia="Arial" w:hAnsi="Arial"/>
          <w:sz w:val="17"/>
          <w:szCs w:val="17"/>
          <w:color w:val="auto"/>
        </w:rPr>
        <w:t>During the thirteen and thirty-nine weeks ended September 29, 2021, the Company incurred $0.5 million and $3.5 million, respectively, in COVID-19 related expenses, primarily due to leaves of absence and overtime pay. During the thirteen and thirty-nine weeks ended September 23, 2020, the Company incurred $0.9 million and $2.0 million, respectively, in COVID-19 related expenses, primarily due to leaves of absence and overtime pay.</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Subsequent Events</w:t>
      </w:r>
    </w:p>
    <w:p>
      <w:pPr>
        <w:spacing w:after="0" w:line="218" w:lineRule="exact"/>
        <w:rPr>
          <w:sz w:val="20"/>
          <w:szCs w:val="20"/>
          <w:color w:val="auto"/>
        </w:rPr>
      </w:pPr>
    </w:p>
    <w:p>
      <w:pPr>
        <w:ind w:left="40" w:right="159"/>
        <w:spacing w:after="0" w:line="257" w:lineRule="auto"/>
        <w:rPr>
          <w:sz w:val="20"/>
          <w:szCs w:val="20"/>
          <w:color w:val="auto"/>
        </w:rPr>
      </w:pPr>
      <w:r>
        <w:rPr>
          <w:rFonts w:ascii="Arial" w:cs="Arial" w:eastAsia="Arial" w:hAnsi="Arial"/>
          <w:sz w:val="17"/>
          <w:szCs w:val="17"/>
          <w:color w:val="auto"/>
        </w:rPr>
        <w:t>Bernard Acoca, the Company’s Chief Executive Officer and President, resigned from his position as Chief Executive Officer and President and as a member of the Board of Directors of the Company (the “Board”), effective as of October 15, 2021. In connection with Mr. Acoca’s resignation, the Board appointed Laurance Roberts as interim Chief Executive Officer of the Company (“Interim CEO”), effective as of October 15, 2021. Mr. Roberts currently also serves as Chief Financial Officer of the Company and will continue in that role during his tenure as Interim CEO.</w:t>
      </w:r>
    </w:p>
    <w:p>
      <w:pPr>
        <w:spacing w:after="0" w:line="181" w:lineRule="exact"/>
        <w:rPr>
          <w:sz w:val="20"/>
          <w:szCs w:val="20"/>
          <w:color w:val="auto"/>
        </w:rPr>
      </w:pPr>
    </w:p>
    <w:p>
      <w:pPr>
        <w:ind w:left="40" w:right="279"/>
        <w:spacing w:after="0" w:line="263" w:lineRule="auto"/>
        <w:rPr>
          <w:sz w:val="20"/>
          <w:szCs w:val="20"/>
          <w:color w:val="auto"/>
        </w:rPr>
      </w:pPr>
      <w:r>
        <w:rPr>
          <w:rFonts w:ascii="Arial" w:cs="Arial" w:eastAsia="Arial" w:hAnsi="Arial"/>
          <w:sz w:val="17"/>
          <w:szCs w:val="17"/>
          <w:color w:val="auto"/>
        </w:rPr>
        <w:t>The Company has evaluated subsequent events that have occurred after September 29, 2021, and determined that there were no other events or transactions occurring during this reporting period that require recognition or disclosure in the condensed consolidated financial statements.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Cash and Cash Equivalents</w:t>
      </w:r>
    </w:p>
    <w:p>
      <w:pPr>
        <w:spacing w:after="0" w:line="218" w:lineRule="exact"/>
        <w:rPr>
          <w:sz w:val="20"/>
          <w:szCs w:val="20"/>
          <w:color w:val="auto"/>
        </w:rPr>
      </w:pPr>
    </w:p>
    <w:p>
      <w:pPr>
        <w:ind w:left="40" w:right="179"/>
        <w:spacing w:after="0" w:line="276" w:lineRule="auto"/>
        <w:rPr>
          <w:sz w:val="20"/>
          <w:szCs w:val="20"/>
          <w:color w:val="auto"/>
        </w:rPr>
      </w:pPr>
      <w:r>
        <w:rPr>
          <w:rFonts w:ascii="Arial" w:cs="Arial" w:eastAsia="Arial" w:hAnsi="Arial"/>
          <w:sz w:val="17"/>
          <w:szCs w:val="17"/>
          <w:color w:val="auto"/>
        </w:rPr>
        <w:t>The Company considers all liquid instruments with an original maturity of three months or less at the date of purchase to be cash equivalents.</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Liquidity</w:t>
      </w:r>
    </w:p>
    <w:p>
      <w:pPr>
        <w:spacing w:after="0" w:line="218" w:lineRule="exact"/>
        <w:rPr>
          <w:sz w:val="20"/>
          <w:szCs w:val="20"/>
          <w:color w:val="auto"/>
        </w:rPr>
      </w:pPr>
    </w:p>
    <w:p>
      <w:pPr>
        <w:ind w:left="40" w:right="119"/>
        <w:spacing w:after="0" w:line="271" w:lineRule="auto"/>
        <w:rPr>
          <w:sz w:val="20"/>
          <w:szCs w:val="20"/>
          <w:color w:val="auto"/>
        </w:rPr>
      </w:pPr>
      <w:r>
        <w:rPr>
          <w:rFonts w:ascii="Arial" w:cs="Arial" w:eastAsia="Arial" w:hAnsi="Arial"/>
          <w:sz w:val="16"/>
          <w:szCs w:val="16"/>
          <w:color w:val="auto"/>
        </w:rPr>
        <w:t xml:space="preserve">The Company’s principal liquidity and capital requirements are new restaurants, existing restaurant capital investments (remodels and maintenance), interest payments on its debt, lease obligations and working capital and general corporate needs. At September 29, 2021, the Company’s total debt was $40.0 million. The Company’s ability to make payments on its indebtedness and to fund planned capital expenditures depends on available cash and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 from operations and available cash of $24.7 million at September 29, 2021 will be adequate to meet the Company’s liquidity needs for the next twelve months from the date of filing of these condensed consolidated financial statements. However, </w:t>
      </w:r>
      <w:r>
        <w:rPr>
          <w:rFonts w:ascii="Arial" w:cs="Arial" w:eastAsia="Arial" w:hAnsi="Arial"/>
          <w:sz w:val="16"/>
          <w:szCs w:val="16"/>
          <w:color w:val="212529"/>
        </w:rPr>
        <w:t>depending on the severity</w:t>
      </w:r>
      <w:r>
        <w:rPr>
          <w:rFonts w:ascii="Arial" w:cs="Arial" w:eastAsia="Arial" w:hAnsi="Arial"/>
          <w:sz w:val="16"/>
          <w:szCs w:val="16"/>
          <w:color w:val="auto"/>
        </w:rPr>
        <w:t xml:space="preserve"> </w:t>
      </w:r>
      <w:r>
        <w:rPr>
          <w:rFonts w:ascii="Arial" w:cs="Arial" w:eastAsia="Arial" w:hAnsi="Arial"/>
          <w:sz w:val="16"/>
          <w:szCs w:val="16"/>
          <w:color w:val="212529"/>
        </w:rPr>
        <w:t xml:space="preserve">and longevity of the COVID-19 pandemic, </w:t>
      </w:r>
      <w:r>
        <w:rPr>
          <w:rFonts w:ascii="Arial" w:cs="Arial" w:eastAsia="Arial" w:hAnsi="Arial"/>
          <w:sz w:val="16"/>
          <w:szCs w:val="16"/>
          <w:color w:val="000000"/>
        </w:rPr>
        <w:t>the Company’s financial performance and liquidity could be further impacted and</w:t>
      </w:r>
      <w:r>
        <w:rPr>
          <w:rFonts w:ascii="Arial" w:cs="Arial" w:eastAsia="Arial" w:hAnsi="Arial"/>
          <w:sz w:val="16"/>
          <w:szCs w:val="16"/>
          <w:color w:val="212529"/>
        </w:rPr>
        <w:t xml:space="preserve"> </w:t>
      </w:r>
      <w:r>
        <w:rPr>
          <w:rFonts w:ascii="Arial" w:cs="Arial" w:eastAsia="Arial" w:hAnsi="Arial"/>
          <w:sz w:val="16"/>
          <w:szCs w:val="16"/>
          <w:color w:val="000000"/>
        </w:rPr>
        <w:t>could impact the Company’s ability to meet certain covenants required in its 2018 Credit Agreement (as defined below), specifically the lease-adjusted coverage ratio and fixed-charge coverage ratio.</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Loss on Disposition of Restaurants</w:t>
      </w:r>
    </w:p>
    <w:p>
      <w:pPr>
        <w:spacing w:after="0" w:line="218" w:lineRule="exact"/>
        <w:rPr>
          <w:sz w:val="20"/>
          <w:szCs w:val="20"/>
          <w:color w:val="auto"/>
        </w:rPr>
      </w:pPr>
    </w:p>
    <w:p>
      <w:pPr>
        <w:ind w:left="40" w:right="319"/>
        <w:spacing w:after="0" w:line="280" w:lineRule="auto"/>
        <w:rPr>
          <w:sz w:val="20"/>
          <w:szCs w:val="20"/>
          <w:color w:val="auto"/>
        </w:rPr>
      </w:pPr>
      <w:r>
        <w:rPr>
          <w:rFonts w:ascii="Arial" w:cs="Arial" w:eastAsia="Arial" w:hAnsi="Arial"/>
          <w:sz w:val="16"/>
          <w:szCs w:val="16"/>
          <w:color w:val="auto"/>
        </w:rPr>
        <w:t>On July 1, 2021 the Company completed the sale of eight restaurants within the Sacramento area to an existing franchisee. The Company has determined that these restaurant dispositions represent multiple element arrangements, and as a result, the cash consideration received was allocated to the separate elements based on their relative standalone selling price. Cash proceeds included upfront consideration for the sale of the restaurants and franchise fees, as well as</w:t>
      </w:r>
    </w:p>
    <w:p>
      <w:pPr>
        <w:sectPr>
          <w:pgSz w:w="11900" w:h="16838" w:orient="portrait"/>
          <w:cols w:equalWidth="0" w:num="1">
            <w:col w:w="9019"/>
          </w:cols>
          <w:pgMar w:left="1440" w:top="498" w:right="1440" w:bottom="1440"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360680</wp:posOffset>
            </wp:positionV>
            <wp:extent cx="5661025" cy="24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type w:val="continuous"/>
        </w:sectPr>
      </w:pPr>
    </w:p>
    <w:bookmarkStart w:id="10" w:name="page11"/>
    <w:bookmarkEnd w:id="10"/>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199"/>
        <w:spacing w:after="0" w:line="259" w:lineRule="auto"/>
        <w:rPr>
          <w:sz w:val="20"/>
          <w:szCs w:val="20"/>
          <w:color w:val="auto"/>
        </w:rPr>
      </w:pPr>
      <w:r>
        <w:rPr>
          <w:rFonts w:ascii="Arial" w:cs="Arial" w:eastAsia="Arial" w:hAnsi="Arial"/>
          <w:sz w:val="17"/>
          <w:szCs w:val="17"/>
          <w:color w:val="auto"/>
        </w:rPr>
        <w:t>future cash consideration for royalties. The cash consideration per restaurant related to franchise fees is consistent with the amounts stated in the related franchise agreements, which are charged for separate standalone arrangements. The Company initially defers and subsequently recognizes the franchise fees over the term of the franchise agreement. Future royalty income is also recognized in revenue as earned.</w:t>
      </w:r>
    </w:p>
    <w:p>
      <w:pPr>
        <w:spacing w:after="0" w:line="179" w:lineRule="exact"/>
        <w:rPr>
          <w:sz w:val="20"/>
          <w:szCs w:val="20"/>
          <w:color w:val="auto"/>
        </w:rPr>
      </w:pPr>
    </w:p>
    <w:p>
      <w:pPr>
        <w:ind w:left="40" w:right="239"/>
        <w:spacing w:after="0" w:line="263" w:lineRule="auto"/>
        <w:rPr>
          <w:sz w:val="20"/>
          <w:szCs w:val="20"/>
          <w:color w:val="auto"/>
        </w:rPr>
      </w:pPr>
      <w:r>
        <w:rPr>
          <w:rFonts w:ascii="Arial" w:cs="Arial" w:eastAsia="Arial" w:hAnsi="Arial"/>
          <w:sz w:val="17"/>
          <w:szCs w:val="17"/>
          <w:color w:val="auto"/>
        </w:rPr>
        <w:t>This sale resulted in cash proceeds of $4.6 million and a net loss on sale of restaurants of less than $0.1 million and $1.5 million for the thirteen and thirty-nine weeks ended September 29, 2021, respectively. These restaurants are now included in the total number of franchised El Pollo Loco restaurants.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218" w:lineRule="exact"/>
        <w:rPr>
          <w:sz w:val="20"/>
          <w:szCs w:val="20"/>
          <w:color w:val="auto"/>
        </w:rPr>
      </w:pPr>
    </w:p>
    <w:p>
      <w:pPr>
        <w:ind w:left="40" w:right="179"/>
        <w:spacing w:after="0" w:line="299" w:lineRule="auto"/>
        <w:rPr>
          <w:sz w:val="20"/>
          <w:szCs w:val="20"/>
          <w:color w:val="auto"/>
        </w:rPr>
      </w:pPr>
      <w:r>
        <w:rPr>
          <w:rFonts w:ascii="Arial" w:cs="Arial" w:eastAsia="Arial" w:hAnsi="Arial"/>
          <w:sz w:val="15"/>
          <w:szCs w:val="15"/>
          <w:color w:val="auto"/>
        </w:rPr>
        <w:t>In July 2021, the Financial Accounting Standards Board (“FASB”) issued Accounting Standards Update (“ASU”) No. 2021-05, “Leases (Topic 842): Lessors – Certain Leases with Variable Lease Payments” which no longer requires a lessor to recognize a selling loss upon commencement of a lease with variable lease payments that prior to the amendment would have been classified as a sales-type or direct financing lease. The Company adopted this ASU during the third quarter of 2021. The adoption of ASU 2021-05 did not have a significant impact on the Company’s consolidated financial position or results of operations.</w:t>
      </w:r>
    </w:p>
    <w:p>
      <w:pPr>
        <w:spacing w:after="0" w:line="154" w:lineRule="exact"/>
        <w:rPr>
          <w:sz w:val="20"/>
          <w:szCs w:val="20"/>
          <w:color w:val="auto"/>
        </w:rPr>
      </w:pPr>
    </w:p>
    <w:p>
      <w:pPr>
        <w:ind w:left="40" w:right="99"/>
        <w:spacing w:after="0" w:line="254" w:lineRule="auto"/>
        <w:rPr>
          <w:sz w:val="20"/>
          <w:szCs w:val="20"/>
          <w:color w:val="auto"/>
        </w:rPr>
      </w:pPr>
      <w:r>
        <w:rPr>
          <w:rFonts w:ascii="Arial" w:cs="Arial" w:eastAsia="Arial" w:hAnsi="Arial"/>
          <w:sz w:val="17"/>
          <w:szCs w:val="17"/>
          <w:color w:val="auto"/>
        </w:rPr>
        <w:t>In January 2021, the FASB issued ASU No. 2021-01, “Reference Rate Reform (Topic 848): Scope” which clarifies the FASB’s recent rate reform guidance in Topic 848, Reference Rate Reform, that optional expedients and exceptions therein for contract modification and hedge accounting apply to derivatives that are affected by the discontinuation of the London Interbank Offered Rate (“LIBOR”) and the use of new interest rate benchmarks. ASU 2021-01 is effective immediately. Entities may choose to apply the amendments retrospectively as of any date from the beginning of an interim period that includes or is subsequent to March 12, 2020, or prospectively to new modifications from any date within an interim period that includes or is subsequent to January 7, 2021, up to the date that financial statements are available to be issued. The Company adopted this ASU on January 7, 2021. The adoption of ASU 2021-01 did not have a significant impact on the Company’s consolidated financial position or results of operations.</w:t>
      </w:r>
    </w:p>
    <w:p>
      <w:pPr>
        <w:spacing w:after="0" w:line="185" w:lineRule="exact"/>
        <w:rPr>
          <w:sz w:val="20"/>
          <w:szCs w:val="20"/>
          <w:color w:val="auto"/>
        </w:rPr>
      </w:pPr>
    </w:p>
    <w:p>
      <w:pPr>
        <w:ind w:left="40" w:right="139"/>
        <w:spacing w:after="0" w:line="277" w:lineRule="auto"/>
        <w:rPr>
          <w:sz w:val="20"/>
          <w:szCs w:val="20"/>
          <w:color w:val="auto"/>
        </w:rPr>
      </w:pPr>
      <w:r>
        <w:rPr>
          <w:rFonts w:ascii="Arial" w:cs="Arial" w:eastAsia="Arial" w:hAnsi="Arial"/>
          <w:sz w:val="16"/>
          <w:szCs w:val="16"/>
          <w:color w:val="auto"/>
        </w:rPr>
        <w:t>In October 2020, the FASB issued ASU No. 2020-10, “Codification Improvements,” which improve the consistency of the codification by including all disclosure guidance in the appropriate Disclosure Section (Section 50). ASU 2020-10 is effective for annual periods beginning after December 15, 2020, and for interim periods within annual periods beginning after December 15, 2020. The Company adopted this ASU during the first quarter of 2021. The adoption of ASU 2020-10 did not have a significant impact on the Company’s consolidated financial position or results of operations.</w:t>
      </w:r>
    </w:p>
    <w:p>
      <w:pPr>
        <w:spacing w:after="0" w:line="166" w:lineRule="exact"/>
        <w:rPr>
          <w:sz w:val="20"/>
          <w:szCs w:val="20"/>
          <w:color w:val="auto"/>
        </w:rPr>
      </w:pPr>
    </w:p>
    <w:p>
      <w:pPr>
        <w:ind w:left="40" w:right="79"/>
        <w:spacing w:after="0" w:line="257"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which modifies Topic 740 to simplify the accounting for income taxes. ASU 2019-12 is effective for financial statements issued for annual periods beginning after December 15, 2020, and for the interim periods therein. The Company adopted this ASU during the first quarter of 2021. The adoption of ASU 2019-12 did not have a significant impact on the Company’s consolidated financial position or results of operations.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Concentration of Risk</w:t>
      </w:r>
    </w:p>
    <w:p>
      <w:pPr>
        <w:spacing w:after="0" w:line="218" w:lineRule="exact"/>
        <w:rPr>
          <w:sz w:val="20"/>
          <w:szCs w:val="20"/>
          <w:color w:val="auto"/>
        </w:rPr>
      </w:pPr>
    </w:p>
    <w:p>
      <w:pPr>
        <w:ind w:left="40" w:right="499"/>
        <w:spacing w:after="0" w:line="276" w:lineRule="auto"/>
        <w:rPr>
          <w:sz w:val="20"/>
          <w:szCs w:val="20"/>
          <w:color w:val="auto"/>
        </w:rPr>
      </w:pPr>
      <w:r>
        <w:rPr>
          <w:rFonts w:ascii="Arial" w:cs="Arial" w:eastAsia="Arial" w:hAnsi="Arial"/>
          <w:sz w:val="17"/>
          <w:szCs w:val="17"/>
          <w:color w:val="auto"/>
        </w:rPr>
        <w:t>Cash and cash equivalents are maintained at financial institutions and, at times, these balances may exceed federally-insured limits. The Company has never experienced any losses related to these balances.</w:t>
      </w:r>
    </w:p>
    <w:p>
      <w:pPr>
        <w:spacing w:after="0" w:line="164" w:lineRule="exact"/>
        <w:rPr>
          <w:sz w:val="20"/>
          <w:szCs w:val="20"/>
          <w:color w:val="auto"/>
        </w:rPr>
      </w:pPr>
    </w:p>
    <w:p>
      <w:pPr>
        <w:ind w:left="40" w:right="99"/>
        <w:spacing w:after="0" w:line="257" w:lineRule="auto"/>
        <w:rPr>
          <w:sz w:val="20"/>
          <w:szCs w:val="20"/>
          <w:color w:val="auto"/>
        </w:rPr>
      </w:pPr>
      <w:r>
        <w:rPr>
          <w:rFonts w:ascii="Arial" w:cs="Arial" w:eastAsia="Arial" w:hAnsi="Arial"/>
          <w:sz w:val="17"/>
          <w:szCs w:val="17"/>
          <w:color w:val="auto"/>
        </w:rPr>
        <w:t>The Company had no suppliers to whom amounts due totaled greater than 10% of the Company’s accounts payable at September 29, 2021. At December 30, 2020, the Company had two suppliers to whom amounts due totaled 24.2% and 11.4% of the Company’s accounts payable. Purchases from the Company’s largest supplier totaled 27.0% and 28.1% of total expenses for the thirteen and thirty-nine weeks ended September 29, 2021, respectively, and 26.7% and 26.8% of total expenses for the thirteen and thirty-nine weeks ended September 23, 2020, respectively.</w:t>
      </w:r>
    </w:p>
    <w:p>
      <w:pPr>
        <w:spacing w:after="0" w:line="181" w:lineRule="exact"/>
        <w:rPr>
          <w:sz w:val="20"/>
          <w:szCs w:val="20"/>
          <w:color w:val="auto"/>
        </w:rPr>
      </w:pPr>
    </w:p>
    <w:p>
      <w:pPr>
        <w:jc w:val="both"/>
        <w:ind w:left="40" w:right="219"/>
        <w:spacing w:after="0" w:line="263" w:lineRule="auto"/>
        <w:rPr>
          <w:sz w:val="20"/>
          <w:szCs w:val="20"/>
          <w:color w:val="auto"/>
        </w:rPr>
      </w:pPr>
      <w:r>
        <w:rPr>
          <w:rFonts w:ascii="Arial" w:cs="Arial" w:eastAsia="Arial" w:hAnsi="Arial"/>
          <w:sz w:val="17"/>
          <w:szCs w:val="17"/>
          <w:color w:val="auto"/>
        </w:rPr>
        <w:t>Company-operated and franchised restaurants in the greater Los Angeles area generated, in the aggregate, approximately 71.6% and 70.8% of total revenue for the thirteen and thirty-nine weeks ended September 29, 2021, respectively, and 71.2% and 71.5% for the thirteen and thirty-nine weeks ended September 23, 2020, respectively.</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11" w:name="page12"/>
    <w:bookmarkEnd w:id="11"/>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Goodwill and Indefinite Lived Intangible Assets</w:t>
      </w:r>
    </w:p>
    <w:p>
      <w:pPr>
        <w:spacing w:after="0" w:line="218" w:lineRule="exact"/>
        <w:rPr>
          <w:sz w:val="20"/>
          <w:szCs w:val="20"/>
          <w:color w:val="auto"/>
        </w:rPr>
      </w:pPr>
    </w:p>
    <w:p>
      <w:pPr>
        <w:ind w:left="40" w:right="79"/>
        <w:spacing w:after="0" w:line="314" w:lineRule="auto"/>
        <w:rPr>
          <w:sz w:val="20"/>
          <w:szCs w:val="20"/>
          <w:color w:val="auto"/>
        </w:rPr>
      </w:pPr>
      <w:r>
        <w:rPr>
          <w:rFonts w:ascii="Arial" w:cs="Arial" w:eastAsia="Arial" w:hAnsi="Arial"/>
          <w:sz w:val="15"/>
          <w:szCs w:val="15"/>
          <w:color w:val="auto"/>
        </w:rPr>
        <w:t>The Company’s indefinite-lived intangible assets consist of trademarks. Goodwill represents the excess of cost over fair value of net identified assets acquired in business combinations accounted for under the purchase method. The Company does not amortize its goodwill and indefinite-lived intangible assets. Goodwill resulted from the acquisition of certain franchise locations.</w:t>
      </w:r>
    </w:p>
    <w:p>
      <w:pPr>
        <w:spacing w:after="0" w:line="142" w:lineRule="exact"/>
        <w:rPr>
          <w:sz w:val="20"/>
          <w:szCs w:val="20"/>
          <w:color w:val="auto"/>
        </w:rPr>
      </w:pPr>
    </w:p>
    <w:p>
      <w:pPr>
        <w:ind w:left="40" w:right="299"/>
        <w:spacing w:after="0" w:line="263" w:lineRule="auto"/>
        <w:rPr>
          <w:sz w:val="20"/>
          <w:szCs w:val="20"/>
          <w:color w:val="auto"/>
        </w:rPr>
      </w:pPr>
      <w:r>
        <w:rPr>
          <w:rFonts w:ascii="Arial" w:cs="Arial" w:eastAsia="Arial" w:hAnsi="Arial"/>
          <w:sz w:val="17"/>
          <w:szCs w:val="17"/>
          <w:color w:val="auto"/>
        </w:rPr>
        <w:t>Upon the sale or closure of a restaurant, the Company evaluates whether there is a decrement of goodwill. The amount of goodwill included in the cost basis of the asset sold is determined based on the relative fair value of the portion of the reporting unit disposed of compared to the fair value of the reporting unit retained.</w:t>
      </w:r>
    </w:p>
    <w:p>
      <w:pPr>
        <w:spacing w:after="0" w:line="176" w:lineRule="exact"/>
        <w:rPr>
          <w:sz w:val="20"/>
          <w:szCs w:val="20"/>
          <w:color w:val="auto"/>
        </w:rPr>
      </w:pPr>
    </w:p>
    <w:p>
      <w:pPr>
        <w:ind w:left="40" w:right="139"/>
        <w:spacing w:after="0" w:line="276" w:lineRule="auto"/>
        <w:rPr>
          <w:sz w:val="20"/>
          <w:szCs w:val="20"/>
          <w:color w:val="auto"/>
        </w:rPr>
      </w:pPr>
      <w:r>
        <w:rPr>
          <w:rFonts w:ascii="Arial" w:cs="Arial" w:eastAsia="Arial" w:hAnsi="Arial"/>
          <w:sz w:val="17"/>
          <w:szCs w:val="17"/>
          <w:color w:val="auto"/>
        </w:rPr>
        <w:t>The Company performs an annual impairment test for goodwill during the fourth fiscal quarter of each year, or more frequently if impairment indicators arise.</w:t>
      </w:r>
    </w:p>
    <w:p>
      <w:pPr>
        <w:spacing w:after="0" w:line="164" w:lineRule="exact"/>
        <w:rPr>
          <w:sz w:val="20"/>
          <w:szCs w:val="20"/>
          <w:color w:val="auto"/>
        </w:rPr>
      </w:pPr>
    </w:p>
    <w:p>
      <w:pPr>
        <w:ind w:left="40" w:right="79"/>
        <w:spacing w:after="0" w:line="272" w:lineRule="auto"/>
        <w:rPr>
          <w:sz w:val="20"/>
          <w:szCs w:val="20"/>
          <w:color w:val="auto"/>
        </w:rPr>
      </w:pPr>
      <w:r>
        <w:rPr>
          <w:rFonts w:ascii="Arial" w:cs="Arial" w:eastAsia="Arial" w:hAnsi="Arial"/>
          <w:sz w:val="16"/>
          <w:szCs w:val="16"/>
          <w:color w:val="auto"/>
        </w:rPr>
        <w:t>The Company reviews goodwill for impairment utilizing either a qualitative assessment or a fair value test by comparing the fair value of a reporting unit with its carrying amount. If the Company decides that it is appropriate to perform a qualitative assessment and concludes that the fair value of a reporting unit more likely than not exceeds its carrying value, no further evaluation is necessary. If the Company performs the fair value test, the Company will compare the fair value of a reporting unit with its carrying amount, including goodwill. If the fair value of a reporting unit exceeds its carrying amount, goodwill of the reporting unit is considered not impaired. If the carrying amount of a reporting unit exceeds its fair value, the Company will recognize an impairment charge for the amount by which the carrying amount exceeds the reporting unit’s fair value; however, the loss recognized cannot exceed the total amount of goodwill allocated to that reporting unit.</w:t>
      </w:r>
    </w:p>
    <w:p>
      <w:pPr>
        <w:spacing w:after="0" w:line="174" w:lineRule="exact"/>
        <w:rPr>
          <w:sz w:val="20"/>
          <w:szCs w:val="20"/>
          <w:color w:val="auto"/>
        </w:rPr>
      </w:pPr>
    </w:p>
    <w:p>
      <w:pPr>
        <w:ind w:left="40" w:right="299"/>
        <w:spacing w:after="0" w:line="259" w:lineRule="auto"/>
        <w:rPr>
          <w:sz w:val="20"/>
          <w:szCs w:val="20"/>
          <w:color w:val="auto"/>
        </w:rPr>
      </w:pPr>
      <w:r>
        <w:rPr>
          <w:rFonts w:ascii="Arial" w:cs="Arial" w:eastAsia="Arial" w:hAnsi="Arial"/>
          <w:sz w:val="17"/>
          <w:szCs w:val="17"/>
          <w:color w:val="auto"/>
        </w:rPr>
        <w:t>The Company performs an annual impairment test for indefinite-lived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recognized as an impairment loss.</w:t>
      </w:r>
    </w:p>
    <w:p>
      <w:pPr>
        <w:spacing w:after="0" w:line="179" w:lineRule="exact"/>
        <w:rPr>
          <w:sz w:val="20"/>
          <w:szCs w:val="20"/>
          <w:color w:val="auto"/>
        </w:rPr>
      </w:pPr>
    </w:p>
    <w:p>
      <w:pPr>
        <w:jc w:val="both"/>
        <w:ind w:left="40" w:right="159"/>
        <w:spacing w:after="0" w:line="287" w:lineRule="auto"/>
        <w:rPr>
          <w:sz w:val="20"/>
          <w:szCs w:val="20"/>
          <w:color w:val="auto"/>
        </w:rPr>
      </w:pPr>
      <w:r>
        <w:rPr>
          <w:rFonts w:ascii="Arial" w:cs="Arial" w:eastAsia="Arial" w:hAnsi="Arial"/>
          <w:sz w:val="16"/>
          <w:szCs w:val="16"/>
          <w:color w:val="auto"/>
        </w:rPr>
        <w:t>The assumptions used in the estimate of fair value are generally consistent with the past performance of the Company’s reporting segment and are also consistent with the projections and assumptions that are used in current operating plans. These assumptions are subject to change as a result of changing economic and competitive conditions.</w:t>
      </w:r>
    </w:p>
    <w:p>
      <w:pPr>
        <w:spacing w:after="0" w:line="159" w:lineRule="exact"/>
        <w:rPr>
          <w:sz w:val="20"/>
          <w:szCs w:val="20"/>
          <w:color w:val="auto"/>
        </w:rPr>
      </w:pPr>
    </w:p>
    <w:p>
      <w:pPr>
        <w:ind w:left="40" w:right="419"/>
        <w:spacing w:after="0" w:line="271" w:lineRule="auto"/>
        <w:rPr>
          <w:sz w:val="20"/>
          <w:szCs w:val="20"/>
          <w:color w:val="auto"/>
        </w:rPr>
      </w:pPr>
      <w:r>
        <w:rPr>
          <w:rFonts w:ascii="Arial" w:cs="Arial" w:eastAsia="Arial" w:hAnsi="Arial"/>
          <w:sz w:val="16"/>
          <w:szCs w:val="16"/>
          <w:color w:val="auto"/>
        </w:rPr>
        <w:t>The Company determined that there were no indicators of potential impairment of its goodwill and indefinite-lived intangible assets during the thirteen and thirty-nine weeks ended September 29, 2021. Accordingly, the Company did not record any impairment to its goodwill or indefinite-lived intangible assets during the thirteen and thirty-nine weeks ended</w:t>
      </w:r>
    </w:p>
    <w:p>
      <w:pPr>
        <w:spacing w:after="0" w:line="2" w:lineRule="exact"/>
        <w:rPr>
          <w:sz w:val="20"/>
          <w:szCs w:val="20"/>
          <w:color w:val="auto"/>
        </w:rPr>
      </w:pPr>
    </w:p>
    <w:p>
      <w:pPr>
        <w:ind w:left="40" w:right="79"/>
        <w:spacing w:after="0" w:line="262" w:lineRule="auto"/>
        <w:rPr>
          <w:sz w:val="20"/>
          <w:szCs w:val="20"/>
          <w:color w:val="auto"/>
        </w:rPr>
      </w:pPr>
      <w:r>
        <w:rPr>
          <w:rFonts w:ascii="Arial" w:cs="Arial" w:eastAsia="Arial" w:hAnsi="Arial"/>
          <w:sz w:val="17"/>
          <w:szCs w:val="17"/>
          <w:color w:val="auto"/>
        </w:rPr>
        <w:t>September 29, 2021. T</w:t>
      </w:r>
      <w:r>
        <w:rPr>
          <w:rFonts w:ascii="Arial" w:cs="Arial" w:eastAsia="Arial" w:hAnsi="Arial"/>
          <w:sz w:val="17"/>
          <w:szCs w:val="17"/>
          <w:color w:val="212529"/>
        </w:rPr>
        <w:t>he ultimate severity and longevity of the COVID-19 pandemic is unknown, and therefore,</w:t>
      </w:r>
      <w:r>
        <w:rPr>
          <w:rFonts w:ascii="Arial" w:cs="Arial" w:eastAsia="Arial" w:hAnsi="Arial"/>
          <w:sz w:val="17"/>
          <w:szCs w:val="17"/>
          <w:color w:val="auto"/>
        </w:rPr>
        <w:t xml:space="preserve"> it is possible that impairments could be identified in future periods, and such amounts could be material.</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Fair Value Measurements</w:t>
      </w:r>
    </w:p>
    <w:p>
      <w:pPr>
        <w:spacing w:after="0" w:line="218" w:lineRule="exact"/>
        <w:rPr>
          <w:sz w:val="20"/>
          <w:szCs w:val="20"/>
          <w:color w:val="auto"/>
        </w:rPr>
      </w:pPr>
    </w:p>
    <w:p>
      <w:pPr>
        <w:ind w:left="40" w:right="99"/>
        <w:spacing w:after="0" w:line="263" w:lineRule="auto"/>
        <w:rPr>
          <w:sz w:val="20"/>
          <w:szCs w:val="20"/>
          <w:color w:val="auto"/>
        </w:rPr>
      </w:pPr>
      <w:r>
        <w:rPr>
          <w:rFonts w:ascii="Arial" w:cs="Arial" w:eastAsia="Arial" w:hAnsi="Arial"/>
          <w:sz w:val="17"/>
          <w:szCs w:val="17"/>
          <w:color w:val="auto"/>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spacing w:after="0" w:line="176" w:lineRule="exact"/>
        <w:rPr>
          <w:sz w:val="20"/>
          <w:szCs w:val="20"/>
          <w:color w:val="auto"/>
        </w:rPr>
      </w:pPr>
    </w:p>
    <w:p>
      <w:pPr>
        <w:ind w:left="680" w:hanging="302"/>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1: Quoted prices for identical instruments in active markets.</w:t>
      </w:r>
    </w:p>
    <w:p>
      <w:pPr>
        <w:spacing w:after="0" w:line="213" w:lineRule="exact"/>
        <w:rPr>
          <w:rFonts w:ascii="Arial" w:cs="Arial" w:eastAsia="Arial" w:hAnsi="Arial"/>
          <w:sz w:val="17"/>
          <w:szCs w:val="17"/>
          <w:color w:val="auto"/>
        </w:rPr>
      </w:pPr>
    </w:p>
    <w:p>
      <w:pPr>
        <w:ind w:left="680" w:right="119" w:hanging="302"/>
        <w:spacing w:after="0" w:line="345" w:lineRule="auto"/>
        <w:tabs>
          <w:tab w:leader="none" w:pos="680" w:val="left"/>
        </w:tabs>
        <w:numPr>
          <w:ilvl w:val="0"/>
          <w:numId w:val="5"/>
        </w:numPr>
        <w:rPr>
          <w:rFonts w:ascii="Arial" w:cs="Arial" w:eastAsia="Arial" w:hAnsi="Arial"/>
          <w:sz w:val="15"/>
          <w:szCs w:val="15"/>
          <w:color w:val="auto"/>
        </w:rPr>
      </w:pPr>
      <w:r>
        <w:rPr>
          <w:rFonts w:ascii="Arial" w:cs="Arial" w:eastAsia="Arial" w:hAnsi="Arial"/>
          <w:sz w:val="15"/>
          <w:szCs w:val="15"/>
          <w:color w:val="auto"/>
        </w:rPr>
        <w:t>Level 2: Observable prices for similar instruments in active markets; quoted prices for identical or similar instruments in markets that are not active; and model-derived valuations whose inputs or significant value drivers are observable.</w:t>
      </w:r>
    </w:p>
    <w:p>
      <w:pPr>
        <w:spacing w:after="0" w:line="118" w:lineRule="exact"/>
        <w:rPr>
          <w:rFonts w:ascii="Arial" w:cs="Arial" w:eastAsia="Arial" w:hAnsi="Arial"/>
          <w:sz w:val="15"/>
          <w:szCs w:val="15"/>
          <w:color w:val="auto"/>
        </w:rPr>
      </w:pPr>
    </w:p>
    <w:p>
      <w:pPr>
        <w:ind w:left="680" w:hanging="302"/>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3: Unobservable inputs used when little or no market data is available.</w:t>
      </w:r>
    </w:p>
    <w:p>
      <w:pPr>
        <w:spacing w:after="0" w:line="214" w:lineRule="exact"/>
        <w:rPr>
          <w:sz w:val="20"/>
          <w:szCs w:val="20"/>
          <w:color w:val="auto"/>
        </w:rPr>
      </w:pPr>
    </w:p>
    <w:p>
      <w:pPr>
        <w:ind w:left="40" w:right="59"/>
        <w:spacing w:after="0" w:line="259" w:lineRule="auto"/>
        <w:rPr>
          <w:sz w:val="20"/>
          <w:szCs w:val="20"/>
          <w:color w:val="auto"/>
        </w:rPr>
      </w:pPr>
      <w:r>
        <w:rPr>
          <w:rFonts w:ascii="Arial" w:cs="Arial" w:eastAsia="Arial" w:hAnsi="Arial"/>
          <w:sz w:val="17"/>
          <w:szCs w:val="17"/>
          <w:color w:val="auto"/>
        </w:rPr>
        <w:t>During fiscal 2019, the Company entered into an interest rate swap, which is required to be measured at fair value on a recurring basis. The fair value was determined based on Level 2 inputs, which include valuation models, as reported by the Company’s counterparty. These valuation models use a discounted cash flow analysis on the cash flows of the derivative based on the terms of the contract and the forward yield curves adjusted for the Company’s credit risk. The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12" w:name="page13"/>
    <w:bookmarkEnd w:id="12"/>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360"/>
        <w:spacing w:after="0" w:line="276" w:lineRule="auto"/>
        <w:rPr>
          <w:sz w:val="20"/>
          <w:szCs w:val="20"/>
          <w:color w:val="auto"/>
        </w:rPr>
      </w:pPr>
      <w:r>
        <w:rPr>
          <w:rFonts w:ascii="Arial" w:cs="Arial" w:eastAsia="Arial" w:hAnsi="Arial"/>
          <w:sz w:val="17"/>
          <w:szCs w:val="17"/>
          <w:color w:val="auto"/>
        </w:rPr>
        <w:t>key inputs for the valuation models are observable market prices, discount rates, and forward yield curves. See Note 4, “Long-Term Debt” for further discussion regarding our interest rate swaps.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following table presents fair value for the interest rate swap at September 29, 2021 (in thousands):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ind w:left="520"/>
              <w:spacing w:after="0"/>
              <w:rPr>
                <w:sz w:val="20"/>
                <w:szCs w:val="20"/>
                <w:color w:val="auto"/>
              </w:rPr>
            </w:pPr>
            <w:r>
              <w:rPr>
                <w:rFonts w:ascii="Arial" w:cs="Arial" w:eastAsia="Arial" w:hAnsi="Arial"/>
                <w:sz w:val="14"/>
                <w:szCs w:val="14"/>
                <w:b w:val="1"/>
                <w:bCs w:val="1"/>
                <w:color w:val="auto"/>
                <w:w w:val="87"/>
              </w:rPr>
              <w:t>Fair Value Measurements Using</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ind w:left="80"/>
              <w:spacing w:after="0" w:line="134"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1"/>
                <w:szCs w:val="11"/>
                <w:color w:val="auto"/>
              </w:rPr>
            </w:pPr>
          </w:p>
        </w:tc>
        <w:tc>
          <w:tcPr>
            <w:tcW w:w="760" w:type="dxa"/>
            <w:vAlign w:val="bottom"/>
          </w:tcPr>
          <w:p>
            <w:pPr>
              <w:jc w:val="right"/>
              <w:ind w:right="163"/>
              <w:spacing w:after="0" w:line="134"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line="134"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non-current liabilities - Interest rate swap</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729</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729</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following table presents fair value for the interest rate swap at December 30, 2020 (in thousands):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ind w:right="103"/>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ind w:left="520"/>
              <w:spacing w:after="0"/>
              <w:rPr>
                <w:sz w:val="20"/>
                <w:szCs w:val="20"/>
                <w:color w:val="auto"/>
              </w:rPr>
            </w:pPr>
            <w:r>
              <w:rPr>
                <w:rFonts w:ascii="Arial" w:cs="Arial" w:eastAsia="Arial" w:hAnsi="Arial"/>
                <w:sz w:val="14"/>
                <w:szCs w:val="14"/>
                <w:b w:val="1"/>
                <w:bCs w:val="1"/>
                <w:color w:val="auto"/>
                <w:w w:val="87"/>
              </w:rPr>
              <w:t>Fair Value Measurements Using</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ind w:left="80"/>
              <w:spacing w:after="0" w:line="134"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63"/>
              <w:spacing w:after="0" w:line="134"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line="134" w:lineRule="exact"/>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Other non-current liabilities - Interest rate swap</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1,139</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0" w:right="220"/>
        <w:spacing w:after="0" w:line="263" w:lineRule="auto"/>
        <w:rPr>
          <w:sz w:val="20"/>
          <w:szCs w:val="20"/>
          <w:color w:val="auto"/>
        </w:rPr>
      </w:pPr>
      <w:r>
        <w:rPr>
          <w:rFonts w:ascii="Arial" w:cs="Arial" w:eastAsia="Arial" w:hAnsi="Arial"/>
          <w:sz w:val="17"/>
          <w:szCs w:val="17"/>
          <w:color w:val="auto"/>
        </w:rPr>
        <w:t>Certain assets and liabilities are measured at fair value on a nonrecurring basis. In other words, the instruments are not measured at fair value on an ongoing basis, but are subject to fair value adjustments only in certain circumstances (e.g., when there is evidence of impairment).</w:t>
      </w:r>
    </w:p>
    <w:p>
      <w:pPr>
        <w:spacing w:after="0" w:line="176" w:lineRule="exact"/>
        <w:rPr>
          <w:sz w:val="20"/>
          <w:szCs w:val="20"/>
          <w:color w:val="auto"/>
        </w:rPr>
      </w:pPr>
    </w:p>
    <w:p>
      <w:pPr>
        <w:ind w:left="40" w:right="120"/>
        <w:spacing w:after="0" w:line="257" w:lineRule="auto"/>
        <w:rPr>
          <w:sz w:val="20"/>
          <w:szCs w:val="20"/>
          <w:color w:val="auto"/>
        </w:rPr>
      </w:pPr>
      <w:r>
        <w:rPr>
          <w:rFonts w:ascii="Arial" w:cs="Arial" w:eastAsia="Arial" w:hAnsi="Arial"/>
          <w:sz w:val="17"/>
          <w:szCs w:val="17"/>
          <w:color w:val="auto"/>
        </w:rPr>
        <w:t>The following non-financial instruments were measured at fair value, on a nonrecurring basis, as of and for the thirteen and thirty-nine weeks ended September 29, 2021, reflecting certain property and equipment assets and right-of-use (“ROU”) assets for which certain assets were classified as held for sale, and an impairment loss was recognized during the corresponding periods, as discussed under Note 2, “Property and Equipment” and immediately below under “Impairment of Long-Lived Assets and ROU Assets” (in thousands):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jc w:val="center"/>
              <w:ind w:left="212"/>
              <w:spacing w:after="0"/>
              <w:rPr>
                <w:sz w:val="20"/>
                <w:szCs w:val="20"/>
                <w:color w:val="auto"/>
              </w:rPr>
            </w:pPr>
            <w:r>
              <w:rPr>
                <w:rFonts w:ascii="Arial" w:cs="Arial" w:eastAsia="Arial" w:hAnsi="Arial"/>
                <w:sz w:val="14"/>
                <w:szCs w:val="14"/>
                <w:b w:val="1"/>
                <w:bCs w:val="1"/>
                <w:color w:val="auto"/>
                <w:w w:val="88"/>
              </w:rPr>
              <w:t>Thirteen Weeks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03"/>
              <w:spacing w:after="0"/>
              <w:rPr>
                <w:sz w:val="20"/>
                <w:szCs w:val="20"/>
                <w:color w:val="auto"/>
              </w:rPr>
            </w:pPr>
            <w:r>
              <w:rPr>
                <w:rFonts w:ascii="Arial" w:cs="Arial" w:eastAsia="Arial" w:hAnsi="Arial"/>
                <w:sz w:val="14"/>
                <w:szCs w:val="14"/>
                <w:b w:val="1"/>
                <w:bCs w:val="1"/>
                <w:color w:val="auto"/>
                <w:w w:val="90"/>
              </w:rPr>
              <w:t>Thirty-Nine Weeks</w:t>
            </w:r>
          </w:p>
        </w:tc>
        <w:tc>
          <w:tcPr>
            <w:tcW w:w="0" w:type="dxa"/>
            <w:vAlign w:val="bottom"/>
          </w:tcPr>
          <w:p>
            <w:pPr>
              <w:spacing w:after="0"/>
              <w:rPr>
                <w:sz w:val="1"/>
                <w:szCs w:val="1"/>
                <w:color w:val="auto"/>
              </w:rPr>
            </w:pPr>
          </w:p>
        </w:tc>
      </w:tr>
      <w:tr>
        <w:trPr>
          <w:trHeight w:val="161"/>
        </w:trPr>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4"/>
                <w:szCs w:val="14"/>
                <w:b w:val="1"/>
                <w:bCs w:val="1"/>
                <w:color w:val="auto"/>
                <w:w w:val="87"/>
              </w:rPr>
              <w:t>Fair Value Measurements at September 29, 2021 Using</w:t>
            </w:r>
          </w:p>
        </w:tc>
        <w:tc>
          <w:tcPr>
            <w:tcW w:w="40" w:type="dxa"/>
            <w:vAlign w:val="bottom"/>
          </w:tcPr>
          <w:p>
            <w:pPr>
              <w:spacing w:after="0"/>
              <w:rPr>
                <w:sz w:val="14"/>
                <w:szCs w:val="14"/>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Ended September 29, 2021</w:t>
            </w: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Ended September 29, 2021</w:t>
            </w:r>
          </w:p>
        </w:tc>
        <w:tc>
          <w:tcPr>
            <w:tcW w:w="0" w:type="dxa"/>
            <w:vAlign w:val="bottom"/>
          </w:tcPr>
          <w:p>
            <w:pPr>
              <w:spacing w:after="0"/>
              <w:rPr>
                <w:sz w:val="1"/>
                <w:szCs w:val="1"/>
                <w:color w:val="auto"/>
              </w:rPr>
            </w:pPr>
          </w:p>
        </w:tc>
      </w:tr>
      <w:tr>
        <w:trPr>
          <w:trHeight w:val="133"/>
        </w:trPr>
        <w:tc>
          <w:tcPr>
            <w:tcW w:w="14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gridSpan w:val="2"/>
            <w:vMerge w:val="continue"/>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ind w:left="120"/>
              <w:spacing w:after="0" w:line="134"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ind w:left="80"/>
              <w:spacing w:after="0" w:line="134"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360"/>
              <w:spacing w:after="0" w:line="134" w:lineRule="exact"/>
              <w:rPr>
                <w:sz w:val="20"/>
                <w:szCs w:val="20"/>
                <w:color w:val="auto"/>
              </w:rPr>
            </w:pPr>
            <w:r>
              <w:rPr>
                <w:rFonts w:ascii="Arial" w:cs="Arial" w:eastAsia="Arial" w:hAnsi="Arial"/>
                <w:sz w:val="14"/>
                <w:szCs w:val="14"/>
                <w:b w:val="1"/>
                <w:bCs w:val="1"/>
                <w:color w:val="auto"/>
              </w:rPr>
              <w:t>Level 3</w:t>
            </w:r>
          </w:p>
        </w:tc>
        <w:tc>
          <w:tcPr>
            <w:tcW w:w="40" w:type="dxa"/>
            <w:vAlign w:val="bottom"/>
            <w:tcBorders>
              <w:bottom w:val="single" w:sz="8" w:color="CCEEFF"/>
            </w:tcBorders>
          </w:tcPr>
          <w:p>
            <w:pPr>
              <w:spacing w:after="0"/>
              <w:rPr>
                <w:sz w:val="11"/>
                <w:szCs w:val="11"/>
                <w:color w:val="auto"/>
              </w:rPr>
            </w:pPr>
          </w:p>
        </w:tc>
        <w:tc>
          <w:tcPr>
            <w:tcW w:w="1440" w:type="dxa"/>
            <w:vAlign w:val="bottom"/>
            <w:tcBorders>
              <w:bottom w:val="single" w:sz="8" w:color="auto"/>
            </w:tcBorders>
          </w:tcPr>
          <w:p>
            <w:pPr>
              <w:jc w:val="center"/>
              <w:ind w:left="212"/>
              <w:spacing w:after="0" w:line="134" w:lineRule="exact"/>
              <w:rPr>
                <w:sz w:val="20"/>
                <w:szCs w:val="20"/>
                <w:color w:val="auto"/>
              </w:rPr>
            </w:pPr>
            <w:r>
              <w:rPr>
                <w:rFonts w:ascii="Arial" w:cs="Arial" w:eastAsia="Arial" w:hAnsi="Arial"/>
                <w:sz w:val="14"/>
                <w:szCs w:val="14"/>
                <w:b w:val="1"/>
                <w:bCs w:val="1"/>
                <w:color w:val="auto"/>
                <w:w w:val="87"/>
              </w:rPr>
              <w:t>Impairment Losses</w:t>
            </w:r>
          </w:p>
        </w:tc>
        <w:tc>
          <w:tcPr>
            <w:tcW w:w="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center"/>
              <w:ind w:right="123"/>
              <w:spacing w:after="0" w:line="134" w:lineRule="exact"/>
              <w:rPr>
                <w:sz w:val="20"/>
                <w:szCs w:val="20"/>
                <w:color w:val="auto"/>
              </w:rPr>
            </w:pPr>
            <w:r>
              <w:rPr>
                <w:rFonts w:ascii="Arial" w:cs="Arial" w:eastAsia="Arial" w:hAnsi="Arial"/>
                <w:sz w:val="14"/>
                <w:szCs w:val="14"/>
                <w:b w:val="1"/>
                <w:bCs w:val="1"/>
                <w:color w:val="auto"/>
                <w:w w:val="87"/>
              </w:rPr>
              <w:t>Impairment Losses</w:t>
            </w:r>
          </w:p>
        </w:tc>
        <w:tc>
          <w:tcPr>
            <w:tcW w:w="0" w:type="dxa"/>
            <w:vAlign w:val="bottom"/>
          </w:tcPr>
          <w:p>
            <w:pPr>
              <w:spacing w:after="0"/>
              <w:rPr>
                <w:sz w:val="1"/>
                <w:szCs w:val="1"/>
                <w:color w:val="auto"/>
              </w:rPr>
            </w:pPr>
          </w:p>
        </w:tc>
      </w:tr>
      <w:tr>
        <w:trPr>
          <w:trHeight w:val="172"/>
        </w:trPr>
        <w:tc>
          <w:tcPr>
            <w:tcW w:w="1420" w:type="dxa"/>
            <w:vAlign w:val="bottom"/>
            <w:shd w:val="clear" w:color="auto" w:fill="CCEEFF"/>
          </w:tcPr>
          <w:p>
            <w:pPr>
              <w:spacing w:after="0" w:line="172" w:lineRule="exact"/>
              <w:rPr>
                <w:sz w:val="20"/>
                <w:szCs w:val="20"/>
                <w:color w:val="auto"/>
              </w:rPr>
            </w:pPr>
            <w:r>
              <w:rPr>
                <w:rFonts w:ascii="Arial" w:cs="Arial" w:eastAsia="Arial" w:hAnsi="Arial"/>
                <w:sz w:val="17"/>
                <w:szCs w:val="17"/>
                <w:color w:val="auto"/>
              </w:rPr>
              <w:t>Certain property</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w w:val="96"/>
              </w:rPr>
              <w:t>and equipment, net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1272"/>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34</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0" w:type="dxa"/>
            <w:vAlign w:val="bottom"/>
          </w:tcPr>
          <w:p>
            <w:pPr>
              <w:spacing w:after="0"/>
              <w:rPr>
                <w:sz w:val="1"/>
                <w:szCs w:val="1"/>
                <w:color w:val="auto"/>
              </w:rPr>
            </w:pPr>
          </w:p>
        </w:tc>
      </w:tr>
      <w:tr>
        <w:trPr>
          <w:trHeight w:val="192"/>
        </w:trPr>
        <w:tc>
          <w:tcPr>
            <w:tcW w:w="1420" w:type="dxa"/>
            <w:vAlign w:val="bottom"/>
          </w:tcPr>
          <w:p>
            <w:pPr>
              <w:spacing w:after="0" w:line="193" w:lineRule="exact"/>
              <w:rPr>
                <w:sz w:val="20"/>
                <w:szCs w:val="20"/>
                <w:color w:val="auto"/>
              </w:rPr>
            </w:pPr>
            <w:r>
              <w:rPr>
                <w:rFonts w:ascii="Arial" w:cs="Arial" w:eastAsia="Arial" w:hAnsi="Arial"/>
                <w:sz w:val="17"/>
                <w:szCs w:val="17"/>
                <w:color w:val="auto"/>
              </w:rPr>
              <w:t>Certain ROU</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7"/>
                <w:szCs w:val="17"/>
                <w:color w:val="auto"/>
              </w:rPr>
              <w:t>assets, net</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w w:val="91"/>
              </w:rPr>
              <w:t>424</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tcPr>
          <w:p>
            <w:pPr>
              <w:ind w:left="54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20" w:type="dxa"/>
            <w:vAlign w:val="bottom"/>
          </w:tcPr>
          <w:p>
            <w:pPr>
              <w:ind w:left="500"/>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424</w:t>
            </w:r>
          </w:p>
        </w:tc>
        <w:tc>
          <w:tcPr>
            <w:tcW w:w="1480" w:type="dxa"/>
            <w:vAlign w:val="bottom"/>
            <w:gridSpan w:val="2"/>
          </w:tcPr>
          <w:p>
            <w:pPr>
              <w:jc w:val="right"/>
              <w:ind w:right="1272"/>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23"/>
              <w:spacing w:after="0"/>
              <w:rPr>
                <w:sz w:val="20"/>
                <w:szCs w:val="20"/>
                <w:color w:val="auto"/>
              </w:rPr>
            </w:pPr>
            <w:r>
              <w:rPr>
                <w:rFonts w:ascii="Arial" w:cs="Arial" w:eastAsia="Arial" w:hAnsi="Arial"/>
                <w:sz w:val="17"/>
                <w:szCs w:val="17"/>
                <w:color w:val="auto"/>
              </w:rPr>
              <w:t>— $</w:t>
            </w:r>
          </w:p>
        </w:tc>
        <w:tc>
          <w:tcPr>
            <w:tcW w:w="1520" w:type="dxa"/>
            <w:vAlign w:val="bottom"/>
          </w:tcPr>
          <w:p>
            <w:pPr>
              <w:jc w:val="right"/>
              <w:spacing w:after="0"/>
              <w:rPr>
                <w:sz w:val="20"/>
                <w:szCs w:val="20"/>
                <w:color w:val="auto"/>
              </w:rPr>
            </w:pPr>
            <w:r>
              <w:rPr>
                <w:rFonts w:ascii="Arial" w:cs="Arial" w:eastAsia="Arial" w:hAnsi="Arial"/>
                <w:sz w:val="17"/>
                <w:szCs w:val="17"/>
                <w:color w:val="auto"/>
              </w:rPr>
              <w:t>407</w:t>
            </w:r>
          </w:p>
        </w:tc>
        <w:tc>
          <w:tcPr>
            <w:tcW w:w="0" w:type="dxa"/>
            <w:vAlign w:val="bottom"/>
          </w:tcPr>
          <w:p>
            <w:pPr>
              <w:spacing w:after="0"/>
              <w:rPr>
                <w:sz w:val="1"/>
                <w:szCs w:val="1"/>
                <w:color w:val="auto"/>
              </w:rPr>
            </w:pPr>
          </w:p>
        </w:tc>
      </w:tr>
    </w:tbl>
    <w:p>
      <w:pPr>
        <w:spacing w:after="0" w:line="398" w:lineRule="exact"/>
        <w:rPr>
          <w:sz w:val="20"/>
          <w:szCs w:val="20"/>
          <w:color w:val="auto"/>
        </w:rPr>
      </w:pPr>
    </w:p>
    <w:p>
      <w:pPr>
        <w:jc w:val="both"/>
        <w:ind w:left="40" w:right="160"/>
        <w:spacing w:after="0" w:line="259" w:lineRule="auto"/>
        <w:rPr>
          <w:sz w:val="20"/>
          <w:szCs w:val="20"/>
          <w:color w:val="auto"/>
        </w:rPr>
      </w:pPr>
      <w:r>
        <w:rPr>
          <w:rFonts w:ascii="Arial" w:cs="Arial" w:eastAsia="Arial" w:hAnsi="Arial"/>
          <w:sz w:val="17"/>
          <w:szCs w:val="17"/>
          <w:color w:val="auto"/>
        </w:rPr>
        <w:t>The following non-financial instruments were measured at fair value on a nonrecurring basis as of and for the thirteen and thirty-nine weeks ended September 23, 2020, reflecting certain property and equipment assets and ROU assets for which an impairment loss was recognized during the corresponding periods, as discussed immediately below under “Impairment of Long-Lived Assets and ROU Assets” (in thousands):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23"/>
              <w:spacing w:after="0"/>
              <w:rPr>
                <w:sz w:val="20"/>
                <w:szCs w:val="20"/>
                <w:color w:val="auto"/>
              </w:rPr>
            </w:pPr>
            <w:r>
              <w:rPr>
                <w:rFonts w:ascii="Arial" w:cs="Arial" w:eastAsia="Arial" w:hAnsi="Arial"/>
                <w:sz w:val="14"/>
                <w:szCs w:val="14"/>
                <w:b w:val="1"/>
                <w:bCs w:val="1"/>
                <w:color w:val="auto"/>
                <w:w w:val="88"/>
              </w:rPr>
              <w:t>Thirteen Weeks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right"/>
              <w:ind w:right="203"/>
              <w:spacing w:after="0"/>
              <w:rPr>
                <w:sz w:val="20"/>
                <w:szCs w:val="20"/>
                <w:color w:val="auto"/>
              </w:rPr>
            </w:pPr>
            <w:r>
              <w:rPr>
                <w:rFonts w:ascii="Arial" w:cs="Arial" w:eastAsia="Arial" w:hAnsi="Arial"/>
                <w:sz w:val="14"/>
                <w:szCs w:val="14"/>
                <w:b w:val="1"/>
                <w:bCs w:val="1"/>
                <w:color w:val="auto"/>
                <w:w w:val="98"/>
              </w:rPr>
              <w:t>Thirty-Nine Weeks</w:t>
            </w:r>
          </w:p>
        </w:tc>
        <w:tc>
          <w:tcPr>
            <w:tcW w:w="0" w:type="dxa"/>
            <w:vAlign w:val="bottom"/>
          </w:tcPr>
          <w:p>
            <w:pPr>
              <w:spacing w:after="0"/>
              <w:rPr>
                <w:sz w:val="1"/>
                <w:szCs w:val="1"/>
                <w:color w:val="auto"/>
              </w:rPr>
            </w:pPr>
          </w:p>
        </w:tc>
      </w:tr>
      <w:tr>
        <w:trPr>
          <w:trHeight w:val="161"/>
        </w:trPr>
        <w:tc>
          <w:tcPr>
            <w:tcW w:w="1320" w:type="dxa"/>
            <w:vAlign w:val="bottom"/>
          </w:tcPr>
          <w:p>
            <w:pPr>
              <w:spacing w:after="0"/>
              <w:rPr>
                <w:sz w:val="14"/>
                <w:szCs w:val="14"/>
                <w:color w:val="auto"/>
              </w:rPr>
            </w:pPr>
          </w:p>
        </w:tc>
        <w:tc>
          <w:tcPr>
            <w:tcW w:w="6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3380" w:type="dxa"/>
            <w:vAlign w:val="bottom"/>
            <w:gridSpan w:val="8"/>
          </w:tcPr>
          <w:p>
            <w:pPr>
              <w:ind w:left="20"/>
              <w:spacing w:after="0"/>
              <w:rPr>
                <w:sz w:val="20"/>
                <w:szCs w:val="20"/>
                <w:color w:val="auto"/>
              </w:rPr>
            </w:pPr>
            <w:r>
              <w:rPr>
                <w:rFonts w:ascii="Arial" w:cs="Arial" w:eastAsia="Arial" w:hAnsi="Arial"/>
                <w:sz w:val="14"/>
                <w:szCs w:val="14"/>
                <w:b w:val="1"/>
                <w:bCs w:val="1"/>
                <w:color w:val="auto"/>
                <w:w w:val="92"/>
              </w:rPr>
              <w:t>Fair Value Measurements at September 23, 2020 Using</w:t>
            </w:r>
          </w:p>
        </w:tc>
        <w:tc>
          <w:tcPr>
            <w:tcW w:w="1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Ended September 23, 2020</w:t>
            </w:r>
          </w:p>
        </w:tc>
        <w:tc>
          <w:tcPr>
            <w:tcW w:w="14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Ended September 23, 2020</w:t>
            </w:r>
          </w:p>
        </w:tc>
        <w:tc>
          <w:tcPr>
            <w:tcW w:w="0" w:type="dxa"/>
            <w:vAlign w:val="bottom"/>
          </w:tcPr>
          <w:p>
            <w:pPr>
              <w:spacing w:after="0"/>
              <w:rPr>
                <w:sz w:val="1"/>
                <w:szCs w:val="1"/>
                <w:color w:val="auto"/>
              </w:rPr>
            </w:pPr>
          </w:p>
        </w:tc>
      </w:tr>
      <w:tr>
        <w:trPr>
          <w:trHeight w:val="133"/>
        </w:trPr>
        <w:tc>
          <w:tcPr>
            <w:tcW w:w="1320" w:type="dxa"/>
            <w:vAlign w:val="bottom"/>
            <w:vMerge w:val="restart"/>
          </w:tcPr>
          <w:p>
            <w:pPr>
              <w:spacing w:after="0"/>
              <w:rPr>
                <w:sz w:val="20"/>
                <w:szCs w:val="20"/>
                <w:color w:val="auto"/>
              </w:rPr>
            </w:pPr>
            <w:r>
              <w:rPr>
                <w:rFonts w:ascii="Arial" w:cs="Arial" w:eastAsia="Arial" w:hAnsi="Arial"/>
                <w:sz w:val="17"/>
                <w:szCs w:val="17"/>
                <w:color w:val="auto"/>
              </w:rPr>
              <w:t>Certain property</w:t>
            </w:r>
          </w:p>
        </w:tc>
        <w:tc>
          <w:tcPr>
            <w:tcW w:w="600" w:type="dxa"/>
            <w:vAlign w:val="bottom"/>
            <w:gridSpan w:val="3"/>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ind w:left="120"/>
              <w:spacing w:after="0" w:line="134"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ind w:left="80"/>
              <w:spacing w:after="0" w:line="134"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360"/>
              <w:spacing w:after="0" w:line="134"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center"/>
              <w:ind w:right="123"/>
              <w:spacing w:after="0" w:line="134" w:lineRule="exact"/>
              <w:rPr>
                <w:sz w:val="20"/>
                <w:szCs w:val="20"/>
                <w:color w:val="auto"/>
              </w:rPr>
            </w:pPr>
            <w:r>
              <w:rPr>
                <w:rFonts w:ascii="Arial" w:cs="Arial" w:eastAsia="Arial" w:hAnsi="Arial"/>
                <w:sz w:val="14"/>
                <w:szCs w:val="14"/>
                <w:b w:val="1"/>
                <w:bCs w:val="1"/>
                <w:color w:val="auto"/>
                <w:w w:val="87"/>
              </w:rPr>
              <w:t>Impairment Losses</w:t>
            </w: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right"/>
              <w:ind w:right="203"/>
              <w:spacing w:after="0" w:line="134" w:lineRule="exact"/>
              <w:rPr>
                <w:sz w:val="20"/>
                <w:szCs w:val="20"/>
                <w:color w:val="auto"/>
              </w:rPr>
            </w:pPr>
            <w:r>
              <w:rPr>
                <w:rFonts w:ascii="Arial" w:cs="Arial" w:eastAsia="Arial" w:hAnsi="Arial"/>
                <w:sz w:val="14"/>
                <w:szCs w:val="14"/>
                <w:b w:val="1"/>
                <w:bCs w:val="1"/>
                <w:color w:val="auto"/>
                <w:w w:val="94"/>
              </w:rPr>
              <w:t>Impairment Losses</w:t>
            </w:r>
          </w:p>
        </w:tc>
        <w:tc>
          <w:tcPr>
            <w:tcW w:w="0" w:type="dxa"/>
            <w:vAlign w:val="bottom"/>
          </w:tcPr>
          <w:p>
            <w:pPr>
              <w:spacing w:after="0"/>
              <w:rPr>
                <w:sz w:val="1"/>
                <w:szCs w:val="1"/>
                <w:color w:val="auto"/>
              </w:rPr>
            </w:pPr>
          </w:p>
        </w:tc>
      </w:tr>
      <w:tr>
        <w:trPr>
          <w:trHeight w:val="172"/>
        </w:trPr>
        <w:tc>
          <w:tcPr>
            <w:tcW w:w="1320" w:type="dxa"/>
            <w:vAlign w:val="bottom"/>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320" w:type="dxa"/>
            <w:vAlign w:val="bottom"/>
          </w:tcPr>
          <w:p>
            <w:pPr>
              <w:spacing w:after="0"/>
              <w:rPr>
                <w:sz w:val="20"/>
                <w:szCs w:val="20"/>
                <w:color w:val="auto"/>
              </w:rPr>
            </w:pPr>
            <w:r>
              <w:rPr>
                <w:rFonts w:ascii="Arial" w:cs="Arial" w:eastAsia="Arial" w:hAnsi="Arial"/>
                <w:sz w:val="17"/>
                <w:szCs w:val="17"/>
                <w:color w:val="auto"/>
              </w:rPr>
              <w:t>and equipment,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320" w:type="dxa"/>
            <w:vAlign w:val="bottom"/>
          </w:tcPr>
          <w:p>
            <w:pPr>
              <w:spacing w:after="0"/>
              <w:rPr>
                <w:sz w:val="20"/>
                <w:szCs w:val="20"/>
                <w:color w:val="auto"/>
              </w:rPr>
            </w:pPr>
            <w:r>
              <w:rPr>
                <w:rFonts w:ascii="Arial" w:cs="Arial" w:eastAsia="Arial" w:hAnsi="Arial"/>
                <w:sz w:val="17"/>
                <w:szCs w:val="17"/>
                <w:color w:val="auto"/>
              </w:rPr>
              <w:t>net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ind w:left="52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20" w:type="dxa"/>
            <w:vAlign w:val="bottom"/>
          </w:tcPr>
          <w:p>
            <w:pPr>
              <w:ind w:left="480"/>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80" w:type="dxa"/>
            <w:vAlign w:val="bottom"/>
            <w:gridSpan w:val="3"/>
          </w:tcPr>
          <w:p>
            <w:pPr>
              <w:jc w:val="right"/>
              <w:ind w:right="29"/>
              <w:spacing w:after="0"/>
              <w:rPr>
                <w:sz w:val="20"/>
                <w:szCs w:val="20"/>
                <w:color w:val="auto"/>
              </w:rPr>
            </w:pPr>
            <w:r>
              <w:rPr>
                <w:rFonts w:ascii="Arial" w:cs="Arial" w:eastAsia="Arial" w:hAnsi="Arial"/>
                <w:sz w:val="17"/>
                <w:szCs w:val="17"/>
                <w:color w:val="auto"/>
              </w:rPr>
              <w:t>— $</w:t>
            </w:r>
          </w:p>
        </w:tc>
        <w:tc>
          <w:tcPr>
            <w:tcW w:w="1520" w:type="dxa"/>
            <w:vAlign w:val="bottom"/>
          </w:tcPr>
          <w:p>
            <w:pPr>
              <w:jc w:val="right"/>
              <w:spacing w:after="0"/>
              <w:rPr>
                <w:sz w:val="20"/>
                <w:szCs w:val="20"/>
                <w:color w:val="auto"/>
              </w:rPr>
            </w:pPr>
            <w:r>
              <w:rPr>
                <w:rFonts w:ascii="Arial" w:cs="Arial" w:eastAsia="Arial" w:hAnsi="Arial"/>
                <w:sz w:val="17"/>
                <w:szCs w:val="17"/>
                <w:color w:val="auto"/>
              </w:rPr>
              <w:t>1,506</w:t>
            </w:r>
          </w:p>
        </w:tc>
        <w:tc>
          <w:tcPr>
            <w:tcW w:w="320" w:type="dxa"/>
            <w:vAlign w:val="bottom"/>
            <w:gridSpan w:val="2"/>
          </w:tcPr>
          <w:p>
            <w:pPr>
              <w:jc w:val="right"/>
              <w:ind w:right="32"/>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2,935</w:t>
            </w:r>
          </w:p>
        </w:tc>
        <w:tc>
          <w:tcPr>
            <w:tcW w:w="0" w:type="dxa"/>
            <w:vAlign w:val="bottom"/>
          </w:tcPr>
          <w:p>
            <w:pPr>
              <w:spacing w:after="0"/>
              <w:rPr>
                <w:sz w:val="1"/>
                <w:szCs w:val="1"/>
                <w:color w:val="auto"/>
              </w:rPr>
            </w:pPr>
          </w:p>
        </w:tc>
      </w:tr>
      <w:tr>
        <w:trPr>
          <w:trHeight w:val="193"/>
        </w:trPr>
        <w:tc>
          <w:tcPr>
            <w:tcW w:w="13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Certain ROU</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assets, net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911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Impairment of Long-Lived Assets and ROU Assets</w:t>
      </w:r>
    </w:p>
    <w:p>
      <w:pPr>
        <w:spacing w:after="0" w:line="218" w:lineRule="exact"/>
        <w:rPr>
          <w:sz w:val="20"/>
          <w:szCs w:val="20"/>
          <w:color w:val="auto"/>
        </w:rPr>
      </w:pPr>
    </w:p>
    <w:p>
      <w:pPr>
        <w:ind w:left="40" w:right="140"/>
        <w:spacing w:after="0" w:line="272" w:lineRule="auto"/>
        <w:rPr>
          <w:sz w:val="20"/>
          <w:szCs w:val="20"/>
          <w:color w:val="auto"/>
        </w:rPr>
      </w:pPr>
      <w:r>
        <w:rPr>
          <w:rFonts w:ascii="Arial" w:cs="Arial" w:eastAsia="Arial" w:hAnsi="Arial"/>
          <w:sz w:val="16"/>
          <w:szCs w:val="16"/>
          <w:color w:val="auto"/>
        </w:rPr>
        <w:t>The Company reviews its long-lived and ROU assets for impairment on a restaurant-by-restaurant basis whenever events or changes in circumstances indicate that the carrying value of certain long-lived and ROU assets may not be recoverable. The Company considers a triggering event related to long-lived assets or ROU assets in a net asset position to have occurred related to a specific restaurant if the restaurant’s cash flows for the last twelve months are less than a minimum threshold or if consistent levels of undiscounted cash flows for the remaining lease period are less than the carrying value of the restaurant’s assets. Additionally, the Company considers a triggering event related to ROU assets to have occurred related to a specific lease if the location has been subleased and future estimated sublease income is less than lease payments under the head lease. If the Company concludes that the carrying value of certain long-lived and</w:t>
      </w:r>
    </w:p>
    <w:p>
      <w:pPr>
        <w:sectPr>
          <w:pgSz w:w="11900" w:h="16838" w:orient="portrait"/>
          <w:cols w:equalWidth="0" w:num="1">
            <w:col w:w="9040"/>
          </w:cols>
          <w:pgMar w:left="1440" w:top="498" w:right="1419" w:bottom="1440" w:gutter="0" w:footer="0" w:header="0"/>
        </w:sectPr>
      </w:pP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360680</wp:posOffset>
            </wp:positionV>
            <wp:extent cx="5661025" cy="24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40"/>
          </w:cols>
          <w:pgMar w:left="1440" w:top="498" w:right="1419" w:bottom="1440" w:gutter="0" w:footer="0" w:header="0"/>
          <w:type w:val="continuous"/>
        </w:sectPr>
      </w:pPr>
    </w:p>
    <w:bookmarkStart w:id="13" w:name="page14"/>
    <w:bookmarkEnd w:id="13"/>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99"/>
        <w:spacing w:after="0" w:line="271" w:lineRule="auto"/>
        <w:rPr>
          <w:sz w:val="20"/>
          <w:szCs w:val="20"/>
          <w:color w:val="auto"/>
        </w:rPr>
      </w:pPr>
      <w:r>
        <w:rPr>
          <w:rFonts w:ascii="Arial" w:cs="Arial" w:eastAsia="Arial" w:hAnsi="Arial"/>
          <w:sz w:val="16"/>
          <w:szCs w:val="16"/>
          <w:color w:val="auto"/>
        </w:rPr>
        <w:t>ROU assets will not be recovered based on expected undiscounted future cash flows, an impairment loss is recorded to reduce the long-lived or ROU assets to their estimated fair value. The fair value is measured on a nonrecurring basis using unobservable (Level 3) inputs. There is uncertainty in the projected undiscounted future cash flows used in the Company’s impairment review analysis, which requires the use of estimates and assumptions. If actual performance does not achieve the projections, or if the assumptions used change in the future, the Company may be required to recognize impairment charges in future periods, and such charges could be material. The Company determined that triggering events occurred for certain restaurants during the thirteen and thirty-nine weeks ended September 29, 2021 that required an impairment review of certain of the Company’s long-lived and ROU assets. Based on the results of the analysis, the Company recorded non-cash impairment charges of $0.1 million and $0.7 million for the thirteen and thirty-nine weeks ended September 29, 2021, respectively, primarily related to the carrying value of the ROU assets of one restaurant in Texas that closed in 2019, the carrying value of the ROU assets of one restaurant in California and the long-lived assets of three restaurants in California.</w:t>
      </w:r>
    </w:p>
    <w:p>
      <w:pPr>
        <w:spacing w:after="0" w:line="171" w:lineRule="exact"/>
        <w:rPr>
          <w:sz w:val="20"/>
          <w:szCs w:val="20"/>
          <w:color w:val="auto"/>
        </w:rPr>
      </w:pPr>
    </w:p>
    <w:p>
      <w:pPr>
        <w:ind w:left="40" w:right="159"/>
        <w:spacing w:after="0" w:line="296" w:lineRule="auto"/>
        <w:rPr>
          <w:sz w:val="20"/>
          <w:szCs w:val="20"/>
          <w:color w:val="auto"/>
        </w:rPr>
      </w:pPr>
      <w:r>
        <w:rPr>
          <w:rFonts w:ascii="Arial" w:cs="Arial" w:eastAsia="Arial" w:hAnsi="Arial"/>
          <w:sz w:val="15"/>
          <w:szCs w:val="15"/>
          <w:color w:val="auto"/>
        </w:rPr>
        <w:t>The Company recorded a non-cash impairment charge of $1.5 million and $3.5 million for the thirteen and thirty-nine weeks ended September 23, 2020, respectively, primarily related to the carrying value of the ROU assets of one restaurant in Texas and the long-lived assets of four restaurants in California. Given the inherent uncertainty in projecting results for newer restaurants in newer markets, as well as the impact of the COVID-19 pandemic, the Company is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Closed-Store Reserves</w:t>
      </w:r>
    </w:p>
    <w:p>
      <w:pPr>
        <w:spacing w:after="0" w:line="218" w:lineRule="exact"/>
        <w:rPr>
          <w:sz w:val="20"/>
          <w:szCs w:val="20"/>
          <w:color w:val="auto"/>
        </w:rPr>
      </w:pPr>
    </w:p>
    <w:p>
      <w:pPr>
        <w:ind w:left="40" w:right="199"/>
        <w:spacing w:after="0" w:line="293" w:lineRule="auto"/>
        <w:rPr>
          <w:sz w:val="20"/>
          <w:szCs w:val="20"/>
          <w:color w:val="auto"/>
        </w:rPr>
      </w:pPr>
      <w:r>
        <w:rPr>
          <w:rFonts w:ascii="Arial" w:cs="Arial" w:eastAsia="Arial" w:hAnsi="Arial"/>
          <w:sz w:val="15"/>
          <w:szCs w:val="15"/>
          <w:color w:val="auto"/>
        </w:rPr>
        <w:t>When a restaurant is closed, the Company will evaluate the ROU asset for impairment, based on anticipated sublease recoveries. The remaining value of the ROU asset is amortized on a straight-line basis, with the expense recognized in closed-store reserve expense. Additionally, any property tax and common area maintenance (“CAM”) payments relating to closed restaurants are included within closed-store expense. During the thirteen and thirty-nine weeks ended September 29, 2021, the Company recognized less than $0.1 million and $0.4 million, respectively, of closed-store reserve expense related to the amortization of ROU assets, property taxes and CAM payments for its closed locations. During the thirteen and thirty-nine weeks ended September 23, 2020, the Company recognized $0.3 million and $1.1 million of closed-store reserve expense, respectively, primarily related to the amortization of ROU assets, property taxes and CAM payments for its closed locations.</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Derivative Financial Instruments</w:t>
      </w:r>
    </w:p>
    <w:p>
      <w:pPr>
        <w:spacing w:after="0" w:line="218" w:lineRule="exact"/>
        <w:rPr>
          <w:sz w:val="20"/>
          <w:szCs w:val="20"/>
          <w:color w:val="auto"/>
        </w:rPr>
      </w:pPr>
    </w:p>
    <w:p>
      <w:pPr>
        <w:ind w:left="40" w:right="439"/>
        <w:spacing w:after="0" w:line="276" w:lineRule="auto"/>
        <w:rPr>
          <w:sz w:val="20"/>
          <w:szCs w:val="20"/>
          <w:color w:val="auto"/>
        </w:rPr>
      </w:pPr>
      <w:r>
        <w:rPr>
          <w:rFonts w:ascii="Arial" w:cs="Arial" w:eastAsia="Arial" w:hAnsi="Arial"/>
          <w:sz w:val="17"/>
          <w:szCs w:val="17"/>
          <w:color w:val="auto"/>
        </w:rPr>
        <w:t>The Company uses an interest rate swap, a derivative instrument, to hedge interest rate risk and not for trading purposes. The derivative contract is entered into with a financial institution.</w:t>
      </w:r>
    </w:p>
    <w:p>
      <w:pPr>
        <w:spacing w:after="0" w:line="164" w:lineRule="exact"/>
        <w:rPr>
          <w:sz w:val="20"/>
          <w:szCs w:val="20"/>
          <w:color w:val="auto"/>
        </w:rPr>
      </w:pPr>
    </w:p>
    <w:p>
      <w:pPr>
        <w:ind w:left="40" w:right="99"/>
        <w:spacing w:after="0" w:line="255" w:lineRule="auto"/>
        <w:rPr>
          <w:sz w:val="20"/>
          <w:szCs w:val="20"/>
          <w:color w:val="auto"/>
        </w:rPr>
      </w:pPr>
      <w:r>
        <w:rPr>
          <w:rFonts w:ascii="Arial" w:cs="Arial" w:eastAsia="Arial" w:hAnsi="Arial"/>
          <w:sz w:val="17"/>
          <w:szCs w:val="17"/>
          <w:color w:val="auto"/>
        </w:rPr>
        <w:t>The Company records the derivative instrument on its condensed consolidated balance sheets at fair value. The derivative instrument qualifies as a hedging instrument in a qualifying cash flow hedge relationship, and the gain or loss on the derivative instrument is reported as a component of accumulated other comprehensive (loss) income (“AOCI”) and reclassified into earnings in the same period or periods during which the hedged transaction affects earnings. For any derivative instruments not designated as hedging instruments, the gain or loss will be recognized in earnings immediately. If a derivative previously designated as a hedge is terminated, or no longer meets the qualifications for hedge accounting, any balances in AOCI will be reclassified to earnings immediately.</w:t>
      </w:r>
    </w:p>
    <w:p>
      <w:pPr>
        <w:spacing w:after="0" w:line="183" w:lineRule="exact"/>
        <w:rPr>
          <w:sz w:val="20"/>
          <w:szCs w:val="20"/>
          <w:color w:val="auto"/>
        </w:rPr>
      </w:pPr>
    </w:p>
    <w:p>
      <w:pPr>
        <w:ind w:left="40" w:right="239"/>
        <w:spacing w:after="0" w:line="257" w:lineRule="auto"/>
        <w:rPr>
          <w:sz w:val="20"/>
          <w:szCs w:val="20"/>
          <w:color w:val="auto"/>
        </w:rPr>
      </w:pPr>
      <w:r>
        <w:rPr>
          <w:rFonts w:ascii="Arial" w:cs="Arial" w:eastAsia="Arial" w:hAnsi="Arial"/>
          <w:sz w:val="17"/>
          <w:szCs w:val="17"/>
          <w:color w:val="auto"/>
        </w:rPr>
        <w:t>As a result of the use of an interest rate swap, the Company is exposed to risk that the counterparty will fail to meet their contractual obligations. To mitigate the counterparty credit risk, the Company will only enter into contracts with major financial institutions, based upon their credit ratings and other factors, and will continue to assess the creditworthiness of the counterparty. As of September 29, 2021, the counterparty to the Company’s interest rate swap has performed in accordance with its contractual obligation.</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Income Taxes</w:t>
      </w:r>
    </w:p>
    <w:p>
      <w:pPr>
        <w:spacing w:after="0" w:line="218" w:lineRule="exact"/>
        <w:rPr>
          <w:sz w:val="20"/>
          <w:szCs w:val="20"/>
          <w:color w:val="auto"/>
        </w:rPr>
      </w:pPr>
    </w:p>
    <w:p>
      <w:pPr>
        <w:ind w:left="40" w:right="139"/>
        <w:spacing w:after="0" w:line="287" w:lineRule="auto"/>
        <w:rPr>
          <w:sz w:val="20"/>
          <w:szCs w:val="20"/>
          <w:color w:val="auto"/>
        </w:rPr>
      </w:pPr>
      <w:r>
        <w:rPr>
          <w:rFonts w:ascii="Arial" w:cs="Arial" w:eastAsia="Arial" w:hAnsi="Arial"/>
          <w:sz w:val="16"/>
          <w:szCs w:val="16"/>
          <w:color w:val="auto"/>
        </w:rPr>
        <w:t>The provision for income taxes, income taxes payable and deferred income taxes is determined using the asset and liability method. Deferred tax assets and liabilities are determined based on temporary differences between the financial carrying amounts and the tax bases of assets and liabilities using enacted tax rates in effect in the years in which the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14" w:name="page15"/>
    <w:bookmarkEnd w:id="14"/>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40" w:right="199"/>
        <w:spacing w:after="0" w:line="304" w:lineRule="auto"/>
        <w:rPr>
          <w:sz w:val="20"/>
          <w:szCs w:val="20"/>
          <w:color w:val="auto"/>
        </w:rPr>
      </w:pPr>
      <w:r>
        <w:rPr>
          <w:rFonts w:ascii="Arial" w:cs="Arial" w:eastAsia="Arial" w:hAnsi="Arial"/>
          <w:sz w:val="15"/>
          <w:szCs w:val="15"/>
          <w:color w:val="auto"/>
        </w:rPr>
        <w:t>temporary 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charging to tax expense a reserve for the portion of deferred tax assets which are not expected to be realized.</w:t>
      </w:r>
    </w:p>
    <w:p>
      <w:pPr>
        <w:spacing w:after="0" w:line="149" w:lineRule="exact"/>
        <w:rPr>
          <w:sz w:val="20"/>
          <w:szCs w:val="20"/>
          <w:color w:val="auto"/>
        </w:rPr>
      </w:pPr>
    </w:p>
    <w:p>
      <w:pPr>
        <w:ind w:left="40" w:right="319"/>
        <w:spacing w:after="0" w:line="276" w:lineRule="auto"/>
        <w:rPr>
          <w:sz w:val="20"/>
          <w:szCs w:val="20"/>
          <w:color w:val="auto"/>
        </w:rPr>
      </w:pPr>
      <w:r>
        <w:rPr>
          <w:rFonts w:ascii="Arial" w:cs="Arial" w:eastAsia="Arial" w:hAnsi="Arial"/>
          <w:sz w:val="17"/>
          <w:szCs w:val="17"/>
          <w:color w:val="auto"/>
        </w:rPr>
        <w:t>The Company reviews its filing positions for all open tax years in all U.S. federal and state jurisdictions where the Company is required to file.</w:t>
      </w:r>
    </w:p>
    <w:p>
      <w:pPr>
        <w:spacing w:after="0" w:line="164" w:lineRule="exact"/>
        <w:rPr>
          <w:sz w:val="20"/>
          <w:szCs w:val="20"/>
          <w:color w:val="auto"/>
        </w:rPr>
      </w:pPr>
    </w:p>
    <w:p>
      <w:pPr>
        <w:ind w:left="40" w:right="99"/>
        <w:spacing w:after="0" w:line="293" w:lineRule="auto"/>
        <w:rPr>
          <w:sz w:val="20"/>
          <w:szCs w:val="20"/>
          <w:color w:val="auto"/>
        </w:rPr>
      </w:pPr>
      <w:r>
        <w:rPr>
          <w:rFonts w:ascii="Arial" w:cs="Arial" w:eastAsia="Arial" w:hAnsi="Arial"/>
          <w:sz w:val="15"/>
          <w:szCs w:val="15"/>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 50 percent. Otherwise, the Company may not recognize any of the potential tax benefit associated with the position. The Company recognizes a benefit for a tax position that meets the “more likely than not” criterion at the largest amount of tax benefit that is greater than 50 percent likely of being realized upon its effective resolution. Unrecognized tax benefits involve management’s judgment regarding the likelihood of the benefit being sustained. The final resolution of uncertain tax positions could result in adjustments to recorded amounts and may affect the Company’s consolidated financial position, results of operations, and cash flows.</w:t>
      </w:r>
    </w:p>
    <w:p>
      <w:pPr>
        <w:spacing w:after="0" w:line="157" w:lineRule="exact"/>
        <w:rPr>
          <w:sz w:val="20"/>
          <w:szCs w:val="20"/>
          <w:color w:val="auto"/>
        </w:rPr>
      </w:pPr>
    </w:p>
    <w:p>
      <w:pPr>
        <w:ind w:left="40" w:right="219"/>
        <w:spacing w:after="0" w:line="256" w:lineRule="auto"/>
        <w:rPr>
          <w:sz w:val="20"/>
          <w:szCs w:val="20"/>
          <w:color w:val="auto"/>
        </w:rPr>
      </w:pPr>
      <w:r>
        <w:rPr>
          <w:rFonts w:ascii="Arial" w:cs="Arial" w:eastAsia="Arial" w:hAnsi="Arial"/>
          <w:sz w:val="17"/>
          <w:szCs w:val="17"/>
          <w:color w:val="auto"/>
        </w:rPr>
        <w:t>The Company’s policy is to recognize interest and penalties related to income tax matters in income tax expense. The Company had no accrual for interest or penalties at September 29, 2021 or at December 30, 2020. During fiscal 2020 the Company recognized interest of $0.1 million related to the Notice of Proposed Adjustment (“NOPA”), discussed below. The Company did not recognize interest or penalties during the thirteen and thirty-nine weeks ended September 23, 2020, since there were no material unrecognized tax benefits. Management believes no significant changes to the amount of unrecognized tax benefits will occur within the next twelve months.</w:t>
      </w:r>
    </w:p>
    <w:p>
      <w:pPr>
        <w:spacing w:after="0" w:line="182" w:lineRule="exact"/>
        <w:rPr>
          <w:sz w:val="20"/>
          <w:szCs w:val="20"/>
          <w:color w:val="auto"/>
        </w:rPr>
      </w:pPr>
    </w:p>
    <w:p>
      <w:pPr>
        <w:ind w:left="40" w:right="99"/>
        <w:spacing w:after="0" w:line="272" w:lineRule="auto"/>
        <w:rPr>
          <w:sz w:val="20"/>
          <w:szCs w:val="20"/>
          <w:color w:val="auto"/>
        </w:rPr>
      </w:pPr>
      <w:r>
        <w:rPr>
          <w:rFonts w:ascii="Arial" w:cs="Arial" w:eastAsia="Arial" w:hAnsi="Arial"/>
          <w:sz w:val="16"/>
          <w:szCs w:val="16"/>
          <w:color w:val="auto"/>
        </w:rPr>
        <w:t>On July 30, 2014, the Company entered into the income tax receivable agreement (the “TRA”), which calls for the Company to pay to its pre-initial public offering (“IPO”) stockholders 85% of the savings in cash that the Company realizes in its income taxes as a result of utilizing its net operating losses (“NOLs”) and other tax attributes attributable to preceding periods. For both the thirteen and thirty-nine weeks ended September 29, 2021, the Company recorded income tax receivable agreement income of less than $0.1 million, and for the thirteen and thirty-nine weeks ended September 23, 2020, the Company recorded income tax receivable agreement income of $0.1 million and income tax receivable agreement expense of less than $0.1 million, respectively, related to the amortization of interest expense related to the total expected TRA payments and changes in estimates for actual tax returns filed and future forecasted taxable income.</w:t>
      </w:r>
    </w:p>
    <w:p>
      <w:pPr>
        <w:spacing w:after="0" w:line="174" w:lineRule="exact"/>
        <w:rPr>
          <w:sz w:val="20"/>
          <w:szCs w:val="20"/>
          <w:color w:val="auto"/>
        </w:rPr>
      </w:pPr>
    </w:p>
    <w:p>
      <w:pPr>
        <w:ind w:left="40" w:right="179"/>
        <w:spacing w:after="0" w:line="280" w:lineRule="auto"/>
        <w:rPr>
          <w:sz w:val="20"/>
          <w:szCs w:val="20"/>
          <w:color w:val="auto"/>
        </w:rPr>
      </w:pPr>
      <w:r>
        <w:rPr>
          <w:rFonts w:ascii="Arial" w:cs="Arial" w:eastAsia="Arial" w:hAnsi="Arial"/>
          <w:sz w:val="16"/>
          <w:szCs w:val="16"/>
          <w:color w:val="auto"/>
        </w:rPr>
        <w:t>On March 27, 2020, the Coronavirus Aid, Relief and Economic Security Act (the “CARES Act”) was signed into law as a stimulus package, and contained several tax provisions, including a correction of a previous drafting error related to quality improvement property (“QIP”) and immediate refundability of all remaining alternative minimum tax (“AMT”) credits. The new provisions did not have a material impact on the Company’s condensed consolidated financial statements.</w:t>
      </w:r>
    </w:p>
    <w:p>
      <w:pPr>
        <w:spacing w:after="0" w:line="165" w:lineRule="exact"/>
        <w:rPr>
          <w:sz w:val="20"/>
          <w:szCs w:val="20"/>
          <w:color w:val="auto"/>
        </w:rPr>
      </w:pPr>
    </w:p>
    <w:p>
      <w:pPr>
        <w:ind w:left="40" w:right="99"/>
        <w:spacing w:after="0" w:line="257" w:lineRule="auto"/>
        <w:rPr>
          <w:sz w:val="20"/>
          <w:szCs w:val="20"/>
          <w:color w:val="auto"/>
        </w:rPr>
      </w:pPr>
      <w:r>
        <w:rPr>
          <w:rFonts w:ascii="Arial" w:cs="Arial" w:eastAsia="Arial" w:hAnsi="Arial"/>
          <w:sz w:val="17"/>
          <w:szCs w:val="17"/>
          <w:color w:val="auto"/>
        </w:rPr>
        <w:t>During fiscal 2020, the Company received a NOPA for the years ended December 27, 2017 and December 28, 2016, related to the Company’s methodology regarding its ordering of utilization of AMT NOLs. Resolution of this NOPA resulted in a payment of $0.4 million, and the audit is closed. As a result of the CARES Act, this amount was immediately refundable upon filing of a Form 1139. The Company filed the Form 1139 during the year ended December 30, 2020 and received a refund totaling $0.5 million.</w:t>
      </w:r>
    </w:p>
    <w:p>
      <w:pPr>
        <w:spacing w:after="0" w:line="181" w:lineRule="exact"/>
        <w:rPr>
          <w:sz w:val="20"/>
          <w:szCs w:val="20"/>
          <w:color w:val="auto"/>
        </w:rPr>
      </w:pPr>
    </w:p>
    <w:p>
      <w:pPr>
        <w:ind w:left="40" w:right="99"/>
        <w:spacing w:after="0" w:line="272" w:lineRule="auto"/>
        <w:rPr>
          <w:sz w:val="20"/>
          <w:szCs w:val="20"/>
          <w:color w:val="auto"/>
        </w:rPr>
      </w:pPr>
      <w:r>
        <w:rPr>
          <w:rFonts w:ascii="Arial" w:cs="Arial" w:eastAsia="Arial" w:hAnsi="Arial"/>
          <w:sz w:val="16"/>
          <w:szCs w:val="16"/>
          <w:color w:val="auto"/>
        </w:rPr>
        <w:t>The CARES Act also provides for the deferral of employer Social Security taxes that are otherwise owed for wage payment and the creation of refundable employee retention credits. The total amount deferred as of December 30, 2020 is $4.9 million, of which 50% is due by December 31, 2021 and another 50% is due by December 31, 2022. The Company assessed its eligibility for the business relief provision under the CARES Act known as the Employee Retention Credit ("ERC"), a refundable payroll tax credit for 50% of qualified wages paid during 2020. The American Rescue Plan passed into law on March 11, 2021 extended the ERC through December 31, 2021, and the credit was increased to 70% of qualified wages paid from January 1, 2021 through December 31, 2021. During the third quarter of 2021, the Company filed amended Form 941s with the Internal Revenue Service and recognized a credit of $3.2 million for the thirteen and thirty-nine weeks ended September 29, 2021 for the ERC, which is recorded as an offset to the</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15" w:name="page16"/>
    <w:bookmarkEnd w:id="15"/>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219"/>
        <w:spacing w:after="0" w:line="263" w:lineRule="auto"/>
        <w:rPr>
          <w:sz w:val="20"/>
          <w:szCs w:val="20"/>
          <w:color w:val="auto"/>
        </w:rPr>
      </w:pPr>
      <w:r>
        <w:rPr>
          <w:rFonts w:ascii="Arial" w:cs="Arial" w:eastAsia="Arial" w:hAnsi="Arial"/>
          <w:sz w:val="17"/>
          <w:szCs w:val="17"/>
          <w:color w:val="auto"/>
        </w:rPr>
        <w:t>deferred portion of the employer social security tax liability and corresponding payroll tax expense and is classified as part of the labor and other operating expenses on the condensed consolidated statements of income and condensed consolidated balance sheet, respectively.</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2. PROPERTY AND EQUIPMENT</w:t>
      </w:r>
    </w:p>
    <w:p>
      <w:pPr>
        <w:spacing w:after="0" w:line="218" w:lineRule="exact"/>
        <w:rPr>
          <w:sz w:val="20"/>
          <w:szCs w:val="20"/>
          <w:color w:val="auto"/>
        </w:rPr>
      </w:pPr>
    </w:p>
    <w:p>
      <w:pPr>
        <w:ind w:left="40" w:right="319"/>
        <w:spacing w:after="0" w:line="276" w:lineRule="auto"/>
        <w:rPr>
          <w:sz w:val="20"/>
          <w:szCs w:val="20"/>
          <w:color w:val="auto"/>
        </w:rPr>
      </w:pPr>
      <w:r>
        <w:rPr>
          <w:rFonts w:ascii="Arial" w:cs="Arial" w:eastAsia="Arial" w:hAnsi="Arial"/>
          <w:sz w:val="17"/>
          <w:szCs w:val="17"/>
          <w:color w:val="auto"/>
        </w:rPr>
        <w:t>The costs and related accumulated depreciation and amortization of major classes of property and equipment are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6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September 29, 2021</w:t>
            </w:r>
          </w:p>
        </w:tc>
        <w:tc>
          <w:tcPr>
            <w:tcW w:w="14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December 30, 2020</w:t>
            </w:r>
          </w:p>
        </w:tc>
      </w:tr>
      <w:tr>
        <w:trPr>
          <w:trHeight w:val="197"/>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Land</w:t>
            </w:r>
          </w:p>
        </w:tc>
        <w:tc>
          <w:tcPr>
            <w:tcW w:w="15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12,323</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12,323</w:t>
            </w:r>
          </w:p>
        </w:tc>
      </w:tr>
      <w:tr>
        <w:trPr>
          <w:trHeight w:val="205"/>
        </w:trPr>
        <w:tc>
          <w:tcPr>
            <w:tcW w:w="4860" w:type="dxa"/>
            <w:vAlign w:val="bottom"/>
          </w:tcPr>
          <w:p>
            <w:pPr>
              <w:spacing w:after="0"/>
              <w:rPr>
                <w:sz w:val="20"/>
                <w:szCs w:val="20"/>
                <w:color w:val="auto"/>
              </w:rPr>
            </w:pPr>
            <w:r>
              <w:rPr>
                <w:rFonts w:ascii="Arial" w:cs="Arial" w:eastAsia="Arial" w:hAnsi="Arial"/>
                <w:sz w:val="17"/>
                <w:szCs w:val="17"/>
                <w:color w:val="auto"/>
              </w:rPr>
              <w:t>Buildings and improvements</w:t>
            </w: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144,766</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147,939</w:t>
            </w:r>
          </w:p>
        </w:tc>
      </w:tr>
      <w:tr>
        <w:trPr>
          <w:trHeight w:val="205"/>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Other property and equipment</w:t>
            </w:r>
          </w:p>
        </w:tc>
        <w:tc>
          <w:tcPr>
            <w:tcW w:w="1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78,720</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77,177</w:t>
            </w:r>
          </w:p>
        </w:tc>
      </w:tr>
      <w:tr>
        <w:trPr>
          <w:trHeight w:val="205"/>
        </w:trPr>
        <w:tc>
          <w:tcPr>
            <w:tcW w:w="48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Construction in progress</w:t>
            </w:r>
          </w:p>
        </w:tc>
        <w:tc>
          <w:tcPr>
            <w:tcW w:w="15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2,879</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3,567</w:t>
            </w:r>
          </w:p>
        </w:tc>
      </w:tr>
      <w:tr>
        <w:trPr>
          <w:trHeight w:val="197"/>
        </w:trPr>
        <w:tc>
          <w:tcPr>
            <w:tcW w:w="48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238,688</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241,006</w:t>
            </w:r>
          </w:p>
        </w:tc>
      </w:tr>
      <w:tr>
        <w:trPr>
          <w:trHeight w:val="205"/>
        </w:trPr>
        <w:tc>
          <w:tcPr>
            <w:tcW w:w="48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Less: accumulated depreciation and amortization</w:t>
            </w:r>
          </w:p>
        </w:tc>
        <w:tc>
          <w:tcPr>
            <w:tcW w:w="15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(163,852)</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(161,364)</w:t>
            </w:r>
          </w:p>
        </w:tc>
      </w:tr>
      <w:tr>
        <w:trPr>
          <w:trHeight w:val="197"/>
        </w:trPr>
        <w:tc>
          <w:tcPr>
            <w:tcW w:w="486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74,836</w:t>
            </w:r>
          </w:p>
        </w:tc>
        <w:tc>
          <w:tcPr>
            <w:tcW w:w="1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79,642</w:t>
            </w:r>
          </w:p>
        </w:tc>
      </w:tr>
      <w:tr>
        <w:trPr>
          <w:trHeight w:val="20"/>
        </w:trPr>
        <w:tc>
          <w:tcPr>
            <w:tcW w:w="4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40"/>
        <w:spacing w:after="0"/>
        <w:rPr>
          <w:sz w:val="20"/>
          <w:szCs w:val="20"/>
          <w:color w:val="auto"/>
        </w:rPr>
      </w:pPr>
      <w:r>
        <w:rPr>
          <w:rFonts w:ascii="Arial" w:cs="Arial" w:eastAsia="Arial" w:hAnsi="Arial"/>
          <w:sz w:val="17"/>
          <w:szCs w:val="17"/>
          <w:color w:val="auto"/>
        </w:rPr>
        <w:t>Depreciation expense was $3.7 million and $4.1 million for the thirteen weeks ended September 29, 2021 and</w:t>
      </w:r>
    </w:p>
    <w:p>
      <w:pPr>
        <w:spacing w:after="0" w:line="20" w:lineRule="exact"/>
        <w:rPr>
          <w:sz w:val="20"/>
          <w:szCs w:val="20"/>
          <w:color w:val="auto"/>
        </w:rPr>
      </w:pPr>
    </w:p>
    <w:p>
      <w:pPr>
        <w:ind w:left="40" w:right="299"/>
        <w:spacing w:after="0" w:line="262" w:lineRule="auto"/>
        <w:rPr>
          <w:sz w:val="20"/>
          <w:szCs w:val="20"/>
          <w:color w:val="auto"/>
        </w:rPr>
      </w:pPr>
      <w:r>
        <w:rPr>
          <w:rFonts w:ascii="Arial" w:cs="Arial" w:eastAsia="Arial" w:hAnsi="Arial"/>
          <w:sz w:val="17"/>
          <w:szCs w:val="17"/>
          <w:color w:val="auto"/>
        </w:rPr>
        <w:t>September 23, 2020, respectively, and $11.5 million and $12.6 million for the thirty-nine weeks ended September 29, 2021 and September 23, 2020, respectively.</w:t>
      </w:r>
    </w:p>
    <w:p>
      <w:pPr>
        <w:spacing w:after="0" w:line="176" w:lineRule="exact"/>
        <w:rPr>
          <w:sz w:val="20"/>
          <w:szCs w:val="20"/>
          <w:color w:val="auto"/>
        </w:rPr>
      </w:pPr>
    </w:p>
    <w:p>
      <w:pPr>
        <w:jc w:val="both"/>
        <w:ind w:left="40" w:right="259"/>
        <w:spacing w:after="0" w:line="287" w:lineRule="auto"/>
        <w:rPr>
          <w:sz w:val="20"/>
          <w:szCs w:val="20"/>
          <w:color w:val="auto"/>
        </w:rPr>
      </w:pPr>
      <w:r>
        <w:rPr>
          <w:rFonts w:ascii="Arial" w:cs="Arial" w:eastAsia="Arial" w:hAnsi="Arial"/>
          <w:sz w:val="16"/>
          <w:szCs w:val="16"/>
          <w:color w:val="auto"/>
        </w:rPr>
        <w:t>Based on the Company’s review of its long-lived assets for impairment, the Company recorded non-cash impairment charges of less than $0.1 million and $0.3 million for the thirteen and thirty-nine weeks ended September 29, 2021, primarily related to the carrying value of the long-lived assets of three restaurants in California.</w:t>
      </w:r>
    </w:p>
    <w:p>
      <w:pPr>
        <w:spacing w:after="0" w:line="159" w:lineRule="exact"/>
        <w:rPr>
          <w:sz w:val="20"/>
          <w:szCs w:val="20"/>
          <w:color w:val="auto"/>
        </w:rPr>
      </w:pPr>
    </w:p>
    <w:p>
      <w:pPr>
        <w:ind w:left="40" w:right="79"/>
        <w:spacing w:after="0" w:line="256" w:lineRule="auto"/>
        <w:rPr>
          <w:sz w:val="20"/>
          <w:szCs w:val="20"/>
          <w:color w:val="auto"/>
        </w:rPr>
      </w:pPr>
      <w:r>
        <w:rPr>
          <w:rFonts w:ascii="Arial" w:cs="Arial" w:eastAsia="Arial" w:hAnsi="Arial"/>
          <w:sz w:val="17"/>
          <w:szCs w:val="17"/>
          <w:color w:val="auto"/>
        </w:rPr>
        <w:t>During the thirteen and thirty-nine weeks ended September 23, 2020, the Company recorded non-cash impairment charges of $1.5 million and $2.9 million, respectively, primarily related to the carrying value of the long-lived assets of four restaurants in California. D</w:t>
      </w:r>
      <w:r>
        <w:rPr>
          <w:rFonts w:ascii="Arial" w:cs="Arial" w:eastAsia="Arial" w:hAnsi="Arial"/>
          <w:sz w:val="17"/>
          <w:szCs w:val="17"/>
          <w:color w:val="212529"/>
        </w:rPr>
        <w:t>epending on the severity and longevity of the COVID-19 pandemic,</w:t>
      </w:r>
      <w:r>
        <w:rPr>
          <w:rFonts w:ascii="Arial" w:cs="Arial" w:eastAsia="Arial" w:hAnsi="Arial"/>
          <w:sz w:val="17"/>
          <w:szCs w:val="17"/>
          <w:color w:val="auto"/>
        </w:rPr>
        <w:t xml:space="preserve"> the Company’s financial performance could be further impacted and it is possible that material impairments could be identified in future periods. See Note 1, “Basis of Presentation and Summary of Significant Accounting Policies – Impairment of Long-Lived Assets and ROU Assets” for additional information.</w:t>
      </w:r>
    </w:p>
    <w:p>
      <w:pPr>
        <w:spacing w:after="0" w:line="38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3. STOCK-BASED COMPENSATION</w:t>
      </w:r>
    </w:p>
    <w:p>
      <w:pPr>
        <w:spacing w:after="0" w:line="218" w:lineRule="exact"/>
        <w:rPr>
          <w:sz w:val="20"/>
          <w:szCs w:val="20"/>
          <w:color w:val="auto"/>
        </w:rPr>
      </w:pPr>
    </w:p>
    <w:p>
      <w:pPr>
        <w:ind w:left="40" w:right="259"/>
        <w:spacing w:after="0" w:line="257" w:lineRule="auto"/>
        <w:rPr>
          <w:sz w:val="20"/>
          <w:szCs w:val="20"/>
          <w:color w:val="auto"/>
        </w:rPr>
      </w:pPr>
      <w:r>
        <w:rPr>
          <w:rFonts w:ascii="Arial" w:cs="Arial" w:eastAsia="Arial" w:hAnsi="Arial"/>
          <w:sz w:val="17"/>
          <w:szCs w:val="17"/>
          <w:color w:val="auto"/>
        </w:rPr>
        <w:t>At September 29, 2021, options to purchase 1,112,730 shares of common stock were outstanding, including 698,329 vested and 414,401 unvested. Unvested options vest over time; however, upon a change in control, the Board of Directors may accelerate vesting. At September 29, 2021, 212,196 premium options, which are options granted above the stock price at date of grant, remained outstanding. A summary of stock option activity as of September 29, 2021 and changes during the thirty-nine weeks ended September 29, 2021 is as follows: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Weighted-Average</w:t>
            </w:r>
          </w:p>
        </w:tc>
        <w:tc>
          <w:tcPr>
            <w:tcW w:w="180" w:type="dxa"/>
            <w:vAlign w:val="bottom"/>
          </w:tcPr>
          <w:p>
            <w:pPr>
              <w:spacing w:after="0"/>
              <w:rPr>
                <w:sz w:val="14"/>
                <w:szCs w:val="14"/>
                <w:color w:val="auto"/>
              </w:rPr>
            </w:pPr>
          </w:p>
        </w:tc>
        <w:tc>
          <w:tcPr>
            <w:tcW w:w="840" w:type="dxa"/>
            <w:vAlign w:val="bottom"/>
          </w:tcPr>
          <w:p>
            <w:pPr>
              <w:jc w:val="center"/>
              <w:ind w:right="39"/>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1"/>
        </w:trPr>
        <w:tc>
          <w:tcPr>
            <w:tcW w:w="4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w w:val="89"/>
              </w:rPr>
              <w:t>Weighted-Average</w:t>
            </w:r>
          </w:p>
        </w:tc>
        <w:tc>
          <w:tcPr>
            <w:tcW w:w="40" w:type="dxa"/>
            <w:vAlign w:val="bottom"/>
          </w:tcPr>
          <w:p>
            <w:pPr>
              <w:spacing w:after="0"/>
              <w:rPr>
                <w:sz w:val="12"/>
                <w:szCs w:val="12"/>
                <w:color w:val="auto"/>
              </w:rPr>
            </w:pPr>
          </w:p>
        </w:tc>
        <w:tc>
          <w:tcPr>
            <w:tcW w:w="11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0"/>
              </w:rPr>
              <w:t>Contractual Life</w:t>
            </w:r>
          </w:p>
        </w:tc>
        <w:tc>
          <w:tcPr>
            <w:tcW w:w="102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89"/>
              </w:rPr>
              <w:t>Intrinsic Value</w:t>
            </w:r>
          </w:p>
        </w:tc>
        <w:tc>
          <w:tcPr>
            <w:tcW w:w="0" w:type="dxa"/>
            <w:vAlign w:val="bottom"/>
          </w:tcPr>
          <w:p>
            <w:pPr>
              <w:spacing w:after="0"/>
              <w:rPr>
                <w:sz w:val="1"/>
                <w:szCs w:val="1"/>
                <w:color w:val="auto"/>
              </w:rPr>
            </w:pPr>
          </w:p>
        </w:tc>
      </w:tr>
      <w:tr>
        <w:trPr>
          <w:trHeight w:val="161"/>
        </w:trPr>
        <w:tc>
          <w:tcPr>
            <w:tcW w:w="45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7"/>
              </w:rPr>
              <w:t>Exercise Price</w:t>
            </w:r>
          </w:p>
        </w:tc>
        <w:tc>
          <w:tcPr>
            <w:tcW w:w="4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Life (Years)</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197"/>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Outstanding - December 30, 2020</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1,030,866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w:t>
            </w:r>
          </w:p>
        </w:tc>
        <w:tc>
          <w:tcPr>
            <w:tcW w:w="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560" w:type="dxa"/>
            <w:vAlign w:val="bottom"/>
          </w:tcPr>
          <w:p>
            <w:pPr>
              <w:spacing w:after="0"/>
              <w:rPr>
                <w:sz w:val="20"/>
                <w:szCs w:val="20"/>
                <w:color w:val="auto"/>
              </w:rPr>
            </w:pPr>
            <w:r>
              <w:rPr>
                <w:rFonts w:ascii="Arial" w:cs="Arial" w:eastAsia="Arial" w:hAnsi="Arial"/>
                <w:sz w:val="17"/>
                <w:szCs w:val="17"/>
                <w:color w:val="auto"/>
              </w:rPr>
              <w:t>Grants</w:t>
            </w:r>
          </w:p>
        </w:tc>
        <w:tc>
          <w:tcPr>
            <w:tcW w:w="840" w:type="dxa"/>
            <w:vAlign w:val="bottom"/>
          </w:tcPr>
          <w:p>
            <w:pPr>
              <w:jc w:val="right"/>
              <w:spacing w:after="0"/>
              <w:rPr>
                <w:sz w:val="20"/>
                <w:szCs w:val="20"/>
                <w:color w:val="auto"/>
              </w:rPr>
            </w:pPr>
            <w:r>
              <w:rPr>
                <w:rFonts w:ascii="Arial" w:cs="Arial" w:eastAsia="Arial" w:hAnsi="Arial"/>
                <w:sz w:val="17"/>
                <w:szCs w:val="17"/>
                <w:color w:val="auto"/>
              </w:rPr>
              <w:t>256,172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17.55</w:t>
            </w: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(132,760)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w:t>
            </w:r>
          </w:p>
        </w:tc>
        <w:tc>
          <w:tcPr>
            <w:tcW w:w="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560" w:type="dxa"/>
            <w:vAlign w:val="bottom"/>
          </w:tcPr>
          <w:p>
            <w:pPr>
              <w:spacing w:after="0"/>
              <w:rPr>
                <w:sz w:val="20"/>
                <w:szCs w:val="20"/>
                <w:color w:val="auto"/>
              </w:rPr>
            </w:pPr>
            <w:r>
              <w:rPr>
                <w:rFonts w:ascii="Arial" w:cs="Arial" w:eastAsia="Arial" w:hAnsi="Arial"/>
                <w:sz w:val="17"/>
                <w:szCs w:val="17"/>
                <w:color w:val="auto"/>
              </w:rPr>
              <w:t>Forfeited, cancelled or expired</w:t>
            </w:r>
          </w:p>
        </w:tc>
        <w:tc>
          <w:tcPr>
            <w:tcW w:w="840" w:type="dxa"/>
            <w:vAlign w:val="bottom"/>
          </w:tcPr>
          <w:p>
            <w:pPr>
              <w:jc w:val="right"/>
              <w:spacing w:after="0"/>
              <w:rPr>
                <w:sz w:val="20"/>
                <w:szCs w:val="20"/>
                <w:color w:val="auto"/>
              </w:rPr>
            </w:pPr>
            <w:r>
              <w:rPr>
                <w:rFonts w:ascii="Arial" w:cs="Arial" w:eastAsia="Arial" w:hAnsi="Arial"/>
                <w:sz w:val="17"/>
                <w:szCs w:val="17"/>
                <w:color w:val="auto"/>
              </w:rPr>
              <w:t>(41,548)</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15.99</w:t>
            </w: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 September 29, 2021</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1,112,730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11.76</w:t>
            </w:r>
          </w:p>
        </w:tc>
        <w:tc>
          <w:tcPr>
            <w:tcW w:w="1200" w:type="dxa"/>
            <w:vAlign w:val="bottom"/>
            <w:tcBorders>
              <w:top w:val="single" w:sz="8" w:color="CCEEFF"/>
              <w:bottom w:val="single" w:sz="8" w:color="CCEEFF"/>
            </w:tcBorders>
            <w:gridSpan w:val="2"/>
            <w:shd w:val="clear" w:color="auto" w:fill="CCEEFF"/>
          </w:tcPr>
          <w:p>
            <w:pPr>
              <w:jc w:val="right"/>
              <w:ind w:right="292"/>
              <w:spacing w:after="0"/>
              <w:rPr>
                <w:sz w:val="20"/>
                <w:szCs w:val="20"/>
                <w:color w:val="auto"/>
              </w:rPr>
            </w:pPr>
            <w:r>
              <w:rPr>
                <w:rFonts w:ascii="Arial" w:cs="Arial" w:eastAsia="Arial" w:hAnsi="Arial"/>
                <w:sz w:val="17"/>
                <w:szCs w:val="17"/>
                <w:color w:val="auto"/>
              </w:rPr>
              <w:t>6.05</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CCEEFF"/>
              <w:bottom w:val="single" w:sz="8" w:color="CCEEFF"/>
            </w:tcBorders>
            <w:shd w:val="clear" w:color="auto" w:fill="CCEEFF"/>
          </w:tcPr>
          <w:p>
            <w:pPr>
              <w:jc w:val="right"/>
              <w:ind w:right="159"/>
              <w:spacing w:after="0"/>
              <w:rPr>
                <w:sz w:val="20"/>
                <w:szCs w:val="20"/>
                <w:color w:val="auto"/>
              </w:rPr>
            </w:pPr>
            <w:r>
              <w:rPr>
                <w:rFonts w:ascii="Arial" w:cs="Arial" w:eastAsia="Arial" w:hAnsi="Arial"/>
                <w:sz w:val="17"/>
                <w:szCs w:val="17"/>
                <w:color w:val="auto"/>
              </w:rPr>
              <w:t>6,104</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7"/>
                <w:szCs w:val="17"/>
                <w:color w:val="auto"/>
              </w:rPr>
              <w:t>Vested and expected to vest at September 29, 2021</w:t>
            </w:r>
          </w:p>
        </w:tc>
        <w:tc>
          <w:tcPr>
            <w:tcW w:w="8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gridSpan w:val="2"/>
            <w:vMerge w:val="restart"/>
          </w:tcPr>
          <w:p>
            <w:pPr>
              <w:jc w:val="right"/>
              <w:ind w:right="292"/>
              <w:spacing w:after="0"/>
              <w:rPr>
                <w:sz w:val="20"/>
                <w:szCs w:val="20"/>
                <w:color w:val="auto"/>
              </w:rPr>
            </w:pPr>
            <w:r>
              <w:rPr>
                <w:rFonts w:ascii="Arial" w:cs="Arial" w:eastAsia="Arial" w:hAnsi="Arial"/>
                <w:sz w:val="17"/>
                <w:szCs w:val="17"/>
                <w:color w:val="auto"/>
              </w:rPr>
              <w:t>6.04</w:t>
            </w: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40" w:type="dxa"/>
            <w:vAlign w:val="bottom"/>
            <w:vMerge w:val="restart"/>
          </w:tcPr>
          <w:p>
            <w:pPr>
              <w:jc w:val="right"/>
              <w:ind w:right="159"/>
              <w:spacing w:after="0"/>
              <w:rPr>
                <w:sz w:val="20"/>
                <w:szCs w:val="20"/>
                <w:color w:val="auto"/>
              </w:rPr>
            </w:pPr>
            <w:r>
              <w:rPr>
                <w:rFonts w:ascii="Arial" w:cs="Arial" w:eastAsia="Arial" w:hAnsi="Arial"/>
                <w:sz w:val="17"/>
                <w:szCs w:val="17"/>
                <w:color w:val="auto"/>
              </w:rPr>
              <w:t>6,093</w:t>
            </w:r>
          </w:p>
        </w:tc>
        <w:tc>
          <w:tcPr>
            <w:tcW w:w="0" w:type="dxa"/>
            <w:vAlign w:val="bottom"/>
          </w:tcPr>
          <w:p>
            <w:pPr>
              <w:spacing w:after="0" w:line="20" w:lineRule="exact"/>
              <w:rPr>
                <w:sz w:val="1"/>
                <w:szCs w:val="1"/>
                <w:color w:val="auto"/>
              </w:rPr>
            </w:pPr>
          </w:p>
        </w:tc>
      </w:tr>
      <w:tr>
        <w:trPr>
          <w:trHeight w:val="223"/>
        </w:trPr>
        <w:tc>
          <w:tcPr>
            <w:tcW w:w="4560" w:type="dxa"/>
            <w:vAlign w:val="bottom"/>
            <w:tcBorders>
              <w:bottom w:val="single" w:sz="8" w:color="CCEEFF"/>
            </w:tcBorders>
            <w:vMerge w:val="continue"/>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1,106,140</w:t>
            </w:r>
          </w:p>
        </w:tc>
        <w:tc>
          <w:tcPr>
            <w:tcW w:w="1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11.73</w:t>
            </w:r>
          </w:p>
        </w:tc>
        <w:tc>
          <w:tcPr>
            <w:tcW w:w="1200" w:type="dxa"/>
            <w:vAlign w:val="bottom"/>
            <w:tcBorders>
              <w:bottom w:val="single" w:sz="8" w:color="CCEEFF"/>
            </w:tcBorders>
            <w:gridSpan w:val="2"/>
            <w:vMerge w:val="continue"/>
          </w:tcPr>
          <w:p>
            <w:pPr>
              <w:spacing w:after="0"/>
              <w:rPr>
                <w:sz w:val="19"/>
                <w:szCs w:val="19"/>
                <w:color w:val="auto"/>
              </w:rPr>
            </w:pPr>
          </w:p>
        </w:tc>
        <w:tc>
          <w:tcPr>
            <w:tcW w:w="180" w:type="dxa"/>
            <w:vAlign w:val="bottom"/>
            <w:tcBorders>
              <w:bottom w:val="single" w:sz="8" w:color="CCEEFF"/>
            </w:tcBorders>
            <w:vMerge w:val="continue"/>
          </w:tcPr>
          <w:p>
            <w:pPr>
              <w:spacing w:after="0"/>
              <w:rPr>
                <w:sz w:val="19"/>
                <w:szCs w:val="19"/>
                <w:color w:val="auto"/>
              </w:rPr>
            </w:pPr>
          </w:p>
        </w:tc>
        <w:tc>
          <w:tcPr>
            <w:tcW w:w="84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56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Exercisable at September 29, 2021</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698,329</w:t>
            </w: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10.01</w:t>
            </w:r>
          </w:p>
        </w:tc>
        <w:tc>
          <w:tcPr>
            <w:tcW w:w="1200" w:type="dxa"/>
            <w:vAlign w:val="bottom"/>
            <w:tcBorders>
              <w:bottom w:val="single" w:sz="8" w:color="CCEEFF"/>
            </w:tcBorders>
            <w:gridSpan w:val="2"/>
            <w:shd w:val="clear" w:color="auto" w:fill="CCEEFF"/>
          </w:tcPr>
          <w:p>
            <w:pPr>
              <w:jc w:val="right"/>
              <w:ind w:right="292"/>
              <w:spacing w:after="0" w:line="183" w:lineRule="exact"/>
              <w:rPr>
                <w:sz w:val="20"/>
                <w:szCs w:val="20"/>
                <w:color w:val="auto"/>
              </w:rPr>
            </w:pPr>
            <w:r>
              <w:rPr>
                <w:rFonts w:ascii="Arial" w:cs="Arial" w:eastAsia="Arial" w:hAnsi="Arial"/>
                <w:sz w:val="17"/>
                <w:szCs w:val="17"/>
                <w:color w:val="auto"/>
              </w:rPr>
              <w:t>4.56</w:t>
            </w:r>
          </w:p>
        </w:tc>
        <w:tc>
          <w:tcPr>
            <w:tcW w:w="180" w:type="dxa"/>
            <w:vAlign w:val="bottom"/>
            <w:tcBorders>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159"/>
              <w:spacing w:after="0" w:line="183" w:lineRule="exact"/>
              <w:rPr>
                <w:sz w:val="20"/>
                <w:szCs w:val="20"/>
                <w:color w:val="auto"/>
              </w:rPr>
            </w:pPr>
            <w:r>
              <w:rPr>
                <w:rFonts w:ascii="Arial" w:cs="Arial" w:eastAsia="Arial" w:hAnsi="Arial"/>
                <w:sz w:val="17"/>
                <w:szCs w:val="17"/>
                <w:color w:val="auto"/>
              </w:rPr>
              <w:t>4,999</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40" w:right="299"/>
        <w:spacing w:after="0" w:line="345" w:lineRule="auto"/>
        <w:rPr>
          <w:sz w:val="20"/>
          <w:szCs w:val="20"/>
          <w:color w:val="auto"/>
        </w:rPr>
      </w:pPr>
      <w:r>
        <w:rPr>
          <w:rFonts w:ascii="Arial" w:cs="Arial" w:eastAsia="Arial" w:hAnsi="Arial"/>
          <w:sz w:val="15"/>
          <w:szCs w:val="15"/>
          <w:color w:val="auto"/>
        </w:rPr>
        <w:t>The fair value of each stock option was estimated on the grant date using an exercise price of the closing stock price on the day prior to date of grant and the Black-Scholes option-pricing model with the following weighted average assumptions:</w:t>
      </w:r>
    </w:p>
    <w:p>
      <w:pPr>
        <w:sectPr>
          <w:pgSz w:w="11900" w:h="16838" w:orient="portrait"/>
          <w:cols w:equalWidth="0" w:num="1">
            <w:col w:w="9019"/>
          </w:cols>
          <w:pgMar w:left="1440" w:top="498" w:right="1440"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360680</wp:posOffset>
            </wp:positionV>
            <wp:extent cx="5661025" cy="24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type w:val="continuous"/>
        </w:sectPr>
      </w:pPr>
    </w:p>
    <w:bookmarkStart w:id="16" w:name="page17"/>
    <w:bookmarkEnd w:id="16"/>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480" w:type="dxa"/>
            <w:vAlign w:val="bottom"/>
            <w:gridSpan w:val="2"/>
          </w:tcPr>
          <w:p>
            <w:pPr>
              <w:jc w:val="right"/>
              <w:ind w:right="195"/>
              <w:spacing w:after="0"/>
              <w:rPr>
                <w:sz w:val="20"/>
                <w:szCs w:val="20"/>
                <w:color w:val="auto"/>
              </w:rPr>
            </w:pPr>
            <w:r>
              <w:rPr>
                <w:rFonts w:ascii="Arial" w:cs="Arial" w:eastAsia="Arial" w:hAnsi="Arial"/>
                <w:sz w:val="14"/>
                <w:szCs w:val="14"/>
                <w:b w:val="1"/>
                <w:bCs w:val="1"/>
                <w:color w:val="auto"/>
                <w:w w:val="90"/>
              </w:rPr>
              <w:t>September 29, 2021</w:t>
            </w: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23, 2020</w:t>
            </w:r>
          </w:p>
        </w:tc>
      </w:tr>
      <w:tr>
        <w:trPr>
          <w:trHeight w:val="197"/>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46.9</w:t>
            </w:r>
          </w:p>
        </w:tc>
        <w:tc>
          <w:tcPr>
            <w:tcW w:w="240" w:type="dxa"/>
            <w:vAlign w:val="bottom"/>
            <w:tcBorders>
              <w:top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79"/>
              </w:rPr>
              <w:t>%</w:t>
            </w:r>
          </w:p>
        </w:tc>
        <w:tc>
          <w:tcPr>
            <w:tcW w:w="122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Risk-free interest rate</w:t>
            </w:r>
          </w:p>
        </w:tc>
        <w:tc>
          <w:tcPr>
            <w:tcW w:w="1480" w:type="dxa"/>
            <w:vAlign w:val="bottom"/>
            <w:gridSpan w:val="2"/>
          </w:tcPr>
          <w:p>
            <w:pPr>
              <w:jc w:val="right"/>
              <w:ind w:right="15"/>
              <w:spacing w:after="0"/>
              <w:rPr>
                <w:sz w:val="20"/>
                <w:szCs w:val="20"/>
                <w:color w:val="auto"/>
              </w:rPr>
            </w:pPr>
            <w:r>
              <w:rPr>
                <w:rFonts w:ascii="Arial" w:cs="Arial" w:eastAsia="Arial" w:hAnsi="Arial"/>
                <w:sz w:val="17"/>
                <w:szCs w:val="17"/>
                <w:color w:val="auto"/>
              </w:rPr>
              <w:t>1.1 %</w:t>
            </w:r>
          </w:p>
        </w:tc>
        <w:tc>
          <w:tcPr>
            <w:tcW w:w="1380" w:type="dxa"/>
            <w:vAlign w:val="bottom"/>
            <w:gridSpan w:val="2"/>
          </w:tcPr>
          <w:p>
            <w:pPr>
              <w:ind w:left="1000"/>
              <w:spacing w:after="0"/>
              <w:rPr>
                <w:sz w:val="20"/>
                <w:szCs w:val="20"/>
                <w:color w:val="auto"/>
              </w:rPr>
            </w:pPr>
            <w:r>
              <w:rPr>
                <w:rFonts w:ascii="Arial" w:cs="Arial" w:eastAsia="Arial" w:hAnsi="Arial"/>
                <w:sz w:val="17"/>
                <w:szCs w:val="17"/>
                <w:color w:val="auto"/>
                <w:w w:val="97"/>
              </w:rPr>
              <w:t>— %</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Expected term (years)</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r>
      <w:tr>
        <w:trPr>
          <w:trHeight w:val="216"/>
        </w:trPr>
        <w:tc>
          <w:tcPr>
            <w:tcW w:w="6060" w:type="dxa"/>
            <w:vAlign w:val="bottom"/>
          </w:tcPr>
          <w:p>
            <w:pPr>
              <w:spacing w:after="0"/>
              <w:rPr>
                <w:sz w:val="20"/>
                <w:szCs w:val="20"/>
                <w:color w:val="auto"/>
              </w:rPr>
            </w:pPr>
            <w:r>
              <w:rPr>
                <w:rFonts w:ascii="Arial" w:cs="Arial" w:eastAsia="Arial" w:hAnsi="Arial"/>
                <w:sz w:val="17"/>
                <w:szCs w:val="17"/>
                <w:color w:val="auto"/>
              </w:rPr>
              <w:t>Expected dividends</w:t>
            </w:r>
          </w:p>
        </w:tc>
        <w:tc>
          <w:tcPr>
            <w:tcW w:w="1480" w:type="dxa"/>
            <w:vAlign w:val="bottom"/>
            <w:gridSpan w:val="2"/>
          </w:tcPr>
          <w:p>
            <w:pPr>
              <w:jc w:val="right"/>
              <w:ind w:right="215"/>
              <w:spacing w:after="0"/>
              <w:rPr>
                <w:sz w:val="20"/>
                <w:szCs w:val="20"/>
                <w:color w:val="auto"/>
              </w:rPr>
            </w:pPr>
            <w:r>
              <w:rPr>
                <w:rFonts w:ascii="Arial" w:cs="Arial" w:eastAsia="Arial" w:hAnsi="Arial"/>
                <w:sz w:val="17"/>
                <w:szCs w:val="17"/>
                <w:color w:val="auto"/>
              </w:rPr>
              <w:t>—</w:t>
            </w:r>
          </w:p>
        </w:tc>
        <w:tc>
          <w:tcPr>
            <w:tcW w:w="1380" w:type="dxa"/>
            <w:vAlign w:val="bottom"/>
            <w:gridSpan w:val="2"/>
          </w:tcPr>
          <w:p>
            <w:pPr>
              <w:ind w:left="1000"/>
              <w:spacing w:after="0"/>
              <w:rPr>
                <w:sz w:val="20"/>
                <w:szCs w:val="20"/>
                <w:color w:val="auto"/>
              </w:rPr>
            </w:pPr>
            <w:r>
              <w:rPr>
                <w:rFonts w:ascii="Arial" w:cs="Arial" w:eastAsia="Arial" w:hAnsi="Arial"/>
                <w:sz w:val="17"/>
                <w:szCs w:val="17"/>
                <w:color w:val="auto"/>
              </w:rPr>
              <w:t>—</w:t>
            </w:r>
          </w:p>
        </w:tc>
      </w:tr>
    </w:tbl>
    <w:p>
      <w:pPr>
        <w:spacing w:after="0" w:line="181" w:lineRule="exact"/>
        <w:rPr>
          <w:sz w:val="20"/>
          <w:szCs w:val="20"/>
          <w:color w:val="auto"/>
        </w:rPr>
      </w:pPr>
    </w:p>
    <w:p>
      <w:pPr>
        <w:ind w:left="40" w:right="419"/>
        <w:spacing w:after="0" w:line="276" w:lineRule="auto"/>
        <w:rPr>
          <w:sz w:val="20"/>
          <w:szCs w:val="20"/>
          <w:color w:val="auto"/>
        </w:rPr>
      </w:pPr>
      <w:r>
        <w:rPr>
          <w:rFonts w:ascii="Arial" w:cs="Arial" w:eastAsia="Arial" w:hAnsi="Arial"/>
          <w:sz w:val="17"/>
          <w:szCs w:val="17"/>
          <w:color w:val="auto"/>
        </w:rPr>
        <w:t>At September 29, 2021, the Company had total unrecognized compensation expense of $2.2 million related to unvested stock options, which it expects to recognize over a weighted-average period of 3.03 years.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7"/>
          <w:szCs w:val="17"/>
          <w:color w:val="auto"/>
        </w:rPr>
        <w:t>A summary of restricted share activity as of September 29, 2021 and changes during the thirty-nine weeks ended</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color w:val="auto"/>
        </w:rPr>
        <w:t>September 29, 2021 is as follows: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Weighted-Average</w:t>
            </w:r>
          </w:p>
        </w:tc>
      </w:tr>
      <w:tr>
        <w:trPr>
          <w:trHeight w:val="161"/>
        </w:trPr>
        <w:tc>
          <w:tcPr>
            <w:tcW w:w="66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Fair Value</w:t>
            </w:r>
          </w:p>
        </w:tc>
      </w:tr>
      <w:tr>
        <w:trPr>
          <w:trHeight w:val="197"/>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Unvested shares at December 30, 2020</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742,404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11.68</w:t>
            </w:r>
          </w:p>
        </w:tc>
      </w:tr>
      <w:tr>
        <w:trPr>
          <w:trHeight w:val="205"/>
        </w:trPr>
        <w:tc>
          <w:tcPr>
            <w:tcW w:w="6640" w:type="dxa"/>
            <w:vAlign w:val="bottom"/>
          </w:tcPr>
          <w:p>
            <w:pPr>
              <w:spacing w:after="0"/>
              <w:rPr>
                <w:sz w:val="20"/>
                <w:szCs w:val="20"/>
                <w:color w:val="auto"/>
              </w:rPr>
            </w:pPr>
            <w:r>
              <w:rPr>
                <w:rFonts w:ascii="Arial" w:cs="Arial" w:eastAsia="Arial" w:hAnsi="Arial"/>
                <w:sz w:val="17"/>
                <w:szCs w:val="17"/>
                <w:color w:val="auto"/>
              </w:rPr>
              <w:t>Granted</w:t>
            </w:r>
          </w:p>
        </w:tc>
        <w:tc>
          <w:tcPr>
            <w:tcW w:w="920" w:type="dxa"/>
            <w:vAlign w:val="bottom"/>
          </w:tcPr>
          <w:p>
            <w:pPr>
              <w:jc w:val="right"/>
              <w:spacing w:after="0"/>
              <w:rPr>
                <w:sz w:val="20"/>
                <w:szCs w:val="20"/>
                <w:color w:val="auto"/>
              </w:rPr>
            </w:pPr>
            <w:r>
              <w:rPr>
                <w:rFonts w:ascii="Arial" w:cs="Arial" w:eastAsia="Arial" w:hAnsi="Arial"/>
                <w:sz w:val="17"/>
                <w:szCs w:val="17"/>
                <w:color w:val="auto"/>
              </w:rPr>
              <w:t>182,059</w:t>
            </w:r>
          </w:p>
        </w:tc>
        <w:tc>
          <w:tcPr>
            <w:tcW w:w="360" w:type="dxa"/>
            <w:vAlign w:val="bottom"/>
            <w:gridSpan w:val="2"/>
          </w:tcPr>
          <w:p>
            <w:pPr>
              <w:jc w:val="right"/>
              <w:ind w:right="29"/>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17.55</w:t>
            </w:r>
          </w:p>
        </w:tc>
      </w:tr>
      <w:tr>
        <w:trPr>
          <w:trHeight w:val="205"/>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Released</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(245,828)</w:t>
            </w:r>
          </w:p>
        </w:tc>
        <w:tc>
          <w:tcPr>
            <w:tcW w:w="360" w:type="dxa"/>
            <w:vAlign w:val="bottom"/>
            <w:gridSpan w:val="2"/>
            <w:shd w:val="clear" w:color="auto" w:fill="CCEEFF"/>
          </w:tcPr>
          <w:p>
            <w:pPr>
              <w:jc w:val="right"/>
              <w:ind w:right="29"/>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11.96</w:t>
            </w:r>
          </w:p>
        </w:tc>
      </w:tr>
      <w:tr>
        <w:trPr>
          <w:trHeight w:val="205"/>
        </w:trPr>
        <w:tc>
          <w:tcPr>
            <w:tcW w:w="66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Forfeited, cancelled, or expired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(50,532)</w:t>
            </w:r>
          </w:p>
        </w:tc>
        <w:tc>
          <w:tcPr>
            <w:tcW w:w="360" w:type="dxa"/>
            <w:vAlign w:val="bottom"/>
            <w:tcBorders>
              <w:bottom w:val="single" w:sz="8" w:color="CCEEFF"/>
            </w:tcBorders>
            <w:gridSpan w:val="2"/>
          </w:tcPr>
          <w:p>
            <w:pPr>
              <w:jc w:val="right"/>
              <w:ind w:right="29"/>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13.93</w:t>
            </w:r>
          </w:p>
        </w:tc>
      </w:tr>
      <w:tr>
        <w:trPr>
          <w:trHeight w:val="197"/>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Unvested shares at September 29, 2021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628,103</w:t>
            </w:r>
          </w:p>
        </w:tc>
        <w:tc>
          <w:tcPr>
            <w:tcW w:w="360" w:type="dxa"/>
            <w:vAlign w:val="bottom"/>
            <w:tcBorders>
              <w:bottom w:val="single" w:sz="8" w:color="CCEEFF"/>
            </w:tcBorders>
            <w:gridSpan w:val="2"/>
            <w:shd w:val="clear" w:color="auto" w:fill="CCEEFF"/>
          </w:tcPr>
          <w:p>
            <w:pPr>
              <w:jc w:val="right"/>
              <w:ind w:right="29"/>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13.09</w:t>
            </w:r>
          </w:p>
        </w:tc>
      </w:tr>
      <w:tr>
        <w:trPr>
          <w:trHeight w:val="20"/>
        </w:trPr>
        <w:tc>
          <w:tcPr>
            <w:tcW w:w="6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92" w:lineRule="exact"/>
        <w:rPr>
          <w:sz w:val="20"/>
          <w:szCs w:val="20"/>
          <w:color w:val="auto"/>
        </w:rPr>
      </w:pPr>
    </w:p>
    <w:p>
      <w:pPr>
        <w:jc w:val="both"/>
        <w:ind w:left="40" w:right="99"/>
        <w:spacing w:after="0" w:line="276" w:lineRule="auto"/>
        <w:rPr>
          <w:sz w:val="20"/>
          <w:szCs w:val="20"/>
          <w:color w:val="auto"/>
        </w:rPr>
      </w:pPr>
      <w:r>
        <w:rPr>
          <w:rFonts w:ascii="Arial" w:cs="Arial" w:eastAsia="Arial" w:hAnsi="Arial"/>
          <w:sz w:val="17"/>
          <w:szCs w:val="17"/>
          <w:color w:val="auto"/>
        </w:rPr>
        <w:t>Unvested shares at September 29, 2021 included 568,006 unvested restricted shares, 36,058 unvested performance stock units and 24,039 unvested restricted units.</w:t>
      </w:r>
    </w:p>
    <w:p>
      <w:pPr>
        <w:spacing w:after="0" w:line="164" w:lineRule="exact"/>
        <w:rPr>
          <w:sz w:val="20"/>
          <w:szCs w:val="20"/>
          <w:color w:val="auto"/>
        </w:rPr>
      </w:pPr>
    </w:p>
    <w:p>
      <w:pPr>
        <w:ind w:left="40" w:right="199"/>
        <w:spacing w:after="0" w:line="257" w:lineRule="auto"/>
        <w:rPr>
          <w:sz w:val="20"/>
          <w:szCs w:val="20"/>
          <w:color w:val="auto"/>
        </w:rPr>
      </w:pPr>
      <w:r>
        <w:rPr>
          <w:rFonts w:ascii="Arial" w:cs="Arial" w:eastAsia="Arial" w:hAnsi="Arial"/>
          <w:sz w:val="17"/>
          <w:szCs w:val="17"/>
          <w:color w:val="auto"/>
        </w:rPr>
        <w:t>At September 29, 2021, the Company had unrecognized compensation expense of $6.6 million related to unvested restricted shares, which it expects to recognize over a weighted-average period of 2.66 years, unrecognized compensation expense of $0.1 million related to unvested performance stock units, which it expects to recognize over a weighted-average period of 1.61 years, and unrecognized compensation expense of $0.2 million related to unvested restricted units, which it expects to recognize over a weighted-average period of 0.61 years.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stock-based compensation expense was $1.0 million and $2.9 million for the thirteen and thirty-nine weeks ended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September 29, 2021, respectively, and $0.9 million and $2.2 million for the thirteen and thirty-nine weeks ended</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7"/>
          <w:szCs w:val="17"/>
          <w:color w:val="auto"/>
        </w:rPr>
        <w:t>September 23, 2020, respectively.</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4. LONG-TERM DEBT</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Company, as a guarantor, is a party to a credit agreement (the “2018 Credit Agreement”) among EPL, as borrower,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Intermediate, as a guarantor, Bank of America, N.A., as administrative agent, swingline lender, and letter of credit issuer, the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5"/>
          <w:szCs w:val="15"/>
          <w:color w:val="auto"/>
        </w:rPr>
        <w:t>lenders party thereto, and the other parties thereto, which provides for a $150.0 million five-year senior secured revolving credit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facility (the “2018 Revolver”). The 2018 Revolver includes a sub limit of $15.0 million for letters of credit and a sub limit of</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$15.0 million for swingline loans. The 2018 Revolver and 2018 Credit Agreement will mature on July 13, 2023. The obligations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5"/>
          <w:szCs w:val="15"/>
          <w:color w:val="auto"/>
        </w:rPr>
        <w:t>under the 2018 Credit Agreement and related loan documents are guaranteed by the Company and Intermediate. The obligations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of the Company, EPL and Intermediate under the 2018 Credit Agreement and related loan documents are secured by a first</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priority lien on substantially all of their respective assets.</w:t>
      </w:r>
    </w:p>
    <w:p>
      <w:pPr>
        <w:spacing w:after="0" w:line="203" w:lineRule="exact"/>
        <w:rPr>
          <w:sz w:val="20"/>
          <w:szCs w:val="20"/>
          <w:color w:val="auto"/>
        </w:rPr>
      </w:pPr>
    </w:p>
    <w:p>
      <w:pPr>
        <w:ind w:left="40" w:right="219"/>
        <w:spacing w:after="0" w:line="287" w:lineRule="auto"/>
        <w:rPr>
          <w:sz w:val="20"/>
          <w:szCs w:val="20"/>
          <w:color w:val="auto"/>
        </w:rPr>
      </w:pPr>
      <w:r>
        <w:rPr>
          <w:rFonts w:ascii="Arial" w:cs="Arial" w:eastAsia="Arial" w:hAnsi="Arial"/>
          <w:sz w:val="15"/>
          <w:szCs w:val="15"/>
          <w:color w:val="auto"/>
        </w:rPr>
        <w:t>Under the 2018 Revolver, Holdings may not make certain payments such as cash dividends, except that it may, inter alia, (i) pay up to $1.0 million per year to repurchase or redeem qualified equity interests of Holdings held by past or present officers, directors, or employees (or their estates) of the Company upon death, disability, or termination of employment, (ii) pay under its TRA, and (iii)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 (b) pay up to $0.5 million in any</w:t>
      </w:r>
    </w:p>
    <w:p>
      <w:pPr>
        <w:spacing w:after="0" w:line="2" w:lineRule="exact"/>
        <w:rPr>
          <w:sz w:val="20"/>
          <w:szCs w:val="20"/>
          <w:color w:val="auto"/>
        </w:rPr>
      </w:pPr>
    </w:p>
    <w:p>
      <w:pPr>
        <w:ind w:left="40" w:right="59"/>
        <w:spacing w:after="0" w:line="273" w:lineRule="auto"/>
        <w:rPr>
          <w:sz w:val="20"/>
          <w:szCs w:val="20"/>
          <w:color w:val="auto"/>
        </w:rPr>
      </w:pPr>
      <w:r>
        <w:rPr>
          <w:rFonts w:ascii="Arial" w:cs="Arial" w:eastAsia="Arial" w:hAnsi="Arial"/>
          <w:sz w:val="16"/>
          <w:szCs w:val="16"/>
          <w:color w:val="auto"/>
        </w:rPr>
        <w:t>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its compliance, on a pro forma basis, with (x) a lease-adjusted consolidated leverage ratio not to exceed 4.25 times and (y) the financial covenants applicable to the 2018 Revolver.</w:t>
      </w:r>
    </w:p>
    <w:p>
      <w:pPr>
        <w:sectPr>
          <w:pgSz w:w="11900" w:h="16838" w:orient="portrait"/>
          <w:cols w:equalWidth="0" w:num="1">
            <w:col w:w="9019"/>
          </w:cols>
          <w:pgMar w:left="1440" w:top="498"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360680</wp:posOffset>
            </wp:positionV>
            <wp:extent cx="5661025" cy="24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type w:val="continuous"/>
        </w:sectPr>
      </w:pPr>
    </w:p>
    <w:bookmarkStart w:id="17" w:name="page18"/>
    <w:bookmarkEnd w:id="17"/>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59"/>
        <w:spacing w:after="0" w:line="254" w:lineRule="auto"/>
        <w:rPr>
          <w:sz w:val="20"/>
          <w:szCs w:val="20"/>
          <w:color w:val="auto"/>
        </w:rPr>
      </w:pPr>
      <w:r>
        <w:rPr>
          <w:rFonts w:ascii="Arial" w:cs="Arial" w:eastAsia="Arial" w:hAnsi="Arial"/>
          <w:sz w:val="17"/>
          <w:szCs w:val="17"/>
          <w:color w:val="auto"/>
        </w:rPr>
        <w:t>Borrowings under the 2018 Credit Agreement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published Bank of America prime rate, or (c) LIBOR plus 1.00%. For LIBOR loans, the margin is in the range of 1.25% to 2.25%, and for base rate loans the margin is in a range of 0.25% to 1.25%. Borrowings under the 2018 Revolver may be repaid and reborrowed. The interest rate range was 1.34% to 1.35% and 1.34% to 1.65% for the thirteen and thirty-nine weeks ended September 29, 2021, respectively, and 1.67% to 1.68% and 1.67% to 3.29% for the thirteen and thirty-nine weeks ended September 23, 2020, respectively.</w:t>
      </w:r>
    </w:p>
    <w:p>
      <w:pPr>
        <w:spacing w:after="0" w:line="187" w:lineRule="exact"/>
        <w:rPr>
          <w:sz w:val="20"/>
          <w:szCs w:val="20"/>
          <w:color w:val="auto"/>
        </w:rPr>
      </w:pPr>
    </w:p>
    <w:p>
      <w:pPr>
        <w:ind w:left="40" w:right="59"/>
        <w:spacing w:after="0" w:line="276" w:lineRule="auto"/>
        <w:rPr>
          <w:sz w:val="20"/>
          <w:szCs w:val="20"/>
          <w:color w:val="auto"/>
        </w:rPr>
      </w:pPr>
      <w:r>
        <w:rPr>
          <w:rFonts w:ascii="Arial" w:cs="Arial" w:eastAsia="Arial" w:hAnsi="Arial"/>
          <w:sz w:val="17"/>
          <w:szCs w:val="17"/>
          <w:color w:val="auto"/>
        </w:rPr>
        <w:t>The 2018 Credit Agreement contains certain financial covenants. The Company was in compliance with the financial covenants as of September 29, 2021.</w:t>
      </w:r>
    </w:p>
    <w:p>
      <w:pPr>
        <w:spacing w:after="0" w:line="164" w:lineRule="exact"/>
        <w:rPr>
          <w:sz w:val="20"/>
          <w:szCs w:val="20"/>
          <w:color w:val="auto"/>
        </w:rPr>
      </w:pPr>
    </w:p>
    <w:p>
      <w:pPr>
        <w:ind w:left="40" w:right="699"/>
        <w:spacing w:after="0" w:line="345" w:lineRule="auto"/>
        <w:rPr>
          <w:sz w:val="20"/>
          <w:szCs w:val="20"/>
          <w:color w:val="auto"/>
        </w:rPr>
      </w:pPr>
      <w:r>
        <w:rPr>
          <w:rFonts w:ascii="Arial" w:cs="Arial" w:eastAsia="Arial" w:hAnsi="Arial"/>
          <w:sz w:val="15"/>
          <w:szCs w:val="15"/>
          <w:color w:val="auto"/>
        </w:rPr>
        <w:t>At September 29, 2021, $8.4 million of letters of credit and $40.0 million in borrowings under the 2018 Revolver were outstanding. The Company had $101.6 million in borrowing availability under the 2018 Revolver at September 29, 2021.</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Maturities</w:t>
      </w:r>
    </w:p>
    <w:p>
      <w:pPr>
        <w:spacing w:after="0" w:line="218" w:lineRule="exact"/>
        <w:rPr>
          <w:sz w:val="20"/>
          <w:szCs w:val="20"/>
          <w:color w:val="auto"/>
        </w:rPr>
      </w:pPr>
    </w:p>
    <w:p>
      <w:pPr>
        <w:ind w:left="40" w:right="279"/>
        <w:spacing w:after="0" w:line="277" w:lineRule="auto"/>
        <w:rPr>
          <w:sz w:val="20"/>
          <w:szCs w:val="20"/>
          <w:color w:val="auto"/>
        </w:rPr>
      </w:pPr>
      <w:r>
        <w:rPr>
          <w:rFonts w:ascii="Arial" w:cs="Arial" w:eastAsia="Arial" w:hAnsi="Arial"/>
          <w:sz w:val="16"/>
          <w:szCs w:val="16"/>
          <w:color w:val="auto"/>
        </w:rPr>
        <w:t>During the thirty-nine weeks ended September 29, 2021, the Company elected to pay down $22.8 million on its 2018 Revolver. No amounts were paid on the 2018 Revolver during the thirteen weeks ended September 29, 2021. During the thirteen weeks ended September 23, 2020, the Company elected to pay down $55.0 million on its 2018 Revolver. During the thirty-nine weeks ended September 23, 2020, the Company paid down $13.2 million, net of borrowings of $52.5 million on the Company’s 2018 Revolver. There are no required principal payments prior to maturity for the 2018 Revolver.</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Interest Rate Swap</w:t>
      </w:r>
    </w:p>
    <w:p>
      <w:pPr>
        <w:spacing w:after="0" w:line="218" w:lineRule="exact"/>
        <w:rPr>
          <w:sz w:val="20"/>
          <w:szCs w:val="20"/>
          <w:color w:val="auto"/>
        </w:rPr>
      </w:pPr>
    </w:p>
    <w:p>
      <w:pPr>
        <w:ind w:left="40" w:right="139"/>
        <w:spacing w:after="0" w:line="288" w:lineRule="auto"/>
        <w:rPr>
          <w:sz w:val="20"/>
          <w:szCs w:val="20"/>
          <w:color w:val="auto"/>
        </w:rPr>
      </w:pPr>
      <w:r>
        <w:rPr>
          <w:rFonts w:ascii="Arial" w:cs="Arial" w:eastAsia="Arial" w:hAnsi="Arial"/>
          <w:sz w:val="15"/>
          <w:szCs w:val="15"/>
          <w:color w:val="auto"/>
        </w:rPr>
        <w:t>During the year ended December 25, 2019, the Company entered into a variable-to-fixed interest rate swap agreement with a notional amount of $40.0 million that matures in June 2023. The objective of the interest rate swap was to reduce the Company’s exposure to interest rate risk for a portion of its variable-rate interest payments on its borrowings under the 2018 Revolver. Under the terms of the swap agreement, the variable LIBOR-based component of interest payments was converted to a fixed rate of</w:t>
      </w:r>
    </w:p>
    <w:p>
      <w:pPr>
        <w:spacing w:after="0" w:line="2" w:lineRule="exact"/>
        <w:rPr>
          <w:sz w:val="20"/>
          <w:szCs w:val="20"/>
          <w:color w:val="auto"/>
        </w:rPr>
      </w:pPr>
    </w:p>
    <w:p>
      <w:pPr>
        <w:ind w:left="40" w:right="59"/>
        <w:spacing w:after="0" w:line="255" w:lineRule="auto"/>
        <w:rPr>
          <w:sz w:val="20"/>
          <w:szCs w:val="20"/>
          <w:color w:val="auto"/>
        </w:rPr>
      </w:pPr>
      <w:r>
        <w:rPr>
          <w:rFonts w:ascii="Arial" w:cs="Arial" w:eastAsia="Arial" w:hAnsi="Arial"/>
          <w:sz w:val="17"/>
          <w:szCs w:val="17"/>
          <w:color w:val="auto"/>
        </w:rPr>
        <w:t>1.31%, plus applicable margin, which was 1.5% for the thirteen and thirty-nine weeks ended September 29, 2021. The interest rate swap was designated as a cash flow hedge, as the changes in the future cash flows of the swap were expected to offset changes in expected future interest payments on the related variable-rate debt, in accordance with Accounting Standards Codification (“ASC”) 815 “Derivatives and Hedging.”</w:t>
      </w:r>
    </w:p>
    <w:p>
      <w:pPr>
        <w:spacing w:after="0" w:line="181" w:lineRule="exact"/>
        <w:rPr>
          <w:sz w:val="20"/>
          <w:szCs w:val="20"/>
          <w:color w:val="auto"/>
        </w:rPr>
      </w:pPr>
    </w:p>
    <w:p>
      <w:pPr>
        <w:jc w:val="both"/>
        <w:ind w:left="40" w:right="139"/>
        <w:spacing w:after="0" w:line="263" w:lineRule="auto"/>
        <w:rPr>
          <w:sz w:val="20"/>
          <w:szCs w:val="20"/>
          <w:color w:val="auto"/>
        </w:rPr>
      </w:pPr>
      <w:r>
        <w:rPr>
          <w:rFonts w:ascii="Arial" w:cs="Arial" w:eastAsia="Arial" w:hAnsi="Arial"/>
          <w:sz w:val="17"/>
          <w:szCs w:val="17"/>
          <w:color w:val="auto"/>
        </w:rPr>
        <w:t>The changes in the fair value of the interest rate swap are not included in earnings, but are included in other comprehensive (loss) income (“OCI”). These changes in fair value are subsequently reclassified into net earnings as a component of interest expense as the hedged interest payments are made on the variable rate borrowings.</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 the thirty-nine weeks ended September 29, 2021, the swap was a highly effective cash flow hedge.</w:t>
      </w:r>
    </w:p>
    <w:p>
      <w:pPr>
        <w:spacing w:after="0" w:line="214" w:lineRule="exact"/>
        <w:rPr>
          <w:sz w:val="20"/>
          <w:szCs w:val="20"/>
          <w:color w:val="auto"/>
        </w:rPr>
      </w:pPr>
    </w:p>
    <w:p>
      <w:pPr>
        <w:ind w:left="40" w:right="659"/>
        <w:spacing w:after="0" w:line="308" w:lineRule="auto"/>
        <w:rPr>
          <w:sz w:val="20"/>
          <w:szCs w:val="20"/>
          <w:color w:val="auto"/>
        </w:rPr>
      </w:pPr>
      <w:r>
        <w:rPr>
          <w:rFonts w:ascii="Arial" w:cs="Arial" w:eastAsia="Arial" w:hAnsi="Arial"/>
          <w:sz w:val="16"/>
          <w:szCs w:val="16"/>
          <w:color w:val="auto"/>
        </w:rPr>
        <w:t>As of September 29, 2021, the estimated net loss included in AOCI related to the Company’s cash flow hedge that will be reclassified into earnings in the next 12 months is $0.6 million, based on current LIBOR interest rates.</w:t>
      </w:r>
    </w:p>
    <w:p>
      <w:pPr>
        <w:spacing w:after="0" w:line="142" w:lineRule="exact"/>
        <w:rPr>
          <w:sz w:val="20"/>
          <w:szCs w:val="20"/>
          <w:color w:val="auto"/>
        </w:rPr>
      </w:pPr>
    </w:p>
    <w:p>
      <w:pPr>
        <w:ind w:left="40" w:right="419"/>
        <w:spacing w:after="0" w:line="276" w:lineRule="auto"/>
        <w:rPr>
          <w:sz w:val="20"/>
          <w:szCs w:val="20"/>
          <w:color w:val="auto"/>
        </w:rPr>
      </w:pPr>
      <w:r>
        <w:rPr>
          <w:rFonts w:ascii="Arial" w:cs="Arial" w:eastAsia="Arial" w:hAnsi="Arial"/>
          <w:sz w:val="17"/>
          <w:szCs w:val="17"/>
          <w:color w:val="auto"/>
        </w:rPr>
        <w:t>The following table shows the financial statement line item and amount of the Company’s cash flow hedge accounting on the condensed consolidated balance sheets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800" w:type="dxa"/>
            <w:vAlign w:val="bottom"/>
            <w:gridSpan w:val="4"/>
          </w:tcPr>
          <w:p>
            <w:pPr>
              <w:ind w:left="260"/>
              <w:spacing w:after="0"/>
              <w:rPr>
                <w:sz w:val="20"/>
                <w:szCs w:val="20"/>
                <w:color w:val="auto"/>
              </w:rPr>
            </w:pPr>
            <w:r>
              <w:rPr>
                <w:rFonts w:ascii="Arial" w:cs="Arial" w:eastAsia="Arial" w:hAnsi="Arial"/>
                <w:sz w:val="14"/>
                <w:szCs w:val="14"/>
                <w:b w:val="1"/>
                <w:bCs w:val="1"/>
                <w:color w:val="auto"/>
              </w:rPr>
              <w:t>September 29, 2021</w:t>
            </w:r>
          </w:p>
        </w:tc>
        <w:tc>
          <w:tcPr>
            <w:tcW w:w="1680" w:type="dxa"/>
            <w:vAlign w:val="bottom"/>
            <w:gridSpan w:val="3"/>
          </w:tcPr>
          <w:p>
            <w:pPr>
              <w:jc w:val="right"/>
              <w:ind w:right="195"/>
              <w:spacing w:after="0"/>
              <w:rPr>
                <w:sz w:val="20"/>
                <w:szCs w:val="20"/>
                <w:color w:val="auto"/>
              </w:rPr>
            </w:pPr>
            <w:r>
              <w:rPr>
                <w:rFonts w:ascii="Arial" w:cs="Arial" w:eastAsia="Arial" w:hAnsi="Arial"/>
                <w:sz w:val="14"/>
                <w:szCs w:val="14"/>
                <w:b w:val="1"/>
                <w:bCs w:val="1"/>
                <w:color w:val="auto"/>
              </w:rPr>
              <w:t>December 30, 2020</w:t>
            </w:r>
          </w:p>
        </w:tc>
      </w:tr>
      <w:tr>
        <w:trPr>
          <w:trHeight w:val="133"/>
        </w:trPr>
        <w:tc>
          <w:tcPr>
            <w:tcW w:w="5440" w:type="dxa"/>
            <w:vAlign w:val="bottom"/>
          </w:tcPr>
          <w:p>
            <w:pPr>
              <w:spacing w:after="0"/>
              <w:rPr>
                <w:sz w:val="11"/>
                <w:szCs w:val="11"/>
                <w:color w:val="auto"/>
              </w:rPr>
            </w:pPr>
          </w:p>
        </w:tc>
        <w:tc>
          <w:tcPr>
            <w:tcW w:w="800" w:type="dxa"/>
            <w:vAlign w:val="bottom"/>
            <w:tcBorders>
              <w:top w:val="single" w:sz="8" w:color="auto"/>
            </w:tcBorders>
          </w:tcPr>
          <w:p>
            <w:pPr>
              <w:jc w:val="right"/>
              <w:ind w:right="106"/>
              <w:spacing w:after="0" w:line="134" w:lineRule="exact"/>
              <w:rPr>
                <w:sz w:val="20"/>
                <w:szCs w:val="20"/>
                <w:color w:val="auto"/>
              </w:rPr>
            </w:pPr>
            <w:r>
              <w:rPr>
                <w:rFonts w:ascii="Arial" w:cs="Arial" w:eastAsia="Arial" w:hAnsi="Arial"/>
                <w:sz w:val="14"/>
                <w:szCs w:val="14"/>
                <w:b w:val="1"/>
                <w:bCs w:val="1"/>
                <w:color w:val="auto"/>
              </w:rPr>
              <w:t>Notional</w:t>
            </w:r>
          </w:p>
        </w:tc>
        <w:tc>
          <w:tcPr>
            <w:tcW w:w="860" w:type="dxa"/>
            <w:vAlign w:val="bottom"/>
            <w:tcBorders>
              <w:top w:val="single" w:sz="8" w:color="auto"/>
            </w:tcBorders>
            <w:gridSpan w:val="2"/>
          </w:tcPr>
          <w:p>
            <w:pPr>
              <w:jc w:val="right"/>
              <w:spacing w:after="0" w:line="134" w:lineRule="exact"/>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1"/>
                <w:szCs w:val="11"/>
                <w:color w:val="auto"/>
              </w:rPr>
            </w:pPr>
          </w:p>
        </w:tc>
        <w:tc>
          <w:tcPr>
            <w:tcW w:w="820" w:type="dxa"/>
            <w:vAlign w:val="bottom"/>
            <w:tcBorders>
              <w:top w:val="single" w:sz="8" w:color="auto"/>
            </w:tcBorders>
          </w:tcPr>
          <w:p>
            <w:pPr>
              <w:jc w:val="right"/>
              <w:ind w:right="106"/>
              <w:spacing w:after="0" w:line="134" w:lineRule="exact"/>
              <w:rPr>
                <w:sz w:val="20"/>
                <w:szCs w:val="20"/>
                <w:color w:val="auto"/>
              </w:rPr>
            </w:pPr>
            <w:r>
              <w:rPr>
                <w:rFonts w:ascii="Arial" w:cs="Arial" w:eastAsia="Arial" w:hAnsi="Arial"/>
                <w:sz w:val="14"/>
                <w:szCs w:val="14"/>
                <w:b w:val="1"/>
                <w:bCs w:val="1"/>
                <w:color w:val="auto"/>
              </w:rPr>
              <w:t>Notional</w:t>
            </w:r>
          </w:p>
        </w:tc>
        <w:tc>
          <w:tcPr>
            <w:tcW w:w="860" w:type="dxa"/>
            <w:vAlign w:val="bottom"/>
            <w:tcBorders>
              <w:top w:val="single" w:sz="8" w:color="auto"/>
            </w:tcBorders>
            <w:gridSpan w:val="2"/>
          </w:tcPr>
          <w:p>
            <w:pPr>
              <w:jc w:val="right"/>
              <w:spacing w:after="0" w:line="134" w:lineRule="exact"/>
              <w:rPr>
                <w:sz w:val="20"/>
                <w:szCs w:val="20"/>
                <w:color w:val="auto"/>
              </w:rPr>
            </w:pPr>
            <w:r>
              <w:rPr>
                <w:rFonts w:ascii="Arial" w:cs="Arial" w:eastAsia="Arial" w:hAnsi="Arial"/>
                <w:sz w:val="14"/>
                <w:szCs w:val="14"/>
                <w:b w:val="1"/>
                <w:bCs w:val="1"/>
                <w:color w:val="auto"/>
              </w:rPr>
              <w:t>Fair value</w:t>
            </w:r>
          </w:p>
        </w:tc>
      </w:tr>
      <w:tr>
        <w:trPr>
          <w:trHeight w:val="205"/>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 - Interest rate swap</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7"/>
                <w:szCs w:val="17"/>
                <w:color w:val="auto"/>
                <w:w w:val="95"/>
              </w:rPr>
              <w:t>$  40,000</w:t>
            </w:r>
          </w:p>
        </w:tc>
        <w:tc>
          <w:tcPr>
            <w:tcW w:w="360" w:type="dxa"/>
            <w:vAlign w:val="bottom"/>
            <w:shd w:val="clear" w:color="auto" w:fill="CCEEFF"/>
          </w:tcPr>
          <w:p>
            <w:pPr>
              <w:jc w:val="right"/>
              <w:ind w:right="83"/>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7"/>
                <w:szCs w:val="17"/>
                <w:color w:val="auto"/>
                <w:w w:val="95"/>
              </w:rPr>
              <w:t>$  40,000</w:t>
            </w:r>
          </w:p>
        </w:tc>
        <w:tc>
          <w:tcPr>
            <w:tcW w:w="300" w:type="dxa"/>
            <w:vAlign w:val="bottom"/>
            <w:shd w:val="clear" w:color="auto" w:fill="CCEEFF"/>
          </w:tcPr>
          <w:p>
            <w:pPr>
              <w:jc w:val="right"/>
              <w:ind w:right="43"/>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1,139</w:t>
            </w: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18" w:name="page19"/>
    <w:bookmarkEnd w:id="18"/>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1960"/>
        <w:spacing w:after="0" w:line="276" w:lineRule="auto"/>
        <w:rPr>
          <w:sz w:val="20"/>
          <w:szCs w:val="20"/>
          <w:color w:val="auto"/>
        </w:rPr>
      </w:pPr>
      <w:r>
        <w:rPr>
          <w:rFonts w:ascii="Arial" w:cs="Arial" w:eastAsia="Arial" w:hAnsi="Arial"/>
          <w:sz w:val="17"/>
          <w:szCs w:val="17"/>
          <w:color w:val="auto"/>
        </w:rPr>
        <w:t>The following table summarizes the effect of the Company’s cash flow hedge accounting on the condensed consolidated statements of income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Thirteen Weeks Ended</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4"/>
                <w:szCs w:val="14"/>
                <w:b w:val="1"/>
                <w:bCs w:val="1"/>
                <w:color w:val="auto"/>
              </w:rPr>
              <w:t>Thirty-Nine Weeks Ended</w:t>
            </w:r>
          </w:p>
        </w:tc>
        <w:tc>
          <w:tcPr>
            <w:tcW w:w="420" w:type="dxa"/>
            <w:vAlign w:val="bottom"/>
            <w:tcBorders>
              <w:bottom w:val="single" w:sz="8" w:color="auto"/>
            </w:tcBorders>
          </w:tcPr>
          <w:p>
            <w:pPr>
              <w:spacing w:after="0"/>
              <w:rPr>
                <w:sz w:val="14"/>
                <w:szCs w:val="14"/>
                <w:color w:val="auto"/>
              </w:rPr>
            </w:pPr>
          </w:p>
        </w:tc>
      </w:tr>
      <w:tr>
        <w:trPr>
          <w:trHeight w:val="133"/>
        </w:trPr>
        <w:tc>
          <w:tcPr>
            <w:tcW w:w="3580" w:type="dxa"/>
            <w:vAlign w:val="bottom"/>
            <w:tcBorders>
              <w:bottom w:val="single" w:sz="8" w:color="CCEEFF"/>
            </w:tcBorders>
          </w:tcPr>
          <w:p>
            <w:pPr>
              <w:spacing w:after="0"/>
              <w:rPr>
                <w:sz w:val="11"/>
                <w:szCs w:val="11"/>
                <w:color w:val="auto"/>
              </w:rPr>
            </w:pPr>
          </w:p>
        </w:tc>
        <w:tc>
          <w:tcPr>
            <w:tcW w:w="1240" w:type="dxa"/>
            <w:vAlign w:val="bottom"/>
            <w:tcBorders>
              <w:bottom w:val="single" w:sz="8" w:color="auto"/>
            </w:tcBorders>
            <w:gridSpan w:val="2"/>
          </w:tcPr>
          <w:p>
            <w:pPr>
              <w:jc w:val="right"/>
              <w:spacing w:after="0" w:line="134" w:lineRule="exact"/>
              <w:rPr>
                <w:sz w:val="20"/>
                <w:szCs w:val="20"/>
                <w:color w:val="auto"/>
              </w:rPr>
            </w:pPr>
            <w:r>
              <w:rPr>
                <w:rFonts w:ascii="Arial" w:cs="Arial" w:eastAsia="Arial" w:hAnsi="Arial"/>
                <w:sz w:val="14"/>
                <w:szCs w:val="14"/>
                <w:b w:val="1"/>
                <w:bCs w:val="1"/>
                <w:color w:val="auto"/>
                <w:w w:val="88"/>
              </w:rPr>
              <w:t>September 29, 2021</w:t>
            </w:r>
          </w:p>
        </w:tc>
        <w:tc>
          <w:tcPr>
            <w:tcW w:w="140" w:type="dxa"/>
            <w:vAlign w:val="bottom"/>
            <w:tcBorders>
              <w:bottom w:val="single" w:sz="8" w:color="CCEEFF"/>
            </w:tcBorders>
          </w:tcPr>
          <w:p>
            <w:pPr>
              <w:spacing w:after="0"/>
              <w:rPr>
                <w:sz w:val="11"/>
                <w:szCs w:val="11"/>
                <w:color w:val="auto"/>
              </w:rPr>
            </w:pPr>
          </w:p>
        </w:tc>
        <w:tc>
          <w:tcPr>
            <w:tcW w:w="1220" w:type="dxa"/>
            <w:vAlign w:val="bottom"/>
            <w:tcBorders>
              <w:bottom w:val="single" w:sz="8" w:color="auto"/>
            </w:tcBorders>
            <w:gridSpan w:val="2"/>
          </w:tcPr>
          <w:p>
            <w:pPr>
              <w:jc w:val="right"/>
              <w:spacing w:after="0" w:line="134" w:lineRule="exact"/>
              <w:rPr>
                <w:sz w:val="20"/>
                <w:szCs w:val="20"/>
                <w:color w:val="auto"/>
              </w:rPr>
            </w:pPr>
            <w:r>
              <w:rPr>
                <w:rFonts w:ascii="Arial" w:cs="Arial" w:eastAsia="Arial" w:hAnsi="Arial"/>
                <w:sz w:val="14"/>
                <w:szCs w:val="14"/>
                <w:b w:val="1"/>
                <w:bCs w:val="1"/>
                <w:color w:val="auto"/>
                <w:w w:val="88"/>
              </w:rPr>
              <w:t>September 23, 2020</w:t>
            </w:r>
          </w:p>
        </w:tc>
        <w:tc>
          <w:tcPr>
            <w:tcW w:w="140" w:type="dxa"/>
            <w:vAlign w:val="bottom"/>
            <w:tcBorders>
              <w:bottom w:val="single" w:sz="8" w:color="CCEEFF"/>
            </w:tcBorders>
          </w:tcPr>
          <w:p>
            <w:pPr>
              <w:spacing w:after="0"/>
              <w:rPr>
                <w:sz w:val="11"/>
                <w:szCs w:val="11"/>
                <w:color w:val="auto"/>
              </w:rPr>
            </w:pPr>
          </w:p>
        </w:tc>
        <w:tc>
          <w:tcPr>
            <w:tcW w:w="1240" w:type="dxa"/>
            <w:vAlign w:val="bottom"/>
            <w:tcBorders>
              <w:bottom w:val="single" w:sz="8" w:color="auto"/>
            </w:tcBorders>
            <w:gridSpan w:val="2"/>
          </w:tcPr>
          <w:p>
            <w:pPr>
              <w:jc w:val="right"/>
              <w:spacing w:after="0" w:line="134" w:lineRule="exact"/>
              <w:rPr>
                <w:sz w:val="20"/>
                <w:szCs w:val="20"/>
                <w:color w:val="auto"/>
              </w:rPr>
            </w:pPr>
            <w:r>
              <w:rPr>
                <w:rFonts w:ascii="Arial" w:cs="Arial" w:eastAsia="Arial" w:hAnsi="Arial"/>
                <w:sz w:val="14"/>
                <w:szCs w:val="14"/>
                <w:b w:val="1"/>
                <w:bCs w:val="1"/>
                <w:color w:val="auto"/>
                <w:w w:val="88"/>
              </w:rPr>
              <w:t>September 29, 2021</w:t>
            </w:r>
          </w:p>
        </w:tc>
        <w:tc>
          <w:tcPr>
            <w:tcW w:w="140" w:type="dxa"/>
            <w:vAlign w:val="bottom"/>
            <w:tcBorders>
              <w:bottom w:val="single" w:sz="8" w:color="CCEEFF"/>
            </w:tcBorders>
          </w:tcPr>
          <w:p>
            <w:pPr>
              <w:spacing w:after="0"/>
              <w:rPr>
                <w:sz w:val="11"/>
                <w:szCs w:val="11"/>
                <w:color w:val="auto"/>
              </w:rPr>
            </w:pPr>
          </w:p>
        </w:tc>
        <w:tc>
          <w:tcPr>
            <w:tcW w:w="1220" w:type="dxa"/>
            <w:vAlign w:val="bottom"/>
            <w:tcBorders>
              <w:bottom w:val="single" w:sz="8" w:color="auto"/>
            </w:tcBorders>
            <w:gridSpan w:val="2"/>
          </w:tcPr>
          <w:p>
            <w:pPr>
              <w:jc w:val="right"/>
              <w:spacing w:after="0" w:line="134" w:lineRule="exact"/>
              <w:rPr>
                <w:sz w:val="20"/>
                <w:szCs w:val="20"/>
                <w:color w:val="auto"/>
              </w:rPr>
            </w:pPr>
            <w:r>
              <w:rPr>
                <w:rFonts w:ascii="Arial" w:cs="Arial" w:eastAsia="Arial" w:hAnsi="Arial"/>
                <w:sz w:val="14"/>
                <w:szCs w:val="14"/>
                <w:b w:val="1"/>
                <w:bCs w:val="1"/>
                <w:color w:val="auto"/>
                <w:w w:val="88"/>
              </w:rPr>
              <w:t>September 23, 2020</w:t>
            </w:r>
          </w:p>
        </w:tc>
      </w:tr>
      <w:tr>
        <w:trPr>
          <w:trHeight w:val="197"/>
        </w:trPr>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on hedged portion of debt</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08"/>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w:t>
            </w:r>
          </w:p>
        </w:tc>
      </w:tr>
      <w:tr>
        <w:trPr>
          <w:trHeight w:val="205"/>
        </w:trPr>
        <w:tc>
          <w:tcPr>
            <w:tcW w:w="35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Interest expense on interest rate swap</w:t>
            </w: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w:t>
            </w:r>
          </w:p>
        </w:tc>
        <w:tc>
          <w:tcPr>
            <w:tcW w:w="14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367</w:t>
            </w: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w:t>
            </w:r>
          </w:p>
        </w:tc>
      </w:tr>
      <w:tr>
        <w:trPr>
          <w:trHeight w:val="197"/>
        </w:trPr>
        <w:tc>
          <w:tcPr>
            <w:tcW w:w="3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Interest expense on debt and derivatives, net</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w:t>
            </w:r>
          </w:p>
        </w:tc>
        <w:tc>
          <w:tcPr>
            <w:tcW w:w="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800</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49"/>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966</w:t>
            </w:r>
          </w:p>
        </w:tc>
      </w:tr>
      <w:tr>
        <w:trPr>
          <w:trHeight w:val="20"/>
        </w:trPr>
        <w:tc>
          <w:tcPr>
            <w:tcW w:w="3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both"/>
        <w:ind w:left="40" w:right="1320"/>
        <w:spacing w:after="0" w:line="276" w:lineRule="auto"/>
        <w:rPr>
          <w:sz w:val="20"/>
          <w:szCs w:val="20"/>
          <w:color w:val="auto"/>
        </w:rPr>
      </w:pPr>
      <w:r>
        <w:rPr>
          <w:rFonts w:ascii="Arial" w:cs="Arial" w:eastAsia="Arial" w:hAnsi="Arial"/>
          <w:sz w:val="17"/>
          <w:szCs w:val="17"/>
          <w:color w:val="auto"/>
        </w:rPr>
        <w:t>The following table summarizes the effect of the Company’s cash flow hedge accounting on AOCI for the thirteen and thirty-nine weeks ended September 29, 2021 and September 23, 2020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2"/>
          </w:tcPr>
          <w:p>
            <w:pPr>
              <w:jc w:val="right"/>
              <w:ind w:right="1188"/>
              <w:spacing w:after="0"/>
              <w:rPr>
                <w:sz w:val="20"/>
                <w:szCs w:val="20"/>
                <w:color w:val="auto"/>
              </w:rPr>
            </w:pPr>
            <w:r>
              <w:rPr>
                <w:rFonts w:ascii="Arial" w:cs="Arial" w:eastAsia="Arial" w:hAnsi="Arial"/>
                <w:sz w:val="14"/>
                <w:szCs w:val="14"/>
                <w:b w:val="1"/>
                <w:bCs w:val="1"/>
                <w:color w:val="auto"/>
                <w:w w:val="99"/>
              </w:rPr>
              <w:t>Thirteen Weeks Ended</w:t>
            </w: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Thirty-Nine Weeks Ended</w:t>
            </w:r>
          </w:p>
        </w:tc>
        <w:tc>
          <w:tcPr>
            <w:tcW w:w="1100" w:type="dxa"/>
            <w:vAlign w:val="bottom"/>
            <w:tcBorders>
              <w:bottom w:val="single" w:sz="8" w:color="auto"/>
            </w:tcBorders>
          </w:tcPr>
          <w:p>
            <w:pPr>
              <w:spacing w:after="0"/>
              <w:rPr>
                <w:sz w:val="14"/>
                <w:szCs w:val="14"/>
                <w:color w:val="auto"/>
              </w:rPr>
            </w:pPr>
          </w:p>
        </w:tc>
      </w:tr>
      <w:tr>
        <w:trPr>
          <w:trHeight w:val="113"/>
        </w:trPr>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720" w:type="dxa"/>
            <w:vAlign w:val="bottom"/>
          </w:tcPr>
          <w:p>
            <w:pPr>
              <w:jc w:val="center"/>
              <w:ind w:left="28"/>
              <w:spacing w:after="0" w:line="113" w:lineRule="exact"/>
              <w:rPr>
                <w:sz w:val="20"/>
                <w:szCs w:val="20"/>
                <w:color w:val="auto"/>
              </w:rPr>
            </w:pPr>
            <w:r>
              <w:rPr>
                <w:rFonts w:ascii="Arial" w:cs="Arial" w:eastAsia="Arial" w:hAnsi="Arial"/>
                <w:sz w:val="12"/>
                <w:szCs w:val="12"/>
                <w:b w:val="1"/>
                <w:bCs w:val="1"/>
                <w:color w:val="auto"/>
                <w:w w:val="98"/>
              </w:rPr>
              <w:t>Loss Reclassified from</w:t>
            </w: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80" w:type="dxa"/>
            <w:vAlign w:val="bottom"/>
            <w:gridSpan w:val="2"/>
          </w:tcPr>
          <w:p>
            <w:pPr>
              <w:jc w:val="right"/>
              <w:ind w:right="403"/>
              <w:spacing w:after="0" w:line="113" w:lineRule="exact"/>
              <w:rPr>
                <w:sz w:val="20"/>
                <w:szCs w:val="20"/>
                <w:color w:val="auto"/>
              </w:rPr>
            </w:pPr>
            <w:r>
              <w:rPr>
                <w:rFonts w:ascii="Arial" w:cs="Arial" w:eastAsia="Arial" w:hAnsi="Arial"/>
                <w:sz w:val="12"/>
                <w:szCs w:val="12"/>
                <w:b w:val="1"/>
                <w:bCs w:val="1"/>
                <w:color w:val="auto"/>
              </w:rPr>
              <w:t>Loss Reclassified from</w:t>
            </w:r>
          </w:p>
        </w:tc>
      </w:tr>
      <w:tr>
        <w:trPr>
          <w:trHeight w:val="161"/>
        </w:trPr>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2"/>
          </w:tcPr>
          <w:p>
            <w:pPr>
              <w:jc w:val="right"/>
              <w:ind w:right="443"/>
              <w:spacing w:after="0"/>
              <w:rPr>
                <w:sz w:val="20"/>
                <w:szCs w:val="20"/>
                <w:color w:val="auto"/>
              </w:rPr>
            </w:pPr>
            <w:r>
              <w:rPr>
                <w:rFonts w:ascii="Arial" w:cs="Arial" w:eastAsia="Arial" w:hAnsi="Arial"/>
                <w:sz w:val="14"/>
                <w:szCs w:val="14"/>
                <w:b w:val="1"/>
                <w:bCs w:val="1"/>
                <w:color w:val="auto"/>
                <w:w w:val="92"/>
              </w:rPr>
              <w:t>Net Loss Recognized in OCI</w:t>
            </w:r>
          </w:p>
        </w:tc>
        <w:tc>
          <w:tcPr>
            <w:tcW w:w="17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89"/>
              </w:rPr>
              <w:t>AOCI into Interest expense</w:t>
            </w: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2"/>
          </w:tcPr>
          <w:p>
            <w:pPr>
              <w:jc w:val="right"/>
              <w:ind w:right="86"/>
              <w:spacing w:after="0"/>
              <w:rPr>
                <w:sz w:val="20"/>
                <w:szCs w:val="20"/>
                <w:color w:val="auto"/>
              </w:rPr>
            </w:pPr>
            <w:r>
              <w:rPr>
                <w:rFonts w:ascii="Arial" w:cs="Arial" w:eastAsia="Arial" w:hAnsi="Arial"/>
                <w:sz w:val="14"/>
                <w:szCs w:val="14"/>
                <w:b w:val="1"/>
                <w:bCs w:val="1"/>
                <w:color w:val="auto"/>
                <w:w w:val="90"/>
              </w:rPr>
              <w:t>Net Gain (Loss) Recognized in OCI</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2"/>
          </w:tcPr>
          <w:p>
            <w:pPr>
              <w:jc w:val="right"/>
              <w:ind w:right="263"/>
              <w:spacing w:after="0"/>
              <w:rPr>
                <w:sz w:val="20"/>
                <w:szCs w:val="20"/>
                <w:color w:val="auto"/>
              </w:rPr>
            </w:pPr>
            <w:r>
              <w:rPr>
                <w:rFonts w:ascii="Arial" w:cs="Arial" w:eastAsia="Arial" w:hAnsi="Arial"/>
                <w:sz w:val="14"/>
                <w:szCs w:val="14"/>
                <w:b w:val="1"/>
                <w:bCs w:val="1"/>
                <w:color w:val="auto"/>
                <w:w w:val="96"/>
              </w:rPr>
              <w:t>AOCI into Interest expense</w:t>
            </w:r>
          </w:p>
        </w:tc>
      </w:tr>
      <w:tr>
        <w:trPr>
          <w:trHeight w:val="133"/>
        </w:trPr>
        <w:tc>
          <w:tcPr>
            <w:tcW w:w="5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500" w:type="dxa"/>
            <w:vAlign w:val="bottom"/>
            <w:tcBorders>
              <w:bottom w:val="single" w:sz="8" w:color="auto"/>
            </w:tcBorders>
            <w:gridSpan w:val="5"/>
          </w:tcPr>
          <w:p>
            <w:pPr>
              <w:spacing w:after="0" w:line="134" w:lineRule="exact"/>
              <w:rPr>
                <w:sz w:val="20"/>
                <w:szCs w:val="20"/>
                <w:color w:val="auto"/>
              </w:rPr>
            </w:pPr>
            <w:r>
              <w:rPr>
                <w:rFonts w:ascii="Arial" w:cs="Arial" w:eastAsia="Arial" w:hAnsi="Arial"/>
                <w:sz w:val="14"/>
                <w:szCs w:val="14"/>
                <w:b w:val="1"/>
                <w:bCs w:val="1"/>
                <w:color w:val="auto"/>
                <w:w w:val="85"/>
              </w:rPr>
              <w:t>September 29, 2021September 23, 2020September 29, 2021September 23, 2020</w:t>
            </w:r>
          </w:p>
        </w:tc>
        <w:tc>
          <w:tcPr>
            <w:tcW w:w="140" w:type="dxa"/>
            <w:vAlign w:val="bottom"/>
            <w:tcBorders>
              <w:bottom w:val="single" w:sz="8" w:color="CCEEFF"/>
            </w:tcBorders>
          </w:tcPr>
          <w:p>
            <w:pPr>
              <w:spacing w:after="0"/>
              <w:rPr>
                <w:sz w:val="11"/>
                <w:szCs w:val="11"/>
                <w:color w:val="auto"/>
              </w:rPr>
            </w:pPr>
          </w:p>
        </w:tc>
        <w:tc>
          <w:tcPr>
            <w:tcW w:w="1240" w:type="dxa"/>
            <w:vAlign w:val="bottom"/>
            <w:tcBorders>
              <w:bottom w:val="single" w:sz="8" w:color="auto"/>
            </w:tcBorders>
            <w:gridSpan w:val="2"/>
          </w:tcPr>
          <w:p>
            <w:pPr>
              <w:spacing w:after="0" w:line="134" w:lineRule="exact"/>
              <w:rPr>
                <w:sz w:val="20"/>
                <w:szCs w:val="20"/>
                <w:color w:val="auto"/>
              </w:rPr>
            </w:pPr>
            <w:r>
              <w:rPr>
                <w:rFonts w:ascii="Arial" w:cs="Arial" w:eastAsia="Arial" w:hAnsi="Arial"/>
                <w:sz w:val="14"/>
                <w:szCs w:val="14"/>
                <w:b w:val="1"/>
                <w:bCs w:val="1"/>
                <w:color w:val="auto"/>
                <w:w w:val="93"/>
              </w:rPr>
              <w:t>September 29, 2021</w:t>
            </w:r>
          </w:p>
        </w:tc>
        <w:tc>
          <w:tcPr>
            <w:tcW w:w="11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4"/>
                <w:szCs w:val="14"/>
                <w:b w:val="1"/>
                <w:bCs w:val="1"/>
                <w:color w:val="auto"/>
                <w:w w:val="87"/>
              </w:rPr>
              <w:t>September 23, 2020</w:t>
            </w:r>
          </w:p>
        </w:tc>
        <w:tc>
          <w:tcPr>
            <w:tcW w:w="140" w:type="dxa"/>
            <w:vAlign w:val="bottom"/>
            <w:tcBorders>
              <w:bottom w:val="single" w:sz="8" w:color="CCEEFF"/>
            </w:tcBorders>
          </w:tcPr>
          <w:p>
            <w:pPr>
              <w:spacing w:after="0"/>
              <w:rPr>
                <w:sz w:val="11"/>
                <w:szCs w:val="11"/>
                <w:color w:val="auto"/>
              </w:rPr>
            </w:pPr>
          </w:p>
        </w:tc>
        <w:tc>
          <w:tcPr>
            <w:tcW w:w="1240" w:type="dxa"/>
            <w:vAlign w:val="bottom"/>
            <w:tcBorders>
              <w:bottom w:val="single" w:sz="8" w:color="auto"/>
            </w:tcBorders>
            <w:gridSpan w:val="2"/>
          </w:tcPr>
          <w:p>
            <w:pPr>
              <w:spacing w:after="0" w:line="134" w:lineRule="exact"/>
              <w:rPr>
                <w:sz w:val="20"/>
                <w:szCs w:val="20"/>
                <w:color w:val="auto"/>
              </w:rPr>
            </w:pPr>
            <w:r>
              <w:rPr>
                <w:rFonts w:ascii="Arial" w:cs="Arial" w:eastAsia="Arial" w:hAnsi="Arial"/>
                <w:sz w:val="14"/>
                <w:szCs w:val="14"/>
                <w:b w:val="1"/>
                <w:bCs w:val="1"/>
                <w:color w:val="auto"/>
                <w:w w:val="93"/>
              </w:rPr>
              <w:t>September 29, 2021</w:t>
            </w:r>
          </w:p>
        </w:tc>
        <w:tc>
          <w:tcPr>
            <w:tcW w:w="11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4"/>
                <w:szCs w:val="14"/>
                <w:b w:val="1"/>
                <w:bCs w:val="1"/>
                <w:color w:val="auto"/>
                <w:w w:val="87"/>
              </w:rPr>
              <w:t>September 23, 202</w:t>
            </w:r>
          </w:p>
        </w:tc>
      </w:tr>
      <w:tr>
        <w:trPr>
          <w:trHeight w:val="172"/>
        </w:trPr>
        <w:tc>
          <w:tcPr>
            <w:tcW w:w="580" w:type="dxa"/>
            <w:vAlign w:val="bottom"/>
            <w:shd w:val="clear" w:color="auto" w:fill="CCEEFF"/>
          </w:tcPr>
          <w:p>
            <w:pPr>
              <w:spacing w:after="0" w:line="172" w:lineRule="exact"/>
              <w:rPr>
                <w:sz w:val="20"/>
                <w:szCs w:val="20"/>
                <w:color w:val="auto"/>
              </w:rPr>
            </w:pPr>
            <w:r>
              <w:rPr>
                <w:rFonts w:ascii="Arial" w:cs="Arial" w:eastAsia="Arial" w:hAnsi="Arial"/>
                <w:sz w:val="17"/>
                <w:szCs w:val="17"/>
                <w:color w:val="auto"/>
                <w:w w:val="98"/>
              </w:rPr>
              <w:t>Interest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05"/>
        </w:trPr>
        <w:tc>
          <w:tcPr>
            <w:tcW w:w="580" w:type="dxa"/>
            <w:vAlign w:val="bottom"/>
            <w:shd w:val="clear" w:color="auto" w:fill="CCEEFF"/>
          </w:tcPr>
          <w:p>
            <w:pPr>
              <w:spacing w:after="0"/>
              <w:rPr>
                <w:sz w:val="20"/>
                <w:szCs w:val="20"/>
                <w:color w:val="auto"/>
              </w:rPr>
            </w:pPr>
            <w:r>
              <w:rPr>
                <w:rFonts w:ascii="Arial" w:cs="Arial" w:eastAsia="Arial" w:hAnsi="Arial"/>
                <w:sz w:val="17"/>
                <w:szCs w:val="17"/>
                <w:color w:val="auto"/>
              </w:rPr>
              <w:t>rate</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7"/>
        </w:trPr>
        <w:tc>
          <w:tcPr>
            <w:tcW w:w="580" w:type="dxa"/>
            <w:vAlign w:val="bottom"/>
            <w:shd w:val="clear" w:color="auto" w:fill="CCEEFF"/>
          </w:tcPr>
          <w:p>
            <w:pPr>
              <w:spacing w:after="0"/>
              <w:rPr>
                <w:sz w:val="20"/>
                <w:szCs w:val="20"/>
                <w:color w:val="auto"/>
              </w:rPr>
            </w:pPr>
            <w:r>
              <w:rPr>
                <w:rFonts w:ascii="Arial" w:cs="Arial" w:eastAsia="Arial" w:hAnsi="Arial"/>
                <w:sz w:val="17"/>
                <w:szCs w:val="17"/>
                <w:color w:val="auto"/>
              </w:rPr>
              <w:t>swap</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23"/>
              <w:spacing w:after="0"/>
              <w:rPr>
                <w:sz w:val="20"/>
                <w:szCs w:val="20"/>
                <w:color w:val="auto"/>
              </w:rPr>
            </w:pPr>
            <w:r>
              <w:rPr>
                <w:rFonts w:ascii="Arial" w:cs="Arial" w:eastAsia="Arial" w:hAnsi="Arial"/>
                <w:sz w:val="17"/>
                <w:szCs w:val="17"/>
                <w:color w:val="auto"/>
              </w:rPr>
              <w:t>(32)$</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7"/>
                <w:szCs w:val="17"/>
                <w:color w:val="auto"/>
              </w:rPr>
              <w:t>(36)$</w:t>
            </w:r>
          </w:p>
        </w:tc>
        <w:tc>
          <w:tcPr>
            <w:tcW w:w="1720" w:type="dxa"/>
            <w:vAlign w:val="bottom"/>
            <w:shd w:val="clear" w:color="auto" w:fill="CCEEFF"/>
          </w:tcPr>
          <w:p>
            <w:pPr>
              <w:jc w:val="right"/>
              <w:ind w:right="648"/>
              <w:spacing w:after="0"/>
              <w:rPr>
                <w:sz w:val="20"/>
                <w:szCs w:val="20"/>
                <w:color w:val="auto"/>
              </w:rPr>
            </w:pPr>
            <w:r>
              <w:rPr>
                <w:rFonts w:ascii="Arial" w:cs="Arial" w:eastAsia="Arial" w:hAnsi="Arial"/>
                <w:sz w:val="17"/>
                <w:szCs w:val="17"/>
                <w:color w:val="auto"/>
              </w:rPr>
              <w:t>133 $</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114</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44 $</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(1,791)</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367 $</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r>
    </w:tbl>
    <w:p>
      <w:pPr>
        <w:spacing w:after="0" w:line="192" w:lineRule="exact"/>
        <w:rPr>
          <w:sz w:val="20"/>
          <w:szCs w:val="20"/>
          <w:color w:val="auto"/>
        </w:rPr>
      </w:pPr>
    </w:p>
    <w:p>
      <w:pPr>
        <w:ind w:left="40" w:right="1480"/>
        <w:spacing w:after="0" w:line="276" w:lineRule="auto"/>
        <w:rPr>
          <w:sz w:val="20"/>
          <w:szCs w:val="20"/>
          <w:color w:val="auto"/>
        </w:rPr>
      </w:pPr>
      <w:r>
        <w:rPr>
          <w:rFonts w:ascii="Arial" w:cs="Arial" w:eastAsia="Arial" w:hAnsi="Arial"/>
          <w:sz w:val="17"/>
          <w:szCs w:val="17"/>
          <w:color w:val="auto"/>
        </w:rPr>
        <w:t>See Note 1, “Basis of Presentation and Summary of Significant Accounting Policies” for information about the fair value of the Company’s derivative asset.</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5. OTHER ACCRUED EXPENSES AND CURRENT LIABILITIES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Other accrued expenses and current liabilities consist of the following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6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88"/>
              </w:rPr>
              <w:t>September 29, 2021</w:t>
            </w: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December 30, 2020</w:t>
            </w:r>
          </w:p>
        </w:tc>
        <w:tc>
          <w:tcPr>
            <w:tcW w:w="0" w:type="dxa"/>
            <w:vAlign w:val="bottom"/>
          </w:tcPr>
          <w:p>
            <w:pPr>
              <w:spacing w:after="0"/>
              <w:rPr>
                <w:sz w:val="1"/>
                <w:szCs w:val="1"/>
                <w:color w:val="auto"/>
              </w:rPr>
            </w:pPr>
          </w:p>
        </w:tc>
      </w:tr>
      <w:tr>
        <w:trPr>
          <w:trHeight w:val="197"/>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Accrued sales and property taxes</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5,216</w:t>
            </w:r>
          </w:p>
        </w:tc>
        <w:tc>
          <w:tcPr>
            <w:tcW w:w="0" w:type="dxa"/>
            <w:vAlign w:val="bottom"/>
          </w:tcPr>
          <w:p>
            <w:pPr>
              <w:spacing w:after="0"/>
              <w:rPr>
                <w:sz w:val="1"/>
                <w:szCs w:val="1"/>
                <w:color w:val="auto"/>
              </w:rPr>
            </w:pPr>
          </w:p>
        </w:tc>
      </w:tr>
      <w:tr>
        <w:trPr>
          <w:trHeight w:val="205"/>
        </w:trPr>
        <w:tc>
          <w:tcPr>
            <w:tcW w:w="5460" w:type="dxa"/>
            <w:vAlign w:val="bottom"/>
          </w:tcPr>
          <w:p>
            <w:pPr>
              <w:spacing w:after="0"/>
              <w:rPr>
                <w:sz w:val="20"/>
                <w:szCs w:val="20"/>
                <w:color w:val="auto"/>
              </w:rPr>
            </w:pPr>
            <w:r>
              <w:rPr>
                <w:rFonts w:ascii="Arial" w:cs="Arial" w:eastAsia="Arial" w:hAnsi="Arial"/>
                <w:sz w:val="17"/>
                <w:szCs w:val="17"/>
                <w:color w:val="auto"/>
              </w:rPr>
              <w:t>Gift card liability</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3,686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4,008</w:t>
            </w:r>
          </w:p>
        </w:tc>
        <w:tc>
          <w:tcPr>
            <w:tcW w:w="0" w:type="dxa"/>
            <w:vAlign w:val="bottom"/>
          </w:tcPr>
          <w:p>
            <w:pPr>
              <w:spacing w:after="0"/>
              <w:rPr>
                <w:sz w:val="1"/>
                <w:szCs w:val="1"/>
                <w:color w:val="auto"/>
              </w:rPr>
            </w:pPr>
          </w:p>
        </w:tc>
      </w:tr>
      <w:tr>
        <w:trPr>
          <w:trHeight w:val="205"/>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Accrued advertising</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5460" w:type="dxa"/>
            <w:vAlign w:val="bottom"/>
          </w:tcPr>
          <w:p>
            <w:pPr>
              <w:spacing w:after="0"/>
              <w:rPr>
                <w:sz w:val="20"/>
                <w:szCs w:val="20"/>
                <w:color w:val="auto"/>
              </w:rPr>
            </w:pPr>
            <w:r>
              <w:rPr>
                <w:rFonts w:ascii="Arial" w:cs="Arial" w:eastAsia="Arial" w:hAnsi="Arial"/>
                <w:sz w:val="17"/>
                <w:szCs w:val="17"/>
                <w:color w:val="auto"/>
              </w:rPr>
              <w:t>Accrued legal settlements and professional fees</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1,112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205"/>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Deferred franchise and development fees</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w:t>
            </w:r>
          </w:p>
        </w:tc>
        <w:tc>
          <w:tcPr>
            <w:tcW w:w="0" w:type="dxa"/>
            <w:vAlign w:val="bottom"/>
          </w:tcPr>
          <w:p>
            <w:pPr>
              <w:spacing w:after="0"/>
              <w:rPr>
                <w:sz w:val="1"/>
                <w:szCs w:val="1"/>
                <w:color w:val="auto"/>
              </w:rPr>
            </w:pPr>
          </w:p>
        </w:tc>
      </w:tr>
      <w:tr>
        <w:trPr>
          <w:trHeight w:val="205"/>
        </w:trPr>
        <w:tc>
          <w:tcPr>
            <w:tcW w:w="5460" w:type="dxa"/>
            <w:vAlign w:val="bottom"/>
          </w:tcPr>
          <w:p>
            <w:pPr>
              <w:spacing w:after="0"/>
              <w:rPr>
                <w:sz w:val="20"/>
                <w:szCs w:val="20"/>
                <w:color w:val="auto"/>
              </w:rPr>
            </w:pPr>
            <w:r>
              <w:rPr>
                <w:rFonts w:ascii="Arial" w:cs="Arial" w:eastAsia="Arial" w:hAnsi="Arial"/>
                <w:sz w:val="17"/>
                <w:szCs w:val="17"/>
                <w:color w:val="auto"/>
              </w:rPr>
              <w:t>Current portion of lease payment deferrals</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353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1,793</w:t>
            </w:r>
          </w:p>
        </w:tc>
        <w:tc>
          <w:tcPr>
            <w:tcW w:w="0" w:type="dxa"/>
            <w:vAlign w:val="bottom"/>
          </w:tcPr>
          <w:p>
            <w:pPr>
              <w:spacing w:after="0"/>
              <w:rPr>
                <w:sz w:val="1"/>
                <w:szCs w:val="1"/>
                <w:color w:val="auto"/>
              </w:rPr>
            </w:pPr>
          </w:p>
        </w:tc>
      </w:tr>
      <w:tr>
        <w:trPr>
          <w:trHeight w:val="205"/>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5,216</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4,874</w:t>
            </w:r>
          </w:p>
        </w:tc>
        <w:tc>
          <w:tcPr>
            <w:tcW w:w="0" w:type="dxa"/>
            <w:vAlign w:val="bottom"/>
          </w:tcPr>
          <w:p>
            <w:pPr>
              <w:spacing w:after="0"/>
              <w:rPr>
                <w:sz w:val="1"/>
                <w:szCs w:val="1"/>
                <w:color w:val="auto"/>
              </w:rPr>
            </w:pPr>
          </w:p>
        </w:tc>
      </w:tr>
      <w:tr>
        <w:trPr>
          <w:trHeight w:val="197"/>
        </w:trPr>
        <w:tc>
          <w:tcPr>
            <w:tcW w:w="5460" w:type="dxa"/>
            <w:vAlign w:val="bottom"/>
          </w:tcPr>
          <w:p>
            <w:pPr>
              <w:spacing w:after="0"/>
              <w:rPr>
                <w:sz w:val="20"/>
                <w:szCs w:val="20"/>
                <w:color w:val="auto"/>
              </w:rPr>
            </w:pPr>
            <w:r>
              <w:rPr>
                <w:rFonts w:ascii="Arial" w:cs="Arial" w:eastAsia="Arial" w:hAnsi="Arial"/>
                <w:sz w:val="17"/>
                <w:szCs w:val="17"/>
                <w:color w:val="auto"/>
              </w:rPr>
              <w:t>Total other accrued expenses and current liabilities</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20,546</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16,715</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7"/>
                <w:szCs w:val="17"/>
                <w:b w:val="1"/>
                <w:bCs w:val="1"/>
                <w:color w:val="auto"/>
              </w:rPr>
              <w:t>6. OTHER NONCURRENT LIABILITIES</w:t>
            </w: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4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5460" w:type="dxa"/>
            <w:vAlign w:val="bottom"/>
          </w:tcPr>
          <w:p>
            <w:pPr>
              <w:spacing w:after="0"/>
              <w:rPr>
                <w:sz w:val="20"/>
                <w:szCs w:val="20"/>
                <w:color w:val="auto"/>
              </w:rPr>
            </w:pPr>
            <w:r>
              <w:rPr>
                <w:rFonts w:ascii="Arial" w:cs="Arial" w:eastAsia="Arial" w:hAnsi="Arial"/>
                <w:sz w:val="17"/>
                <w:szCs w:val="17"/>
                <w:color w:val="auto"/>
              </w:rPr>
              <w:t>Other noncurrent liabilities consist of the following (in thousands):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5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September 29, 2021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December 30, 2020</w:t>
            </w:r>
          </w:p>
        </w:tc>
        <w:tc>
          <w:tcPr>
            <w:tcW w:w="0" w:type="dxa"/>
            <w:vAlign w:val="bottom"/>
          </w:tcPr>
          <w:p>
            <w:pPr>
              <w:spacing w:after="0"/>
              <w:rPr>
                <w:sz w:val="1"/>
                <w:szCs w:val="1"/>
                <w:color w:val="auto"/>
              </w:rPr>
            </w:pPr>
          </w:p>
        </w:tc>
      </w:tr>
      <w:tr>
        <w:trPr>
          <w:trHeight w:val="197"/>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Deferred franchise and development fees</w:t>
            </w:r>
          </w:p>
        </w:tc>
        <w:tc>
          <w:tcPr>
            <w:tcW w:w="9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5,802</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gridSpan w:val="2"/>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5,125</w:t>
            </w:r>
          </w:p>
        </w:tc>
        <w:tc>
          <w:tcPr>
            <w:tcW w:w="0" w:type="dxa"/>
            <w:vAlign w:val="bottom"/>
          </w:tcPr>
          <w:p>
            <w:pPr>
              <w:spacing w:after="0"/>
              <w:rPr>
                <w:sz w:val="1"/>
                <w:szCs w:val="1"/>
                <w:color w:val="auto"/>
              </w:rPr>
            </w:pPr>
          </w:p>
        </w:tc>
      </w:tr>
      <w:tr>
        <w:trPr>
          <w:trHeight w:val="205"/>
        </w:trPr>
        <w:tc>
          <w:tcPr>
            <w:tcW w:w="5460" w:type="dxa"/>
            <w:vAlign w:val="bottom"/>
          </w:tcPr>
          <w:p>
            <w:pPr>
              <w:spacing w:after="0"/>
              <w:rPr>
                <w:sz w:val="20"/>
                <w:szCs w:val="20"/>
                <w:color w:val="auto"/>
              </w:rPr>
            </w:pPr>
            <w:r>
              <w:rPr>
                <w:rFonts w:ascii="Arial" w:cs="Arial" w:eastAsia="Arial" w:hAnsi="Arial"/>
                <w:sz w:val="17"/>
                <w:szCs w:val="17"/>
                <w:color w:val="auto"/>
              </w:rPr>
              <w:t>Derivative liability</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729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1,139</w:t>
            </w:r>
          </w:p>
        </w:tc>
        <w:tc>
          <w:tcPr>
            <w:tcW w:w="0" w:type="dxa"/>
            <w:vAlign w:val="bottom"/>
          </w:tcPr>
          <w:p>
            <w:pPr>
              <w:spacing w:after="0"/>
              <w:rPr>
                <w:sz w:val="1"/>
                <w:szCs w:val="1"/>
                <w:color w:val="auto"/>
              </w:rPr>
            </w:pPr>
          </w:p>
        </w:tc>
      </w:tr>
      <w:tr>
        <w:trPr>
          <w:trHeight w:val="205"/>
        </w:trPr>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Employer social security tax deferral</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4,853</w:t>
            </w:r>
          </w:p>
        </w:tc>
        <w:tc>
          <w:tcPr>
            <w:tcW w:w="0" w:type="dxa"/>
            <w:vAlign w:val="bottom"/>
          </w:tcPr>
          <w:p>
            <w:pPr>
              <w:spacing w:after="0"/>
              <w:rPr>
                <w:sz w:val="1"/>
                <w:szCs w:val="1"/>
                <w:color w:val="auto"/>
              </w:rPr>
            </w:pPr>
          </w:p>
        </w:tc>
      </w:tr>
      <w:tr>
        <w:trPr>
          <w:trHeight w:val="205"/>
        </w:trPr>
        <w:tc>
          <w:tcPr>
            <w:tcW w:w="54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w:t>
            </w:r>
          </w:p>
        </w:tc>
        <w:tc>
          <w:tcPr>
            <w:tcW w:w="9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w:t>
            </w:r>
          </w:p>
        </w:tc>
        <w:tc>
          <w:tcPr>
            <w:tcW w:w="0" w:type="dxa"/>
            <w:vAlign w:val="bottom"/>
          </w:tcPr>
          <w:p>
            <w:pPr>
              <w:spacing w:after="0"/>
              <w:rPr>
                <w:sz w:val="1"/>
                <w:szCs w:val="1"/>
                <w:color w:val="auto"/>
              </w:rPr>
            </w:pPr>
          </w:p>
        </w:tc>
      </w:tr>
      <w:tr>
        <w:trPr>
          <w:trHeight w:val="197"/>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other noncurrent liabilities</w:t>
            </w:r>
          </w:p>
        </w:tc>
        <w:tc>
          <w:tcPr>
            <w:tcW w:w="9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gridSpan w:val="2"/>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8,355</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gridSpan w:val="2"/>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11,292</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7. COMMITMENTS AND CONTINGENCIES</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Legal Matters</w:t>
      </w:r>
    </w:p>
    <w:p>
      <w:pPr>
        <w:spacing w:after="0" w:line="218" w:lineRule="exact"/>
        <w:rPr>
          <w:sz w:val="20"/>
          <w:szCs w:val="20"/>
          <w:color w:val="auto"/>
        </w:rPr>
      </w:pPr>
    </w:p>
    <w:p>
      <w:pPr>
        <w:ind w:left="40" w:right="1380"/>
        <w:spacing w:after="0" w:line="308" w:lineRule="auto"/>
        <w:rPr>
          <w:sz w:val="20"/>
          <w:szCs w:val="20"/>
          <w:color w:val="auto"/>
        </w:rPr>
      </w:pPr>
      <w:r>
        <w:rPr>
          <w:rFonts w:ascii="Arial" w:cs="Arial" w:eastAsia="Arial" w:hAnsi="Arial"/>
          <w:sz w:val="16"/>
          <w:szCs w:val="16"/>
          <w:color w:val="auto"/>
        </w:rPr>
        <w:t xml:space="preserve">On or about February 24, 2014, a former employee filed a class action in the Superior Court of the State of California, County of Orange, under the caption </w:t>
      </w:r>
      <w:r>
        <w:rPr>
          <w:rFonts w:ascii="Arial" w:cs="Arial" w:eastAsia="Arial" w:hAnsi="Arial"/>
          <w:sz w:val="16"/>
          <w:szCs w:val="16"/>
          <w:u w:val="single" w:color="auto"/>
          <w:color w:val="auto"/>
        </w:rPr>
        <w:t>Elliott Olvera, et al v. El Pollo Loco, Inc., et al</w:t>
      </w:r>
      <w:r>
        <w:rPr>
          <w:rFonts w:ascii="Arial" w:cs="Arial" w:eastAsia="Arial" w:hAnsi="Arial"/>
          <w:sz w:val="16"/>
          <w:szCs w:val="16"/>
          <w:color w:val="auto"/>
        </w:rPr>
        <w:t xml:space="preserve"> (Case No. 30-2014-00707367-CU-</w:t>
      </w:r>
    </w:p>
    <w:p>
      <w:pPr>
        <w:spacing w:after="0" w:line="346"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10220"/>
          </w:cols>
          <w:pgMar w:left="1440" w:top="498" w:right="239" w:bottom="1440" w:gutter="0" w:footer="0" w:header="0"/>
        </w:sectPr>
      </w:pPr>
    </w:p>
    <w:bookmarkStart w:id="19" w:name="page20"/>
    <w:bookmarkEnd w:id="19"/>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79"/>
        <w:spacing w:after="0" w:line="269" w:lineRule="auto"/>
        <w:rPr>
          <w:sz w:val="20"/>
          <w:szCs w:val="20"/>
          <w:color w:val="auto"/>
        </w:rPr>
      </w:pPr>
      <w:r>
        <w:rPr>
          <w:rFonts w:ascii="Arial" w:cs="Arial" w:eastAsia="Arial" w:hAnsi="Arial"/>
          <w:sz w:val="16"/>
          <w:szCs w:val="16"/>
          <w:color w:val="auto"/>
        </w:rPr>
        <w:t xml:space="preserve">OE-CXC)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The court recently certified two classes of plaintiffs - one class encompasses restaurant employees who were not provided proper rest breaks because they were not allowed to leave the premises during their breaks and the other class encompasses restaurant employees who were required to wait at the restaurant after they finished working for the night until the manager set the alarm for safety purposes. The parties reached a settlement in principle on January 24, 2019 of all claims brought on behalf of the 32,000+ putative class members in </w:t>
      </w:r>
      <w:r>
        <w:rPr>
          <w:rFonts w:ascii="Arial" w:cs="Arial" w:eastAsia="Arial" w:hAnsi="Arial"/>
          <w:sz w:val="16"/>
          <w:szCs w:val="16"/>
          <w:u w:val="single" w:color="auto"/>
          <w:color w:val="auto"/>
        </w:rPr>
        <w:t>Olvera</w:t>
      </w:r>
      <w:r>
        <w:rPr>
          <w:rFonts w:ascii="Arial" w:cs="Arial" w:eastAsia="Arial" w:hAnsi="Arial"/>
          <w:sz w:val="16"/>
          <w:szCs w:val="16"/>
          <w:color w:val="auto"/>
        </w:rPr>
        <w:t xml:space="preserve">, as well as all claims for failure to pay overtime compensation, failure to provide meal periods and rest breaks, and failure to provide itemized wage statements brought in the class actions captioned </w:t>
      </w:r>
      <w:r>
        <w:rPr>
          <w:rFonts w:ascii="Arial" w:cs="Arial" w:eastAsia="Arial" w:hAnsi="Arial"/>
          <w:sz w:val="16"/>
          <w:szCs w:val="16"/>
          <w:u w:val="single" w:color="auto"/>
          <w:color w:val="auto"/>
        </w:rPr>
        <w:t>Martha Perez v. El Pollo Loco, Inc.</w:t>
      </w:r>
      <w:r>
        <w:rPr>
          <w:rFonts w:ascii="Arial" w:cs="Arial" w:eastAsia="Arial" w:hAnsi="Arial"/>
          <w:sz w:val="16"/>
          <w:szCs w:val="16"/>
          <w:color w:val="auto"/>
        </w:rPr>
        <w:t xml:space="preserve"> (Los Angeles Superior Court Case No. BC624001), </w:t>
      </w:r>
      <w:r>
        <w:rPr>
          <w:rFonts w:ascii="Arial" w:cs="Arial" w:eastAsia="Arial" w:hAnsi="Arial"/>
          <w:sz w:val="16"/>
          <w:szCs w:val="16"/>
          <w:u w:val="single" w:color="auto"/>
          <w:color w:val="auto"/>
        </w:rPr>
        <w:t>Maria Vega, et al.</w:t>
      </w:r>
      <w:r>
        <w:rPr>
          <w:rFonts w:ascii="Arial" w:cs="Arial" w:eastAsia="Arial" w:hAnsi="Arial"/>
          <w:sz w:val="16"/>
          <w:szCs w:val="16"/>
          <w:color w:val="auto"/>
        </w:rPr>
        <w:t xml:space="preserve"> </w:t>
      </w:r>
      <w:r>
        <w:rPr>
          <w:rFonts w:ascii="Arial" w:cs="Arial" w:eastAsia="Arial" w:hAnsi="Arial"/>
          <w:sz w:val="16"/>
          <w:szCs w:val="16"/>
          <w:u w:val="single" w:color="auto"/>
          <w:color w:val="auto"/>
        </w:rPr>
        <w:t>v. El Pollo Loco, Inc.</w:t>
      </w:r>
      <w:r>
        <w:rPr>
          <w:rFonts w:ascii="Arial" w:cs="Arial" w:eastAsia="Arial" w:hAnsi="Arial"/>
          <w:sz w:val="16"/>
          <w:szCs w:val="16"/>
          <w:color w:val="auto"/>
        </w:rPr>
        <w:t xml:space="preserve"> (Los Angeles Superior Court Case No. BC649719), and </w:t>
      </w:r>
      <w:r>
        <w:rPr>
          <w:rFonts w:ascii="Arial" w:cs="Arial" w:eastAsia="Arial" w:hAnsi="Arial"/>
          <w:sz w:val="16"/>
          <w:szCs w:val="16"/>
          <w:u w:val="single" w:color="auto"/>
          <w:color w:val="auto"/>
        </w:rPr>
        <w:t>Gonzalez v. El Pollo Loco, Inc.</w:t>
      </w:r>
      <w:r>
        <w:rPr>
          <w:rFonts w:ascii="Arial" w:cs="Arial" w:eastAsia="Arial" w:hAnsi="Arial"/>
          <w:sz w:val="16"/>
          <w:szCs w:val="16"/>
          <w:color w:val="auto"/>
        </w:rPr>
        <w:t xml:space="preserve"> (Los Angeles Superior Court Case No. BC712867). The settlement reached in principle in the </w:t>
      </w:r>
      <w:r>
        <w:rPr>
          <w:rFonts w:ascii="Arial" w:cs="Arial" w:eastAsia="Arial" w:hAnsi="Arial"/>
          <w:sz w:val="16"/>
          <w:szCs w:val="16"/>
          <w:u w:val="single" w:color="auto"/>
          <w:color w:val="auto"/>
        </w:rPr>
        <w:t>Olvera</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Perez</w:t>
      </w:r>
      <w:r>
        <w:rPr>
          <w:rFonts w:ascii="Arial" w:cs="Arial" w:eastAsia="Arial" w:hAnsi="Arial"/>
          <w:sz w:val="16"/>
          <w:szCs w:val="16"/>
          <w:color w:val="auto"/>
        </w:rPr>
        <w:t xml:space="preserve">, </w:t>
      </w:r>
      <w:r>
        <w:rPr>
          <w:rFonts w:ascii="Arial" w:cs="Arial" w:eastAsia="Arial" w:hAnsi="Arial"/>
          <w:sz w:val="16"/>
          <w:szCs w:val="16"/>
          <w:u w:val="single" w:color="auto"/>
          <w:color w:val="auto"/>
        </w:rPr>
        <w:t>Vega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Gonzalez</w:t>
      </w:r>
      <w:r>
        <w:rPr>
          <w:rFonts w:ascii="Arial" w:cs="Arial" w:eastAsia="Arial" w:hAnsi="Arial"/>
          <w:sz w:val="16"/>
          <w:szCs w:val="16"/>
          <w:color w:val="auto"/>
        </w:rPr>
        <w:t xml:space="preserve"> actions resolves all potential claims from April 12, 2010 through April 1, 2019 that El Pollo Loco restaurant employees may have against El Pollo Loco for failure to pay for all compensation owed, failure to pay overtime compensation, failure to provide meal periods and rest breaks and failure to provide itemized wage statements, among other wage and hour related claims. A $16.3 million accrual of an expected settlement amount related to this matter was recorded as of December 26, 2018, and the court formally approved the settlement on January 31, 2020. The settlement payment was made on February 28, 2020. Purported class actions alleging wage and hour violations are commonly filed against California employers. The Company fully expects to have to defend against similar lawsuits in the future.</w:t>
      </w:r>
    </w:p>
    <w:p>
      <w:pPr>
        <w:spacing w:after="0" w:line="173" w:lineRule="exact"/>
        <w:rPr>
          <w:sz w:val="20"/>
          <w:szCs w:val="20"/>
          <w:color w:val="auto"/>
        </w:rPr>
      </w:pPr>
    </w:p>
    <w:p>
      <w:pPr>
        <w:ind w:left="40" w:right="79"/>
        <w:spacing w:after="0" w:line="270" w:lineRule="auto"/>
        <w:rPr>
          <w:sz w:val="20"/>
          <w:szCs w:val="20"/>
          <w:color w:val="auto"/>
        </w:rPr>
      </w:pPr>
      <w:r>
        <w:rPr>
          <w:rFonts w:ascii="Arial" w:cs="Arial" w:eastAsia="Arial" w:hAnsi="Arial"/>
          <w:sz w:val="16"/>
          <w:szCs w:val="16"/>
          <w:color w:val="auto"/>
        </w:rPr>
        <w:t xml:space="preserve">On or about November 5, 2015, a purported Holdings shareholder filed a derivative complaint on behalf of Holdings in the Court of Chancery of the State of Delaware against certain Holdings officers, directors and Trimaran Pollo Partners, L.L.C., under the caption </w:t>
      </w:r>
      <w:r>
        <w:rPr>
          <w:rFonts w:ascii="Arial" w:cs="Arial" w:eastAsia="Arial" w:hAnsi="Arial"/>
          <w:sz w:val="16"/>
          <w:szCs w:val="16"/>
          <w:u w:val="single" w:color="auto"/>
          <w:color w:val="auto"/>
        </w:rPr>
        <w:t>Armen Galustyan v. Sather, et al.</w:t>
      </w:r>
      <w:r>
        <w:rPr>
          <w:rFonts w:ascii="Arial" w:cs="Arial" w:eastAsia="Arial" w:hAnsi="Arial"/>
          <w:sz w:val="16"/>
          <w:szCs w:val="16"/>
          <w:color w:val="auto"/>
        </w:rPr>
        <w:t xml:space="preserve"> (Case No. 11676-VCL). The derivative complaint alleges that these defendants breached their fiduciary duties to Holdings and were unjustly enriched when they sold shares of Holdings at artificially inflated prices due to alleged misrepresentations and omissions regarding EPL’s comparable store sales in the second quarter of 2015. The Holdings shareholder’s requested remedies include an award of compensatory damages to Holdings, as well as a court order to improve corporate governance by putting forward for stockholder vote certain resolutions for amendments to Holdings’ Bylaws or Certificate of Incorporation. The Holdings shareholder voluntarily dismissed the action on October 7, 2020. A second purported Holdings shareholder filed a derivative complaint on or about September 23, 2016, under the caption </w:t>
      </w:r>
      <w:r>
        <w:rPr>
          <w:rFonts w:ascii="Arial" w:cs="Arial" w:eastAsia="Arial" w:hAnsi="Arial"/>
          <w:sz w:val="16"/>
          <w:szCs w:val="16"/>
          <w:u w:val="single" w:color="auto"/>
          <w:color w:val="auto"/>
        </w:rPr>
        <w:t>Diep v. Sather</w:t>
      </w:r>
      <w:r>
        <w:rPr>
          <w:rFonts w:ascii="Arial" w:cs="Arial" w:eastAsia="Arial" w:hAnsi="Arial"/>
          <w:sz w:val="16"/>
          <w:szCs w:val="16"/>
          <w:color w:val="auto"/>
        </w:rPr>
        <w:t xml:space="preserve">, CA 12760-VCL in the Delaware Court of Chancery.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 is also purportedly brought on behalf of Holdings, names the same defendants and asserts substantially the same claims on substantially the same alleged facts as does </w:t>
      </w:r>
      <w:r>
        <w:rPr>
          <w:rFonts w:ascii="Arial" w:cs="Arial" w:eastAsia="Arial" w:hAnsi="Arial"/>
          <w:sz w:val="16"/>
          <w:szCs w:val="16"/>
          <w:u w:val="single" w:color="auto"/>
          <w:color w:val="auto"/>
        </w:rPr>
        <w:t>Galustyan</w:t>
      </w:r>
      <w:r>
        <w:rPr>
          <w:rFonts w:ascii="Arial" w:cs="Arial" w:eastAsia="Arial" w:hAnsi="Arial"/>
          <w:sz w:val="16"/>
          <w:szCs w:val="16"/>
          <w:color w:val="auto"/>
        </w:rPr>
        <w:t xml:space="preserve">. Defendants moved to stay or dismiss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w:t>
      </w:r>
    </w:p>
    <w:p>
      <w:pPr>
        <w:spacing w:after="0" w:line="177" w:lineRule="exact"/>
        <w:rPr>
          <w:sz w:val="20"/>
          <w:szCs w:val="20"/>
          <w:color w:val="auto"/>
        </w:rPr>
      </w:pPr>
    </w:p>
    <w:p>
      <w:pPr>
        <w:ind w:left="40" w:right="139"/>
        <w:spacing w:after="0" w:line="255" w:lineRule="auto"/>
        <w:rPr>
          <w:sz w:val="20"/>
          <w:szCs w:val="20"/>
          <w:color w:val="auto"/>
        </w:rPr>
      </w:pPr>
      <w:r>
        <w:rPr>
          <w:rFonts w:ascii="Arial" w:cs="Arial" w:eastAsia="Arial" w:hAnsi="Arial"/>
          <w:sz w:val="17"/>
          <w:szCs w:val="17"/>
          <w:color w:val="auto"/>
        </w:rPr>
        <w:t xml:space="preserve">On March 17, 2017, the Delaware court granted in part, and denied in part, the motion to stay the </w:t>
      </w:r>
      <w:r>
        <w:rPr>
          <w:rFonts w:ascii="Arial" w:cs="Arial" w:eastAsia="Arial" w:hAnsi="Arial"/>
          <w:sz w:val="17"/>
          <w:szCs w:val="17"/>
          <w:u w:val="single" w:color="auto"/>
          <w:color w:val="auto"/>
        </w:rPr>
        <w:t>Diep</w:t>
      </w:r>
      <w:r>
        <w:rPr>
          <w:rFonts w:ascii="Arial" w:cs="Arial" w:eastAsia="Arial" w:hAnsi="Arial"/>
          <w:sz w:val="17"/>
          <w:szCs w:val="17"/>
          <w:color w:val="auto"/>
        </w:rPr>
        <w:t xml:space="preserve"> action. The court denied defendants’ motion to dismiss the complaint for failure to state a claim. On January 17, 2018, the court entered an order granting the parties’ stipulation staying all proceedings in the </w:t>
      </w:r>
      <w:r>
        <w:rPr>
          <w:rFonts w:ascii="Arial" w:cs="Arial" w:eastAsia="Arial" w:hAnsi="Arial"/>
          <w:sz w:val="17"/>
          <w:szCs w:val="17"/>
          <w:u w:val="single" w:color="auto"/>
          <w:color w:val="auto"/>
        </w:rPr>
        <w:t>Diep</w:t>
      </w:r>
      <w:r>
        <w:rPr>
          <w:rFonts w:ascii="Arial" w:cs="Arial" w:eastAsia="Arial" w:hAnsi="Arial"/>
          <w:sz w:val="17"/>
          <w:szCs w:val="17"/>
          <w:color w:val="auto"/>
        </w:rPr>
        <w:t xml:space="preserve"> action for five months or until the completion of an investigation of the allegations in the action by a special litigation committee of the Holdings board of directors (the “SLC”). On February 13, 2019, after concluding its investigation, the SLC filed a motion to dismiss the Diep action. The SLC filed its investigative report under seal as an exhibit to the motion to dismiss. Following discovery related to the SLC’s motion, on September 25, 2020, the SLC filed a motion to dismiss the Diep action.</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5"/>
          <w:szCs w:val="15"/>
          <w:color w:val="auto"/>
        </w:rPr>
        <w:t>On May 21, 2021, while the SLC’s motion to dismiss the Diep action was pending, the Company filed a notice of proposed partial</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settlement of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 with respect to defendants Kay Bogeajis, Laurance Roberts, Stephen J. Sather, Edward J. Valle,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Douglas K. Ammerman, and Samuel N. Borgese (collectively, the “Settling Defendants”). Defendant Trimaran Pollo Partners,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LLC (“Trimaran”) was not a party to the settlement. The court approved the settlement of $625,000, less Plaintiffs’ fees of</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5"/>
          <w:szCs w:val="15"/>
          <w:color w:val="auto"/>
        </w:rPr>
        <w:t>$156,250, on September 10, 2021, and dismissed all claims brought, or that could have been brought, against Settling Defendants.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 connection with this settlement, the Company received $469,000 in insurance proceeds, which was recorded within general and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administrative expenses in the Company’s statement of operations for the thirty-nine weeks ended September 29, 2021.</w:t>
      </w:r>
    </w:p>
    <w:p>
      <w:pPr>
        <w:spacing w:after="0" w:line="214" w:lineRule="exact"/>
        <w:rPr>
          <w:sz w:val="20"/>
          <w:szCs w:val="20"/>
          <w:color w:val="auto"/>
        </w:rPr>
      </w:pPr>
    </w:p>
    <w:p>
      <w:pPr>
        <w:ind w:left="40" w:right="119"/>
        <w:spacing w:after="0" w:line="263" w:lineRule="auto"/>
        <w:rPr>
          <w:sz w:val="20"/>
          <w:szCs w:val="20"/>
          <w:color w:val="auto"/>
        </w:rPr>
      </w:pPr>
      <w:r>
        <w:rPr>
          <w:rFonts w:ascii="Arial" w:cs="Arial" w:eastAsia="Arial" w:hAnsi="Arial"/>
          <w:sz w:val="17"/>
          <w:szCs w:val="17"/>
          <w:color w:val="auto"/>
        </w:rPr>
        <w:t>On July 30, 2021, the court granted the SLC’s motion to dismiss with respect to the claims asserted against remaining defendant Trimaran. On October 4, 2021, Plaintiffs filed a notice of appeal of the court’s granting of the motion to dismiss against defendant Trimaran.</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20" w:name="page21"/>
    <w:bookmarkEnd w:id="20"/>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59"/>
        <w:spacing w:after="0" w:line="287" w:lineRule="auto"/>
        <w:rPr>
          <w:sz w:val="20"/>
          <w:szCs w:val="20"/>
          <w:color w:val="auto"/>
        </w:rPr>
      </w:pPr>
      <w:r>
        <w:rPr>
          <w:rFonts w:ascii="Arial" w:cs="Arial" w:eastAsia="Arial" w:hAnsi="Arial"/>
          <w:sz w:val="15"/>
          <w:szCs w:val="15"/>
          <w:u w:val="single" w:color="auto"/>
          <w:color w:val="auto"/>
        </w:rPr>
        <w:t>Janice P. Handlers-Bryman and Michael D. Bryman v. El Pollo Loco, Inc.</w:t>
      </w:r>
      <w:r>
        <w:rPr>
          <w:rFonts w:ascii="Arial" w:cs="Arial" w:eastAsia="Arial" w:hAnsi="Arial"/>
          <w:sz w:val="15"/>
          <w:szCs w:val="15"/>
          <w:color w:val="auto"/>
        </w:rPr>
        <w:t>, Los Angeles Superior Court (Case No. MC026045) (the “Lancaster Lawsuit”) was filed on February 9, 2016. Existing El Pollo Loco franchisees, Janice P. Handlers-Bryman and Michael D. Bryman, as individuals and in their capacities as trustees of the Handlers Bryman Trust (collectively, “Plaintiffs”), filed suit against us alleging, among other things, that we “imposed unreasonable time limitations” on their development of additional restaurant locations in Lancaster, California, and that we thereafter developed company-operated El Pollo Loco restaurants in the “market area” of Plaintiffs’ existing El Pollo Loco restaurant in Lancaster. Plaintiffs asserted claims against us for, among other things, (i) breach of the implied covenant of good faith and fair dealing, (ii) intentional interference with prospective business, and (iii) unfair business practices. In addition to an unspecified amount of damages and costs of the lawsuit, Plaintiffs sought reformation of the contract, declaratory relief, disgorgement of alleged revenues and profits, injunctive relief, and a judicial mandate requiring us to either transfer the company-operated locations to Plaintiffs or to continuously disgorge to Plaintiffs the unjust enrichment allegedly obtained by us through the operation of the company-operated restaurants in Lancaster. We denied Plaintiffs’ allegations as the franchise agreement did not grant Plaintiffs any exclusive territorial rights and, instead, expressly reserved for us the right to open and operate - and the right to grant others the right to open and operate - El Pollo Loco restaurants “in the immediate vicinity of or adjacent to” Plaintiffs’ restaurant in Lancaster. On April 24, 2017, four days before the commencement of trial, Plaintiffs filed a voluntary dismissal, without prejudice, of the Lancaster Lawsuit without any payment or other concession by us. The corresponding dismissal was entered by the court on April 25, 2017. On May 22, 2017, Plaintiffs filed a motion for relief from the dismissal which was granted by the court on June 29, 2017. The trial in the case was bifurcated between the liability and damages phases. The liability phase commenced on November 16, 2017. The only cause of action that the court allowed to go to the jury was the cause of action for breach of the covenant of good faith and fair dealing. The court elected not to present the cause of action for intentional interference with prospective business to the jury. (The causes of action for reformation due to mistake and unconscionability, unfair business practices under California Business &amp; Professions Code §17200 et seq., and declaratory relief were not presented to the jury as these types of equitable claims are to be decided by the court as a matter of law.) On December 11, 2017, the jury returned a verdict in favor of Plaintiffs finding that the Company breached the implied covenant of good faith and fair dealing by (1) constructing the two new company-operated El Pollo Loco restaurants in Lancaster, and (2) not offering the two new company-operated El Pollo Loco restaurants in Lancaster to Plaintiffs. Because the trial was bifurcated, the December 11, 2017 verdict did not include a determination of damages.</w:t>
      </w:r>
    </w:p>
    <w:p>
      <w:pPr>
        <w:spacing w:after="0" w:line="369" w:lineRule="exact"/>
        <w:rPr>
          <w:sz w:val="20"/>
          <w:szCs w:val="20"/>
          <w:color w:val="auto"/>
        </w:rPr>
      </w:pPr>
    </w:p>
    <w:p>
      <w:pPr>
        <w:ind w:left="40" w:right="79"/>
        <w:spacing w:after="0" w:line="289" w:lineRule="auto"/>
        <w:rPr>
          <w:sz w:val="20"/>
          <w:szCs w:val="20"/>
          <w:color w:val="auto"/>
        </w:rPr>
      </w:pPr>
      <w:r>
        <w:rPr>
          <w:rFonts w:ascii="Arial" w:cs="Arial" w:eastAsia="Arial" w:hAnsi="Arial"/>
          <w:sz w:val="15"/>
          <w:szCs w:val="15"/>
          <w:color w:val="auto"/>
        </w:rPr>
        <w:t>The damages phase of the trial commenced on April 20, 2018. On May 1, 2018, the jury returned a verdict on damages in favor of Plaintiffs in the following amounts: (1) $4,356,600 in “impact damages” arising out of our construction of the two new company-owned El Pollo Loco restaurants in Lancaster, and (2) $4,481,206 in “lost opportunity damages” arising out of our failure to offer the two new company-operated El Pollo Loco restaurants in Lancaster to Plaintiffs. On August 1, 2018, the court issued a final judgment and decision on the unfair business practices claim under California Business &amp; Professions Code § 17200 et seq. As part of the final judgment, the court found El Pollo Loco liable and issued injunctive relief requiring El Pollo Loco to revise its franchise disclosure document and franchise agreement. The court also awarded Plaintiffs restitution of $4,356,600 for “impact damages” arising out of the Company’s construction of the two new company-operated El Pollo Loco restaurants in Lancaster. The court, reversing its previous position, held that these damages could be awarded in addition to the “lost opportunity damages” awarded by the jury. Thus, the court entered a total monetary judgment of $8,837,806. There was no ruling on the causes of action for reformation due to mistake and declaratory relief, and on January 27, 2020, the court entered an amended judgment dismissing these claims. The trial court subsequently awarded the Plaintiffs $249,728 in costs and $1,391,703 in attorney fees. Post judgment interest is running at 10% simple interest per year on the total amount of the monetary judgment, costs, and attorney fees.</w:t>
      </w:r>
    </w:p>
    <w:p>
      <w:pPr>
        <w:spacing w:after="0" w:line="165" w:lineRule="exact"/>
        <w:rPr>
          <w:sz w:val="20"/>
          <w:szCs w:val="20"/>
          <w:color w:val="auto"/>
        </w:rPr>
      </w:pPr>
    </w:p>
    <w:p>
      <w:pPr>
        <w:ind w:left="40" w:right="139"/>
        <w:spacing w:after="0" w:line="263" w:lineRule="auto"/>
        <w:rPr>
          <w:sz w:val="20"/>
          <w:szCs w:val="20"/>
          <w:color w:val="auto"/>
        </w:rPr>
      </w:pPr>
      <w:r>
        <w:rPr>
          <w:rFonts w:ascii="Arial" w:cs="Arial" w:eastAsia="Arial" w:hAnsi="Arial"/>
          <w:sz w:val="17"/>
          <w:szCs w:val="17"/>
          <w:color w:val="auto"/>
        </w:rPr>
        <w:t>On August 27, 2018, the Company filed a notice of appeal as to the entire judgment. As required by California law, on or about August 16, 2018, the Company obtained an appeal bond through a Surety company to secure the trial court’s judgment during the pendency of the appeal.</w:t>
      </w:r>
    </w:p>
    <w:p>
      <w:pPr>
        <w:spacing w:after="0" w:line="176" w:lineRule="exact"/>
        <w:rPr>
          <w:sz w:val="20"/>
          <w:szCs w:val="20"/>
          <w:color w:val="auto"/>
        </w:rPr>
      </w:pPr>
    </w:p>
    <w:p>
      <w:pPr>
        <w:ind w:left="40" w:right="79"/>
        <w:spacing w:after="0" w:line="257" w:lineRule="auto"/>
        <w:rPr>
          <w:sz w:val="20"/>
          <w:szCs w:val="20"/>
          <w:color w:val="auto"/>
        </w:rPr>
      </w:pPr>
      <w:r>
        <w:rPr>
          <w:rFonts w:ascii="Arial" w:cs="Arial" w:eastAsia="Arial" w:hAnsi="Arial"/>
          <w:sz w:val="17"/>
          <w:szCs w:val="17"/>
          <w:color w:val="auto"/>
        </w:rPr>
        <w:t>On March 19, 2020, the Surety, One Beacon, from whom the Company procured the appeal bond to secure the judgment against the Company in the matter of Janice P. Handlers-Bryman and Michael D. Bryman v. El Pollo Loco, Inc., issued a collateral demand to the Company. On April 17, 2020, the Company provided to One Beacon a Letter of Credit in the amount of $2,651,342 to satisfy the Surety’s collateral demand. On July 13, 2020, One Beacon agreed to release its collateral demand and returned the Letter of Credit to the Company.</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21" w:name="page22"/>
    <w:bookmarkEnd w:id="21"/>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59"/>
        <w:spacing w:after="0" w:line="294" w:lineRule="auto"/>
        <w:rPr>
          <w:sz w:val="20"/>
          <w:szCs w:val="20"/>
          <w:color w:val="auto"/>
        </w:rPr>
      </w:pPr>
      <w:r>
        <w:rPr>
          <w:rFonts w:ascii="Arial" w:cs="Arial" w:eastAsia="Arial" w:hAnsi="Arial"/>
          <w:sz w:val="15"/>
          <w:szCs w:val="15"/>
          <w:color w:val="auto"/>
        </w:rPr>
        <w:t>During fiscal 2020, the Company reached an agreement with the Plaintiffs to resolve the lawsuit for a payment by the Company of $2.5 million, which was recorded within operating expenses in the Company’s statement of operations for the fiscal year ended December 30, 2020. Additionally, during fiscal 2020, the matter was formally resolved. On September 2, 2020, the California Court of Appeals entered an order, following a motion for stipulated reversal of the trial court’s judgment jointly filed by the parties, reversing the trial court’s judgment in the case and instructing the trial court to dismiss the matter with prejudice. On September 10, 2020, the trial court entered an order reversing its judgment and dismissing the case with prejudice. The settlement payment of $2.5 million has been made in the third quarter of 2020 and the appeal bond has been released.</w:t>
      </w:r>
    </w:p>
    <w:p>
      <w:pPr>
        <w:spacing w:after="0" w:line="158" w:lineRule="exact"/>
        <w:rPr>
          <w:sz w:val="20"/>
          <w:szCs w:val="20"/>
          <w:color w:val="auto"/>
        </w:rPr>
      </w:pPr>
    </w:p>
    <w:p>
      <w:pPr>
        <w:ind w:left="40" w:right="179"/>
        <w:spacing w:after="0" w:line="299" w:lineRule="auto"/>
        <w:rPr>
          <w:sz w:val="20"/>
          <w:szCs w:val="20"/>
          <w:color w:val="auto"/>
        </w:rPr>
      </w:pPr>
      <w:r>
        <w:rPr>
          <w:rFonts w:ascii="Arial" w:cs="Arial" w:eastAsia="Arial" w:hAnsi="Arial"/>
          <w:sz w:val="15"/>
          <w:szCs w:val="15"/>
          <w:color w:val="auto"/>
        </w:rPr>
        <w:t>The Company is also involved in various other claims such as wage and hour and other legal actions that arise in the ordinary course of business. The outcomes of these actions are not predictable but the Company does not believe that the ultimate resolution of these other actions will have a material adverse effect on its financial position, results of operations, liquidity, or capital resources. A significant increase in the number of claims, or an increase in amounts owing under successful claims, could materially and adversely affect its business, consolidated financial condition, results of operations, and cash flows.</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Purchasing Commitments</w:t>
      </w:r>
    </w:p>
    <w:p>
      <w:pPr>
        <w:spacing w:after="0" w:line="218" w:lineRule="exact"/>
        <w:rPr>
          <w:sz w:val="20"/>
          <w:szCs w:val="20"/>
          <w:color w:val="auto"/>
        </w:rPr>
      </w:pPr>
    </w:p>
    <w:p>
      <w:pPr>
        <w:ind w:left="40" w:right="399"/>
        <w:spacing w:after="0" w:line="304" w:lineRule="auto"/>
        <w:rPr>
          <w:sz w:val="20"/>
          <w:szCs w:val="20"/>
          <w:color w:val="auto"/>
        </w:rPr>
      </w:pPr>
      <w:r>
        <w:rPr>
          <w:rFonts w:ascii="Arial" w:cs="Arial" w:eastAsia="Arial" w:hAnsi="Arial"/>
          <w:sz w:val="15"/>
          <w:szCs w:val="15"/>
          <w:color w:val="auto"/>
        </w:rPr>
        <w:t>The Company has long-term beverage supply agreements with certain major beverage vendors. Pursuant to the terms of these arrangements,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through the end of 2024.</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7"/>
          <w:szCs w:val="17"/>
          <w:color w:val="auto"/>
        </w:rPr>
        <w:t>At September 29, 2021, the Company’s total estimated commitment to purchase chicken was $11.0 million.</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Contingent Lease Obligations</w:t>
      </w:r>
    </w:p>
    <w:p>
      <w:pPr>
        <w:spacing w:after="0" w:line="218" w:lineRule="exact"/>
        <w:rPr>
          <w:sz w:val="20"/>
          <w:szCs w:val="20"/>
          <w:color w:val="auto"/>
        </w:rPr>
      </w:pPr>
    </w:p>
    <w:p>
      <w:pPr>
        <w:ind w:left="40" w:right="59"/>
        <w:spacing w:after="0" w:line="271" w:lineRule="auto"/>
        <w:rPr>
          <w:sz w:val="20"/>
          <w:szCs w:val="20"/>
          <w:color w:val="auto"/>
        </w:rPr>
      </w:pPr>
      <w:r>
        <w:rPr>
          <w:rFonts w:ascii="Arial" w:cs="Arial" w:eastAsia="Arial" w:hAnsi="Arial"/>
          <w:sz w:val="16"/>
          <w:szCs w:val="16"/>
          <w:color w:val="auto"/>
        </w:rPr>
        <w:t>As a result of assigning the Company’s interest in obligations under real estate leases in connection with the sale of company-operated restaurants to some of the Company’s franchisees, the Company is contingently liable on four lease agreements. These leases have various terms, the latest of which expires in 2036. As of September 29, 2021, the potential amount of undiscounted payments the Company could be required to make in the event of non-payment by the primary lessee was $2.6 million. The present value of these potential payments discounted at the Company’s estimated pre-tax cost of debt at September 29, 2021 was $2.4 million. The Company’s franchisees are primarily liable on the leases. The Company has cross-default provisions with these franchisees that would put them in default of their franchise agreements in the event of non-payment under the leases. The Company believes that these cross-default provisions reduce the risk that payments will be required to be made under these leases. Due to the current uncertainty related to the COVID-19 pandemic and the impact it has had on the ability of the Company’s franchisees to make their lease payments, the Company recorded a $0.1 million liability in the Company’s condensed consolidated financial statements related to these contingent liabilities.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Employment Agreements</w:t>
      </w:r>
    </w:p>
    <w:p>
      <w:pPr>
        <w:spacing w:after="0" w:line="218" w:lineRule="exact"/>
        <w:rPr>
          <w:sz w:val="20"/>
          <w:szCs w:val="20"/>
          <w:color w:val="auto"/>
        </w:rPr>
      </w:pPr>
    </w:p>
    <w:p>
      <w:pPr>
        <w:ind w:left="40" w:right="99"/>
        <w:spacing w:after="0" w:line="263" w:lineRule="auto"/>
        <w:rPr>
          <w:sz w:val="20"/>
          <w:szCs w:val="20"/>
          <w:color w:val="auto"/>
        </w:rPr>
      </w:pPr>
      <w:r>
        <w:rPr>
          <w:rFonts w:ascii="Arial" w:cs="Arial" w:eastAsia="Arial" w:hAnsi="Arial"/>
          <w:sz w:val="17"/>
          <w:szCs w:val="17"/>
          <w:color w:val="auto"/>
        </w:rPr>
        <w:t>As of September 29, 2021, the Company had employment agreements with three of the officers of the Company. These agreements provide for minimum salary levels, possible annual adjustments for cost-of-living changes, and incentive bonuses that are payable under certain business conditions.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Indemnification Agreements</w:t>
      </w:r>
    </w:p>
    <w:p>
      <w:pPr>
        <w:spacing w:after="0" w:line="218" w:lineRule="exact"/>
        <w:rPr>
          <w:sz w:val="20"/>
          <w:szCs w:val="20"/>
          <w:color w:val="auto"/>
        </w:rPr>
      </w:pPr>
    </w:p>
    <w:p>
      <w:pPr>
        <w:ind w:left="40" w:right="119"/>
        <w:spacing w:after="0" w:line="257" w:lineRule="auto"/>
        <w:rPr>
          <w:sz w:val="20"/>
          <w:szCs w:val="20"/>
          <w:color w:val="auto"/>
        </w:rPr>
      </w:pPr>
      <w:r>
        <w:rPr>
          <w:rFonts w:ascii="Arial" w:cs="Arial" w:eastAsia="Arial" w:hAnsi="Arial"/>
          <w:sz w:val="17"/>
          <w:szCs w:val="17"/>
          <w:color w:val="auto"/>
        </w:rPr>
        <w:t>The Company has entered into indemnification agreements with each of its current directors and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officers.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22" w:name="page23"/>
    <w:bookmarkEnd w:id="22"/>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8. EARNINGS PER SHARE</w:t>
      </w:r>
    </w:p>
    <w:p>
      <w:pPr>
        <w:spacing w:after="0" w:line="218" w:lineRule="exact"/>
        <w:rPr>
          <w:sz w:val="20"/>
          <w:szCs w:val="20"/>
          <w:color w:val="auto"/>
        </w:rPr>
      </w:pPr>
    </w:p>
    <w:p>
      <w:pPr>
        <w:ind w:left="40" w:right="200"/>
        <w:spacing w:after="0" w:line="259" w:lineRule="auto"/>
        <w:rPr>
          <w:sz w:val="20"/>
          <w:szCs w:val="20"/>
          <w:color w:val="auto"/>
        </w:rPr>
      </w:pPr>
      <w:r>
        <w:rPr>
          <w:rFonts w:ascii="Arial" w:cs="Arial" w:eastAsia="Arial" w:hAnsi="Arial"/>
          <w:sz w:val="17"/>
          <w:szCs w:val="17"/>
          <w:color w:val="auto"/>
        </w:rPr>
        <w:t>Basic earnings per share (“EPS”) is calculated using the weighted-average number of shares of common stock outstanding during the thirteen and thirty-nine weeks ended September 29, 2021 and September 23, 2020. Diluted EPS is calculated using the weighted-average number of shares of common stock outstanding and potentially dilutive during the period, using the treasury stock method.</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7"/>
          <w:szCs w:val="17"/>
          <w:color w:val="auto"/>
        </w:rPr>
        <w:t>Below are basic and diluted EPS data for the periods indicated (in thousands except for share and per share data):</w:t>
      </w: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4"/>
          </w:tcPr>
          <w:p>
            <w:pPr>
              <w:jc w:val="right"/>
              <w:ind w:right="535"/>
              <w:spacing w:after="0"/>
              <w:rPr>
                <w:sz w:val="20"/>
                <w:szCs w:val="20"/>
                <w:color w:val="auto"/>
              </w:rPr>
            </w:pPr>
            <w:r>
              <w:rPr>
                <w:rFonts w:ascii="Arial" w:cs="Arial" w:eastAsia="Arial" w:hAnsi="Arial"/>
                <w:sz w:val="14"/>
                <w:szCs w:val="14"/>
                <w:b w:val="1"/>
                <w:bCs w:val="1"/>
                <w:color w:val="auto"/>
              </w:rPr>
              <w:t>Thirteen Weeks Ended</w:t>
            </w:r>
          </w:p>
        </w:tc>
        <w:tc>
          <w:tcPr>
            <w:tcW w:w="260" w:type="dxa"/>
            <w:vAlign w:val="bottom"/>
          </w:tcPr>
          <w:p>
            <w:pPr>
              <w:spacing w:after="0"/>
              <w:rPr>
                <w:sz w:val="14"/>
                <w:szCs w:val="14"/>
                <w:color w:val="auto"/>
              </w:rPr>
            </w:pPr>
          </w:p>
        </w:tc>
        <w:tc>
          <w:tcPr>
            <w:tcW w:w="2500" w:type="dxa"/>
            <w:vAlign w:val="bottom"/>
            <w:gridSpan w:val="5"/>
          </w:tcPr>
          <w:p>
            <w:pPr>
              <w:ind w:left="300"/>
              <w:spacing w:after="0"/>
              <w:rPr>
                <w:sz w:val="20"/>
                <w:szCs w:val="20"/>
                <w:color w:val="auto"/>
              </w:rPr>
            </w:pPr>
            <w:r>
              <w:rPr>
                <w:rFonts w:ascii="Arial" w:cs="Arial" w:eastAsia="Arial" w:hAnsi="Arial"/>
                <w:sz w:val="14"/>
                <w:szCs w:val="14"/>
                <w:b w:val="1"/>
                <w:bCs w:val="1"/>
                <w:color w:val="auto"/>
              </w:rPr>
              <w:t>Thirty-Nine Weeks Ended</w:t>
            </w:r>
          </w:p>
        </w:tc>
      </w:tr>
      <w:tr>
        <w:trPr>
          <w:trHeight w:val="133"/>
        </w:trPr>
        <w:tc>
          <w:tcPr>
            <w:tcW w:w="350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240" w:type="dxa"/>
            <w:vAlign w:val="bottom"/>
            <w:tcBorders>
              <w:top w:val="single" w:sz="8" w:color="auto"/>
              <w:bottom w:val="single" w:sz="8" w:color="auto"/>
            </w:tcBorders>
            <w:gridSpan w:val="2"/>
          </w:tcPr>
          <w:p>
            <w:pPr>
              <w:jc w:val="right"/>
              <w:spacing w:after="0" w:line="134" w:lineRule="exact"/>
              <w:rPr>
                <w:sz w:val="20"/>
                <w:szCs w:val="20"/>
                <w:color w:val="auto"/>
              </w:rPr>
            </w:pPr>
            <w:r>
              <w:rPr>
                <w:rFonts w:ascii="Arial" w:cs="Arial" w:eastAsia="Arial" w:hAnsi="Arial"/>
                <w:sz w:val="14"/>
                <w:szCs w:val="14"/>
                <w:b w:val="1"/>
                <w:bCs w:val="1"/>
                <w:color w:val="auto"/>
                <w:w w:val="88"/>
              </w:rPr>
              <w:t>September 29, 2021</w:t>
            </w:r>
          </w:p>
        </w:tc>
        <w:tc>
          <w:tcPr>
            <w:tcW w:w="140" w:type="dxa"/>
            <w:vAlign w:val="bottom"/>
            <w:tcBorders>
              <w:top w:val="single" w:sz="8" w:color="auto"/>
              <w:bottom w:val="single" w:sz="8" w:color="CCEEFF"/>
            </w:tcBorders>
          </w:tcPr>
          <w:p>
            <w:pPr>
              <w:spacing w:after="0"/>
              <w:rPr>
                <w:sz w:val="11"/>
                <w:szCs w:val="11"/>
                <w:color w:val="auto"/>
              </w:rPr>
            </w:pPr>
          </w:p>
        </w:tc>
        <w:tc>
          <w:tcPr>
            <w:tcW w:w="1200" w:type="dxa"/>
            <w:vAlign w:val="bottom"/>
            <w:tcBorders>
              <w:top w:val="single" w:sz="8" w:color="auto"/>
              <w:bottom w:val="single" w:sz="8" w:color="auto"/>
            </w:tcBorders>
            <w:gridSpan w:val="2"/>
          </w:tcPr>
          <w:p>
            <w:pPr>
              <w:jc w:val="right"/>
              <w:spacing w:after="0" w:line="134" w:lineRule="exact"/>
              <w:rPr>
                <w:sz w:val="20"/>
                <w:szCs w:val="20"/>
                <w:color w:val="auto"/>
              </w:rPr>
            </w:pPr>
            <w:r>
              <w:rPr>
                <w:rFonts w:ascii="Arial" w:cs="Arial" w:eastAsia="Arial" w:hAnsi="Arial"/>
                <w:sz w:val="14"/>
                <w:szCs w:val="14"/>
                <w:b w:val="1"/>
                <w:bCs w:val="1"/>
                <w:color w:val="auto"/>
                <w:w w:val="88"/>
              </w:rPr>
              <w:t>September 23, 2020</w:t>
            </w:r>
          </w:p>
        </w:tc>
        <w:tc>
          <w:tcPr>
            <w:tcW w:w="1240" w:type="dxa"/>
            <w:vAlign w:val="bottom"/>
            <w:tcBorders>
              <w:top w:val="single" w:sz="8" w:color="auto"/>
              <w:bottom w:val="single" w:sz="8" w:color="auto"/>
            </w:tcBorders>
            <w:gridSpan w:val="2"/>
          </w:tcPr>
          <w:p>
            <w:pPr>
              <w:jc w:val="right"/>
              <w:spacing w:after="0" w:line="134" w:lineRule="exact"/>
              <w:rPr>
                <w:sz w:val="20"/>
                <w:szCs w:val="20"/>
                <w:color w:val="auto"/>
              </w:rPr>
            </w:pPr>
            <w:r>
              <w:rPr>
                <w:rFonts w:ascii="Arial" w:cs="Arial" w:eastAsia="Arial" w:hAnsi="Arial"/>
                <w:sz w:val="14"/>
                <w:szCs w:val="14"/>
                <w:b w:val="1"/>
                <w:bCs w:val="1"/>
                <w:color w:val="auto"/>
                <w:w w:val="90"/>
              </w:rPr>
              <w:t>September 29, 2021</w:t>
            </w:r>
          </w:p>
        </w:tc>
        <w:tc>
          <w:tcPr>
            <w:tcW w:w="140" w:type="dxa"/>
            <w:vAlign w:val="bottom"/>
            <w:tcBorders>
              <w:top w:val="single" w:sz="8" w:color="auto"/>
              <w:bottom w:val="single" w:sz="8" w:color="CCEEFF"/>
            </w:tcBorders>
          </w:tcPr>
          <w:p>
            <w:pPr>
              <w:spacing w:after="0"/>
              <w:rPr>
                <w:sz w:val="11"/>
                <w:szCs w:val="11"/>
                <w:color w:val="auto"/>
              </w:rPr>
            </w:pPr>
          </w:p>
        </w:tc>
        <w:tc>
          <w:tcPr>
            <w:tcW w:w="1240" w:type="dxa"/>
            <w:vAlign w:val="bottom"/>
            <w:tcBorders>
              <w:top w:val="single" w:sz="8" w:color="auto"/>
              <w:bottom w:val="single" w:sz="8" w:color="auto"/>
            </w:tcBorders>
            <w:gridSpan w:val="2"/>
          </w:tcPr>
          <w:p>
            <w:pPr>
              <w:jc w:val="right"/>
              <w:spacing w:after="0" w:line="134" w:lineRule="exact"/>
              <w:rPr>
                <w:sz w:val="20"/>
                <w:szCs w:val="20"/>
                <w:color w:val="auto"/>
              </w:rPr>
            </w:pPr>
            <w:r>
              <w:rPr>
                <w:rFonts w:ascii="Arial" w:cs="Arial" w:eastAsia="Arial" w:hAnsi="Arial"/>
                <w:sz w:val="14"/>
                <w:szCs w:val="14"/>
                <w:b w:val="1"/>
                <w:bCs w:val="1"/>
                <w:color w:val="auto"/>
                <w:w w:val="90"/>
              </w:rPr>
              <w:t>September 23, 2020</w:t>
            </w:r>
          </w:p>
        </w:tc>
        <w:tc>
          <w:tcPr>
            <w:tcW w:w="140" w:type="dxa"/>
            <w:vAlign w:val="bottom"/>
            <w:tcBorders>
              <w:bottom w:val="single" w:sz="8" w:color="CCEEFF"/>
            </w:tcBorders>
          </w:tcPr>
          <w:p>
            <w:pPr>
              <w:spacing w:after="0"/>
              <w:rPr>
                <w:sz w:val="11"/>
                <w:szCs w:val="11"/>
                <w:color w:val="auto"/>
              </w:rPr>
            </w:pPr>
          </w:p>
        </w:tc>
      </w:tr>
      <w:tr>
        <w:trPr>
          <w:trHeight w:val="197"/>
        </w:trPr>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Numerator:</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5"/>
        </w:trPr>
        <w:tc>
          <w:tcPr>
            <w:tcW w:w="3500" w:type="dxa"/>
            <w:vAlign w:val="bottom"/>
          </w:tcPr>
          <w:p>
            <w:pPr>
              <w:spacing w:after="0"/>
              <w:rPr>
                <w:sz w:val="20"/>
                <w:szCs w:val="20"/>
                <w:color w:val="auto"/>
              </w:rPr>
            </w:pPr>
            <w:r>
              <w:rPr>
                <w:rFonts w:ascii="Arial" w:cs="Arial" w:eastAsia="Arial" w:hAnsi="Arial"/>
                <w:sz w:val="17"/>
                <w:szCs w:val="17"/>
                <w:color w:val="auto"/>
              </w:rPr>
              <w:t>Net income</w:t>
            </w:r>
          </w:p>
        </w:tc>
        <w:tc>
          <w:tcPr>
            <w:tcW w:w="460" w:type="dxa"/>
            <w:vAlign w:val="bottom"/>
            <w:gridSpan w:val="2"/>
          </w:tcPr>
          <w:p>
            <w:pPr>
              <w:jc w:val="right"/>
              <w:ind w:right="109"/>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10,161</w:t>
            </w:r>
          </w:p>
        </w:tc>
        <w:tc>
          <w:tcPr>
            <w:tcW w:w="380" w:type="dxa"/>
            <w:vAlign w:val="bottom"/>
            <w:gridSpan w:val="2"/>
          </w:tcPr>
          <w:p>
            <w:pPr>
              <w:jc w:val="right"/>
              <w:ind w:right="89"/>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9,920</w:t>
            </w:r>
          </w:p>
        </w:tc>
        <w:tc>
          <w:tcPr>
            <w:tcW w:w="260" w:type="dxa"/>
            <w:vAlign w:val="bottom"/>
          </w:tcPr>
          <w:p>
            <w:pPr>
              <w:jc w:val="right"/>
              <w:ind w:right="79"/>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22,943</w:t>
            </w:r>
          </w:p>
        </w:tc>
        <w:tc>
          <w:tcPr>
            <w:tcW w:w="400" w:type="dxa"/>
            <w:vAlign w:val="bottom"/>
            <w:gridSpan w:val="2"/>
          </w:tcPr>
          <w:p>
            <w:pPr>
              <w:jc w:val="right"/>
              <w:ind w:right="83"/>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19,019</w:t>
            </w:r>
          </w:p>
        </w:tc>
        <w:tc>
          <w:tcPr>
            <w:tcW w:w="140" w:type="dxa"/>
            <w:vAlign w:val="bottom"/>
          </w:tcPr>
          <w:p>
            <w:pPr>
              <w:spacing w:after="0"/>
              <w:rPr>
                <w:sz w:val="17"/>
                <w:szCs w:val="17"/>
                <w:color w:val="auto"/>
              </w:rPr>
            </w:pPr>
          </w:p>
        </w:tc>
      </w:tr>
      <w:tr>
        <w:trPr>
          <w:trHeight w:val="197"/>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Denominator:</w:t>
            </w: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05"/>
        </w:trPr>
        <w:tc>
          <w:tcPr>
            <w:tcW w:w="3500" w:type="dxa"/>
            <w:vAlign w:val="bottom"/>
          </w:tcPr>
          <w:p>
            <w:pPr>
              <w:spacing w:after="0"/>
              <w:rPr>
                <w:sz w:val="20"/>
                <w:szCs w:val="20"/>
                <w:color w:val="auto"/>
              </w:rPr>
            </w:pPr>
            <w:r>
              <w:rPr>
                <w:rFonts w:ascii="Arial" w:cs="Arial" w:eastAsia="Arial" w:hAnsi="Arial"/>
                <w:sz w:val="17"/>
                <w:szCs w:val="17"/>
                <w:color w:val="auto"/>
              </w:rPr>
              <w:t>Weighted-average shares outstanding—basic</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36,067,754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35,471,452</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35,930,246</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34,989,007</w:t>
            </w:r>
          </w:p>
        </w:tc>
        <w:tc>
          <w:tcPr>
            <w:tcW w:w="140" w:type="dxa"/>
            <w:vAlign w:val="bottom"/>
          </w:tcPr>
          <w:p>
            <w:pPr>
              <w:spacing w:after="0"/>
              <w:rPr>
                <w:sz w:val="17"/>
                <w:szCs w:val="17"/>
                <w:color w:val="auto"/>
              </w:rPr>
            </w:pPr>
          </w:p>
        </w:tc>
      </w:tr>
      <w:tr>
        <w:trPr>
          <w:trHeight w:val="205"/>
        </w:trPr>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w w:val="98"/>
              </w:rPr>
              <w:t>Weighted-average shares outstanding—diluted</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36,525,424</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36,064,559</w:t>
            </w: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36,457,110</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35,609,320</w:t>
            </w:r>
          </w:p>
        </w:tc>
        <w:tc>
          <w:tcPr>
            <w:tcW w:w="140" w:type="dxa"/>
            <w:vAlign w:val="bottom"/>
            <w:shd w:val="clear" w:color="auto" w:fill="CCEEFF"/>
          </w:tcPr>
          <w:p>
            <w:pPr>
              <w:spacing w:after="0"/>
              <w:rPr>
                <w:sz w:val="17"/>
                <w:szCs w:val="17"/>
                <w:color w:val="auto"/>
              </w:rPr>
            </w:pPr>
          </w:p>
        </w:tc>
      </w:tr>
      <w:tr>
        <w:trPr>
          <w:trHeight w:val="197"/>
        </w:trPr>
        <w:tc>
          <w:tcPr>
            <w:tcW w:w="3500" w:type="dxa"/>
            <w:vAlign w:val="bottom"/>
          </w:tcPr>
          <w:p>
            <w:pPr>
              <w:spacing w:after="0"/>
              <w:rPr>
                <w:sz w:val="20"/>
                <w:szCs w:val="20"/>
                <w:color w:val="auto"/>
              </w:rPr>
            </w:pPr>
            <w:r>
              <w:rPr>
                <w:rFonts w:ascii="Arial" w:cs="Arial" w:eastAsia="Arial" w:hAnsi="Arial"/>
                <w:sz w:val="17"/>
                <w:szCs w:val="17"/>
                <w:color w:val="auto"/>
              </w:rPr>
              <w:t>Net income per share—basic</w:t>
            </w:r>
          </w:p>
        </w:tc>
        <w:tc>
          <w:tcPr>
            <w:tcW w:w="200" w:type="dxa"/>
            <w:vAlign w:val="bottom"/>
          </w:tcPr>
          <w:p>
            <w:pPr>
              <w:spacing w:after="0"/>
              <w:rPr>
                <w:sz w:val="17"/>
                <w:szCs w:val="17"/>
                <w:color w:val="auto"/>
              </w:rPr>
            </w:pPr>
          </w:p>
        </w:tc>
        <w:tc>
          <w:tcPr>
            <w:tcW w:w="260" w:type="dxa"/>
            <w:vAlign w:val="bottom"/>
          </w:tcPr>
          <w:p>
            <w:pPr>
              <w:jc w:val="right"/>
              <w:ind w:right="109"/>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0.28</w:t>
            </w:r>
          </w:p>
        </w:tc>
        <w:tc>
          <w:tcPr>
            <w:tcW w:w="140" w:type="dxa"/>
            <w:vAlign w:val="bottom"/>
          </w:tcPr>
          <w:p>
            <w:pPr>
              <w:spacing w:after="0"/>
              <w:rPr>
                <w:sz w:val="17"/>
                <w:szCs w:val="17"/>
                <w:color w:val="auto"/>
              </w:rPr>
            </w:pPr>
          </w:p>
        </w:tc>
        <w:tc>
          <w:tcPr>
            <w:tcW w:w="240" w:type="dxa"/>
            <w:vAlign w:val="bottom"/>
          </w:tcPr>
          <w:p>
            <w:pPr>
              <w:jc w:val="right"/>
              <w:ind w:right="89"/>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0.28</w:t>
            </w:r>
          </w:p>
        </w:tc>
        <w:tc>
          <w:tcPr>
            <w:tcW w:w="260" w:type="dxa"/>
            <w:vAlign w:val="bottom"/>
          </w:tcPr>
          <w:p>
            <w:pPr>
              <w:jc w:val="right"/>
              <w:ind w:right="79"/>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0.64</w:t>
            </w:r>
          </w:p>
        </w:tc>
        <w:tc>
          <w:tcPr>
            <w:tcW w:w="14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0.54</w:t>
            </w:r>
          </w:p>
        </w:tc>
        <w:tc>
          <w:tcPr>
            <w:tcW w:w="140" w:type="dxa"/>
            <w:vAlign w:val="bottom"/>
          </w:tcPr>
          <w:p>
            <w:pPr>
              <w:spacing w:after="0"/>
              <w:rPr>
                <w:sz w:val="17"/>
                <w:szCs w:val="17"/>
                <w:color w:val="auto"/>
              </w:rPr>
            </w:pPr>
          </w:p>
        </w:tc>
      </w:tr>
      <w:tr>
        <w:trPr>
          <w:trHeight w:val="205"/>
        </w:trPr>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Net income per share—diluted</w:t>
            </w:r>
          </w:p>
        </w:tc>
        <w:tc>
          <w:tcPr>
            <w:tcW w:w="460" w:type="dxa"/>
            <w:vAlign w:val="bottom"/>
            <w:gridSpan w:val="2"/>
            <w:shd w:val="clear" w:color="auto" w:fill="CCEEFF"/>
          </w:tcPr>
          <w:p>
            <w:pPr>
              <w:jc w:val="right"/>
              <w:ind w:right="109"/>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0.28</w:t>
            </w:r>
          </w:p>
        </w:tc>
        <w:tc>
          <w:tcPr>
            <w:tcW w:w="380" w:type="dxa"/>
            <w:vAlign w:val="bottom"/>
            <w:gridSpan w:val="2"/>
            <w:shd w:val="clear" w:color="auto" w:fill="CCEEFF"/>
          </w:tcPr>
          <w:p>
            <w:pPr>
              <w:jc w:val="right"/>
              <w:ind w:right="89"/>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0.28</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0.63</w:t>
            </w:r>
          </w:p>
        </w:tc>
        <w:tc>
          <w:tcPr>
            <w:tcW w:w="400" w:type="dxa"/>
            <w:vAlign w:val="bottom"/>
            <w:gridSpan w:val="2"/>
            <w:shd w:val="clear" w:color="auto" w:fill="CCEEFF"/>
          </w:tcPr>
          <w:p>
            <w:pPr>
              <w:jc w:val="right"/>
              <w:ind w:right="8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0.53</w:t>
            </w:r>
          </w:p>
        </w:tc>
        <w:tc>
          <w:tcPr>
            <w:tcW w:w="140" w:type="dxa"/>
            <w:vAlign w:val="bottom"/>
            <w:shd w:val="clear" w:color="auto" w:fill="CCEEFF"/>
          </w:tcPr>
          <w:p>
            <w:pPr>
              <w:spacing w:after="0"/>
              <w:rPr>
                <w:sz w:val="17"/>
                <w:szCs w:val="17"/>
                <w:color w:val="auto"/>
              </w:rPr>
            </w:pPr>
          </w:p>
        </w:tc>
      </w:tr>
      <w:tr>
        <w:trPr>
          <w:trHeight w:val="172"/>
        </w:trPr>
        <w:tc>
          <w:tcPr>
            <w:tcW w:w="3500" w:type="dxa"/>
            <w:vAlign w:val="bottom"/>
          </w:tcPr>
          <w:p>
            <w:pPr>
              <w:spacing w:after="0" w:line="172" w:lineRule="exact"/>
              <w:rPr>
                <w:sz w:val="20"/>
                <w:szCs w:val="20"/>
                <w:color w:val="auto"/>
              </w:rPr>
            </w:pPr>
            <w:r>
              <w:rPr>
                <w:rFonts w:ascii="Arial" w:cs="Arial" w:eastAsia="Arial" w:hAnsi="Arial"/>
                <w:sz w:val="17"/>
                <w:szCs w:val="17"/>
                <w:color w:val="auto"/>
                <w:w w:val="98"/>
              </w:rPr>
              <w:t>Anti-dilutive securities not considered in diluted</w:t>
            </w:r>
          </w:p>
        </w:tc>
        <w:tc>
          <w:tcPr>
            <w:tcW w:w="2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17"/>
        </w:trPr>
        <w:tc>
          <w:tcPr>
            <w:tcW w:w="3500" w:type="dxa"/>
            <w:vAlign w:val="bottom"/>
          </w:tcPr>
          <w:p>
            <w:pPr>
              <w:spacing w:after="0"/>
              <w:rPr>
                <w:sz w:val="20"/>
                <w:szCs w:val="20"/>
                <w:color w:val="auto"/>
              </w:rPr>
            </w:pPr>
            <w:r>
              <w:rPr>
                <w:rFonts w:ascii="Arial" w:cs="Arial" w:eastAsia="Arial" w:hAnsi="Arial"/>
                <w:sz w:val="17"/>
                <w:szCs w:val="17"/>
                <w:color w:val="auto"/>
              </w:rPr>
              <w:t>EPS calculation</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225,308</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4,071</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118,968</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129,218</w:t>
            </w:r>
          </w:p>
        </w:tc>
        <w:tc>
          <w:tcPr>
            <w:tcW w:w="140" w:type="dxa"/>
            <w:vAlign w:val="bottom"/>
          </w:tcPr>
          <w:p>
            <w:pPr>
              <w:spacing w:after="0"/>
              <w:rPr>
                <w:sz w:val="18"/>
                <w:szCs w:val="18"/>
                <w:color w:val="auto"/>
              </w:rPr>
            </w:pPr>
          </w:p>
        </w:tc>
      </w:tr>
    </w:tbl>
    <w:p>
      <w:pPr>
        <w:spacing w:after="0" w:line="192" w:lineRule="exact"/>
        <w:rPr>
          <w:sz w:val="20"/>
          <w:szCs w:val="20"/>
          <w:color w:val="auto"/>
        </w:rPr>
      </w:pPr>
    </w:p>
    <w:p>
      <w:pPr>
        <w:ind w:left="40"/>
        <w:spacing w:after="0"/>
        <w:rPr>
          <w:sz w:val="20"/>
          <w:szCs w:val="20"/>
          <w:color w:val="auto"/>
        </w:rPr>
      </w:pPr>
      <w:r>
        <w:rPr>
          <w:rFonts w:ascii="Arial" w:cs="Arial" w:eastAsia="Arial" w:hAnsi="Arial"/>
          <w:sz w:val="17"/>
          <w:szCs w:val="17"/>
          <w:color w:val="auto"/>
        </w:rPr>
        <w:t>Below is a reconciliation of basic and diluted share counts:</w:t>
      </w: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640" w:type="dxa"/>
            <w:vAlign w:val="bottom"/>
            <w:gridSpan w:val="4"/>
          </w:tcPr>
          <w:p>
            <w:pPr>
              <w:ind w:left="580"/>
              <w:spacing w:after="0"/>
              <w:rPr>
                <w:sz w:val="20"/>
                <w:szCs w:val="20"/>
                <w:color w:val="auto"/>
              </w:rPr>
            </w:pPr>
            <w:r>
              <w:rPr>
                <w:rFonts w:ascii="Arial" w:cs="Arial" w:eastAsia="Arial" w:hAnsi="Arial"/>
                <w:sz w:val="14"/>
                <w:szCs w:val="14"/>
                <w:b w:val="1"/>
                <w:bCs w:val="1"/>
                <w:color w:val="auto"/>
              </w:rPr>
              <w:t>Thirteen Weeks Ended</w:t>
            </w:r>
          </w:p>
        </w:tc>
        <w:tc>
          <w:tcPr>
            <w:tcW w:w="2680" w:type="dxa"/>
            <w:vAlign w:val="bottom"/>
            <w:gridSpan w:val="4"/>
          </w:tcPr>
          <w:p>
            <w:pPr>
              <w:ind w:left="500"/>
              <w:spacing w:after="0"/>
              <w:rPr>
                <w:sz w:val="20"/>
                <w:szCs w:val="20"/>
                <w:color w:val="auto"/>
              </w:rPr>
            </w:pPr>
            <w:r>
              <w:rPr>
                <w:rFonts w:ascii="Arial" w:cs="Arial" w:eastAsia="Arial" w:hAnsi="Arial"/>
                <w:sz w:val="14"/>
                <w:szCs w:val="14"/>
                <w:b w:val="1"/>
                <w:bCs w:val="1"/>
                <w:color w:val="auto"/>
              </w:rPr>
              <w:t>Thirty-Nine Weeks Ended</w:t>
            </w:r>
          </w:p>
        </w:tc>
      </w:tr>
      <w:tr>
        <w:trPr>
          <w:trHeight w:val="133"/>
        </w:trPr>
        <w:tc>
          <w:tcPr>
            <w:tcW w:w="3600" w:type="dxa"/>
            <w:vAlign w:val="bottom"/>
          </w:tcPr>
          <w:p>
            <w:pPr>
              <w:spacing w:after="0"/>
              <w:rPr>
                <w:sz w:val="11"/>
                <w:szCs w:val="11"/>
                <w:color w:val="auto"/>
              </w:rPr>
            </w:pPr>
          </w:p>
        </w:tc>
        <w:tc>
          <w:tcPr>
            <w:tcW w:w="1280" w:type="dxa"/>
            <w:vAlign w:val="bottom"/>
            <w:tcBorders>
              <w:top w:val="single" w:sz="8" w:color="auto"/>
            </w:tcBorders>
            <w:gridSpan w:val="2"/>
          </w:tcPr>
          <w:p>
            <w:pPr>
              <w:ind w:left="40"/>
              <w:spacing w:after="0" w:line="134" w:lineRule="exact"/>
              <w:rPr>
                <w:sz w:val="20"/>
                <w:szCs w:val="20"/>
                <w:color w:val="auto"/>
              </w:rPr>
            </w:pPr>
            <w:r>
              <w:rPr>
                <w:rFonts w:ascii="Arial" w:cs="Arial" w:eastAsia="Arial" w:hAnsi="Arial"/>
                <w:sz w:val="14"/>
                <w:szCs w:val="14"/>
                <w:b w:val="1"/>
                <w:bCs w:val="1"/>
                <w:color w:val="auto"/>
                <w:w w:val="93"/>
              </w:rPr>
              <w:t>September 29, 2021</w:t>
            </w:r>
          </w:p>
        </w:tc>
        <w:tc>
          <w:tcPr>
            <w:tcW w:w="122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4"/>
                <w:szCs w:val="14"/>
                <w:b w:val="1"/>
                <w:bCs w:val="1"/>
                <w:color w:val="auto"/>
                <w:w w:val="88"/>
              </w:rPr>
              <w:t>September 23, 2020</w:t>
            </w:r>
          </w:p>
        </w:tc>
        <w:tc>
          <w:tcPr>
            <w:tcW w:w="140" w:type="dxa"/>
            <w:vAlign w:val="bottom"/>
          </w:tcPr>
          <w:p>
            <w:pPr>
              <w:spacing w:after="0"/>
              <w:rPr>
                <w:sz w:val="11"/>
                <w:szCs w:val="11"/>
                <w:color w:val="auto"/>
              </w:rPr>
            </w:pPr>
          </w:p>
        </w:tc>
        <w:tc>
          <w:tcPr>
            <w:tcW w:w="1280" w:type="dxa"/>
            <w:vAlign w:val="bottom"/>
            <w:tcBorders>
              <w:top w:val="single" w:sz="8" w:color="auto"/>
            </w:tcBorders>
            <w:gridSpan w:val="2"/>
          </w:tcPr>
          <w:p>
            <w:pPr>
              <w:ind w:left="60"/>
              <w:spacing w:after="0" w:line="134" w:lineRule="exact"/>
              <w:rPr>
                <w:sz w:val="20"/>
                <w:szCs w:val="20"/>
                <w:color w:val="auto"/>
              </w:rPr>
            </w:pPr>
            <w:r>
              <w:rPr>
                <w:rFonts w:ascii="Arial" w:cs="Arial" w:eastAsia="Arial" w:hAnsi="Arial"/>
                <w:sz w:val="14"/>
                <w:szCs w:val="14"/>
                <w:b w:val="1"/>
                <w:bCs w:val="1"/>
                <w:color w:val="auto"/>
                <w:w w:val="91"/>
              </w:rPr>
              <w:t>September 29, 2021</w:t>
            </w:r>
          </w:p>
        </w:tc>
        <w:tc>
          <w:tcPr>
            <w:tcW w:w="124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4"/>
                <w:szCs w:val="14"/>
                <w:b w:val="1"/>
                <w:bCs w:val="1"/>
                <w:color w:val="auto"/>
                <w:w w:val="90"/>
              </w:rPr>
              <w:t>September 23, 2020</w:t>
            </w:r>
          </w:p>
        </w:tc>
        <w:tc>
          <w:tcPr>
            <w:tcW w:w="160" w:type="dxa"/>
            <w:vAlign w:val="bottom"/>
          </w:tcPr>
          <w:p>
            <w:pPr>
              <w:spacing w:after="0"/>
              <w:rPr>
                <w:sz w:val="11"/>
                <w:szCs w:val="11"/>
                <w:color w:val="auto"/>
              </w:rPr>
            </w:pPr>
          </w:p>
        </w:tc>
      </w:tr>
      <w:tr>
        <w:trPr>
          <w:trHeight w:val="197"/>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Weighted-average shares outstanding—basic</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36,067,754</w:t>
            </w:r>
          </w:p>
        </w:tc>
        <w:tc>
          <w:tcPr>
            <w:tcW w:w="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35,471,452</w:t>
            </w:r>
          </w:p>
        </w:tc>
        <w:tc>
          <w:tcPr>
            <w:tcW w:w="1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35,930,246</w:t>
            </w:r>
          </w:p>
        </w:tc>
        <w:tc>
          <w:tcPr>
            <w:tcW w:w="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34,989,007</w:t>
            </w:r>
          </w:p>
        </w:tc>
        <w:tc>
          <w:tcPr>
            <w:tcW w:w="160" w:type="dxa"/>
            <w:vAlign w:val="bottom"/>
            <w:tcBorders>
              <w:top w:val="single" w:sz="8" w:color="CCEEFF"/>
            </w:tcBorders>
            <w:shd w:val="clear" w:color="auto" w:fill="CCEEFF"/>
          </w:tcPr>
          <w:p>
            <w:pPr>
              <w:spacing w:after="0"/>
              <w:rPr>
                <w:sz w:val="17"/>
                <w:szCs w:val="17"/>
                <w:color w:val="auto"/>
              </w:rPr>
            </w:pPr>
          </w:p>
        </w:tc>
      </w:tr>
      <w:tr>
        <w:trPr>
          <w:trHeight w:val="192"/>
        </w:trPr>
        <w:tc>
          <w:tcPr>
            <w:tcW w:w="3600" w:type="dxa"/>
            <w:vAlign w:val="bottom"/>
          </w:tcPr>
          <w:p>
            <w:pPr>
              <w:spacing w:after="0" w:line="193" w:lineRule="exact"/>
              <w:rPr>
                <w:sz w:val="20"/>
                <w:szCs w:val="20"/>
                <w:color w:val="auto"/>
              </w:rPr>
            </w:pPr>
            <w:r>
              <w:rPr>
                <w:rFonts w:ascii="Arial" w:cs="Arial" w:eastAsia="Arial" w:hAnsi="Arial"/>
                <w:sz w:val="17"/>
                <w:szCs w:val="17"/>
                <w:color w:val="auto"/>
              </w:rPr>
              <w:t>Dilutive effect of stock options and restricted</w:t>
            </w: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7"/>
        </w:trPr>
        <w:tc>
          <w:tcPr>
            <w:tcW w:w="36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shares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457,670</w:t>
            </w:r>
          </w:p>
        </w:tc>
        <w:tc>
          <w:tcPr>
            <w:tcW w:w="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593,107</w:t>
            </w: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526,864</w:t>
            </w:r>
          </w:p>
        </w:tc>
        <w:tc>
          <w:tcPr>
            <w:tcW w:w="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620,313</w:t>
            </w:r>
          </w:p>
        </w:tc>
        <w:tc>
          <w:tcPr>
            <w:tcW w:w="160" w:type="dxa"/>
            <w:vAlign w:val="bottom"/>
            <w:tcBorders>
              <w:bottom w:val="single" w:sz="8" w:color="CCEEFF"/>
            </w:tcBorders>
          </w:tcPr>
          <w:p>
            <w:pPr>
              <w:spacing w:after="0"/>
              <w:rPr>
                <w:sz w:val="18"/>
                <w:szCs w:val="18"/>
                <w:color w:val="auto"/>
              </w:rPr>
            </w:pPr>
          </w:p>
        </w:tc>
      </w:tr>
      <w:tr>
        <w:trPr>
          <w:trHeight w:val="198"/>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Weighted-average shares outstanding—diluted</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36,525,424</w:t>
            </w:r>
          </w:p>
        </w:tc>
        <w:tc>
          <w:tcPr>
            <w:tcW w:w="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36,064,559</w:t>
            </w:r>
          </w:p>
        </w:tc>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36,457,110</w:t>
            </w:r>
          </w:p>
        </w:tc>
        <w:tc>
          <w:tcPr>
            <w:tcW w:w="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35,609,320</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20"/>
        </w:trPr>
        <w:tc>
          <w:tcPr>
            <w:tcW w:w="36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9. RELATED PARTY TRANSACTIONS</w:t>
      </w:r>
    </w:p>
    <w:p>
      <w:pPr>
        <w:spacing w:after="0" w:line="218" w:lineRule="exact"/>
        <w:rPr>
          <w:sz w:val="20"/>
          <w:szCs w:val="20"/>
          <w:color w:val="auto"/>
        </w:rPr>
      </w:pPr>
    </w:p>
    <w:p>
      <w:pPr>
        <w:ind w:left="40" w:right="140"/>
        <w:spacing w:after="0" w:line="270" w:lineRule="auto"/>
        <w:rPr>
          <w:sz w:val="20"/>
          <w:szCs w:val="20"/>
          <w:color w:val="auto"/>
        </w:rPr>
      </w:pPr>
      <w:r>
        <w:rPr>
          <w:rFonts w:ascii="Arial" w:cs="Arial" w:eastAsia="Arial" w:hAnsi="Arial"/>
          <w:sz w:val="16"/>
          <w:szCs w:val="16"/>
          <w:color w:val="auto"/>
        </w:rPr>
        <w:t>Trimaran Pollo Partners, L.L.C. (“LLC”) owns approximately 45.7% of the Company’s outstanding common stock. This large position means that LLC and its majority owners—predecessors and affiliates of, and certain funds managed by, Trimaran Capital Partners and Freeman Spogli &amp; Co. (collectively, “Trimaran” and “Freeman Spogli,” respectively)—possess significant influence when stockholders vote on matters such as election of directors, mergers, consolidations and acquisitions, the sale of all or substantially all of the Company’s assets, decisions affecting the Company’s capital structure, amendments to the Company’s amended and restated certificate of incorporation or amended and restated by-laws, and the Company’s winding up and dissolution. The Company’s amended and restated certificate of incorporation provides that (i) so long as LLC beneficially owns, directly or indirectly, more than 40% of the Company’s common stock, any member of the Board of Directors or the entire Board of Directors may be removed from office at any time with or without cause by the affirmative vote of a majority of the Company’s common stock, and (ii) prior to the date the LLC ceases to beneficially own, directly or indirectly, 40% or more of the Company’s common stock, stockholders representing at least 40% of the Company’s common stock may call a special meeting of the Company’s stockholders.</w:t>
      </w:r>
    </w:p>
    <w:p>
      <w:pPr>
        <w:spacing w:after="0" w:line="173" w:lineRule="exact"/>
        <w:rPr>
          <w:sz w:val="20"/>
          <w:szCs w:val="20"/>
          <w:color w:val="auto"/>
        </w:rPr>
      </w:pPr>
    </w:p>
    <w:p>
      <w:pPr>
        <w:ind w:left="40" w:right="4620" w:firstLine="6"/>
        <w:spacing w:after="0" w:line="505" w:lineRule="auto"/>
        <w:tabs>
          <w:tab w:leader="none" w:pos="296"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REVENUE FROM CONTRACTS WITH CUSTOMERS Revenue Recognition</w:t>
      </w:r>
    </w:p>
    <w:p>
      <w:pPr>
        <w:ind w:left="40"/>
        <w:spacing w:after="0"/>
        <w:rPr>
          <w:sz w:val="20"/>
          <w:szCs w:val="20"/>
          <w:color w:val="auto"/>
        </w:rPr>
      </w:pPr>
      <w:r>
        <w:rPr>
          <w:rFonts w:ascii="Arial" w:cs="Arial" w:eastAsia="Arial" w:hAnsi="Arial"/>
          <w:sz w:val="17"/>
          <w:szCs w:val="17"/>
          <w:i w:val="1"/>
          <w:iCs w:val="1"/>
          <w:color w:val="auto"/>
        </w:rPr>
        <w:t>Nature of products and services</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Company has two revenue streams, company-operated restaurant revenue and franchise related revenue.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80"/>
          </w:cols>
          <w:pgMar w:left="1440" w:top="498" w:right="1379" w:bottom="1440" w:gutter="0" w:footer="0" w:header="0"/>
        </w:sectPr>
      </w:pPr>
    </w:p>
    <w:bookmarkStart w:id="23" w:name="page24"/>
    <w:bookmarkEnd w:id="23"/>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Company-operated restaurant revenue</w:t>
      </w:r>
    </w:p>
    <w:p>
      <w:pPr>
        <w:spacing w:after="0" w:line="214" w:lineRule="exact"/>
        <w:rPr>
          <w:sz w:val="20"/>
          <w:szCs w:val="20"/>
          <w:color w:val="auto"/>
        </w:rPr>
      </w:pPr>
    </w:p>
    <w:p>
      <w:pPr>
        <w:ind w:left="40" w:right="359"/>
        <w:spacing w:after="0" w:line="263" w:lineRule="auto"/>
        <w:rPr>
          <w:sz w:val="20"/>
          <w:szCs w:val="20"/>
          <w:color w:val="auto"/>
        </w:rPr>
      </w:pPr>
      <w:r>
        <w:rPr>
          <w:rFonts w:ascii="Arial" w:cs="Arial" w:eastAsia="Arial" w:hAnsi="Arial"/>
          <w:sz w:val="17"/>
          <w:szCs w:val="17"/>
          <w:color w:val="auto"/>
        </w:rPr>
        <w:t>Revenues from the operation of company-operated restaurants are recognized as food and beverage products are delivered to customers and payment is tendered at the time of sale. The Company presents sales, net of sales-related taxes and promotional allowances.</w:t>
      </w:r>
    </w:p>
    <w:p>
      <w:pPr>
        <w:spacing w:after="0" w:line="176" w:lineRule="exact"/>
        <w:rPr>
          <w:sz w:val="20"/>
          <w:szCs w:val="20"/>
          <w:color w:val="auto"/>
        </w:rPr>
      </w:pPr>
    </w:p>
    <w:p>
      <w:pPr>
        <w:ind w:left="40" w:right="79"/>
        <w:spacing w:after="0" w:line="289" w:lineRule="auto"/>
        <w:rPr>
          <w:sz w:val="20"/>
          <w:szCs w:val="20"/>
          <w:color w:val="auto"/>
        </w:rPr>
      </w:pPr>
      <w:r>
        <w:rPr>
          <w:rFonts w:ascii="Arial" w:cs="Arial" w:eastAsia="Arial" w:hAnsi="Arial"/>
          <w:sz w:val="15"/>
          <w:szCs w:val="15"/>
          <w:color w:val="auto"/>
        </w:rPr>
        <w:t>The Company offers a loyalty rewards program, which awards a customer points for dollars spent. Customers earn points for each dollar spent and as of August 4, 2020, 50 points can be redeemed for a $5 reward to be used for a future purchase. Prior to August 4, 2020, 100 points could be redeemed for a $10 reward. If a customer does not earn or use points within a one-year period, their account is deactivated and all points expire. Additionally, if a reward is not used within six months, it expires.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reward and redeemed, the reward or points have expired, or the likelihood of redemption is remote. A portion of the transaction price is allocated to loyalty points, if necessary, on a pro-rata basis, based on stand-alone selling price, as determined by menu pricing and loyalty points terms. As of September 29, 2021 and December 30, 2020, the revenue allocated to loyalty points that have not been redeemed was $0.7 million and $0.9 million, respectively, which is reflected in the Company’s accompanying condensed consolidated balance sheets within other accrued expenses and current liabilities. The Company expects the loyalty points to be redeemed and recognized over a one-year period.</w:t>
      </w:r>
    </w:p>
    <w:p>
      <w:pPr>
        <w:spacing w:after="0" w:line="165" w:lineRule="exact"/>
        <w:rPr>
          <w:sz w:val="20"/>
          <w:szCs w:val="20"/>
          <w:color w:val="auto"/>
        </w:rPr>
      </w:pPr>
    </w:p>
    <w:p>
      <w:pPr>
        <w:ind w:left="40" w:right="79"/>
        <w:spacing w:after="0" w:line="275" w:lineRule="auto"/>
        <w:rPr>
          <w:sz w:val="20"/>
          <w:szCs w:val="20"/>
          <w:color w:val="auto"/>
        </w:rPr>
      </w:pPr>
      <w:r>
        <w:rPr>
          <w:rFonts w:ascii="Arial" w:cs="Arial" w:eastAsia="Arial" w:hAnsi="Arial"/>
          <w:sz w:val="16"/>
          <w:szCs w:val="16"/>
          <w:color w:val="auto"/>
        </w:rPr>
        <w:t>The Company sells gift cards to its customers in the restaurants and through selected third parties. The gift cards sold to customers have no stated expiration dates and are subject to actual and/or potential escheatment rights in several of the jurisdictions in which the Company operates. Furthermore, due to these escheatment rights, the Company does not recognize breakage related to the sale of gift cards due to the immateriality of the amount remaining after escheatment. The Company recognizes income from gift cards when redeemed by the customer. Unredeemed gift card balances are deferred and recorded as other accrued expenses on the accompanying condensed consolidated balance sheets.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Franchise and franchise advertising revenue</w:t>
      </w:r>
    </w:p>
    <w:p>
      <w:pPr>
        <w:spacing w:after="0" w:line="214" w:lineRule="exact"/>
        <w:rPr>
          <w:sz w:val="20"/>
          <w:szCs w:val="20"/>
          <w:color w:val="auto"/>
        </w:rPr>
      </w:pPr>
    </w:p>
    <w:p>
      <w:pPr>
        <w:ind w:left="40" w:right="119"/>
        <w:spacing w:after="0" w:line="287" w:lineRule="auto"/>
        <w:rPr>
          <w:sz w:val="20"/>
          <w:szCs w:val="20"/>
          <w:color w:val="auto"/>
        </w:rPr>
      </w:pPr>
      <w:r>
        <w:rPr>
          <w:rFonts w:ascii="Arial" w:cs="Arial" w:eastAsia="Arial" w:hAnsi="Arial"/>
          <w:sz w:val="16"/>
          <w:szCs w:val="16"/>
          <w:color w:val="auto"/>
        </w:rPr>
        <w:t>Franchise revenue consists of franchise royalties, initial franchise fees, license fees due from franchisees, IT support services, and rental income for subleases to franchisees. Franchise advertising revenue consists of advertising contributions received from franchisees. These revenue streams are made up of the following performance obligations:</w:t>
      </w:r>
    </w:p>
    <w:p>
      <w:pPr>
        <w:spacing w:after="0" w:line="159" w:lineRule="exact"/>
        <w:rPr>
          <w:sz w:val="20"/>
          <w:szCs w:val="20"/>
          <w:color w:val="auto"/>
        </w:rPr>
      </w:pPr>
    </w:p>
    <w:p>
      <w:pPr>
        <w:ind w:left="680" w:right="339" w:hanging="302"/>
        <w:spacing w:after="0" w:line="258" w:lineRule="auto"/>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Franchise license - inclusive of advertising services, development agreements, training, access to plans and help desk services.</w:t>
      </w:r>
    </w:p>
    <w:p>
      <w:pPr>
        <w:ind w:left="680" w:hanging="302"/>
        <w:spacing w:after="0"/>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Discounted renewal option.</w:t>
      </w:r>
    </w:p>
    <w:p>
      <w:pPr>
        <w:spacing w:after="0" w:line="9" w:lineRule="exact"/>
        <w:rPr>
          <w:rFonts w:ascii="Arial" w:cs="Arial" w:eastAsia="Arial" w:hAnsi="Arial"/>
          <w:sz w:val="17"/>
          <w:szCs w:val="17"/>
          <w:color w:val="auto"/>
        </w:rPr>
      </w:pPr>
    </w:p>
    <w:p>
      <w:pPr>
        <w:ind w:left="680" w:hanging="302"/>
        <w:spacing w:after="0"/>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Hardware services.</w:t>
      </w:r>
    </w:p>
    <w:p>
      <w:pPr>
        <w:spacing w:after="0" w:line="203" w:lineRule="exact"/>
        <w:rPr>
          <w:sz w:val="20"/>
          <w:szCs w:val="20"/>
          <w:color w:val="auto"/>
        </w:rPr>
      </w:pPr>
    </w:p>
    <w:p>
      <w:pPr>
        <w:ind w:left="40" w:right="99"/>
        <w:spacing w:after="0" w:line="277" w:lineRule="auto"/>
        <w:rPr>
          <w:sz w:val="20"/>
          <w:szCs w:val="20"/>
          <w:color w:val="auto"/>
        </w:rPr>
      </w:pPr>
      <w:r>
        <w:rPr>
          <w:rFonts w:ascii="Arial" w:cs="Arial" w:eastAsia="Arial" w:hAnsi="Arial"/>
          <w:sz w:val="16"/>
          <w:szCs w:val="16"/>
          <w:color w:val="auto"/>
        </w:rPr>
        <w:t>The Company satisfies the performance obligation related to the franchise license over the term of the franchise agreement, which is typically 20 years. Payment for the franchise license consists of three components, a fixed-fee related to the franchise/development agreement, a sales-based royalty fee and a sales-based advertising fee. The fixed fee, as determined by the signed development and/or franchise agreement, is due at the time the development agreement is entered into, and/or when the franchise agreement is signed, and does not include a finance component.</w:t>
      </w:r>
    </w:p>
    <w:p>
      <w:pPr>
        <w:spacing w:after="0" w:line="166" w:lineRule="exact"/>
        <w:rPr>
          <w:sz w:val="20"/>
          <w:szCs w:val="20"/>
          <w:color w:val="auto"/>
        </w:rPr>
      </w:pPr>
    </w:p>
    <w:p>
      <w:pPr>
        <w:ind w:left="40" w:right="79"/>
        <w:spacing w:after="0" w:line="299" w:lineRule="auto"/>
        <w:rPr>
          <w:sz w:val="20"/>
          <w:szCs w:val="20"/>
          <w:color w:val="auto"/>
        </w:rPr>
      </w:pPr>
      <w:r>
        <w:rPr>
          <w:rFonts w:ascii="Arial" w:cs="Arial" w:eastAsia="Arial" w:hAnsi="Arial"/>
          <w:sz w:val="15"/>
          <w:szCs w:val="15"/>
          <w:color w:val="auto"/>
        </w:rPr>
        <w:t>The sales-based royalty fee and sales-based advertising fee are considered variable consideration and will continue to be recognized as revenue as such sales are earned by the franchisees. Both sales-based fees qualify under the royalty constraint exception, and do not require an estimate of future transaction price. Additionally, the Company is utilizing the practical expedient available under ASC Topic 606, “Revenue from Contracts with Customers” (“Topic 606”) regarding disclosure of the aggregate amount of the transaction price allocated to the performance obligations that are unsatisfied for sales-based royalties.</w:t>
      </w:r>
    </w:p>
    <w:p>
      <w:pPr>
        <w:spacing w:after="0" w:line="154" w:lineRule="exact"/>
        <w:rPr>
          <w:sz w:val="20"/>
          <w:szCs w:val="20"/>
          <w:color w:val="auto"/>
        </w:rPr>
      </w:pPr>
    </w:p>
    <w:p>
      <w:pPr>
        <w:ind w:left="40" w:right="79"/>
        <w:spacing w:after="0" w:line="280" w:lineRule="auto"/>
        <w:rPr>
          <w:sz w:val="20"/>
          <w:szCs w:val="20"/>
          <w:color w:val="auto"/>
        </w:rPr>
      </w:pPr>
      <w:r>
        <w:rPr>
          <w:rFonts w:ascii="Arial" w:cs="Arial" w:eastAsia="Arial" w:hAnsi="Arial"/>
          <w:sz w:val="16"/>
          <w:szCs w:val="16"/>
          <w:color w:val="auto"/>
        </w:rPr>
        <w:t>In certain franchise agreements, the Company offers a discounted renewal to incentivize future renewals after the end of the initial franchise term. As this is considered a separate performance obligation, the Company allocates a portion of the initial franchise fee to this discounted renewal, on a pro-rata basis, assuming a 20-year renewal. This performance obligation is satisfied over the renewal term, typically 10 or 20 years, while payment is fixed and due at the time the renewal is signed.</w:t>
      </w:r>
    </w:p>
    <w:p>
      <w:pPr>
        <w:sectPr>
          <w:pgSz w:w="11900" w:h="16838" w:orient="portrait"/>
          <w:cols w:equalWidth="0" w:num="1">
            <w:col w:w="9019"/>
          </w:cols>
          <w:pgMar w:left="1440" w:top="498"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360680</wp:posOffset>
            </wp:positionV>
            <wp:extent cx="5661025" cy="24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type w:val="continuous"/>
        </w:sectPr>
      </w:pPr>
    </w:p>
    <w:bookmarkStart w:id="24" w:name="page25"/>
    <w:bookmarkEnd w:id="24"/>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119"/>
        <w:spacing w:after="0" w:line="280" w:lineRule="auto"/>
        <w:rPr>
          <w:sz w:val="20"/>
          <w:szCs w:val="20"/>
          <w:color w:val="auto"/>
        </w:rPr>
      </w:pPr>
      <w:r>
        <w:rPr>
          <w:rFonts w:ascii="Arial" w:cs="Arial" w:eastAsia="Arial" w:hAnsi="Arial"/>
          <w:sz w:val="16"/>
          <w:szCs w:val="16"/>
          <w:color w:val="auto"/>
        </w:rPr>
        <w:t>The Company purchases hardware, such as scanners, printers, cash registers and tablets, from third party vendors, which it then sells to franchisees. As the Company is considered the principal in this relationship, payment for the hardware is considered revenue, and is received upon transfer of the goods from the Company to the franchisee. As of September 29, 2021, there were no performance obligations related to hardware services that were unsatisfied or partially satisfied.</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Disaggregated revenue</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following table presents our revenues disaggregated by revenue source and market (in thousands):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4"/>
                <w:szCs w:val="14"/>
                <w:color w:val="auto"/>
              </w:rPr>
            </w:pPr>
          </w:p>
        </w:tc>
        <w:tc>
          <w:tcPr>
            <w:tcW w:w="2020" w:type="dxa"/>
            <w:vAlign w:val="bottom"/>
            <w:gridSpan w:val="4"/>
          </w:tcPr>
          <w:p>
            <w:pPr>
              <w:jc w:val="right"/>
              <w:ind w:right="218"/>
              <w:spacing w:after="0"/>
              <w:rPr>
                <w:sz w:val="20"/>
                <w:szCs w:val="20"/>
                <w:color w:val="auto"/>
              </w:rPr>
            </w:pPr>
            <w:r>
              <w:rPr>
                <w:rFonts w:ascii="Arial" w:cs="Arial" w:eastAsia="Arial" w:hAnsi="Arial"/>
                <w:sz w:val="14"/>
                <w:szCs w:val="14"/>
                <w:b w:val="1"/>
                <w:bCs w:val="1"/>
                <w:color w:val="auto"/>
              </w:rPr>
              <w:t>Thirty-Nine Weeks Ended</w:t>
            </w:r>
          </w:p>
        </w:tc>
      </w:tr>
      <w:tr>
        <w:trPr>
          <w:trHeight w:val="113"/>
        </w:trPr>
        <w:tc>
          <w:tcPr>
            <w:tcW w:w="2240" w:type="dxa"/>
            <w:vAlign w:val="bottom"/>
          </w:tcPr>
          <w:p>
            <w:pPr>
              <w:spacing w:after="0"/>
              <w:rPr>
                <w:sz w:val="9"/>
                <w:szCs w:val="9"/>
                <w:color w:val="auto"/>
              </w:rPr>
            </w:pPr>
          </w:p>
        </w:tc>
        <w:tc>
          <w:tcPr>
            <w:tcW w:w="2600" w:type="dxa"/>
            <w:vAlign w:val="bottom"/>
          </w:tcPr>
          <w:p>
            <w:pPr>
              <w:spacing w:after="0"/>
              <w:rPr>
                <w:sz w:val="9"/>
                <w:szCs w:val="9"/>
                <w:color w:val="auto"/>
              </w:rPr>
            </w:pPr>
          </w:p>
        </w:tc>
        <w:tc>
          <w:tcPr>
            <w:tcW w:w="880" w:type="dxa"/>
            <w:vAlign w:val="bottom"/>
            <w:tcBorders>
              <w:top w:val="single" w:sz="8" w:color="auto"/>
            </w:tcBorders>
            <w:gridSpan w:val="2"/>
          </w:tcPr>
          <w:p>
            <w:pPr>
              <w:jc w:val="right"/>
              <w:spacing w:after="0" w:line="113" w:lineRule="exact"/>
              <w:rPr>
                <w:sz w:val="20"/>
                <w:szCs w:val="20"/>
                <w:color w:val="auto"/>
              </w:rPr>
            </w:pPr>
            <w:r>
              <w:rPr>
                <w:rFonts w:ascii="Arial" w:cs="Arial" w:eastAsia="Arial" w:hAnsi="Arial"/>
                <w:sz w:val="12"/>
                <w:szCs w:val="12"/>
                <w:b w:val="1"/>
                <w:bCs w:val="1"/>
                <w:color w:val="auto"/>
              </w:rPr>
              <w:t>September 29,</w:t>
            </w:r>
          </w:p>
        </w:tc>
        <w:tc>
          <w:tcPr>
            <w:tcW w:w="1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gridSpan w:val="2"/>
          </w:tcPr>
          <w:p>
            <w:pPr>
              <w:jc w:val="right"/>
              <w:spacing w:after="0" w:line="113" w:lineRule="exact"/>
              <w:rPr>
                <w:sz w:val="20"/>
                <w:szCs w:val="20"/>
                <w:color w:val="auto"/>
              </w:rPr>
            </w:pPr>
            <w:r>
              <w:rPr>
                <w:rFonts w:ascii="Arial" w:cs="Arial" w:eastAsia="Arial" w:hAnsi="Arial"/>
                <w:sz w:val="12"/>
                <w:szCs w:val="12"/>
                <w:b w:val="1"/>
                <w:bCs w:val="1"/>
                <w:color w:val="auto"/>
              </w:rPr>
              <w:t>September 23,</w:t>
            </w:r>
          </w:p>
        </w:tc>
        <w:tc>
          <w:tcPr>
            <w:tcW w:w="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tcPr>
          <w:p>
            <w:pPr>
              <w:ind w:left="20"/>
              <w:spacing w:after="0" w:line="113" w:lineRule="exact"/>
              <w:rPr>
                <w:sz w:val="20"/>
                <w:szCs w:val="20"/>
                <w:color w:val="auto"/>
              </w:rPr>
            </w:pPr>
            <w:r>
              <w:rPr>
                <w:rFonts w:ascii="Arial" w:cs="Arial" w:eastAsia="Arial" w:hAnsi="Arial"/>
                <w:sz w:val="12"/>
                <w:szCs w:val="12"/>
                <w:b w:val="1"/>
                <w:bCs w:val="1"/>
                <w:color w:val="auto"/>
              </w:rPr>
              <w:t>September 29,</w:t>
            </w:r>
          </w:p>
        </w:tc>
        <w:tc>
          <w:tcPr>
            <w:tcW w:w="1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2"/>
                <w:szCs w:val="12"/>
                <w:b w:val="1"/>
                <w:bCs w:val="1"/>
                <w:color w:val="auto"/>
                <w:w w:val="99"/>
              </w:rPr>
              <w:t>September 23,</w:t>
            </w:r>
          </w:p>
        </w:tc>
      </w:tr>
      <w:tr>
        <w:trPr>
          <w:trHeight w:val="161"/>
        </w:trPr>
        <w:tc>
          <w:tcPr>
            <w:tcW w:w="224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2020</w:t>
            </w:r>
          </w:p>
        </w:tc>
      </w:tr>
      <w:tr>
        <w:trPr>
          <w:trHeight w:val="197"/>
        </w:trPr>
        <w:tc>
          <w:tcPr>
            <w:tcW w:w="4840" w:type="dxa"/>
            <w:vAlign w:val="bottom"/>
            <w:gridSpan w:val="2"/>
            <w:shd w:val="clear" w:color="auto" w:fill="CCEEFF"/>
          </w:tcPr>
          <w:p>
            <w:pPr>
              <w:spacing w:after="0" w:line="198" w:lineRule="exact"/>
              <w:rPr>
                <w:sz w:val="20"/>
                <w:szCs w:val="20"/>
                <w:color w:val="auto"/>
              </w:rPr>
            </w:pPr>
            <w:r>
              <w:rPr>
                <w:rFonts w:ascii="Arial" w:cs="Arial" w:eastAsia="Arial" w:hAnsi="Arial"/>
                <w:sz w:val="15"/>
                <w:szCs w:val="15"/>
                <w:b w:val="1"/>
                <w:bCs w:val="1"/>
                <w:color w:val="auto"/>
              </w:rPr>
              <w:t>Core Market</w:t>
            </w:r>
            <w:r>
              <w:rPr>
                <w:rFonts w:ascii="Arial" w:cs="Arial" w:eastAsia="Arial" w:hAnsi="Arial"/>
                <w:sz w:val="22"/>
                <w:szCs w:val="22"/>
                <w:b w:val="1"/>
                <w:bCs w:val="1"/>
                <w:color w:val="auto"/>
                <w:vertAlign w:val="superscript"/>
              </w:rPr>
              <w:t>(1)</w:t>
            </w:r>
            <w:r>
              <w:rPr>
                <w:rFonts w:ascii="Arial" w:cs="Arial" w:eastAsia="Arial" w:hAnsi="Arial"/>
                <w:sz w:val="15"/>
                <w:szCs w:val="15"/>
                <w:b w:val="1"/>
                <w:bCs w:val="1"/>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5"/>
        </w:trPr>
        <w:tc>
          <w:tcPr>
            <w:tcW w:w="4840" w:type="dxa"/>
            <w:vAlign w:val="bottom"/>
            <w:gridSpan w:val="2"/>
          </w:tcPr>
          <w:p>
            <w:pPr>
              <w:ind w:left="100"/>
              <w:spacing w:after="0"/>
              <w:rPr>
                <w:sz w:val="20"/>
                <w:szCs w:val="20"/>
                <w:color w:val="auto"/>
              </w:rPr>
            </w:pPr>
            <w:r>
              <w:rPr>
                <w:rFonts w:ascii="Arial" w:cs="Arial" w:eastAsia="Arial" w:hAnsi="Arial"/>
                <w:sz w:val="17"/>
                <w:szCs w:val="17"/>
                <w:color w:val="auto"/>
              </w:rPr>
              <w:t>Company-operated restaurant revenue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95,292</w:t>
            </w:r>
          </w:p>
        </w:tc>
        <w:tc>
          <w:tcPr>
            <w:tcW w:w="340" w:type="dxa"/>
            <w:vAlign w:val="bottom"/>
            <w:gridSpan w:val="2"/>
          </w:tcPr>
          <w:p>
            <w:pPr>
              <w:jc w:val="right"/>
              <w:ind w:right="58"/>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90,207</w:t>
            </w:r>
          </w:p>
        </w:tc>
        <w:tc>
          <w:tcPr>
            <w:tcW w:w="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281,945</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257,493</w:t>
            </w:r>
          </w:p>
        </w:tc>
      </w:tr>
      <w:tr>
        <w:trPr>
          <w:trHeight w:val="205"/>
        </w:trPr>
        <w:tc>
          <w:tcPr>
            <w:tcW w:w="48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Franchise revenue</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4,184</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11,956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10,376</w:t>
            </w:r>
          </w:p>
        </w:tc>
      </w:tr>
      <w:tr>
        <w:trPr>
          <w:trHeight w:val="205"/>
        </w:trPr>
        <w:tc>
          <w:tcPr>
            <w:tcW w:w="4840" w:type="dxa"/>
            <w:vAlign w:val="bottom"/>
            <w:tcBorders>
              <w:bottom w:val="single" w:sz="8" w:color="CCEEFF"/>
            </w:tcBorders>
            <w:gridSpan w:val="2"/>
          </w:tcPr>
          <w:p>
            <w:pPr>
              <w:ind w:left="100"/>
              <w:spacing w:after="0"/>
              <w:rPr>
                <w:sz w:val="20"/>
                <w:szCs w:val="20"/>
                <w:color w:val="auto"/>
              </w:rPr>
            </w:pPr>
            <w:r>
              <w:rPr>
                <w:rFonts w:ascii="Arial" w:cs="Arial" w:eastAsia="Arial" w:hAnsi="Arial"/>
                <w:sz w:val="17"/>
                <w:szCs w:val="17"/>
                <w:color w:val="auto"/>
              </w:rPr>
              <w:t>Franchise advertising fee revenue</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3,129</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2,748</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8,989</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7,773</w:t>
            </w:r>
          </w:p>
        </w:tc>
      </w:tr>
      <w:tr>
        <w:trPr>
          <w:trHeight w:val="197"/>
        </w:trPr>
        <w:tc>
          <w:tcPr>
            <w:tcW w:w="48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Total core market</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102,605</w:t>
            </w:r>
          </w:p>
        </w:tc>
        <w:tc>
          <w:tcPr>
            <w:tcW w:w="340" w:type="dxa"/>
            <w:vAlign w:val="bottom"/>
            <w:tcBorders>
              <w:bottom w:val="single" w:sz="8" w:color="auto"/>
            </w:tcBorders>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96,615</w:t>
            </w: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302,890</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275,642</w:t>
            </w:r>
          </w:p>
        </w:tc>
      </w:tr>
      <w:tr>
        <w:trPr>
          <w:trHeight w:val="197"/>
        </w:trPr>
        <w:tc>
          <w:tcPr>
            <w:tcW w:w="4840" w:type="dxa"/>
            <w:vAlign w:val="bottom"/>
            <w:gridSpan w:val="2"/>
          </w:tcPr>
          <w:p>
            <w:pPr>
              <w:spacing w:after="0" w:line="198" w:lineRule="exact"/>
              <w:rPr>
                <w:sz w:val="20"/>
                <w:szCs w:val="20"/>
                <w:color w:val="auto"/>
              </w:rPr>
            </w:pPr>
            <w:r>
              <w:rPr>
                <w:rFonts w:ascii="Arial" w:cs="Arial" w:eastAsia="Arial" w:hAnsi="Arial"/>
                <w:sz w:val="15"/>
                <w:szCs w:val="15"/>
                <w:b w:val="1"/>
                <w:bCs w:val="1"/>
                <w:color w:val="auto"/>
              </w:rPr>
              <w:t>Non-Core Market</w:t>
            </w:r>
            <w:r>
              <w:rPr>
                <w:rFonts w:ascii="Arial" w:cs="Arial" w:eastAsia="Arial" w:hAnsi="Arial"/>
                <w:sz w:val="22"/>
                <w:szCs w:val="22"/>
                <w:b w:val="1"/>
                <w:bCs w:val="1"/>
                <w:color w:val="auto"/>
                <w:vertAlign w:val="superscript"/>
              </w:rPr>
              <w:t>(2)</w:t>
            </w:r>
            <w:r>
              <w:rPr>
                <w:rFonts w:ascii="Arial" w:cs="Arial" w:eastAsia="Arial" w:hAnsi="Arial"/>
                <w:sz w:val="15"/>
                <w:szCs w:val="15"/>
                <w:b w:val="1"/>
                <w:bCs w:val="1"/>
                <w:color w:val="auto"/>
              </w:rPr>
              <w:t>:</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5"/>
        </w:trPr>
        <w:tc>
          <w:tcPr>
            <w:tcW w:w="48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Company-operated restaurant revenue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4,694</w:t>
            </w:r>
          </w:p>
        </w:tc>
        <w:tc>
          <w:tcPr>
            <w:tcW w:w="34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19,172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20,124</w:t>
            </w:r>
          </w:p>
        </w:tc>
      </w:tr>
      <w:tr>
        <w:trPr>
          <w:trHeight w:val="205"/>
        </w:trPr>
        <w:tc>
          <w:tcPr>
            <w:tcW w:w="4840" w:type="dxa"/>
            <w:vAlign w:val="bottom"/>
            <w:gridSpan w:val="2"/>
          </w:tcPr>
          <w:p>
            <w:pPr>
              <w:ind w:left="100"/>
              <w:spacing w:after="0"/>
              <w:rPr>
                <w:sz w:val="20"/>
                <w:szCs w:val="20"/>
                <w:color w:val="auto"/>
              </w:rPr>
            </w:pPr>
            <w:r>
              <w:rPr>
                <w:rFonts w:ascii="Arial" w:cs="Arial" w:eastAsia="Arial" w:hAnsi="Arial"/>
                <w:sz w:val="17"/>
                <w:szCs w:val="17"/>
                <w:color w:val="auto"/>
              </w:rPr>
              <w:t>Franchise revenue</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4,733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4,121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12,963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11,186</w:t>
            </w:r>
          </w:p>
        </w:tc>
      </w:tr>
      <w:tr>
        <w:trPr>
          <w:trHeight w:val="205"/>
        </w:trPr>
        <w:tc>
          <w:tcPr>
            <w:tcW w:w="48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Franchise advertising fee revenue</w:t>
            </w: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3,668</w:t>
            </w:r>
          </w:p>
        </w:tc>
        <w:tc>
          <w:tcPr>
            <w:tcW w:w="1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3,174</w:t>
            </w: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10,381</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8,794</w:t>
            </w:r>
          </w:p>
        </w:tc>
      </w:tr>
      <w:tr>
        <w:trPr>
          <w:trHeight w:val="197"/>
        </w:trPr>
        <w:tc>
          <w:tcPr>
            <w:tcW w:w="484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Total non-core market</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13,095</w:t>
            </w:r>
          </w:p>
        </w:tc>
        <w:tc>
          <w:tcPr>
            <w:tcW w:w="340" w:type="dxa"/>
            <w:vAlign w:val="bottom"/>
            <w:tcBorders>
              <w:bottom w:val="single" w:sz="8" w:color="auto"/>
            </w:tcBorders>
            <w:gridSpan w:val="2"/>
          </w:tcPr>
          <w:p>
            <w:pPr>
              <w:jc w:val="right"/>
              <w:ind w:right="58"/>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14,364</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42,516</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40,104</w:t>
            </w:r>
          </w:p>
        </w:tc>
      </w:tr>
      <w:tr>
        <w:trPr>
          <w:trHeight w:val="197"/>
        </w:trPr>
        <w:tc>
          <w:tcPr>
            <w:tcW w:w="4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Total revenue</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115,700</w:t>
            </w:r>
          </w:p>
        </w:tc>
        <w:tc>
          <w:tcPr>
            <w:tcW w:w="340" w:type="dxa"/>
            <w:vAlign w:val="bottom"/>
            <w:tcBorders>
              <w:bottom w:val="single" w:sz="8" w:color="auto"/>
            </w:tcBorders>
            <w:gridSpan w:val="2"/>
            <w:shd w:val="clear" w:color="auto" w:fill="CCEEFF"/>
          </w:tcPr>
          <w:p>
            <w:pPr>
              <w:jc w:val="right"/>
              <w:ind w:right="58"/>
              <w:spacing w:after="0"/>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110,979</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345,406</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315,746</w:t>
            </w:r>
          </w:p>
        </w:tc>
      </w:tr>
      <w:tr>
        <w:trPr>
          <w:trHeight w:val="20"/>
        </w:trPr>
        <w:tc>
          <w:tcPr>
            <w:tcW w:w="2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86"/>
        </w:trPr>
        <w:tc>
          <w:tcPr>
            <w:tcW w:w="2240" w:type="dxa"/>
            <w:vAlign w:val="bottom"/>
            <w:tcBorders>
              <w:bottom w:val="single" w:sz="8" w:color="auto"/>
            </w:tcBorders>
          </w:tcPr>
          <w:p>
            <w:pPr>
              <w:spacing w:after="0"/>
              <w:rPr>
                <w:sz w:val="7"/>
                <w:szCs w:val="7"/>
                <w:color w:val="auto"/>
              </w:rPr>
            </w:pPr>
          </w:p>
        </w:tc>
        <w:tc>
          <w:tcPr>
            <w:tcW w:w="2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r>
    </w:tbl>
    <w:p>
      <w:pPr>
        <w:spacing w:after="0" w:line="64" w:lineRule="exact"/>
        <w:rPr>
          <w:sz w:val="20"/>
          <w:szCs w:val="20"/>
          <w:color w:val="auto"/>
        </w:rPr>
      </w:pPr>
    </w:p>
    <w:p>
      <w:pPr>
        <w:ind w:left="360" w:right="459" w:hanging="314"/>
        <w:spacing w:after="0" w:line="204" w:lineRule="auto"/>
        <w:tabs>
          <w:tab w:leader="none" w:pos="360" w:val="left"/>
        </w:tabs>
        <w:numPr>
          <w:ilvl w:val="0"/>
          <w:numId w:val="8"/>
        </w:numPr>
        <w:rPr>
          <w:rFonts w:ascii="Arial" w:cs="Arial" w:eastAsia="Arial" w:hAnsi="Arial"/>
          <w:sz w:val="26"/>
          <w:szCs w:val="26"/>
          <w:color w:val="auto"/>
          <w:vertAlign w:val="superscript"/>
        </w:rPr>
      </w:pPr>
      <w:r>
        <w:rPr>
          <w:rFonts w:ascii="Arial" w:cs="Arial" w:eastAsia="Arial" w:hAnsi="Arial"/>
          <w:sz w:val="17"/>
          <w:szCs w:val="17"/>
          <w:color w:val="auto"/>
        </w:rPr>
        <w:t>Core Market includes markets with existing company-operated restaurants at the time of the Company’s IPO on July 28, 2014.</w:t>
      </w:r>
    </w:p>
    <w:p>
      <w:pPr>
        <w:ind w:left="360" w:hanging="314"/>
        <w:spacing w:after="0" w:line="185" w:lineRule="auto"/>
        <w:tabs>
          <w:tab w:leader="none" w:pos="360" w:val="left"/>
        </w:tabs>
        <w:numPr>
          <w:ilvl w:val="0"/>
          <w:numId w:val="8"/>
        </w:numPr>
        <w:rPr>
          <w:rFonts w:ascii="Arial" w:cs="Arial" w:eastAsia="Arial" w:hAnsi="Arial"/>
          <w:sz w:val="23"/>
          <w:szCs w:val="23"/>
          <w:color w:val="auto"/>
          <w:vertAlign w:val="superscript"/>
        </w:rPr>
      </w:pPr>
      <w:r>
        <w:rPr>
          <w:rFonts w:ascii="Arial" w:cs="Arial" w:eastAsia="Arial" w:hAnsi="Arial"/>
          <w:sz w:val="16"/>
          <w:szCs w:val="16"/>
          <w:color w:val="auto"/>
        </w:rPr>
        <w:t>Non-Core Market includes markets entered into by the Company subsequent to the IPO date.</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following table presents our revenues disaggregated by geographic market:</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900" w:type="dxa"/>
            <w:vAlign w:val="bottom"/>
            <w:gridSpan w:val="4"/>
          </w:tcPr>
          <w:p>
            <w:pPr>
              <w:jc w:val="right"/>
              <w:ind w:right="795"/>
              <w:spacing w:after="0"/>
              <w:rPr>
                <w:sz w:val="20"/>
                <w:szCs w:val="20"/>
                <w:color w:val="auto"/>
              </w:rPr>
            </w:pPr>
            <w:r>
              <w:rPr>
                <w:rFonts w:ascii="Arial" w:cs="Arial" w:eastAsia="Arial" w:hAnsi="Arial"/>
                <w:sz w:val="14"/>
                <w:szCs w:val="14"/>
                <w:b w:val="1"/>
                <w:bCs w:val="1"/>
                <w:color w:val="auto"/>
              </w:rPr>
              <w:t>Thirteen Weeks Ended</w:t>
            </w:r>
          </w:p>
        </w:tc>
        <w:tc>
          <w:tcPr>
            <w:tcW w:w="2940" w:type="dxa"/>
            <w:vAlign w:val="bottom"/>
            <w:gridSpan w:val="4"/>
          </w:tcPr>
          <w:p>
            <w:pPr>
              <w:jc w:val="right"/>
              <w:ind w:right="715"/>
              <w:spacing w:after="0"/>
              <w:rPr>
                <w:sz w:val="20"/>
                <w:szCs w:val="20"/>
                <w:color w:val="auto"/>
              </w:rPr>
            </w:pPr>
            <w:r>
              <w:rPr>
                <w:rFonts w:ascii="Arial" w:cs="Arial" w:eastAsia="Arial" w:hAnsi="Arial"/>
                <w:sz w:val="14"/>
                <w:szCs w:val="14"/>
                <w:b w:val="1"/>
                <w:bCs w:val="1"/>
                <w:color w:val="auto"/>
              </w:rPr>
              <w:t>Thirty-Nine Weeks Ended</w:t>
            </w:r>
          </w:p>
        </w:tc>
      </w:tr>
      <w:tr>
        <w:trPr>
          <w:trHeight w:val="133"/>
        </w:trPr>
        <w:tc>
          <w:tcPr>
            <w:tcW w:w="3120" w:type="dxa"/>
            <w:vAlign w:val="bottom"/>
          </w:tcPr>
          <w:p>
            <w:pPr>
              <w:spacing w:after="0"/>
              <w:rPr>
                <w:sz w:val="11"/>
                <w:szCs w:val="11"/>
                <w:color w:val="auto"/>
              </w:rPr>
            </w:pPr>
          </w:p>
        </w:tc>
        <w:tc>
          <w:tcPr>
            <w:tcW w:w="1500" w:type="dxa"/>
            <w:vAlign w:val="bottom"/>
            <w:tcBorders>
              <w:top w:val="single" w:sz="8" w:color="auto"/>
            </w:tcBorders>
            <w:gridSpan w:val="2"/>
          </w:tcPr>
          <w:p>
            <w:pPr>
              <w:jc w:val="right"/>
              <w:ind w:right="235"/>
              <w:spacing w:after="0" w:line="134" w:lineRule="exact"/>
              <w:rPr>
                <w:sz w:val="20"/>
                <w:szCs w:val="20"/>
                <w:color w:val="auto"/>
              </w:rPr>
            </w:pPr>
            <w:r>
              <w:rPr>
                <w:rFonts w:ascii="Arial" w:cs="Arial" w:eastAsia="Arial" w:hAnsi="Arial"/>
                <w:sz w:val="14"/>
                <w:szCs w:val="14"/>
                <w:b w:val="1"/>
                <w:bCs w:val="1"/>
                <w:color w:val="auto"/>
                <w:w w:val="88"/>
              </w:rPr>
              <w:t>September 29, 2021</w:t>
            </w:r>
          </w:p>
        </w:tc>
        <w:tc>
          <w:tcPr>
            <w:tcW w:w="122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4"/>
                <w:szCs w:val="14"/>
                <w:b w:val="1"/>
                <w:bCs w:val="1"/>
                <w:color w:val="auto"/>
                <w:w w:val="88"/>
              </w:rPr>
              <w:t>September 23, 2020</w:t>
            </w:r>
          </w:p>
        </w:tc>
        <w:tc>
          <w:tcPr>
            <w:tcW w:w="180" w:type="dxa"/>
            <w:vAlign w:val="bottom"/>
          </w:tcPr>
          <w:p>
            <w:pPr>
              <w:spacing w:after="0"/>
              <w:rPr>
                <w:sz w:val="11"/>
                <w:szCs w:val="11"/>
                <w:color w:val="auto"/>
              </w:rPr>
            </w:pPr>
          </w:p>
        </w:tc>
        <w:tc>
          <w:tcPr>
            <w:tcW w:w="1520" w:type="dxa"/>
            <w:vAlign w:val="bottom"/>
            <w:tcBorders>
              <w:top w:val="single" w:sz="8" w:color="auto"/>
            </w:tcBorders>
            <w:gridSpan w:val="2"/>
          </w:tcPr>
          <w:p>
            <w:pPr>
              <w:jc w:val="right"/>
              <w:ind w:right="235"/>
              <w:spacing w:after="0" w:line="134" w:lineRule="exact"/>
              <w:rPr>
                <w:sz w:val="20"/>
                <w:szCs w:val="20"/>
                <w:color w:val="auto"/>
              </w:rPr>
            </w:pPr>
            <w:r>
              <w:rPr>
                <w:rFonts w:ascii="Arial" w:cs="Arial" w:eastAsia="Arial" w:hAnsi="Arial"/>
                <w:sz w:val="14"/>
                <w:szCs w:val="14"/>
                <w:b w:val="1"/>
                <w:bCs w:val="1"/>
                <w:color w:val="auto"/>
                <w:w w:val="90"/>
              </w:rPr>
              <w:t>September 29, 2021</w:t>
            </w:r>
          </w:p>
        </w:tc>
        <w:tc>
          <w:tcPr>
            <w:tcW w:w="124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4"/>
                <w:szCs w:val="14"/>
                <w:b w:val="1"/>
                <w:bCs w:val="1"/>
                <w:color w:val="auto"/>
                <w:w w:val="88"/>
              </w:rPr>
              <w:t>September 23, 2020</w:t>
            </w:r>
          </w:p>
        </w:tc>
        <w:tc>
          <w:tcPr>
            <w:tcW w:w="180" w:type="dxa"/>
            <w:vAlign w:val="bottom"/>
          </w:tcPr>
          <w:p>
            <w:pPr>
              <w:spacing w:after="0"/>
              <w:rPr>
                <w:sz w:val="11"/>
                <w:szCs w:val="11"/>
                <w:color w:val="auto"/>
              </w:rPr>
            </w:pPr>
          </w:p>
        </w:tc>
      </w:tr>
      <w:tr>
        <w:trPr>
          <w:trHeight w:val="197"/>
        </w:trPr>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Greater Los Angeles area market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71.6</w:t>
            </w:r>
          </w:p>
        </w:tc>
        <w:tc>
          <w:tcPr>
            <w:tcW w:w="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71.2</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70.8</w:t>
            </w:r>
          </w:p>
        </w:tc>
        <w:tc>
          <w:tcPr>
            <w:tcW w:w="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71.5</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r>
      <w:tr>
        <w:trPr>
          <w:trHeight w:val="205"/>
        </w:trPr>
        <w:tc>
          <w:tcPr>
            <w:tcW w:w="3120" w:type="dxa"/>
            <w:vAlign w:val="bottom"/>
          </w:tcPr>
          <w:p>
            <w:pPr>
              <w:spacing w:after="0"/>
              <w:rPr>
                <w:sz w:val="20"/>
                <w:szCs w:val="20"/>
                <w:color w:val="auto"/>
              </w:rPr>
            </w:pPr>
            <w:r>
              <w:rPr>
                <w:rFonts w:ascii="Arial" w:cs="Arial" w:eastAsia="Arial" w:hAnsi="Arial"/>
                <w:sz w:val="17"/>
                <w:szCs w:val="17"/>
                <w:color w:val="auto"/>
              </w:rPr>
              <w:t>Other markets</w:t>
            </w:r>
          </w:p>
        </w:tc>
        <w:tc>
          <w:tcPr>
            <w:tcW w:w="1500" w:type="dxa"/>
            <w:vAlign w:val="bottom"/>
            <w:gridSpan w:val="2"/>
          </w:tcPr>
          <w:p>
            <w:pPr>
              <w:jc w:val="right"/>
              <w:ind w:right="35"/>
              <w:spacing w:after="0"/>
              <w:rPr>
                <w:sz w:val="20"/>
                <w:szCs w:val="20"/>
                <w:color w:val="auto"/>
              </w:rPr>
            </w:pPr>
            <w:r>
              <w:rPr>
                <w:rFonts w:ascii="Arial" w:cs="Arial" w:eastAsia="Arial" w:hAnsi="Arial"/>
                <w:sz w:val="17"/>
                <w:szCs w:val="17"/>
                <w:color w:val="auto"/>
              </w:rPr>
              <w:t>28.4 %</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28.8 %</w:t>
            </w:r>
          </w:p>
        </w:tc>
        <w:tc>
          <w:tcPr>
            <w:tcW w:w="1520" w:type="dxa"/>
            <w:vAlign w:val="bottom"/>
            <w:gridSpan w:val="2"/>
          </w:tcPr>
          <w:p>
            <w:pPr>
              <w:jc w:val="right"/>
              <w:ind w:right="55"/>
              <w:spacing w:after="0"/>
              <w:rPr>
                <w:sz w:val="20"/>
                <w:szCs w:val="20"/>
                <w:color w:val="auto"/>
              </w:rPr>
            </w:pPr>
            <w:r>
              <w:rPr>
                <w:rFonts w:ascii="Arial" w:cs="Arial" w:eastAsia="Arial" w:hAnsi="Arial"/>
                <w:sz w:val="17"/>
                <w:szCs w:val="17"/>
                <w:color w:val="auto"/>
              </w:rPr>
              <w:t>29.2 %</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28.5 %</w:t>
            </w:r>
          </w:p>
        </w:tc>
      </w:tr>
      <w:tr>
        <w:trPr>
          <w:trHeight w:val="197"/>
        </w:trPr>
        <w:tc>
          <w:tcPr>
            <w:tcW w:w="31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Total</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100</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100</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3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2"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Contract balances</w:t>
      </w:r>
    </w:p>
    <w:p>
      <w:pPr>
        <w:spacing w:after="0" w:line="214" w:lineRule="exact"/>
        <w:rPr>
          <w:sz w:val="20"/>
          <w:szCs w:val="20"/>
          <w:color w:val="auto"/>
        </w:rPr>
      </w:pPr>
    </w:p>
    <w:p>
      <w:pPr>
        <w:ind w:left="40" w:right="99"/>
        <w:spacing w:after="0" w:line="276" w:lineRule="auto"/>
        <w:rPr>
          <w:sz w:val="20"/>
          <w:szCs w:val="20"/>
          <w:color w:val="auto"/>
        </w:rPr>
      </w:pPr>
      <w:r>
        <w:rPr>
          <w:rFonts w:ascii="Arial" w:cs="Arial" w:eastAsia="Arial" w:hAnsi="Arial"/>
          <w:sz w:val="17"/>
          <w:szCs w:val="17"/>
          <w:color w:val="auto"/>
        </w:rPr>
        <w:t>The following table provides information about the change in the franchise contract liability balances during the thirty-nine weeks ended September 29, 2021 and September 23, 2020 (in thousands)</w:t>
      </w:r>
      <w:r>
        <w:rPr>
          <w:rFonts w:ascii="Arial" w:cs="Arial" w:eastAsia="Arial" w:hAnsi="Arial"/>
          <w:sz w:val="17"/>
          <w:szCs w:val="17"/>
          <w:b w:val="1"/>
          <w:bCs w:val="1"/>
          <w:color w:val="auto"/>
        </w:rPr>
        <w:t>:</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7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December 30, 2020</w:t>
            </w:r>
          </w:p>
        </w:tc>
        <w:tc>
          <w:tcPr>
            <w:tcW w:w="46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5,628</w:t>
            </w:r>
          </w:p>
        </w:tc>
      </w:tr>
      <w:tr>
        <w:trPr>
          <w:trHeight w:val="205"/>
        </w:trPr>
        <w:tc>
          <w:tcPr>
            <w:tcW w:w="7660" w:type="dxa"/>
            <w:vAlign w:val="bottom"/>
          </w:tcPr>
          <w:p>
            <w:pPr>
              <w:ind w:left="100"/>
              <w:spacing w:after="0"/>
              <w:rPr>
                <w:sz w:val="20"/>
                <w:szCs w:val="20"/>
                <w:color w:val="auto"/>
              </w:rPr>
            </w:pPr>
            <w:r>
              <w:rPr>
                <w:rFonts w:ascii="Arial" w:cs="Arial" w:eastAsia="Arial" w:hAnsi="Arial"/>
                <w:sz w:val="17"/>
                <w:szCs w:val="17"/>
                <w:color w:val="auto"/>
              </w:rPr>
              <w:t>Revenue recognized - beginning balance</w:t>
            </w: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(514)</w:t>
            </w:r>
          </w:p>
        </w:tc>
      </w:tr>
      <w:tr>
        <w:trPr>
          <w:trHeight w:val="205"/>
        </w:trPr>
        <w:tc>
          <w:tcPr>
            <w:tcW w:w="76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Additional contract liability</w:t>
            </w: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1,330</w:t>
            </w:r>
          </w:p>
        </w:tc>
      </w:tr>
      <w:tr>
        <w:trPr>
          <w:trHeight w:val="245"/>
        </w:trPr>
        <w:tc>
          <w:tcPr>
            <w:tcW w:w="766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September 29, 2021</w:t>
            </w:r>
          </w:p>
        </w:tc>
        <w:tc>
          <w:tcPr>
            <w:tcW w:w="46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6,444</w:t>
            </w:r>
          </w:p>
        </w:tc>
      </w:tr>
      <w:tr>
        <w:trPr>
          <w:trHeight w:val="183"/>
        </w:trPr>
        <w:tc>
          <w:tcPr>
            <w:tcW w:w="76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05"/>
        </w:trPr>
        <w:tc>
          <w:tcPr>
            <w:tcW w:w="7660" w:type="dxa"/>
            <w:vAlign w:val="bottom"/>
          </w:tcPr>
          <w:p>
            <w:pPr>
              <w:spacing w:after="0"/>
              <w:rPr>
                <w:sz w:val="20"/>
                <w:szCs w:val="20"/>
                <w:color w:val="auto"/>
              </w:rPr>
            </w:pPr>
            <w:r>
              <w:rPr>
                <w:rFonts w:ascii="Arial" w:cs="Arial" w:eastAsia="Arial" w:hAnsi="Arial"/>
                <w:sz w:val="17"/>
                <w:szCs w:val="17"/>
                <w:b w:val="1"/>
                <w:bCs w:val="1"/>
                <w:color w:val="auto"/>
              </w:rPr>
              <w:t>December 25, 2019</w:t>
            </w:r>
          </w:p>
        </w:tc>
        <w:tc>
          <w:tcPr>
            <w:tcW w:w="460" w:type="dxa"/>
            <w:vAlign w:val="bottom"/>
          </w:tcPr>
          <w:p>
            <w:pPr>
              <w:jc w:val="right"/>
              <w:ind w:right="275"/>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6,317</w:t>
            </w:r>
          </w:p>
        </w:tc>
      </w:tr>
      <w:tr>
        <w:trPr>
          <w:trHeight w:val="205"/>
        </w:trPr>
        <w:tc>
          <w:tcPr>
            <w:tcW w:w="76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Revenue recognized - beginning balance</w:t>
            </w: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w:t>
            </w:r>
          </w:p>
        </w:tc>
      </w:tr>
      <w:tr>
        <w:trPr>
          <w:trHeight w:val="205"/>
        </w:trPr>
        <w:tc>
          <w:tcPr>
            <w:tcW w:w="7660" w:type="dxa"/>
            <w:vAlign w:val="bottom"/>
          </w:tcPr>
          <w:p>
            <w:pPr>
              <w:ind w:left="100"/>
              <w:spacing w:after="0"/>
              <w:rPr>
                <w:sz w:val="20"/>
                <w:szCs w:val="20"/>
                <w:color w:val="auto"/>
              </w:rPr>
            </w:pPr>
            <w:r>
              <w:rPr>
                <w:rFonts w:ascii="Arial" w:cs="Arial" w:eastAsia="Arial" w:hAnsi="Arial"/>
                <w:sz w:val="17"/>
                <w:szCs w:val="17"/>
                <w:color w:val="auto"/>
              </w:rPr>
              <w:t>Additional contract liability</w:t>
            </w: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05"/>
        </w:trPr>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September 23, 2020</w:t>
            </w:r>
          </w:p>
        </w:tc>
        <w:tc>
          <w:tcPr>
            <w:tcW w:w="46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7"/>
                <w:szCs w:val="17"/>
                <w:b w:val="1"/>
                <w:bCs w:val="1"/>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5,427</w:t>
            </w:r>
          </w:p>
        </w:tc>
      </w:tr>
      <w:tr>
        <w:trPr>
          <w:trHeight w:val="20"/>
        </w:trPr>
        <w:tc>
          <w:tcPr>
            <w:tcW w:w="76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both"/>
        <w:ind w:left="40" w:right="279"/>
        <w:spacing w:after="0" w:line="277" w:lineRule="auto"/>
        <w:rPr>
          <w:sz w:val="20"/>
          <w:szCs w:val="20"/>
          <w:color w:val="auto"/>
        </w:rPr>
      </w:pPr>
      <w:r>
        <w:rPr>
          <w:rFonts w:ascii="Arial" w:cs="Arial" w:eastAsia="Arial" w:hAnsi="Arial"/>
          <w:sz w:val="16"/>
          <w:szCs w:val="16"/>
          <w:color w:val="auto"/>
        </w:rPr>
        <w:t>The Company’s franchise contract liability includes development fees, initial franchise and license fees, franchise renewal fees, lease subsidies and royalty discounts and is included within other accrued expenses and current liabilities and other noncurrent liabilities within the accompanying condensed consolidated balance sheets. The Company receives area development fees from franchisees when they execute multi-unit area development agreements. Initial franchise and license fees, or franchise renewal fees, are received from franchisees upon the execution of, or renewal of, a franchise</w:t>
      </w:r>
    </w:p>
    <w:p>
      <w:pPr>
        <w:sectPr>
          <w:pgSz w:w="11900" w:h="16838" w:orient="portrait"/>
          <w:cols w:equalWidth="0" w:num="1">
            <w:col w:w="9019"/>
          </w:cols>
          <w:pgMar w:left="1440" w:top="498" w:right="1440"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360680</wp:posOffset>
            </wp:positionV>
            <wp:extent cx="5661025" cy="24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type w:val="continuous"/>
        </w:sectPr>
      </w:pPr>
    </w:p>
    <w:bookmarkStart w:id="25" w:name="page26"/>
    <w:bookmarkEnd w:id="25"/>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179"/>
        <w:spacing w:after="0" w:line="276" w:lineRule="auto"/>
        <w:rPr>
          <w:sz w:val="20"/>
          <w:szCs w:val="20"/>
          <w:color w:val="auto"/>
        </w:rPr>
      </w:pPr>
      <w:r>
        <w:rPr>
          <w:rFonts w:ascii="Arial" w:cs="Arial" w:eastAsia="Arial" w:hAnsi="Arial"/>
          <w:sz w:val="17"/>
          <w:szCs w:val="17"/>
          <w:color w:val="auto"/>
        </w:rPr>
        <w:t>agreement. Revenue is recognized from these agreements as the underlying performance obligation is satisfied, which is over the term of the agreement.</w:t>
      </w:r>
    </w:p>
    <w:p>
      <w:pPr>
        <w:spacing w:after="0" w:line="164" w:lineRule="exact"/>
        <w:rPr>
          <w:sz w:val="20"/>
          <w:szCs w:val="20"/>
          <w:color w:val="auto"/>
        </w:rPr>
      </w:pPr>
    </w:p>
    <w:p>
      <w:pPr>
        <w:ind w:left="40" w:right="239"/>
        <w:spacing w:after="0" w:line="276" w:lineRule="auto"/>
        <w:rPr>
          <w:sz w:val="20"/>
          <w:szCs w:val="20"/>
          <w:color w:val="auto"/>
        </w:rPr>
      </w:pPr>
      <w:r>
        <w:rPr>
          <w:rFonts w:ascii="Arial" w:cs="Arial" w:eastAsia="Arial" w:hAnsi="Arial"/>
          <w:sz w:val="17"/>
          <w:szCs w:val="17"/>
          <w:color w:val="auto"/>
        </w:rPr>
        <w:t>The following table illustrates the estimated revenue to be recognized in future periods related to performance obligations under the applicable contracts that are unsatisfied as of September 29, 2021 (in thousands):</w:t>
      </w:r>
    </w:p>
    <w:p>
      <w:pPr>
        <w:spacing w:after="0" w:line="200" w:lineRule="exact"/>
        <w:rPr>
          <w:sz w:val="20"/>
          <w:szCs w:val="20"/>
          <w:color w:val="auto"/>
        </w:rPr>
      </w:pPr>
    </w:p>
    <w:p>
      <w:pPr>
        <w:spacing w:after="0" w:line="3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Franchise revenues:</w:t>
      </w:r>
    </w:p>
    <w:tbl>
      <w:tblPr>
        <w:tblLayout w:type="fixed"/>
        <w:tblInd w:w="40" w:type="dxa"/>
        <w:tblCellMar>
          <w:top w:w="0" w:type="dxa"/>
          <w:left w:w="0" w:type="dxa"/>
          <w:bottom w:w="0" w:type="dxa"/>
          <w:right w:w="0" w:type="dxa"/>
        </w:tblCellMar>
      </w:tblPr>
      <w:tr>
        <w:trPr>
          <w:trHeight w:val="197"/>
        </w:trPr>
        <w:tc>
          <w:tcPr>
            <w:tcW w:w="45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Remainder of 2021</w:t>
            </w:r>
          </w:p>
        </w:tc>
        <w:tc>
          <w:tcPr>
            <w:tcW w:w="3580" w:type="dxa"/>
            <w:vAlign w:val="bottom"/>
            <w:tcBorders>
              <w:top w:val="single" w:sz="8" w:color="auto"/>
            </w:tcBorders>
            <w:gridSpan w:val="2"/>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w:t>
            </w:r>
          </w:p>
        </w:tc>
      </w:tr>
      <w:tr>
        <w:trPr>
          <w:trHeight w:val="205"/>
        </w:trPr>
        <w:tc>
          <w:tcPr>
            <w:tcW w:w="4540" w:type="dxa"/>
            <w:vAlign w:val="bottom"/>
          </w:tcPr>
          <w:p>
            <w:pPr>
              <w:ind w:left="100"/>
              <w:spacing w:after="0"/>
              <w:rPr>
                <w:sz w:val="20"/>
                <w:szCs w:val="20"/>
                <w:color w:val="auto"/>
              </w:rPr>
            </w:pPr>
            <w:r>
              <w:rPr>
                <w:rFonts w:ascii="Arial" w:cs="Arial" w:eastAsia="Arial" w:hAnsi="Arial"/>
                <w:sz w:val="17"/>
                <w:szCs w:val="17"/>
                <w:color w:val="auto"/>
              </w:rPr>
              <w:t>2022</w:t>
            </w:r>
          </w:p>
        </w:tc>
        <w:tc>
          <w:tcPr>
            <w:tcW w:w="3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637</w:t>
            </w:r>
          </w:p>
        </w:tc>
      </w:tr>
      <w:tr>
        <w:trPr>
          <w:trHeight w:val="205"/>
        </w:trPr>
        <w:tc>
          <w:tcPr>
            <w:tcW w:w="45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2023</w:t>
            </w:r>
          </w:p>
        </w:tc>
        <w:tc>
          <w:tcPr>
            <w:tcW w:w="3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w:t>
            </w:r>
          </w:p>
        </w:tc>
      </w:tr>
      <w:tr>
        <w:trPr>
          <w:trHeight w:val="205"/>
        </w:trPr>
        <w:tc>
          <w:tcPr>
            <w:tcW w:w="4540" w:type="dxa"/>
            <w:vAlign w:val="bottom"/>
          </w:tcPr>
          <w:p>
            <w:pPr>
              <w:ind w:left="100"/>
              <w:spacing w:after="0"/>
              <w:rPr>
                <w:sz w:val="20"/>
                <w:szCs w:val="20"/>
                <w:color w:val="auto"/>
              </w:rPr>
            </w:pPr>
            <w:r>
              <w:rPr>
                <w:rFonts w:ascii="Arial" w:cs="Arial" w:eastAsia="Arial" w:hAnsi="Arial"/>
                <w:sz w:val="17"/>
                <w:szCs w:val="17"/>
                <w:color w:val="auto"/>
              </w:rPr>
              <w:t>2024</w:t>
            </w:r>
          </w:p>
        </w:tc>
        <w:tc>
          <w:tcPr>
            <w:tcW w:w="3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473</w:t>
            </w:r>
          </w:p>
        </w:tc>
      </w:tr>
      <w:tr>
        <w:trPr>
          <w:trHeight w:val="205"/>
        </w:trPr>
        <w:tc>
          <w:tcPr>
            <w:tcW w:w="45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2025</w:t>
            </w:r>
          </w:p>
        </w:tc>
        <w:tc>
          <w:tcPr>
            <w:tcW w:w="3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w:t>
            </w:r>
          </w:p>
        </w:tc>
      </w:tr>
      <w:tr>
        <w:trPr>
          <w:trHeight w:val="205"/>
        </w:trPr>
        <w:tc>
          <w:tcPr>
            <w:tcW w:w="454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Thereafter</w:t>
            </w:r>
          </w:p>
        </w:tc>
        <w:tc>
          <w:tcPr>
            <w:tcW w:w="3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4,173</w:t>
            </w:r>
          </w:p>
        </w:tc>
      </w:tr>
      <w:tr>
        <w:trPr>
          <w:trHeight w:val="197"/>
        </w:trPr>
        <w:tc>
          <w:tcPr>
            <w:tcW w:w="4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b w:val="1"/>
                <w:bCs w:val="1"/>
                <w:color w:val="auto"/>
              </w:rPr>
              <w:t>Total</w:t>
            </w:r>
          </w:p>
        </w:tc>
        <w:tc>
          <w:tcPr>
            <w:tcW w:w="3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7"/>
                <w:szCs w:val="17"/>
                <w:b w:val="1"/>
                <w:bCs w:val="1"/>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6,444</w:t>
            </w:r>
          </w:p>
        </w:tc>
      </w:tr>
      <w:tr>
        <w:trPr>
          <w:trHeight w:val="20"/>
        </w:trPr>
        <w:tc>
          <w:tcPr>
            <w:tcW w:w="45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97" w:lineRule="exact"/>
        <w:rPr>
          <w:sz w:val="20"/>
          <w:szCs w:val="20"/>
          <w:color w:val="auto"/>
        </w:rPr>
      </w:pPr>
    </w:p>
    <w:p>
      <w:pPr>
        <w:jc w:val="both"/>
        <w:ind w:left="40" w:right="79"/>
        <w:spacing w:after="0" w:line="276" w:lineRule="auto"/>
        <w:rPr>
          <w:sz w:val="20"/>
          <w:szCs w:val="20"/>
          <w:color w:val="auto"/>
        </w:rPr>
      </w:pPr>
      <w:r>
        <w:rPr>
          <w:rFonts w:ascii="Arial" w:cs="Arial" w:eastAsia="Arial" w:hAnsi="Arial"/>
          <w:sz w:val="17"/>
          <w:szCs w:val="17"/>
          <w:color w:val="auto"/>
        </w:rPr>
        <w:t>Changes in the loyalty rewards program liability included in deferred revenue within other accrued expenses and current liabilities on the condensed consolidated balance sheets were as follows (in thousands):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6320" w:type="dxa"/>
            <w:vAlign w:val="bottom"/>
          </w:tcPr>
          <w:p>
            <w:pPr>
              <w:spacing w:after="0"/>
              <w:rPr>
                <w:sz w:val="17"/>
                <w:szCs w:val="17"/>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b w:val="1"/>
                <w:bCs w:val="1"/>
                <w:color w:val="auto"/>
              </w:rPr>
              <w:t>September 29,</w:t>
            </w:r>
          </w:p>
        </w:tc>
        <w:tc>
          <w:tcPr>
            <w:tcW w:w="20" w:type="dxa"/>
            <w:vAlign w:val="bottom"/>
          </w:tcPr>
          <w:p>
            <w:pPr>
              <w:spacing w:after="0"/>
              <w:rPr>
                <w:sz w:val="17"/>
                <w:szCs w:val="17"/>
                <w:color w:val="auto"/>
              </w:rPr>
            </w:pPr>
          </w:p>
        </w:tc>
        <w:tc>
          <w:tcPr>
            <w:tcW w:w="1260" w:type="dxa"/>
            <w:vAlign w:val="bottom"/>
            <w:gridSpan w:val="3"/>
          </w:tcPr>
          <w:p>
            <w:pPr>
              <w:ind w:left="40"/>
              <w:spacing w:after="0"/>
              <w:rPr>
                <w:sz w:val="20"/>
                <w:szCs w:val="20"/>
                <w:color w:val="auto"/>
              </w:rPr>
            </w:pPr>
            <w:r>
              <w:rPr>
                <w:rFonts w:ascii="Arial" w:cs="Arial" w:eastAsia="Arial" w:hAnsi="Arial"/>
                <w:sz w:val="17"/>
                <w:szCs w:val="17"/>
                <w:b w:val="1"/>
                <w:bCs w:val="1"/>
                <w:color w:val="auto"/>
              </w:rPr>
              <w:t>December 30,</w:t>
            </w:r>
          </w:p>
        </w:tc>
      </w:tr>
      <w:tr>
        <w:trPr>
          <w:trHeight w:val="221"/>
        </w:trPr>
        <w:tc>
          <w:tcPr>
            <w:tcW w:w="6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2021</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2020</w:t>
            </w:r>
          </w:p>
        </w:tc>
        <w:tc>
          <w:tcPr>
            <w:tcW w:w="160" w:type="dxa"/>
            <w:vAlign w:val="bottom"/>
            <w:tcBorders>
              <w:bottom w:val="single" w:sz="8" w:color="CCEEFF"/>
            </w:tcBorders>
          </w:tcPr>
          <w:p>
            <w:pPr>
              <w:spacing w:after="0"/>
              <w:rPr>
                <w:sz w:val="19"/>
                <w:szCs w:val="19"/>
                <w:color w:val="auto"/>
              </w:rPr>
            </w:pPr>
          </w:p>
        </w:tc>
      </w:tr>
      <w:tr>
        <w:trPr>
          <w:trHeight w:val="198"/>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Loyalty rewards liability, beginning balance</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1,084</w:t>
            </w:r>
          </w:p>
        </w:tc>
        <w:tc>
          <w:tcPr>
            <w:tcW w:w="160" w:type="dxa"/>
            <w:vAlign w:val="bottom"/>
            <w:shd w:val="clear" w:color="auto" w:fill="CCEEFF"/>
          </w:tcPr>
          <w:p>
            <w:pPr>
              <w:spacing w:after="0"/>
              <w:rPr>
                <w:sz w:val="17"/>
                <w:szCs w:val="17"/>
                <w:color w:val="auto"/>
              </w:rPr>
            </w:pPr>
          </w:p>
        </w:tc>
      </w:tr>
      <w:tr>
        <w:trPr>
          <w:trHeight w:val="205"/>
        </w:trPr>
        <w:tc>
          <w:tcPr>
            <w:tcW w:w="6320" w:type="dxa"/>
            <w:vAlign w:val="bottom"/>
          </w:tcPr>
          <w:p>
            <w:pPr>
              <w:spacing w:after="0"/>
              <w:rPr>
                <w:sz w:val="20"/>
                <w:szCs w:val="20"/>
                <w:color w:val="auto"/>
              </w:rPr>
            </w:pPr>
            <w:r>
              <w:rPr>
                <w:rFonts w:ascii="Arial" w:cs="Arial" w:eastAsia="Arial" w:hAnsi="Arial"/>
                <w:sz w:val="17"/>
                <w:szCs w:val="17"/>
                <w:color w:val="auto"/>
              </w:rPr>
              <w:t>Revenue deferred</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2,030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2,463</w:t>
            </w:r>
          </w:p>
        </w:tc>
        <w:tc>
          <w:tcPr>
            <w:tcW w:w="160" w:type="dxa"/>
            <w:vAlign w:val="bottom"/>
          </w:tcPr>
          <w:p>
            <w:pPr>
              <w:spacing w:after="0"/>
              <w:rPr>
                <w:sz w:val="17"/>
                <w:szCs w:val="17"/>
                <w:color w:val="auto"/>
              </w:rPr>
            </w:pPr>
          </w:p>
        </w:tc>
      </w:tr>
      <w:tr>
        <w:trPr>
          <w:trHeight w:val="205"/>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Revenue recognized</w:t>
            </w: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(2,647)</w:t>
            </w:r>
          </w:p>
        </w:tc>
        <w:tc>
          <w:tcPr>
            <w:tcW w:w="160" w:type="dxa"/>
            <w:vAlign w:val="bottom"/>
            <w:shd w:val="clear" w:color="auto" w:fill="CCEEFF"/>
          </w:tcPr>
          <w:p>
            <w:pPr>
              <w:spacing w:after="0"/>
              <w:rPr>
                <w:sz w:val="17"/>
                <w:szCs w:val="17"/>
                <w:color w:val="auto"/>
              </w:rPr>
            </w:pPr>
          </w:p>
        </w:tc>
      </w:tr>
      <w:tr>
        <w:trPr>
          <w:trHeight w:val="197"/>
        </w:trPr>
        <w:tc>
          <w:tcPr>
            <w:tcW w:w="6320" w:type="dxa"/>
            <w:vAlign w:val="bottom"/>
          </w:tcPr>
          <w:p>
            <w:pPr>
              <w:spacing w:after="0"/>
              <w:rPr>
                <w:sz w:val="20"/>
                <w:szCs w:val="20"/>
                <w:color w:val="auto"/>
              </w:rPr>
            </w:pPr>
            <w:r>
              <w:rPr>
                <w:rFonts w:ascii="Arial" w:cs="Arial" w:eastAsia="Arial" w:hAnsi="Arial"/>
                <w:sz w:val="17"/>
                <w:szCs w:val="17"/>
                <w:color w:val="auto"/>
              </w:rPr>
              <w:t>Loyalty rewards liability, ending balance</w:t>
            </w:r>
          </w:p>
        </w:tc>
        <w:tc>
          <w:tcPr>
            <w:tcW w:w="240" w:type="dxa"/>
            <w:vAlign w:val="bottom"/>
            <w:tcBorders>
              <w:bottom w:val="single" w:sz="8" w:color="auto"/>
            </w:tcBorders>
          </w:tcPr>
          <w:p>
            <w:pPr>
              <w:jc w:val="right"/>
              <w:ind w:right="82"/>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747</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100"/>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900</w:t>
            </w:r>
          </w:p>
        </w:tc>
        <w:tc>
          <w:tcPr>
            <w:tcW w:w="160" w:type="dxa"/>
            <w:vAlign w:val="bottom"/>
          </w:tcPr>
          <w:p>
            <w:pPr>
              <w:spacing w:after="0"/>
              <w:rPr>
                <w:sz w:val="17"/>
                <w:szCs w:val="17"/>
                <w:color w:val="auto"/>
              </w:rPr>
            </w:pPr>
          </w:p>
        </w:tc>
      </w:tr>
      <w:tr>
        <w:trPr>
          <w:trHeight w:val="20"/>
        </w:trPr>
        <w:tc>
          <w:tcPr>
            <w:tcW w:w="6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97" w:lineRule="exact"/>
        <w:rPr>
          <w:sz w:val="20"/>
          <w:szCs w:val="20"/>
          <w:color w:val="auto"/>
        </w:rPr>
      </w:pPr>
    </w:p>
    <w:p>
      <w:pPr>
        <w:ind w:left="40" w:right="359"/>
        <w:spacing w:after="0" w:line="276" w:lineRule="auto"/>
        <w:rPr>
          <w:sz w:val="20"/>
          <w:szCs w:val="20"/>
          <w:color w:val="auto"/>
        </w:rPr>
      </w:pPr>
      <w:r>
        <w:rPr>
          <w:rFonts w:ascii="Arial" w:cs="Arial" w:eastAsia="Arial" w:hAnsi="Arial"/>
          <w:sz w:val="17"/>
          <w:szCs w:val="17"/>
          <w:color w:val="auto"/>
        </w:rPr>
        <w:t>The Company expects all loyalty points revenue related to performance obligations unsatisfied as of September 29, 2021 to be recognized within one year.</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Gift Cards</w:t>
      </w:r>
    </w:p>
    <w:p>
      <w:pPr>
        <w:spacing w:after="0" w:line="214" w:lineRule="exact"/>
        <w:rPr>
          <w:sz w:val="20"/>
          <w:szCs w:val="20"/>
          <w:color w:val="auto"/>
        </w:rPr>
      </w:pPr>
    </w:p>
    <w:p>
      <w:pPr>
        <w:ind w:left="40" w:right="139"/>
        <w:spacing w:after="0" w:line="276" w:lineRule="auto"/>
        <w:rPr>
          <w:sz w:val="20"/>
          <w:szCs w:val="20"/>
          <w:color w:val="auto"/>
        </w:rPr>
      </w:pPr>
      <w:r>
        <w:rPr>
          <w:rFonts w:ascii="Arial" w:cs="Arial" w:eastAsia="Arial" w:hAnsi="Arial"/>
          <w:sz w:val="17"/>
          <w:szCs w:val="17"/>
          <w:color w:val="auto"/>
        </w:rPr>
        <w:t>The gift card liability included in other accrued expenses and current liabilities on the condensed consolidated balance sheets was as follows (in thousands):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66"/>
              <w:spacing w:after="0"/>
              <w:rPr>
                <w:sz w:val="20"/>
                <w:szCs w:val="20"/>
                <w:color w:val="auto"/>
              </w:rPr>
            </w:pPr>
            <w:r>
              <w:rPr>
                <w:rFonts w:ascii="Arial" w:cs="Arial" w:eastAsia="Arial" w:hAnsi="Arial"/>
                <w:sz w:val="14"/>
                <w:szCs w:val="14"/>
                <w:b w:val="1"/>
                <w:bCs w:val="1"/>
                <w:color w:val="auto"/>
                <w:w w:val="85"/>
              </w:rPr>
              <w:t>September 29,</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86"/>
              <w:spacing w:after="0"/>
              <w:rPr>
                <w:sz w:val="20"/>
                <w:szCs w:val="20"/>
                <w:color w:val="auto"/>
              </w:rPr>
            </w:pPr>
            <w:r>
              <w:rPr>
                <w:rFonts w:ascii="Arial" w:cs="Arial" w:eastAsia="Arial" w:hAnsi="Arial"/>
                <w:sz w:val="14"/>
                <w:szCs w:val="14"/>
                <w:b w:val="1"/>
                <w:bCs w:val="1"/>
                <w:color w:val="auto"/>
                <w:w w:val="87"/>
              </w:rPr>
              <w:t>December 30,</w:t>
            </w:r>
          </w:p>
        </w:tc>
      </w:tr>
      <w:tr>
        <w:trPr>
          <w:trHeight w:val="190"/>
        </w:trPr>
        <w:tc>
          <w:tcPr>
            <w:tcW w:w="6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6"/>
              <w:spacing w:after="0"/>
              <w:rPr>
                <w:sz w:val="20"/>
                <w:szCs w:val="20"/>
                <w:color w:val="auto"/>
              </w:rPr>
            </w:pPr>
            <w:r>
              <w:rPr>
                <w:rFonts w:ascii="Arial" w:cs="Arial" w:eastAsia="Arial" w:hAnsi="Arial"/>
                <w:sz w:val="14"/>
                <w:szCs w:val="14"/>
                <w:b w:val="1"/>
                <w:bCs w:val="1"/>
                <w:color w:val="auto"/>
              </w:rPr>
              <w:t>2020</w:t>
            </w:r>
          </w:p>
        </w:tc>
      </w:tr>
      <w:tr>
        <w:trPr>
          <w:trHeight w:val="197"/>
        </w:trPr>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Gift card 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3,686</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4,008</w:t>
            </w:r>
          </w:p>
        </w:tc>
      </w:tr>
      <w:tr>
        <w:trPr>
          <w:trHeight w:val="20"/>
        </w:trPr>
        <w:tc>
          <w:tcPr>
            <w:tcW w:w="6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40" w:right="339"/>
        <w:spacing w:after="0" w:line="276" w:lineRule="auto"/>
        <w:rPr>
          <w:sz w:val="20"/>
          <w:szCs w:val="20"/>
          <w:color w:val="auto"/>
        </w:rPr>
      </w:pPr>
      <w:r>
        <w:rPr>
          <w:rFonts w:ascii="Arial" w:cs="Arial" w:eastAsia="Arial" w:hAnsi="Arial"/>
          <w:sz w:val="17"/>
          <w:szCs w:val="17"/>
          <w:color w:val="auto"/>
        </w:rPr>
        <w:t>Revenue recognized from the redemption of gift cards that was included in other accrued expenses and current liabilities at the beginning of the year was as follows (in thousands):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rPr>
              <w:t>Thirteen Weeks Ended</w:t>
            </w: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Thirty-Nine Weeks Ended</w:t>
            </w: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5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September 29, 2021</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September 23, 2020</w:t>
            </w:r>
          </w:p>
        </w:tc>
        <w:tc>
          <w:tcPr>
            <w:tcW w:w="18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September 29, 2021</w:t>
            </w:r>
          </w:p>
        </w:tc>
        <w:tc>
          <w:tcPr>
            <w:tcW w:w="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September 23, 2020</w:t>
            </w: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80" w:type="dxa"/>
            <w:vAlign w:val="bottom"/>
            <w:shd w:val="clear" w:color="auto" w:fill="CCEEFF"/>
          </w:tcPr>
          <w:p>
            <w:pPr>
              <w:spacing w:after="0" w:line="172" w:lineRule="exact"/>
              <w:rPr>
                <w:sz w:val="20"/>
                <w:szCs w:val="20"/>
                <w:color w:val="auto"/>
              </w:rPr>
            </w:pPr>
            <w:r>
              <w:rPr>
                <w:rFonts w:ascii="Arial" w:cs="Arial" w:eastAsia="Arial" w:hAnsi="Arial"/>
                <w:sz w:val="17"/>
                <w:szCs w:val="17"/>
                <w:color w:val="auto"/>
                <w:w w:val="93"/>
              </w:rPr>
              <w:t>Revenue recognized from gift card liability balance</w:t>
            </w:r>
          </w:p>
        </w:tc>
        <w:tc>
          <w:tcPr>
            <w:tcW w:w="400" w:type="dxa"/>
            <w:vAlign w:val="bottom"/>
            <w:gridSpan w:val="2"/>
            <w:vMerge w:val="restart"/>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860" w:type="dxa"/>
            <w:vAlign w:val="bottom"/>
            <w:gridSpan w:val="2"/>
            <w:vMerge w:val="restart"/>
            <w:shd w:val="clear" w:color="auto" w:fill="CCEEFF"/>
          </w:tcPr>
          <w:p>
            <w:pPr>
              <w:jc w:val="right"/>
              <w:ind w:right="612"/>
              <w:spacing w:after="0"/>
              <w:rPr>
                <w:sz w:val="20"/>
                <w:szCs w:val="20"/>
                <w:color w:val="auto"/>
              </w:rPr>
            </w:pPr>
            <w:r>
              <w:rPr>
                <w:rFonts w:ascii="Arial" w:cs="Arial" w:eastAsia="Arial" w:hAnsi="Arial"/>
                <w:sz w:val="17"/>
                <w:szCs w:val="17"/>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480" w:type="dxa"/>
            <w:vAlign w:val="bottom"/>
            <w:gridSpan w:val="2"/>
            <w:vMerge w:val="restart"/>
            <w:shd w:val="clear" w:color="auto" w:fill="CCEEFF"/>
          </w:tcPr>
          <w:p>
            <w:pPr>
              <w:jc w:val="right"/>
              <w:ind w:right="152"/>
              <w:spacing w:after="0"/>
              <w:rPr>
                <w:sz w:val="20"/>
                <w:szCs w:val="20"/>
                <w:color w:val="auto"/>
              </w:rPr>
            </w:pPr>
            <w:r>
              <w:rPr>
                <w:rFonts w:ascii="Arial" w:cs="Arial" w:eastAsia="Arial" w:hAnsi="Arial"/>
                <w:sz w:val="17"/>
                <w:szCs w:val="17"/>
                <w:b w:val="1"/>
                <w:bCs w:val="1"/>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1,509</w:t>
            </w:r>
          </w:p>
        </w:tc>
        <w:tc>
          <w:tcPr>
            <w:tcW w:w="900" w:type="dxa"/>
            <w:vAlign w:val="bottom"/>
            <w:gridSpan w:val="2"/>
            <w:vMerge w:val="restart"/>
            <w:shd w:val="clear" w:color="auto" w:fill="CCEEFF"/>
          </w:tcPr>
          <w:p>
            <w:pPr>
              <w:jc w:val="right"/>
              <w:ind w:right="672"/>
              <w:spacing w:after="0"/>
              <w:rPr>
                <w:sz w:val="20"/>
                <w:szCs w:val="20"/>
                <w:color w:val="auto"/>
              </w:rPr>
            </w:pPr>
            <w:r>
              <w:rPr>
                <w:rFonts w:ascii="Arial" w:cs="Arial" w:eastAsia="Arial" w:hAnsi="Arial"/>
                <w:sz w:val="17"/>
                <w:szCs w:val="17"/>
                <w:b w:val="1"/>
                <w:bCs w:val="1"/>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890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at the beginning of the year</w:t>
            </w:r>
          </w:p>
        </w:tc>
        <w:tc>
          <w:tcPr>
            <w:tcW w:w="40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480" w:type="dxa"/>
            <w:vAlign w:val="bottom"/>
            <w:gridSpan w:val="2"/>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Contract Costs</w:t>
      </w:r>
    </w:p>
    <w:p>
      <w:pPr>
        <w:spacing w:after="0" w:line="214" w:lineRule="exact"/>
        <w:rPr>
          <w:sz w:val="20"/>
          <w:szCs w:val="20"/>
          <w:color w:val="auto"/>
        </w:rPr>
      </w:pPr>
    </w:p>
    <w:p>
      <w:pPr>
        <w:ind w:left="40" w:right="339"/>
        <w:spacing w:after="0" w:line="276" w:lineRule="auto"/>
        <w:rPr>
          <w:sz w:val="20"/>
          <w:szCs w:val="20"/>
          <w:color w:val="auto"/>
        </w:rPr>
      </w:pPr>
      <w:r>
        <w:rPr>
          <w:rFonts w:ascii="Arial" w:cs="Arial" w:eastAsia="Arial" w:hAnsi="Arial"/>
          <w:sz w:val="17"/>
          <w:szCs w:val="17"/>
          <w:color w:val="auto"/>
        </w:rPr>
        <w:t>The Company does not currently incur costs to obtain or fulfill a contract that would be considered contract assets under Topic 606.</w:t>
      </w:r>
    </w:p>
    <w:p>
      <w:pPr>
        <w:sectPr>
          <w:pgSz w:w="11900" w:h="16838" w:orient="portrait"/>
          <w:cols w:equalWidth="0" w:num="1">
            <w:col w:w="9019"/>
          </w:cols>
          <w:pgMar w:left="1440" w:top="498"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360680</wp:posOffset>
            </wp:positionV>
            <wp:extent cx="5661025" cy="24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type w:val="continuous"/>
        </w:sectPr>
      </w:pPr>
    </w:p>
    <w:bookmarkStart w:id="26" w:name="page27"/>
    <w:bookmarkEnd w:id="26"/>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11. LEASES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Nature of leases</w:t>
      </w:r>
    </w:p>
    <w:p>
      <w:pPr>
        <w:spacing w:after="0" w:line="214" w:lineRule="exact"/>
        <w:rPr>
          <w:sz w:val="20"/>
          <w:szCs w:val="20"/>
          <w:color w:val="auto"/>
        </w:rPr>
      </w:pPr>
    </w:p>
    <w:p>
      <w:pPr>
        <w:ind w:left="40" w:right="179"/>
        <w:spacing w:after="0" w:line="308" w:lineRule="auto"/>
        <w:rPr>
          <w:sz w:val="20"/>
          <w:szCs w:val="20"/>
          <w:color w:val="auto"/>
        </w:rPr>
      </w:pPr>
      <w:r>
        <w:rPr>
          <w:rFonts w:ascii="Arial" w:cs="Arial" w:eastAsia="Arial" w:hAnsi="Arial"/>
          <w:sz w:val="16"/>
          <w:szCs w:val="16"/>
          <w:color w:val="auto"/>
        </w:rPr>
        <w:t>The Company’s operations utilize property, facilities, equipment and vehicles leased from others. Additionally, the Company has various contracts with vendors that have been determined to contain an embedded lease in accordance with Topic 842.</w:t>
      </w:r>
    </w:p>
    <w:p>
      <w:pPr>
        <w:spacing w:after="0" w:line="142" w:lineRule="exact"/>
        <w:rPr>
          <w:sz w:val="20"/>
          <w:szCs w:val="20"/>
          <w:color w:val="auto"/>
        </w:rPr>
      </w:pPr>
    </w:p>
    <w:p>
      <w:pPr>
        <w:ind w:left="40" w:right="279"/>
        <w:spacing w:after="0" w:line="276" w:lineRule="auto"/>
        <w:rPr>
          <w:sz w:val="20"/>
          <w:szCs w:val="20"/>
          <w:color w:val="auto"/>
        </w:rPr>
      </w:pPr>
      <w:r>
        <w:rPr>
          <w:rFonts w:ascii="Arial" w:cs="Arial" w:eastAsia="Arial" w:hAnsi="Arial"/>
          <w:sz w:val="17"/>
          <w:szCs w:val="17"/>
          <w:color w:val="auto"/>
        </w:rPr>
        <w:t>As of September 29, 2021, the Company had one lease that it had entered into, but had not yet commenced. The Company does not have control of the property until lease commencement.</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Building and facility leases</w:t>
      </w:r>
    </w:p>
    <w:p>
      <w:pPr>
        <w:spacing w:after="0" w:line="218" w:lineRule="exact"/>
        <w:rPr>
          <w:sz w:val="20"/>
          <w:szCs w:val="20"/>
          <w:color w:val="auto"/>
        </w:rPr>
      </w:pPr>
    </w:p>
    <w:p>
      <w:pPr>
        <w:ind w:left="40" w:right="259"/>
        <w:spacing w:after="0" w:line="276" w:lineRule="auto"/>
        <w:rPr>
          <w:sz w:val="20"/>
          <w:szCs w:val="20"/>
          <w:color w:val="auto"/>
        </w:rPr>
      </w:pPr>
      <w:r>
        <w:rPr>
          <w:rFonts w:ascii="Arial" w:cs="Arial" w:eastAsia="Arial" w:hAnsi="Arial"/>
          <w:sz w:val="17"/>
          <w:szCs w:val="17"/>
          <w:color w:val="auto"/>
        </w:rPr>
        <w:t>The majority of the Company’s building and facilities leases are classified as operating leases; however, the Company currently has two facilities and nine equipment leases that are classified as finance leases.</w:t>
      </w:r>
    </w:p>
    <w:p>
      <w:pPr>
        <w:spacing w:after="0" w:line="164" w:lineRule="exact"/>
        <w:rPr>
          <w:sz w:val="20"/>
          <w:szCs w:val="20"/>
          <w:color w:val="auto"/>
        </w:rPr>
      </w:pPr>
    </w:p>
    <w:p>
      <w:pPr>
        <w:ind w:left="40" w:right="179"/>
        <w:spacing w:after="0" w:line="273" w:lineRule="auto"/>
        <w:rPr>
          <w:sz w:val="20"/>
          <w:szCs w:val="20"/>
          <w:color w:val="auto"/>
        </w:rPr>
      </w:pPr>
      <w:r>
        <w:rPr>
          <w:rFonts w:ascii="Arial" w:cs="Arial" w:eastAsia="Arial" w:hAnsi="Arial"/>
          <w:sz w:val="16"/>
          <w:szCs w:val="16"/>
          <w:color w:val="auto"/>
        </w:rPr>
        <w:t>Restaurants are operated under lease arrangements that generally provide for a fixed base rent and, in some instances, contingent rent based on a percentage of gross operating profit or net revenues in excess of a defined amount. Additionally, a number of the Company’s leases have payments, which increase at pre-determined dates based on the change in the consumer price index. For all leases, the Company also reimburses the landlord for non-lease components, or items that are not considered components of a contract, such as CAM, property tax and insurance costs. While the Company determined not to separate lease and non-lease components, these payments are based on actual costs, making them variable consideration and excluding them from the calculations of the ROU asset and lease liability.</w:t>
      </w:r>
    </w:p>
    <w:p>
      <w:pPr>
        <w:spacing w:after="0" w:line="172" w:lineRule="exact"/>
        <w:rPr>
          <w:sz w:val="20"/>
          <w:szCs w:val="20"/>
          <w:color w:val="auto"/>
        </w:rPr>
      </w:pPr>
    </w:p>
    <w:p>
      <w:pPr>
        <w:ind w:left="40" w:right="219"/>
        <w:spacing w:after="0" w:line="299" w:lineRule="auto"/>
        <w:rPr>
          <w:sz w:val="20"/>
          <w:szCs w:val="20"/>
          <w:color w:val="auto"/>
        </w:rPr>
      </w:pPr>
      <w:r>
        <w:rPr>
          <w:rFonts w:ascii="Arial" w:cs="Arial" w:eastAsia="Arial" w:hAnsi="Arial"/>
          <w:sz w:val="15"/>
          <w:szCs w:val="15"/>
          <w:color w:val="auto"/>
        </w:rPr>
        <w:t>The initial terms of land and restaurant building leases are generally 20 years, exclusive of options to renew. These leases typically have four 5-year renewal options, which have generally been excluded in the calculation of the ROU asset and lease liability, as they are not considered reasonably certain to be exercised, unless (1) the renewal had already occurred as of the time of adoption of Topic 842, or (2) there have been significant leasehold improvements that have a useful life that extend past the original lease term. Furthermore, there are no residual value guarantees and no restrictions imposed by the lease.</w:t>
      </w:r>
    </w:p>
    <w:p>
      <w:pPr>
        <w:spacing w:after="0" w:line="154" w:lineRule="exact"/>
        <w:rPr>
          <w:sz w:val="20"/>
          <w:szCs w:val="20"/>
          <w:color w:val="auto"/>
        </w:rPr>
      </w:pPr>
    </w:p>
    <w:p>
      <w:pPr>
        <w:ind w:left="40" w:right="99"/>
        <w:spacing w:after="0" w:line="270" w:lineRule="auto"/>
        <w:rPr>
          <w:sz w:val="20"/>
          <w:szCs w:val="20"/>
          <w:color w:val="auto"/>
        </w:rPr>
      </w:pPr>
      <w:r>
        <w:rPr>
          <w:rFonts w:ascii="Arial" w:cs="Arial" w:eastAsia="Arial" w:hAnsi="Arial"/>
          <w:sz w:val="16"/>
          <w:szCs w:val="16"/>
          <w:color w:val="auto"/>
        </w:rPr>
        <w:t>During the thirteen and thirty-nine weeks ended September 29, 2021, the Company reassessed the lease terms on four and 16 restaurants, respectively, due to certain triggering events, such as the addition of significant leasehold improvements with useful lives that extend past the current lease expiration, the decision to terminate a lease, or the decision to renew. As a result of the reassessment, an additional $2.6 million and $13.8 million of ROU asset and lease liabilities for the thirteen and thirty-nine weeks ended September 29, 2021, respectively, were recognized and will be amortized over the new lease term. During the thirteen and thirty-nine weeks ended September 23, 2020, the Company reassessed the lease terms on two and nine restaurants, respectively, due to the addition of significant leasehold improvements with useful lives that extend past the current lease expiration, the decision to terminate a lease or the decision to renew leases. This reassessment resulted in an additional $0.3 million and $2.0 million of ROU asset and lease liability for the thirteen and thirty-nine weeks ended September 23, 2020, respectively, which will be recognized over the new lease term. The reassessments did not have any impact on the original lease classification. Additionally, as the Company adopted all practical expedients available under Topic 842, no reallocation between lease and non-lease components was necessary.</w:t>
      </w:r>
    </w:p>
    <w:p>
      <w:pPr>
        <w:spacing w:after="0" w:line="177" w:lineRule="exact"/>
        <w:rPr>
          <w:sz w:val="20"/>
          <w:szCs w:val="20"/>
          <w:color w:val="auto"/>
        </w:rPr>
      </w:pPr>
    </w:p>
    <w:p>
      <w:pPr>
        <w:ind w:left="40" w:right="119"/>
        <w:spacing w:after="0" w:line="280" w:lineRule="auto"/>
        <w:rPr>
          <w:sz w:val="20"/>
          <w:szCs w:val="20"/>
          <w:color w:val="auto"/>
        </w:rPr>
      </w:pPr>
      <w:r>
        <w:rPr>
          <w:rFonts w:ascii="Arial" w:cs="Arial" w:eastAsia="Arial" w:hAnsi="Arial"/>
          <w:sz w:val="16"/>
          <w:szCs w:val="16"/>
          <w:color w:val="auto"/>
        </w:rPr>
        <w:t>The Company also subleases facilities to certain franchisees and other non-related parties which are also considered operating leases. Sublease income also includes contingent rental income based on net revenues. The vast majority of these leases have rights to extend terms via fixed rental increases. However, none of these leases have early termination rights, the right to purchase the premises or any residual value guarantees. The Company does not have any related party leases.</w:t>
      </w:r>
    </w:p>
    <w:p>
      <w:pPr>
        <w:spacing w:after="0" w:line="165" w:lineRule="exact"/>
        <w:rPr>
          <w:sz w:val="20"/>
          <w:szCs w:val="20"/>
          <w:color w:val="auto"/>
        </w:rPr>
      </w:pPr>
    </w:p>
    <w:p>
      <w:pPr>
        <w:ind w:left="40" w:right="99"/>
        <w:spacing w:after="0" w:line="277" w:lineRule="auto"/>
        <w:rPr>
          <w:sz w:val="20"/>
          <w:szCs w:val="20"/>
          <w:color w:val="auto"/>
        </w:rPr>
      </w:pPr>
      <w:r>
        <w:rPr>
          <w:rFonts w:ascii="Arial" w:cs="Arial" w:eastAsia="Arial" w:hAnsi="Arial"/>
          <w:sz w:val="16"/>
          <w:szCs w:val="16"/>
          <w:color w:val="auto"/>
        </w:rPr>
        <w:t>During the thirty-nine weeks ended September 29, 2021, the Company determined that the carrying value of ROU assets at two restaurants was not recoverable. As a result, the Company recorded a $0.4 million non-cash impairment charge for the thirty-nine weeks ended September 29, 2021 related to one restaurant closed in Texas in 2019 and one restaurant in California. The Company recorded a $0.5 million non-cash impairment charge for the thirty-nine weeks ended September 23, 2020 related to one restaurant in Texas sold to franchisees in the prior year. See Note 1, “Basis of</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27" w:name="page28"/>
    <w:bookmarkEnd w:id="27"/>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739"/>
        <w:spacing w:after="0" w:line="276" w:lineRule="auto"/>
        <w:rPr>
          <w:sz w:val="20"/>
          <w:szCs w:val="20"/>
          <w:color w:val="auto"/>
        </w:rPr>
      </w:pPr>
      <w:r>
        <w:rPr>
          <w:rFonts w:ascii="Arial" w:cs="Arial" w:eastAsia="Arial" w:hAnsi="Arial"/>
          <w:sz w:val="17"/>
          <w:szCs w:val="17"/>
          <w:color w:val="auto"/>
        </w:rPr>
        <w:t>Presentation and Summary of Significant Accounting Policies – Impairment of Long-Lived Assets and ROU Assets” for additional information.</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Equipment</w:t>
      </w:r>
    </w:p>
    <w:p>
      <w:pPr>
        <w:spacing w:after="0" w:line="218" w:lineRule="exact"/>
        <w:rPr>
          <w:sz w:val="20"/>
          <w:szCs w:val="20"/>
          <w:color w:val="auto"/>
        </w:rPr>
      </w:pPr>
    </w:p>
    <w:p>
      <w:pPr>
        <w:ind w:left="40" w:right="239"/>
        <w:spacing w:after="0" w:line="263" w:lineRule="auto"/>
        <w:rPr>
          <w:sz w:val="20"/>
          <w:szCs w:val="20"/>
          <w:color w:val="auto"/>
        </w:rPr>
      </w:pPr>
      <w:r>
        <w:rPr>
          <w:rFonts w:ascii="Arial" w:cs="Arial" w:eastAsia="Arial" w:hAnsi="Arial"/>
          <w:sz w:val="17"/>
          <w:szCs w:val="17"/>
          <w:color w:val="auto"/>
        </w:rPr>
        <w:t>Leases of equipment primarily consist of restaurant equipment, copiers and vehicles. These leases are fixed payments with no variable component. Additionally, no optional renewal periods have been included in the calculation of the ROU asset, there are no residual value guarantees and no restrictions imposed.</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Significant Assumptions and Judgments</w:t>
      </w:r>
    </w:p>
    <w:p>
      <w:pPr>
        <w:spacing w:after="0" w:line="214" w:lineRule="exact"/>
        <w:rPr>
          <w:sz w:val="20"/>
          <w:szCs w:val="20"/>
          <w:color w:val="auto"/>
        </w:rPr>
      </w:pPr>
    </w:p>
    <w:p>
      <w:pPr>
        <w:ind w:left="40" w:right="139"/>
        <w:spacing w:after="0" w:line="276" w:lineRule="auto"/>
        <w:rPr>
          <w:sz w:val="20"/>
          <w:szCs w:val="20"/>
          <w:color w:val="auto"/>
        </w:rPr>
      </w:pPr>
      <w:r>
        <w:rPr>
          <w:rFonts w:ascii="Arial" w:cs="Arial" w:eastAsia="Arial" w:hAnsi="Arial"/>
          <w:sz w:val="17"/>
          <w:szCs w:val="17"/>
          <w:color w:val="auto"/>
        </w:rPr>
        <w:t>In applying the requirements of Topic 842, the Company made significant assumptions and judgments related to determination of whether a contract contains a lease and the discount rate used for the lease.</w:t>
      </w:r>
    </w:p>
    <w:p>
      <w:pPr>
        <w:spacing w:after="0" w:line="164" w:lineRule="exact"/>
        <w:rPr>
          <w:sz w:val="20"/>
          <w:szCs w:val="20"/>
          <w:color w:val="auto"/>
        </w:rPr>
      </w:pPr>
    </w:p>
    <w:p>
      <w:pPr>
        <w:jc w:val="both"/>
        <w:ind w:left="40" w:right="339"/>
        <w:spacing w:after="0" w:line="263" w:lineRule="auto"/>
        <w:rPr>
          <w:sz w:val="20"/>
          <w:szCs w:val="20"/>
          <w:color w:val="auto"/>
        </w:rPr>
      </w:pPr>
      <w:r>
        <w:rPr>
          <w:rFonts w:ascii="Arial" w:cs="Arial" w:eastAsia="Arial" w:hAnsi="Arial"/>
          <w:sz w:val="17"/>
          <w:szCs w:val="17"/>
          <w:color w:val="auto"/>
        </w:rPr>
        <w:t>In determining if any of the Company’s contracts contain a lease, the Company made assumptions and judgments related to its ability to direct the use of any assets stated in the contract and the likelihood of renewing any short-term contracts for a period extending past twelve months.</w:t>
      </w:r>
    </w:p>
    <w:p>
      <w:pPr>
        <w:spacing w:after="0" w:line="176" w:lineRule="exact"/>
        <w:rPr>
          <w:sz w:val="20"/>
          <w:szCs w:val="20"/>
          <w:color w:val="auto"/>
        </w:rPr>
      </w:pPr>
    </w:p>
    <w:p>
      <w:pPr>
        <w:ind w:left="40" w:right="59"/>
        <w:spacing w:after="0" w:line="257" w:lineRule="auto"/>
        <w:rPr>
          <w:sz w:val="20"/>
          <w:szCs w:val="20"/>
          <w:color w:val="auto"/>
        </w:rPr>
      </w:pPr>
      <w:r>
        <w:rPr>
          <w:rFonts w:ascii="Arial" w:cs="Arial" w:eastAsia="Arial" w:hAnsi="Arial"/>
          <w:sz w:val="17"/>
          <w:szCs w:val="17"/>
          <w:color w:val="auto"/>
        </w:rPr>
        <w:t>The Company also made significant assumptions and judgments in determining an appropriate discount rate for property leases. These included using a consistent discount rate for a portfolio of leases entered into at varying dates, using the full 20-year term of the lease, excluding any options, and using the total minimum lease payments. The Company utilizes a third-party valuation firm in determining the discount rate, based on the above assumptions. For all other leases, the Company uses the discount rate implicit in the lease, or the Company’s incremental borrowing rate.</w:t>
      </w:r>
    </w:p>
    <w:p>
      <w:pPr>
        <w:spacing w:after="0" w:line="181" w:lineRule="exact"/>
        <w:rPr>
          <w:sz w:val="20"/>
          <w:szCs w:val="20"/>
          <w:color w:val="auto"/>
        </w:rPr>
      </w:pPr>
    </w:p>
    <w:p>
      <w:pPr>
        <w:ind w:left="40" w:right="219"/>
        <w:spacing w:after="0" w:line="345" w:lineRule="auto"/>
        <w:rPr>
          <w:sz w:val="20"/>
          <w:szCs w:val="20"/>
          <w:color w:val="auto"/>
        </w:rPr>
      </w:pPr>
      <w:r>
        <w:rPr>
          <w:rFonts w:ascii="Arial" w:cs="Arial" w:eastAsia="Arial" w:hAnsi="Arial"/>
          <w:sz w:val="15"/>
          <w:szCs w:val="15"/>
          <w:color w:val="auto"/>
        </w:rPr>
        <w:t>As the Company has adopted the practical expedient not to separate lease and non-lease components, no significant assumptions or judgments were necessary in allocating consideration between these components, for all classes of underlying assets.</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following table presents the Company’s total lease cost, disaggregated by underlying asset (in thousands):</w:t>
      </w: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9"/>
              </w:rPr>
              <w:t>Thirteen Weeks Ended</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r>
      <w:tr>
        <w:trPr>
          <w:trHeight w:val="133"/>
        </w:trPr>
        <w:tc>
          <w:tcPr>
            <w:tcW w:w="3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10"/>
          </w:tcPr>
          <w:p>
            <w:pPr>
              <w:jc w:val="center"/>
              <w:ind w:left="439"/>
              <w:spacing w:after="0" w:line="134" w:lineRule="exact"/>
              <w:rPr>
                <w:sz w:val="20"/>
                <w:szCs w:val="20"/>
                <w:color w:val="auto"/>
              </w:rPr>
            </w:pPr>
            <w:r>
              <w:rPr>
                <w:rFonts w:ascii="Arial" w:cs="Arial" w:eastAsia="Arial" w:hAnsi="Arial"/>
                <w:sz w:val="14"/>
                <w:szCs w:val="14"/>
                <w:b w:val="1"/>
                <w:bCs w:val="1"/>
                <w:color w:val="auto"/>
                <w:w w:val="87"/>
              </w:rPr>
              <w:t>September 29, 2021</w:t>
            </w: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10"/>
          </w:tcPr>
          <w:p>
            <w:pPr>
              <w:jc w:val="right"/>
              <w:ind w:right="5"/>
              <w:spacing w:after="0" w:line="134" w:lineRule="exact"/>
              <w:rPr>
                <w:sz w:val="20"/>
                <w:szCs w:val="20"/>
                <w:color w:val="auto"/>
              </w:rPr>
            </w:pPr>
            <w:r>
              <w:rPr>
                <w:rFonts w:ascii="Arial" w:cs="Arial" w:eastAsia="Arial" w:hAnsi="Arial"/>
                <w:sz w:val="14"/>
                <w:szCs w:val="14"/>
                <w:b w:val="1"/>
                <w:bCs w:val="1"/>
                <w:color w:val="auto"/>
              </w:rPr>
              <w:t>September 23, 2020</w:t>
            </w:r>
          </w:p>
        </w:tc>
        <w:tc>
          <w:tcPr>
            <w:tcW w:w="560" w:type="dxa"/>
            <w:vAlign w:val="bottom"/>
            <w:tcBorders>
              <w:bottom w:val="single" w:sz="8" w:color="auto"/>
            </w:tcBorders>
          </w:tcPr>
          <w:p>
            <w:pPr>
              <w:spacing w:after="0"/>
              <w:rPr>
                <w:sz w:val="11"/>
                <w:szCs w:val="11"/>
                <w:color w:val="auto"/>
              </w:rPr>
            </w:pPr>
          </w:p>
        </w:tc>
      </w:tr>
      <w:tr>
        <w:trPr>
          <w:trHeight w:val="113"/>
        </w:trPr>
        <w:tc>
          <w:tcPr>
            <w:tcW w:w="3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center"/>
              <w:ind w:right="180"/>
              <w:spacing w:after="0" w:line="113" w:lineRule="exact"/>
              <w:rPr>
                <w:sz w:val="20"/>
                <w:szCs w:val="20"/>
                <w:color w:val="auto"/>
              </w:rPr>
            </w:pPr>
            <w:r>
              <w:rPr>
                <w:rFonts w:ascii="Arial" w:cs="Arial" w:eastAsia="Arial" w:hAnsi="Arial"/>
                <w:sz w:val="12"/>
                <w:szCs w:val="12"/>
                <w:b w:val="1"/>
                <w:bCs w:val="1"/>
                <w:color w:val="auto"/>
              </w:rPr>
              <w:t>Property</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gridSpan w:val="3"/>
          </w:tcPr>
          <w:p>
            <w:pPr>
              <w:jc w:val="center"/>
              <w:spacing w:after="0" w:line="113" w:lineRule="exact"/>
              <w:rPr>
                <w:sz w:val="20"/>
                <w:szCs w:val="20"/>
                <w:color w:val="auto"/>
              </w:rPr>
            </w:pPr>
            <w:r>
              <w:rPr>
                <w:rFonts w:ascii="Arial" w:cs="Arial" w:eastAsia="Arial" w:hAnsi="Arial"/>
                <w:sz w:val="12"/>
                <w:szCs w:val="12"/>
                <w:b w:val="1"/>
                <w:bCs w:val="1"/>
                <w:color w:val="auto"/>
              </w:rPr>
              <w:t>Equipment</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3"/>
          </w:tcPr>
          <w:p>
            <w:pPr>
              <w:jc w:val="center"/>
              <w:ind w:right="100"/>
              <w:spacing w:after="0" w:line="113" w:lineRule="exact"/>
              <w:rPr>
                <w:sz w:val="20"/>
                <w:szCs w:val="20"/>
                <w:color w:val="auto"/>
              </w:rPr>
            </w:pPr>
            <w:r>
              <w:rPr>
                <w:rFonts w:ascii="Arial" w:cs="Arial" w:eastAsia="Arial" w:hAnsi="Arial"/>
                <w:sz w:val="12"/>
                <w:szCs w:val="12"/>
                <w:b w:val="1"/>
                <w:bCs w:val="1"/>
                <w:color w:val="auto"/>
              </w:rPr>
              <w:t>Property</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3"/>
          </w:tcPr>
          <w:p>
            <w:pPr>
              <w:jc w:val="center"/>
              <w:spacing w:after="0" w:line="113" w:lineRule="exact"/>
              <w:rPr>
                <w:sz w:val="20"/>
                <w:szCs w:val="20"/>
                <w:color w:val="auto"/>
              </w:rPr>
            </w:pPr>
            <w:r>
              <w:rPr>
                <w:rFonts w:ascii="Arial" w:cs="Arial" w:eastAsia="Arial" w:hAnsi="Arial"/>
                <w:sz w:val="12"/>
                <w:szCs w:val="12"/>
                <w:b w:val="1"/>
                <w:bCs w:val="1"/>
                <w:color w:val="auto"/>
              </w:rPr>
              <w:t>Equipment</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61"/>
        </w:trPr>
        <w:tc>
          <w:tcPr>
            <w:tcW w:w="3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9"/>
              </w:rPr>
              <w:t>Leases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79"/>
              </w:rPr>
              <w:t>Leases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ind w:left="10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9"/>
              </w:rPr>
              <w:t>Leases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Leases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97"/>
              <w:spacing w:after="0"/>
              <w:rPr>
                <w:sz w:val="20"/>
                <w:szCs w:val="20"/>
                <w:color w:val="auto"/>
              </w:rPr>
            </w:pPr>
            <w:r>
              <w:rPr>
                <w:rFonts w:ascii="Arial" w:cs="Arial" w:eastAsia="Arial" w:hAnsi="Arial"/>
                <w:sz w:val="14"/>
                <w:szCs w:val="14"/>
                <w:b w:val="1"/>
                <w:bCs w:val="1"/>
                <w:color w:val="auto"/>
              </w:rPr>
              <w:t>Total</w:t>
            </w:r>
          </w:p>
        </w:tc>
      </w:tr>
      <w:tr>
        <w:trPr>
          <w:trHeight w:val="197"/>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Finance lease cost:</w:t>
            </w:r>
          </w:p>
        </w:tc>
        <w:tc>
          <w:tcPr>
            <w:tcW w:w="6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r>
      <w:tr>
        <w:trPr>
          <w:trHeight w:val="205"/>
        </w:trPr>
        <w:tc>
          <w:tcPr>
            <w:tcW w:w="3160" w:type="dxa"/>
            <w:vAlign w:val="bottom"/>
          </w:tcPr>
          <w:p>
            <w:pPr>
              <w:ind w:left="100"/>
              <w:spacing w:after="0"/>
              <w:rPr>
                <w:sz w:val="20"/>
                <w:szCs w:val="20"/>
                <w:color w:val="auto"/>
              </w:rPr>
            </w:pPr>
            <w:r>
              <w:rPr>
                <w:rFonts w:ascii="Arial" w:cs="Arial" w:eastAsia="Arial" w:hAnsi="Arial"/>
                <w:sz w:val="17"/>
                <w:szCs w:val="17"/>
                <w:color w:val="auto"/>
              </w:rPr>
              <w:t>Amortization of right-of-use assets</w:t>
            </w:r>
          </w:p>
        </w:tc>
        <w:tc>
          <w:tcPr>
            <w:tcW w:w="7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18</w:t>
            </w:r>
          </w:p>
        </w:tc>
        <w:tc>
          <w:tcPr>
            <w:tcW w:w="80" w:type="dxa"/>
            <w:vAlign w:val="bottom"/>
          </w:tcPr>
          <w:p>
            <w:pPr>
              <w:spacing w:after="0"/>
              <w:rPr>
                <w:sz w:val="17"/>
                <w:szCs w:val="17"/>
                <w:color w:val="auto"/>
              </w:rPr>
            </w:pPr>
          </w:p>
        </w:tc>
        <w:tc>
          <w:tcPr>
            <w:tcW w:w="220" w:type="dxa"/>
            <w:vAlign w:val="bottom"/>
            <w:gridSpan w:val="3"/>
          </w:tcPr>
          <w:p>
            <w:pPr>
              <w:ind w:left="10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7"/>
                <w:szCs w:val="17"/>
                <w:color w:val="auto"/>
              </w:rPr>
            </w:pPr>
          </w:p>
        </w:tc>
        <w:tc>
          <w:tcPr>
            <w:tcW w:w="280" w:type="dxa"/>
            <w:vAlign w:val="bottom"/>
            <w:gridSpan w:val="3"/>
          </w:tcPr>
          <w:p>
            <w:pPr>
              <w:ind w:left="180"/>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3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31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Interest on lease liabilities</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05"/>
        </w:trPr>
        <w:tc>
          <w:tcPr>
            <w:tcW w:w="3160" w:type="dxa"/>
            <w:vAlign w:val="bottom"/>
          </w:tcPr>
          <w:p>
            <w:pPr>
              <w:spacing w:after="0"/>
              <w:rPr>
                <w:sz w:val="20"/>
                <w:szCs w:val="20"/>
                <w:color w:val="auto"/>
              </w:rPr>
            </w:pPr>
            <w:r>
              <w:rPr>
                <w:rFonts w:ascii="Arial" w:cs="Arial" w:eastAsia="Arial" w:hAnsi="Arial"/>
                <w:sz w:val="17"/>
                <w:szCs w:val="17"/>
                <w:color w:val="auto"/>
              </w:rPr>
              <w:t>Operating lease cost</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6,552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267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6,819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6,502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297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6,799</w:t>
            </w:r>
          </w:p>
        </w:tc>
      </w:tr>
      <w:tr>
        <w:trPr>
          <w:trHeight w:val="205"/>
        </w:trPr>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Short-term lease cost</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05"/>
        </w:trPr>
        <w:tc>
          <w:tcPr>
            <w:tcW w:w="3160" w:type="dxa"/>
            <w:vAlign w:val="bottom"/>
          </w:tcPr>
          <w:p>
            <w:pPr>
              <w:spacing w:after="0"/>
              <w:rPr>
                <w:sz w:val="20"/>
                <w:szCs w:val="20"/>
                <w:color w:val="auto"/>
              </w:rPr>
            </w:pPr>
            <w:r>
              <w:rPr>
                <w:rFonts w:ascii="Arial" w:cs="Arial" w:eastAsia="Arial" w:hAnsi="Arial"/>
                <w:sz w:val="17"/>
                <w:szCs w:val="17"/>
                <w:color w:val="auto"/>
              </w:rPr>
              <w:t>Variable lease cost</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208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166</w:t>
            </w:r>
          </w:p>
        </w:tc>
      </w:tr>
      <w:tr>
        <w:trPr>
          <w:trHeight w:val="205"/>
        </w:trPr>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Sublease income</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(1,128)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(1,128)</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(883)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(883)</w:t>
            </w:r>
          </w:p>
        </w:tc>
      </w:tr>
      <w:tr>
        <w:trPr>
          <w:trHeight w:val="197"/>
        </w:trPr>
        <w:tc>
          <w:tcPr>
            <w:tcW w:w="3160" w:type="dxa"/>
            <w:vAlign w:val="bottom"/>
          </w:tcPr>
          <w:p>
            <w:pPr>
              <w:spacing w:after="0"/>
              <w:rPr>
                <w:sz w:val="20"/>
                <w:szCs w:val="20"/>
                <w:color w:val="auto"/>
              </w:rPr>
            </w:pPr>
            <w:r>
              <w:rPr>
                <w:rFonts w:ascii="Arial" w:cs="Arial" w:eastAsia="Arial" w:hAnsi="Arial"/>
                <w:sz w:val="17"/>
                <w:szCs w:val="17"/>
                <w:color w:val="auto"/>
              </w:rPr>
              <w:t>Total lease cost</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5,594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346</w:t>
            </w: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5,940</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5,740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353</w:t>
            </w:r>
          </w:p>
        </w:tc>
        <w:tc>
          <w:tcPr>
            <w:tcW w:w="4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6,093</w:t>
            </w:r>
          </w:p>
        </w:tc>
      </w:tr>
      <w:tr>
        <w:trPr>
          <w:trHeight w:val="428"/>
        </w:trPr>
        <w:tc>
          <w:tcPr>
            <w:tcW w:w="3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w w:val="94"/>
              </w:rPr>
              <w:t>Thirty-Nine Weeks Ended</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r>
        <w:trPr>
          <w:trHeight w:val="197"/>
        </w:trPr>
        <w:tc>
          <w:tcPr>
            <w:tcW w:w="3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10"/>
          </w:tcPr>
          <w:p>
            <w:pPr>
              <w:jc w:val="center"/>
              <w:ind w:left="399"/>
              <w:spacing w:after="0"/>
              <w:rPr>
                <w:sz w:val="20"/>
                <w:szCs w:val="20"/>
                <w:color w:val="auto"/>
              </w:rPr>
            </w:pPr>
            <w:r>
              <w:rPr>
                <w:rFonts w:ascii="Arial" w:cs="Arial" w:eastAsia="Arial" w:hAnsi="Arial"/>
                <w:sz w:val="14"/>
                <w:szCs w:val="14"/>
                <w:b w:val="1"/>
                <w:bCs w:val="1"/>
                <w:color w:val="auto"/>
                <w:w w:val="87"/>
              </w:rPr>
              <w:t>September 29, 2021</w:t>
            </w:r>
          </w:p>
        </w:tc>
        <w:tc>
          <w:tcPr>
            <w:tcW w:w="5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10"/>
          </w:tcPr>
          <w:p>
            <w:pPr>
              <w:jc w:val="center"/>
              <w:ind w:left="319"/>
              <w:spacing w:after="0"/>
              <w:rPr>
                <w:sz w:val="20"/>
                <w:szCs w:val="20"/>
                <w:color w:val="auto"/>
              </w:rPr>
            </w:pPr>
            <w:r>
              <w:rPr>
                <w:rFonts w:ascii="Arial" w:cs="Arial" w:eastAsia="Arial" w:hAnsi="Arial"/>
                <w:sz w:val="14"/>
                <w:szCs w:val="14"/>
                <w:b w:val="1"/>
                <w:bCs w:val="1"/>
                <w:color w:val="auto"/>
                <w:w w:val="85"/>
              </w:rPr>
              <w:t>September 23, 2020</w:t>
            </w:r>
          </w:p>
        </w:tc>
        <w:tc>
          <w:tcPr>
            <w:tcW w:w="560" w:type="dxa"/>
            <w:vAlign w:val="bottom"/>
            <w:tcBorders>
              <w:bottom w:val="single" w:sz="8" w:color="auto"/>
            </w:tcBorders>
          </w:tcPr>
          <w:p>
            <w:pPr>
              <w:spacing w:after="0"/>
              <w:rPr>
                <w:sz w:val="17"/>
                <w:szCs w:val="17"/>
                <w:color w:val="auto"/>
              </w:rPr>
            </w:pPr>
          </w:p>
        </w:tc>
      </w:tr>
      <w:tr>
        <w:trPr>
          <w:trHeight w:val="212"/>
        </w:trPr>
        <w:tc>
          <w:tcPr>
            <w:tcW w:w="3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Property</w:t>
            </w:r>
          </w:p>
        </w:tc>
        <w:tc>
          <w:tcPr>
            <w:tcW w:w="80" w:type="dxa"/>
            <w:vAlign w:val="bottom"/>
          </w:tcPr>
          <w:p>
            <w:pPr>
              <w:spacing w:after="0"/>
              <w:rPr>
                <w:sz w:val="18"/>
                <w:szCs w:val="18"/>
                <w:color w:val="auto"/>
              </w:rPr>
            </w:pPr>
          </w:p>
        </w:tc>
        <w:tc>
          <w:tcPr>
            <w:tcW w:w="72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Equipment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Property</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Equipment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3"/>
        </w:trPr>
        <w:tc>
          <w:tcPr>
            <w:tcW w:w="3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Leases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Leases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9"/>
              </w:rPr>
              <w:t>Leases</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137"/>
              <w:spacing w:after="0"/>
              <w:rPr>
                <w:sz w:val="20"/>
                <w:szCs w:val="20"/>
                <w:color w:val="auto"/>
              </w:rPr>
            </w:pPr>
            <w:r>
              <w:rPr>
                <w:rFonts w:ascii="Arial" w:cs="Arial" w:eastAsia="Arial" w:hAnsi="Arial"/>
                <w:sz w:val="14"/>
                <w:szCs w:val="14"/>
                <w:b w:val="1"/>
                <w:bCs w:val="1"/>
                <w:color w:val="auto"/>
                <w:w w:val="95"/>
              </w:rPr>
              <w:t>Total</w:t>
            </w:r>
          </w:p>
        </w:tc>
      </w:tr>
      <w:tr>
        <w:trPr>
          <w:trHeight w:val="197"/>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Finance lease cost:</w:t>
            </w:r>
          </w:p>
        </w:tc>
        <w:tc>
          <w:tcPr>
            <w:tcW w:w="6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r>
      <w:tr>
        <w:trPr>
          <w:trHeight w:val="217"/>
        </w:trPr>
        <w:tc>
          <w:tcPr>
            <w:tcW w:w="3160" w:type="dxa"/>
            <w:vAlign w:val="bottom"/>
          </w:tcPr>
          <w:p>
            <w:pPr>
              <w:ind w:left="100"/>
              <w:spacing w:after="0"/>
              <w:rPr>
                <w:sz w:val="20"/>
                <w:szCs w:val="20"/>
                <w:color w:val="auto"/>
              </w:rPr>
            </w:pPr>
            <w:r>
              <w:rPr>
                <w:rFonts w:ascii="Arial" w:cs="Arial" w:eastAsia="Arial" w:hAnsi="Arial"/>
                <w:sz w:val="17"/>
                <w:szCs w:val="17"/>
                <w:color w:val="auto"/>
              </w:rPr>
              <w:t>Amortization of right-of-use assets</w:t>
            </w:r>
          </w:p>
        </w:tc>
        <w:tc>
          <w:tcPr>
            <w:tcW w:w="7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60</w:t>
            </w:r>
          </w:p>
        </w:tc>
        <w:tc>
          <w:tcPr>
            <w:tcW w:w="80" w:type="dxa"/>
            <w:vAlign w:val="bottom"/>
          </w:tcPr>
          <w:p>
            <w:pPr>
              <w:spacing w:after="0"/>
              <w:rPr>
                <w:sz w:val="18"/>
                <w:szCs w:val="18"/>
                <w:color w:val="auto"/>
              </w:rPr>
            </w:pPr>
          </w:p>
        </w:tc>
        <w:tc>
          <w:tcPr>
            <w:tcW w:w="220" w:type="dxa"/>
            <w:vAlign w:val="bottom"/>
            <w:gridSpan w:val="3"/>
          </w:tcPr>
          <w:p>
            <w:pPr>
              <w:ind w:left="8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62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3"/>
          </w:tcPr>
          <w:p>
            <w:pPr>
              <w:jc w:val="right"/>
              <w:ind w:right="12"/>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300" w:type="dxa"/>
            <w:vAlign w:val="bottom"/>
            <w:gridSpan w:val="3"/>
          </w:tcPr>
          <w:p>
            <w:pPr>
              <w:jc w:val="right"/>
              <w:ind w:right="5"/>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31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Interest on lease liabilities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17"/>
        </w:trPr>
        <w:tc>
          <w:tcPr>
            <w:tcW w:w="3160" w:type="dxa"/>
            <w:vAlign w:val="bottom"/>
          </w:tcPr>
          <w:p>
            <w:pPr>
              <w:spacing w:after="0"/>
              <w:rPr>
                <w:sz w:val="20"/>
                <w:szCs w:val="20"/>
                <w:color w:val="auto"/>
              </w:rPr>
            </w:pPr>
            <w:r>
              <w:rPr>
                <w:rFonts w:ascii="Arial" w:cs="Arial" w:eastAsia="Arial" w:hAnsi="Arial"/>
                <w:sz w:val="17"/>
                <w:szCs w:val="17"/>
                <w:color w:val="auto"/>
              </w:rPr>
              <w:t>Operating lease cost</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19,935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861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6"/>
              </w:rPr>
              <w:t>20,796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2"/>
              </w:rPr>
              <w:t>19,577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911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6"/>
              </w:rPr>
              <w:t>20,488</w:t>
            </w:r>
          </w:p>
        </w:tc>
      </w:tr>
      <w:tr>
        <w:trPr>
          <w:trHeight w:val="218"/>
        </w:trPr>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Short-term lease cost</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17"/>
        </w:trPr>
        <w:tc>
          <w:tcPr>
            <w:tcW w:w="3160" w:type="dxa"/>
            <w:vAlign w:val="bottom"/>
          </w:tcPr>
          <w:p>
            <w:pPr>
              <w:spacing w:after="0"/>
              <w:rPr>
                <w:sz w:val="20"/>
                <w:szCs w:val="20"/>
                <w:color w:val="auto"/>
              </w:rPr>
            </w:pPr>
            <w:r>
              <w:rPr>
                <w:rFonts w:ascii="Arial" w:cs="Arial" w:eastAsia="Arial" w:hAnsi="Arial"/>
                <w:sz w:val="17"/>
                <w:szCs w:val="17"/>
                <w:color w:val="auto"/>
              </w:rPr>
              <w:t>Variable lease cost</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260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673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445</w:t>
            </w:r>
          </w:p>
        </w:tc>
      </w:tr>
      <w:tr>
        <w:trPr>
          <w:trHeight w:val="218"/>
        </w:trPr>
        <w:tc>
          <w:tcPr>
            <w:tcW w:w="3160" w:type="dxa"/>
            <w:vAlign w:val="bottom"/>
            <w:shd w:val="clear" w:color="auto" w:fill="CCEEFF"/>
          </w:tcPr>
          <w:p>
            <w:pPr>
              <w:spacing w:after="0"/>
              <w:rPr>
                <w:sz w:val="20"/>
                <w:szCs w:val="20"/>
                <w:color w:val="auto"/>
              </w:rPr>
            </w:pPr>
            <w:r>
              <w:rPr>
                <w:rFonts w:ascii="Arial" w:cs="Arial" w:eastAsia="Arial" w:hAnsi="Arial"/>
                <w:sz w:val="17"/>
                <w:szCs w:val="17"/>
                <w:color w:val="auto"/>
              </w:rPr>
              <w:t>Sublease income</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(2,424)</w:t>
            </w:r>
          </w:p>
        </w:tc>
      </w:tr>
      <w:tr>
        <w:trPr>
          <w:trHeight w:val="197"/>
        </w:trPr>
        <w:tc>
          <w:tcPr>
            <w:tcW w:w="3160" w:type="dxa"/>
            <w:vAlign w:val="bottom"/>
          </w:tcPr>
          <w:p>
            <w:pPr>
              <w:spacing w:after="0"/>
              <w:rPr>
                <w:sz w:val="20"/>
                <w:szCs w:val="20"/>
                <w:color w:val="auto"/>
              </w:rPr>
            </w:pPr>
            <w:r>
              <w:rPr>
                <w:rFonts w:ascii="Arial" w:cs="Arial" w:eastAsia="Arial" w:hAnsi="Arial"/>
                <w:sz w:val="17"/>
                <w:szCs w:val="17"/>
                <w:color w:val="auto"/>
              </w:rPr>
              <w:t>Total lease cost</w:t>
            </w:r>
          </w:p>
        </w:tc>
        <w:tc>
          <w:tcPr>
            <w:tcW w:w="680" w:type="dxa"/>
            <w:vAlign w:val="bottom"/>
          </w:tcPr>
          <w:p>
            <w:pPr>
              <w:spacing w:after="0"/>
              <w:rPr>
                <w:sz w:val="17"/>
                <w:szCs w:val="17"/>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17,730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1,142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6"/>
              </w:rPr>
              <w:t>18,872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17,494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1,049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6"/>
              </w:rPr>
              <w:t>18,543</w:t>
            </w:r>
          </w:p>
        </w:tc>
      </w:tr>
      <w:tr>
        <w:trPr>
          <w:trHeight w:val="606"/>
        </w:trPr>
        <w:tc>
          <w:tcPr>
            <w:tcW w:w="3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31"/>
        </w:trPr>
        <w:tc>
          <w:tcPr>
            <w:tcW w:w="3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98" w:right="1440" w:bottom="1440" w:gutter="0" w:footer="0" w:header="0"/>
        </w:sectPr>
      </w:pPr>
    </w:p>
    <w:bookmarkStart w:id="28" w:name="page29"/>
    <w:bookmarkEnd w:id="28"/>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following table presents the Company’s total lease cost on the condensed consolidated statements of income (in thousands):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520" w:type="dxa"/>
            <w:vAlign w:val="bottom"/>
            <w:tcBorders>
              <w:bottom w:val="single" w:sz="8" w:color="auto"/>
            </w:tcBorders>
          </w:tcPr>
          <w:p>
            <w:pPr>
              <w:spacing w:after="0"/>
              <w:rPr>
                <w:sz w:val="14"/>
                <w:szCs w:val="14"/>
                <w:color w:val="auto"/>
              </w:rPr>
            </w:pPr>
          </w:p>
        </w:tc>
      </w:tr>
      <w:tr>
        <w:trPr>
          <w:trHeight w:val="133"/>
        </w:trPr>
        <w:tc>
          <w:tcPr>
            <w:tcW w:w="3880" w:type="dxa"/>
            <w:vAlign w:val="bottom"/>
          </w:tcPr>
          <w:p>
            <w:pPr>
              <w:spacing w:after="0"/>
              <w:rPr>
                <w:sz w:val="11"/>
                <w:szCs w:val="11"/>
                <w:color w:val="auto"/>
              </w:rPr>
            </w:pPr>
          </w:p>
        </w:tc>
        <w:tc>
          <w:tcPr>
            <w:tcW w:w="1220" w:type="dxa"/>
            <w:vAlign w:val="bottom"/>
            <w:gridSpan w:val="2"/>
          </w:tcPr>
          <w:p>
            <w:pPr>
              <w:jc w:val="right"/>
              <w:spacing w:after="0" w:line="134" w:lineRule="exact"/>
              <w:rPr>
                <w:sz w:val="20"/>
                <w:szCs w:val="20"/>
                <w:color w:val="auto"/>
              </w:rPr>
            </w:pPr>
            <w:r>
              <w:rPr>
                <w:rFonts w:ascii="Arial" w:cs="Arial" w:eastAsia="Arial" w:hAnsi="Arial"/>
                <w:sz w:val="14"/>
                <w:szCs w:val="14"/>
                <w:b w:val="1"/>
                <w:bCs w:val="1"/>
                <w:color w:val="auto"/>
                <w:w w:val="88"/>
              </w:rPr>
              <w:t>September 29, 2021</w:t>
            </w:r>
          </w:p>
        </w:tc>
        <w:tc>
          <w:tcPr>
            <w:tcW w:w="40" w:type="dxa"/>
            <w:vAlign w:val="bottom"/>
          </w:tcPr>
          <w:p>
            <w:pPr>
              <w:spacing w:after="0"/>
              <w:rPr>
                <w:sz w:val="11"/>
                <w:szCs w:val="11"/>
                <w:color w:val="auto"/>
              </w:rPr>
            </w:pPr>
          </w:p>
        </w:tc>
        <w:tc>
          <w:tcPr>
            <w:tcW w:w="1220" w:type="dxa"/>
            <w:vAlign w:val="bottom"/>
            <w:gridSpan w:val="2"/>
          </w:tcPr>
          <w:p>
            <w:pPr>
              <w:jc w:val="right"/>
              <w:spacing w:after="0" w:line="134" w:lineRule="exact"/>
              <w:rPr>
                <w:sz w:val="20"/>
                <w:szCs w:val="20"/>
                <w:color w:val="auto"/>
              </w:rPr>
            </w:pPr>
            <w:r>
              <w:rPr>
                <w:rFonts w:ascii="Arial" w:cs="Arial" w:eastAsia="Arial" w:hAnsi="Arial"/>
                <w:sz w:val="14"/>
                <w:szCs w:val="14"/>
                <w:b w:val="1"/>
                <w:bCs w:val="1"/>
                <w:color w:val="auto"/>
                <w:w w:val="90"/>
              </w:rPr>
              <w:t>September 23, 2020</w:t>
            </w:r>
          </w:p>
        </w:tc>
        <w:tc>
          <w:tcPr>
            <w:tcW w:w="1380" w:type="dxa"/>
            <w:vAlign w:val="bottom"/>
            <w:gridSpan w:val="3"/>
          </w:tcPr>
          <w:p>
            <w:pPr>
              <w:ind w:left="60"/>
              <w:spacing w:after="0" w:line="134" w:lineRule="exact"/>
              <w:rPr>
                <w:sz w:val="20"/>
                <w:szCs w:val="20"/>
                <w:color w:val="auto"/>
              </w:rPr>
            </w:pPr>
            <w:r>
              <w:rPr>
                <w:rFonts w:ascii="Arial" w:cs="Arial" w:eastAsia="Arial" w:hAnsi="Arial"/>
                <w:sz w:val="14"/>
                <w:szCs w:val="14"/>
                <w:b w:val="1"/>
                <w:bCs w:val="1"/>
                <w:color w:val="auto"/>
                <w:w w:val="99"/>
              </w:rPr>
              <w:t>September 29, 2021</w:t>
            </w:r>
          </w:p>
        </w:tc>
        <w:tc>
          <w:tcPr>
            <w:tcW w:w="20" w:type="dxa"/>
            <w:vAlign w:val="bottom"/>
          </w:tcPr>
          <w:p>
            <w:pPr>
              <w:spacing w:after="0"/>
              <w:rPr>
                <w:sz w:val="11"/>
                <w:szCs w:val="11"/>
                <w:color w:val="auto"/>
              </w:rPr>
            </w:pPr>
          </w:p>
        </w:tc>
        <w:tc>
          <w:tcPr>
            <w:tcW w:w="1220" w:type="dxa"/>
            <w:vAlign w:val="bottom"/>
            <w:gridSpan w:val="2"/>
          </w:tcPr>
          <w:p>
            <w:pPr>
              <w:jc w:val="right"/>
              <w:spacing w:after="0" w:line="134" w:lineRule="exact"/>
              <w:rPr>
                <w:sz w:val="20"/>
                <w:szCs w:val="20"/>
                <w:color w:val="auto"/>
              </w:rPr>
            </w:pPr>
            <w:r>
              <w:rPr>
                <w:rFonts w:ascii="Arial" w:cs="Arial" w:eastAsia="Arial" w:hAnsi="Arial"/>
                <w:sz w:val="14"/>
                <w:szCs w:val="14"/>
                <w:b w:val="1"/>
                <w:bCs w:val="1"/>
                <w:color w:val="auto"/>
                <w:w w:val="87"/>
              </w:rPr>
              <w:t>September 23, 2020</w:t>
            </w:r>
          </w:p>
        </w:tc>
      </w:tr>
      <w:tr>
        <w:trPr>
          <w:trHeight w:val="197"/>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w w:val="92"/>
              </w:rPr>
              <w:t>Lease cost – Occupancy and other operating expenses</w:t>
            </w: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5,811</w:t>
            </w:r>
          </w:p>
        </w:tc>
        <w:tc>
          <w:tcPr>
            <w:tcW w:w="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40"/>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5,786</w:t>
            </w:r>
          </w:p>
        </w:tc>
        <w:tc>
          <w:tcPr>
            <w:tcW w:w="34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18,191</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85"/>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17,582</w:t>
            </w:r>
          </w:p>
        </w:tc>
      </w:tr>
      <w:tr>
        <w:trPr>
          <w:trHeight w:val="205"/>
        </w:trPr>
        <w:tc>
          <w:tcPr>
            <w:tcW w:w="3880" w:type="dxa"/>
            <w:vAlign w:val="bottom"/>
          </w:tcPr>
          <w:p>
            <w:pPr>
              <w:spacing w:after="0"/>
              <w:rPr>
                <w:sz w:val="20"/>
                <w:szCs w:val="20"/>
                <w:color w:val="auto"/>
              </w:rPr>
            </w:pPr>
            <w:r>
              <w:rPr>
                <w:rFonts w:ascii="Arial" w:cs="Arial" w:eastAsia="Arial" w:hAnsi="Arial"/>
                <w:sz w:val="17"/>
                <w:szCs w:val="17"/>
                <w:color w:val="auto"/>
              </w:rPr>
              <w:t>Lease cost – General &amp; administrative</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97</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114</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316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344</w:t>
            </w:r>
          </w:p>
        </w:tc>
      </w:tr>
      <w:tr>
        <w:trPr>
          <w:trHeight w:val="205"/>
        </w:trPr>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Lease cost – Depreciation and amortization</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05"/>
        </w:trPr>
        <w:tc>
          <w:tcPr>
            <w:tcW w:w="3880" w:type="dxa"/>
            <w:vAlign w:val="bottom"/>
          </w:tcPr>
          <w:p>
            <w:pPr>
              <w:spacing w:after="0"/>
              <w:rPr>
                <w:sz w:val="20"/>
                <w:szCs w:val="20"/>
                <w:color w:val="auto"/>
              </w:rPr>
            </w:pPr>
            <w:r>
              <w:rPr>
                <w:rFonts w:ascii="Arial" w:cs="Arial" w:eastAsia="Arial" w:hAnsi="Arial"/>
                <w:sz w:val="17"/>
                <w:szCs w:val="17"/>
                <w:color w:val="auto"/>
              </w:rPr>
              <w:t>Lease cost – Interest expense</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w:t>
            </w: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Lease cost - Closed-store reserve</w:t>
            </w:r>
          </w:p>
        </w:tc>
        <w:tc>
          <w:tcPr>
            <w:tcW w:w="3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601</w:t>
            </w:r>
          </w:p>
        </w:tc>
      </w:tr>
      <w:tr>
        <w:trPr>
          <w:trHeight w:val="197"/>
        </w:trPr>
        <w:tc>
          <w:tcPr>
            <w:tcW w:w="3880" w:type="dxa"/>
            <w:vAlign w:val="bottom"/>
          </w:tcPr>
          <w:p>
            <w:pPr>
              <w:spacing w:after="0"/>
              <w:rPr>
                <w:sz w:val="20"/>
                <w:szCs w:val="20"/>
                <w:color w:val="auto"/>
              </w:rPr>
            </w:pPr>
            <w:r>
              <w:rPr>
                <w:rFonts w:ascii="Arial" w:cs="Arial" w:eastAsia="Arial" w:hAnsi="Arial"/>
                <w:sz w:val="17"/>
                <w:szCs w:val="17"/>
                <w:color w:val="auto"/>
              </w:rPr>
              <w:t>Total lease cost</w:t>
            </w: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5,940</w:t>
            </w:r>
          </w:p>
        </w:tc>
        <w:tc>
          <w:tcPr>
            <w:tcW w:w="40" w:type="dxa"/>
            <w:vAlign w:val="bottom"/>
          </w:tcPr>
          <w:p>
            <w:pPr>
              <w:spacing w:after="0"/>
              <w:rPr>
                <w:sz w:val="17"/>
                <w:szCs w:val="17"/>
                <w:color w:val="auto"/>
              </w:rPr>
            </w:pPr>
          </w:p>
        </w:tc>
        <w:tc>
          <w:tcPr>
            <w:tcW w:w="720" w:type="dxa"/>
            <w:vAlign w:val="bottom"/>
            <w:tcBorders>
              <w:bottom w:val="single" w:sz="8" w:color="auto"/>
            </w:tcBorders>
          </w:tcPr>
          <w:p>
            <w:pPr>
              <w:jc w:val="right"/>
              <w:ind w:right="540"/>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6,093</w:t>
            </w: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18,872</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585"/>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18,543</w:t>
            </w:r>
          </w:p>
        </w:tc>
      </w:tr>
    </w:tbl>
    <w:p>
      <w:pPr>
        <w:spacing w:after="0" w:line="192" w:lineRule="exact"/>
        <w:rPr>
          <w:sz w:val="20"/>
          <w:szCs w:val="20"/>
          <w:color w:val="auto"/>
        </w:rPr>
      </w:pPr>
    </w:p>
    <w:p>
      <w:pPr>
        <w:ind w:left="40" w:right="220"/>
        <w:spacing w:after="0" w:line="276" w:lineRule="auto"/>
        <w:rPr>
          <w:sz w:val="20"/>
          <w:szCs w:val="20"/>
          <w:color w:val="auto"/>
        </w:rPr>
      </w:pPr>
      <w:r>
        <w:rPr>
          <w:rFonts w:ascii="Arial" w:cs="Arial" w:eastAsia="Arial" w:hAnsi="Arial"/>
          <w:sz w:val="17"/>
          <w:szCs w:val="17"/>
          <w:color w:val="auto"/>
        </w:rPr>
        <w:t>During the thirty-nine weeks ended September 29, 2021 and September 23, 2020, the Company had the following cash and non-cash activities associated with its leases (dollars 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9"/>
          </w:tcPr>
          <w:p>
            <w:pPr>
              <w:jc w:val="center"/>
              <w:ind w:right="38"/>
              <w:spacing w:after="0"/>
              <w:rPr>
                <w:sz w:val="20"/>
                <w:szCs w:val="20"/>
                <w:color w:val="auto"/>
              </w:rPr>
            </w:pPr>
            <w:r>
              <w:rPr>
                <w:rFonts w:ascii="Arial" w:cs="Arial" w:eastAsia="Arial" w:hAnsi="Arial"/>
                <w:sz w:val="14"/>
                <w:szCs w:val="14"/>
                <w:b w:val="1"/>
                <w:bCs w:val="1"/>
                <w:color w:val="auto"/>
                <w:w w:val="88"/>
              </w:rPr>
              <w:t>Thirty-Nine Weeks Ended September 29, 2021</w:t>
            </w:r>
          </w:p>
        </w:tc>
        <w:tc>
          <w:tcPr>
            <w:tcW w:w="16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9"/>
          </w:tcPr>
          <w:p>
            <w:pPr>
              <w:jc w:val="center"/>
              <w:ind w:right="58"/>
              <w:spacing w:after="0"/>
              <w:rPr>
                <w:sz w:val="20"/>
                <w:szCs w:val="20"/>
                <w:color w:val="auto"/>
              </w:rPr>
            </w:pPr>
            <w:r>
              <w:rPr>
                <w:rFonts w:ascii="Arial" w:cs="Arial" w:eastAsia="Arial" w:hAnsi="Arial"/>
                <w:sz w:val="14"/>
                <w:szCs w:val="14"/>
                <w:b w:val="1"/>
                <w:bCs w:val="1"/>
                <w:color w:val="auto"/>
                <w:w w:val="88"/>
              </w:rPr>
              <w:t>Thirty-Nine Weeks Ended September 23, 2020</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tcPr>
          <w:p>
            <w:pPr>
              <w:jc w:val="right"/>
              <w:ind w:right="360"/>
              <w:spacing w:after="0" w:line="113" w:lineRule="exact"/>
              <w:rPr>
                <w:sz w:val="20"/>
                <w:szCs w:val="20"/>
                <w:color w:val="auto"/>
              </w:rPr>
            </w:pPr>
            <w:r>
              <w:rPr>
                <w:rFonts w:ascii="Arial" w:cs="Arial" w:eastAsia="Arial" w:hAnsi="Arial"/>
                <w:sz w:val="12"/>
                <w:szCs w:val="12"/>
                <w:b w:val="1"/>
                <w:bCs w:val="1"/>
                <w:color w:val="auto"/>
              </w:rPr>
              <w:t>Property</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tcPr>
          <w:p>
            <w:pPr>
              <w:jc w:val="center"/>
              <w:ind w:right="280"/>
              <w:spacing w:after="0" w:line="113" w:lineRule="exact"/>
              <w:rPr>
                <w:sz w:val="20"/>
                <w:szCs w:val="20"/>
                <w:color w:val="auto"/>
              </w:rPr>
            </w:pPr>
            <w:r>
              <w:rPr>
                <w:rFonts w:ascii="Arial" w:cs="Arial" w:eastAsia="Arial" w:hAnsi="Arial"/>
                <w:sz w:val="12"/>
                <w:szCs w:val="12"/>
                <w:b w:val="1"/>
                <w:bCs w:val="1"/>
                <w:color w:val="auto"/>
              </w:rPr>
              <w:t>Equipment</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right"/>
              <w:ind w:right="360"/>
              <w:spacing w:after="0" w:line="113" w:lineRule="exact"/>
              <w:rPr>
                <w:sz w:val="20"/>
                <w:szCs w:val="20"/>
                <w:color w:val="auto"/>
              </w:rPr>
            </w:pPr>
            <w:r>
              <w:rPr>
                <w:rFonts w:ascii="Arial" w:cs="Arial" w:eastAsia="Arial" w:hAnsi="Arial"/>
                <w:sz w:val="12"/>
                <w:szCs w:val="12"/>
                <w:b w:val="1"/>
                <w:bCs w:val="1"/>
                <w:color w:val="auto"/>
              </w:rPr>
              <w:t>Property</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280"/>
              <w:spacing w:after="0" w:line="113" w:lineRule="exact"/>
              <w:rPr>
                <w:sz w:val="20"/>
                <w:szCs w:val="20"/>
                <w:color w:val="auto"/>
              </w:rPr>
            </w:pPr>
            <w:r>
              <w:rPr>
                <w:rFonts w:ascii="Arial" w:cs="Arial" w:eastAsia="Arial" w:hAnsi="Arial"/>
                <w:sz w:val="12"/>
                <w:szCs w:val="12"/>
                <w:b w:val="1"/>
                <w:bCs w:val="1"/>
                <w:color w:val="auto"/>
              </w:rPr>
              <w:t>Equipment</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Leases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9"/>
              </w:rPr>
              <w:t>Leases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58"/>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Leases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9"/>
              </w:rPr>
              <w:t>Leases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780" w:type="dxa"/>
            <w:vAlign w:val="bottom"/>
            <w:tcBorders>
              <w:top w:val="single" w:sz="8" w:color="CCEEFF"/>
            </w:tcBorders>
            <w:shd w:val="clear" w:color="auto" w:fill="CCEEFF"/>
          </w:tcPr>
          <w:p>
            <w:pPr>
              <w:spacing w:after="0" w:line="168" w:lineRule="exact"/>
              <w:rPr>
                <w:sz w:val="20"/>
                <w:szCs w:val="20"/>
                <w:color w:val="auto"/>
              </w:rPr>
            </w:pPr>
            <w:r>
              <w:rPr>
                <w:rFonts w:ascii="Arial" w:cs="Arial" w:eastAsia="Arial" w:hAnsi="Arial"/>
                <w:sz w:val="17"/>
                <w:szCs w:val="17"/>
                <w:b w:val="1"/>
                <w:bCs w:val="1"/>
                <w:color w:val="auto"/>
                <w:w w:val="99"/>
              </w:rPr>
              <w:t>Cash paid for amounts included in</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6"/>
              </w:rPr>
              <w:t>the measurement of lease liabilities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80" w:type="dxa"/>
            <w:vAlign w:val="bottom"/>
          </w:tcPr>
          <w:p>
            <w:pPr>
              <w:ind w:left="80"/>
              <w:spacing w:after="0" w:line="193" w:lineRule="exact"/>
              <w:rPr>
                <w:sz w:val="20"/>
                <w:szCs w:val="20"/>
                <w:color w:val="auto"/>
              </w:rPr>
            </w:pPr>
            <w:r>
              <w:rPr>
                <w:rFonts w:ascii="Arial" w:cs="Arial" w:eastAsia="Arial" w:hAnsi="Arial"/>
                <w:sz w:val="17"/>
                <w:szCs w:val="17"/>
                <w:color w:val="auto"/>
              </w:rPr>
              <w:t>Operating cash flows used for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80" w:type="dxa"/>
            <w:vAlign w:val="bottom"/>
          </w:tcPr>
          <w:p>
            <w:pPr>
              <w:ind w:left="80"/>
              <w:spacing w:after="0"/>
              <w:rPr>
                <w:sz w:val="20"/>
                <w:szCs w:val="20"/>
                <w:color w:val="auto"/>
              </w:rPr>
            </w:pPr>
            <w:r>
              <w:rPr>
                <w:rFonts w:ascii="Arial" w:cs="Arial" w:eastAsia="Arial" w:hAnsi="Arial"/>
                <w:sz w:val="17"/>
                <w:szCs w:val="17"/>
                <w:color w:val="auto"/>
              </w:rPr>
              <w:t>operating leases</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19,371</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831</w:t>
            </w:r>
          </w:p>
        </w:tc>
        <w:tc>
          <w:tcPr>
            <w:tcW w:w="20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20,202</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16,348</w:t>
            </w:r>
          </w:p>
        </w:tc>
        <w:tc>
          <w:tcPr>
            <w:tcW w:w="18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928</w:t>
            </w:r>
          </w:p>
        </w:tc>
        <w:tc>
          <w:tcPr>
            <w:tcW w:w="18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17,276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80" w:type="dxa"/>
            <w:vAlign w:val="bottom"/>
            <w:shd w:val="clear" w:color="auto" w:fill="CCEEFF"/>
          </w:tcPr>
          <w:p>
            <w:pPr>
              <w:ind w:left="80"/>
              <w:spacing w:after="0" w:line="193" w:lineRule="exact"/>
              <w:rPr>
                <w:sz w:val="20"/>
                <w:szCs w:val="20"/>
                <w:color w:val="auto"/>
              </w:rPr>
            </w:pPr>
            <w:r>
              <w:rPr>
                <w:rFonts w:ascii="Arial" w:cs="Arial" w:eastAsia="Arial" w:hAnsi="Arial"/>
                <w:sz w:val="17"/>
                <w:szCs w:val="17"/>
                <w:color w:val="auto"/>
                <w:w w:val="94"/>
              </w:rPr>
              <w:t>Financing cash flows used for finance</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80" w:type="dxa"/>
            <w:vAlign w:val="bottom"/>
            <w:shd w:val="clear" w:color="auto" w:fill="CCEEFF"/>
          </w:tcPr>
          <w:p>
            <w:pPr>
              <w:ind w:left="80"/>
              <w:spacing w:after="0"/>
              <w:rPr>
                <w:sz w:val="20"/>
                <w:szCs w:val="20"/>
                <w:color w:val="auto"/>
              </w:rPr>
            </w:pPr>
            <w:r>
              <w:rPr>
                <w:rFonts w:ascii="Arial" w:cs="Arial" w:eastAsia="Arial" w:hAnsi="Arial"/>
                <w:sz w:val="17"/>
                <w:szCs w:val="17"/>
                <w:color w:val="auto"/>
              </w:rPr>
              <w:t>leases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7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Non-cash investing and financing</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activities: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80" w:type="dxa"/>
            <w:vAlign w:val="bottom"/>
          </w:tcPr>
          <w:p>
            <w:pPr>
              <w:spacing w:after="0" w:line="193" w:lineRule="exact"/>
              <w:rPr>
                <w:sz w:val="20"/>
                <w:szCs w:val="20"/>
                <w:color w:val="auto"/>
              </w:rPr>
            </w:pPr>
            <w:r>
              <w:rPr>
                <w:rFonts w:ascii="Arial" w:cs="Arial" w:eastAsia="Arial" w:hAnsi="Arial"/>
                <w:sz w:val="17"/>
                <w:szCs w:val="17"/>
                <w:color w:val="auto"/>
                <w:w w:val="90"/>
              </w:rPr>
              <w:t>Operating lease ROU assets obtained in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800" w:type="dxa"/>
            <w:vAlign w:val="bottom"/>
            <w:gridSpan w:val="2"/>
          </w:tcPr>
          <w:p>
            <w:pPr>
              <w:spacing w:after="0"/>
              <w:rPr>
                <w:sz w:val="20"/>
                <w:szCs w:val="20"/>
                <w:color w:val="auto"/>
              </w:rPr>
            </w:pPr>
            <w:r>
              <w:rPr>
                <w:rFonts w:ascii="Arial" w:cs="Arial" w:eastAsia="Arial" w:hAnsi="Arial"/>
                <w:sz w:val="17"/>
                <w:szCs w:val="17"/>
                <w:color w:val="auto"/>
              </w:rPr>
              <w:t>exchange for lease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shd w:val="clear" w:color="auto" w:fill="CCEEFF"/>
          </w:tcPr>
          <w:p>
            <w:pPr>
              <w:ind w:left="80"/>
              <w:spacing w:after="0"/>
              <w:rPr>
                <w:sz w:val="20"/>
                <w:szCs w:val="20"/>
                <w:color w:val="auto"/>
              </w:rPr>
            </w:pPr>
            <w:r>
              <w:rPr>
                <w:rFonts w:ascii="Arial" w:cs="Arial" w:eastAsia="Arial" w:hAnsi="Arial"/>
                <w:sz w:val="17"/>
                <w:szCs w:val="17"/>
                <w:color w:val="auto"/>
              </w:rPr>
              <w:t>Operating lease ROU assets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13,848</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13,848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3,180</w:t>
            </w:r>
          </w:p>
        </w:tc>
        <w:tc>
          <w:tcPr>
            <w:tcW w:w="1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80" w:type="dxa"/>
            <w:vAlign w:val="bottom"/>
          </w:tcPr>
          <w:p>
            <w:pPr>
              <w:spacing w:after="0" w:line="193" w:lineRule="exact"/>
              <w:rPr>
                <w:sz w:val="20"/>
                <w:szCs w:val="20"/>
                <w:color w:val="auto"/>
              </w:rPr>
            </w:pPr>
            <w:r>
              <w:rPr>
                <w:rFonts w:ascii="Arial" w:cs="Arial" w:eastAsia="Arial" w:hAnsi="Arial"/>
                <w:sz w:val="17"/>
                <w:szCs w:val="17"/>
                <w:color w:val="auto"/>
                <w:w w:val="95"/>
              </w:rPr>
              <w:t>Finance lease ROU assets obtained in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800" w:type="dxa"/>
            <w:vAlign w:val="bottom"/>
            <w:gridSpan w:val="2"/>
          </w:tcPr>
          <w:p>
            <w:pPr>
              <w:spacing w:after="0"/>
              <w:rPr>
                <w:sz w:val="20"/>
                <w:szCs w:val="20"/>
                <w:color w:val="auto"/>
              </w:rPr>
            </w:pPr>
            <w:r>
              <w:rPr>
                <w:rFonts w:ascii="Arial" w:cs="Arial" w:eastAsia="Arial" w:hAnsi="Arial"/>
                <w:sz w:val="17"/>
                <w:szCs w:val="17"/>
                <w:color w:val="auto"/>
              </w:rPr>
              <w:t>exchange for lease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shd w:val="clear" w:color="auto" w:fill="CCEEFF"/>
          </w:tcPr>
          <w:p>
            <w:pPr>
              <w:ind w:left="80"/>
              <w:spacing w:after="0"/>
              <w:rPr>
                <w:sz w:val="20"/>
                <w:szCs w:val="20"/>
                <w:color w:val="auto"/>
              </w:rPr>
            </w:pPr>
            <w:r>
              <w:rPr>
                <w:rFonts w:ascii="Arial" w:cs="Arial" w:eastAsia="Arial" w:hAnsi="Arial"/>
                <w:sz w:val="17"/>
                <w:szCs w:val="17"/>
                <w:color w:val="auto"/>
              </w:rPr>
              <w:t>Finance lease ROU assets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2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80" w:type="dxa"/>
            <w:vAlign w:val="bottom"/>
          </w:tcPr>
          <w:p>
            <w:pPr>
              <w:spacing w:after="0" w:line="193" w:lineRule="exact"/>
              <w:rPr>
                <w:sz w:val="20"/>
                <w:szCs w:val="20"/>
                <w:color w:val="auto"/>
              </w:rPr>
            </w:pPr>
            <w:r>
              <w:rPr>
                <w:rFonts w:ascii="Arial" w:cs="Arial" w:eastAsia="Arial" w:hAnsi="Arial"/>
                <w:sz w:val="17"/>
                <w:szCs w:val="17"/>
                <w:color w:val="auto"/>
              </w:rPr>
              <w:t>Derecognition of ROU assets due to</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800" w:type="dxa"/>
            <w:vAlign w:val="bottom"/>
            <w:gridSpan w:val="2"/>
          </w:tcPr>
          <w:p>
            <w:pPr>
              <w:spacing w:after="0"/>
              <w:rPr>
                <w:sz w:val="20"/>
                <w:szCs w:val="20"/>
                <w:color w:val="auto"/>
              </w:rPr>
            </w:pPr>
            <w:r>
              <w:rPr>
                <w:rFonts w:ascii="Arial" w:cs="Arial" w:eastAsia="Arial" w:hAnsi="Arial"/>
                <w:sz w:val="17"/>
                <w:szCs w:val="17"/>
                <w:color w:val="auto"/>
              </w:rPr>
              <w:t>terminations, impairment or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800" w:type="dxa"/>
            <w:vAlign w:val="bottom"/>
            <w:gridSpan w:val="2"/>
          </w:tcPr>
          <w:p>
            <w:pPr>
              <w:spacing w:after="0"/>
              <w:rPr>
                <w:sz w:val="20"/>
                <w:szCs w:val="20"/>
                <w:color w:val="auto"/>
              </w:rPr>
            </w:pPr>
            <w:r>
              <w:rPr>
                <w:rFonts w:ascii="Arial" w:cs="Arial" w:eastAsia="Arial" w:hAnsi="Arial"/>
                <w:sz w:val="17"/>
                <w:szCs w:val="17"/>
                <w:color w:val="auto"/>
              </w:rPr>
              <w:t>modifications</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(4,513)</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(99)</w:t>
            </w:r>
          </w:p>
        </w:tc>
        <w:tc>
          <w:tcPr>
            <w:tcW w:w="20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(4,612)$</w:t>
            </w:r>
          </w:p>
        </w:tc>
        <w:tc>
          <w:tcPr>
            <w:tcW w:w="740" w:type="dxa"/>
            <w:vAlign w:val="bottom"/>
          </w:tcPr>
          <w:p>
            <w:pPr>
              <w:jc w:val="right"/>
              <w:spacing w:after="0"/>
              <w:rPr>
                <w:sz w:val="20"/>
                <w:szCs w:val="20"/>
                <w:color w:val="auto"/>
              </w:rPr>
            </w:pPr>
            <w:r>
              <w:rPr>
                <w:rFonts w:ascii="Arial" w:cs="Arial" w:eastAsia="Arial" w:hAnsi="Arial"/>
                <w:sz w:val="17"/>
                <w:szCs w:val="17"/>
                <w:color w:val="auto"/>
              </w:rPr>
              <w:t>(543)</w:t>
            </w:r>
          </w:p>
        </w:tc>
        <w:tc>
          <w:tcPr>
            <w:tcW w:w="18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(26)</w:t>
            </w:r>
          </w:p>
        </w:tc>
        <w:tc>
          <w:tcPr>
            <w:tcW w:w="18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(569)</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780" w:type="dxa"/>
            <w:vAlign w:val="bottom"/>
          </w:tcPr>
          <w:p>
            <w:pPr>
              <w:spacing w:after="0"/>
              <w:rPr>
                <w:sz w:val="20"/>
                <w:szCs w:val="20"/>
                <w:color w:val="auto"/>
              </w:rPr>
            </w:pPr>
            <w:r>
              <w:rPr>
                <w:rFonts w:ascii="Arial" w:cs="Arial" w:eastAsia="Arial" w:hAnsi="Arial"/>
                <w:sz w:val="17"/>
                <w:szCs w:val="17"/>
                <w:b w:val="1"/>
                <w:bCs w:val="1"/>
                <w:color w:val="auto"/>
              </w:rPr>
              <w:t>Other Information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80" w:type="dxa"/>
            <w:vAlign w:val="bottom"/>
            <w:shd w:val="clear" w:color="auto" w:fill="CCEEFF"/>
          </w:tcPr>
          <w:p>
            <w:pPr>
              <w:ind w:left="80"/>
              <w:spacing w:after="0" w:line="193" w:lineRule="exact"/>
              <w:rPr>
                <w:sz w:val="20"/>
                <w:szCs w:val="20"/>
                <w:color w:val="auto"/>
              </w:rPr>
            </w:pPr>
            <w:r>
              <w:rPr>
                <w:rFonts w:ascii="Arial" w:cs="Arial" w:eastAsia="Arial" w:hAnsi="Arial"/>
                <w:sz w:val="17"/>
                <w:szCs w:val="17"/>
                <w:color w:val="auto"/>
              </w:rPr>
              <w:t>Weighted-average remaining lease</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80" w:type="dxa"/>
            <w:vAlign w:val="bottom"/>
            <w:shd w:val="clear" w:color="auto" w:fill="CCEEFF"/>
          </w:tcPr>
          <w:p>
            <w:pPr>
              <w:ind w:left="80"/>
              <w:spacing w:after="0"/>
              <w:rPr>
                <w:sz w:val="20"/>
                <w:szCs w:val="20"/>
                <w:color w:val="auto"/>
              </w:rPr>
            </w:pPr>
            <w:r>
              <w:rPr>
                <w:rFonts w:ascii="Arial" w:cs="Arial" w:eastAsia="Arial" w:hAnsi="Arial"/>
                <w:sz w:val="17"/>
                <w:szCs w:val="17"/>
                <w:color w:val="auto"/>
              </w:rPr>
              <w:t>term—finance leases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80" w:type="dxa"/>
            <w:vAlign w:val="bottom"/>
          </w:tcPr>
          <w:p>
            <w:pPr>
              <w:ind w:left="80"/>
              <w:spacing w:after="0" w:line="193" w:lineRule="exact"/>
              <w:rPr>
                <w:sz w:val="20"/>
                <w:szCs w:val="20"/>
                <w:color w:val="auto"/>
              </w:rPr>
            </w:pPr>
            <w:r>
              <w:rPr>
                <w:rFonts w:ascii="Arial" w:cs="Arial" w:eastAsia="Arial" w:hAnsi="Arial"/>
                <w:sz w:val="17"/>
                <w:szCs w:val="17"/>
                <w:color w:val="auto"/>
              </w:rPr>
              <w:t>Weighted-average remaining lease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80" w:type="dxa"/>
            <w:vAlign w:val="bottom"/>
          </w:tcPr>
          <w:p>
            <w:pPr>
              <w:ind w:left="80"/>
              <w:spacing w:after="0"/>
              <w:rPr>
                <w:sz w:val="20"/>
                <w:szCs w:val="20"/>
                <w:color w:val="auto"/>
              </w:rPr>
            </w:pPr>
            <w:r>
              <w:rPr>
                <w:rFonts w:ascii="Arial" w:cs="Arial" w:eastAsia="Arial" w:hAnsi="Arial"/>
                <w:sz w:val="17"/>
                <w:szCs w:val="17"/>
                <w:color w:val="auto"/>
              </w:rPr>
              <w:t>term—operating leases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11.37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11.62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2.59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80" w:type="dxa"/>
            <w:vAlign w:val="bottom"/>
            <w:shd w:val="clear" w:color="auto" w:fill="CCEEFF"/>
          </w:tcPr>
          <w:p>
            <w:pPr>
              <w:ind w:left="80"/>
              <w:spacing w:after="0" w:line="193" w:lineRule="exact"/>
              <w:rPr>
                <w:sz w:val="20"/>
                <w:szCs w:val="20"/>
                <w:color w:val="auto"/>
              </w:rPr>
            </w:pPr>
            <w:r>
              <w:rPr>
                <w:rFonts w:ascii="Arial" w:cs="Arial" w:eastAsia="Arial" w:hAnsi="Arial"/>
                <w:sz w:val="17"/>
                <w:szCs w:val="17"/>
                <w:color w:val="auto"/>
              </w:rPr>
              <w:t>Weighted-average discount rate—</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80" w:type="dxa"/>
            <w:vAlign w:val="bottom"/>
            <w:shd w:val="clear" w:color="auto" w:fill="CCEEFF"/>
          </w:tcPr>
          <w:p>
            <w:pPr>
              <w:ind w:left="80"/>
              <w:spacing w:after="0"/>
              <w:rPr>
                <w:sz w:val="20"/>
                <w:szCs w:val="20"/>
                <w:color w:val="auto"/>
              </w:rPr>
            </w:pPr>
            <w:r>
              <w:rPr>
                <w:rFonts w:ascii="Arial" w:cs="Arial" w:eastAsia="Arial" w:hAnsi="Arial"/>
                <w:sz w:val="17"/>
                <w:szCs w:val="17"/>
                <w:color w:val="auto"/>
              </w:rPr>
              <w:t>finance leases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2.84 %</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1.54 %</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11.10 %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1.68 %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80" w:type="dxa"/>
            <w:vAlign w:val="bottom"/>
          </w:tcPr>
          <w:p>
            <w:pPr>
              <w:ind w:left="80"/>
              <w:spacing w:after="0" w:line="193" w:lineRule="exact"/>
              <w:rPr>
                <w:sz w:val="20"/>
                <w:szCs w:val="20"/>
                <w:color w:val="auto"/>
              </w:rPr>
            </w:pPr>
            <w:r>
              <w:rPr>
                <w:rFonts w:ascii="Arial" w:cs="Arial" w:eastAsia="Arial" w:hAnsi="Arial"/>
                <w:sz w:val="17"/>
                <w:szCs w:val="17"/>
                <w:color w:val="auto"/>
              </w:rPr>
              <w:t>Weighted-average discount rate—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80"/>
              <w:spacing w:after="0"/>
              <w:rPr>
                <w:sz w:val="20"/>
                <w:szCs w:val="20"/>
                <w:color w:val="auto"/>
              </w:rPr>
            </w:pPr>
            <w:r>
              <w:rPr>
                <w:rFonts w:ascii="Arial" w:cs="Arial" w:eastAsia="Arial" w:hAnsi="Arial"/>
                <w:sz w:val="17"/>
                <w:szCs w:val="17"/>
                <w:color w:val="auto"/>
              </w:rPr>
              <w:t>operating leases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4.43 %</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3.91 %</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4.31 %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3.89 %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Information regarding the Company’s minimum future lease obligations as of September 29, 2021 is as follows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0"/>
              </w:rPr>
              <w:t>Finance</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349"/>
              <w:spacing w:after="0"/>
              <w:rPr>
                <w:sz w:val="20"/>
                <w:szCs w:val="20"/>
                <w:color w:val="auto"/>
              </w:rPr>
            </w:pPr>
            <w:r>
              <w:rPr>
                <w:rFonts w:ascii="Arial" w:cs="Arial" w:eastAsia="Arial" w:hAnsi="Arial"/>
                <w:sz w:val="14"/>
                <w:szCs w:val="14"/>
                <w:b w:val="1"/>
                <w:bCs w:val="1"/>
                <w:color w:val="auto"/>
              </w:rPr>
              <w:t>Operating Leases</w:t>
            </w:r>
          </w:p>
        </w:tc>
      </w:tr>
      <w:tr>
        <w:trPr>
          <w:trHeight w:val="113"/>
        </w:trPr>
        <w:tc>
          <w:tcPr>
            <w:tcW w:w="28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jc w:val="center"/>
              <w:ind w:right="30"/>
              <w:spacing w:after="0" w:line="113" w:lineRule="exact"/>
              <w:rPr>
                <w:sz w:val="20"/>
                <w:szCs w:val="20"/>
                <w:color w:val="auto"/>
              </w:rPr>
            </w:pPr>
            <w:r>
              <w:rPr>
                <w:rFonts w:ascii="Arial" w:cs="Arial" w:eastAsia="Arial" w:hAnsi="Arial"/>
                <w:sz w:val="12"/>
                <w:szCs w:val="12"/>
                <w:b w:val="1"/>
                <w:bCs w:val="1"/>
                <w:color w:val="auto"/>
              </w:rPr>
              <w:t>Minimum</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ind w:right="30"/>
              <w:spacing w:after="0" w:line="113" w:lineRule="exact"/>
              <w:rPr>
                <w:sz w:val="20"/>
                <w:szCs w:val="20"/>
                <w:color w:val="auto"/>
              </w:rPr>
            </w:pPr>
            <w:r>
              <w:rPr>
                <w:rFonts w:ascii="Arial" w:cs="Arial" w:eastAsia="Arial" w:hAnsi="Arial"/>
                <w:sz w:val="12"/>
                <w:szCs w:val="12"/>
                <w:b w:val="1"/>
                <w:bCs w:val="1"/>
                <w:color w:val="auto"/>
              </w:rPr>
              <w:t>Minimum</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jc w:val="center"/>
              <w:ind w:right="49"/>
              <w:spacing w:after="0" w:line="113" w:lineRule="exact"/>
              <w:rPr>
                <w:sz w:val="20"/>
                <w:szCs w:val="20"/>
                <w:color w:val="auto"/>
              </w:rPr>
            </w:pPr>
            <w:r>
              <w:rPr>
                <w:rFonts w:ascii="Arial" w:cs="Arial" w:eastAsia="Arial" w:hAnsi="Arial"/>
                <w:sz w:val="12"/>
                <w:szCs w:val="12"/>
                <w:b w:val="1"/>
                <w:bCs w:val="1"/>
                <w:color w:val="auto"/>
              </w:rPr>
              <w:t>Minimum</w:t>
            </w:r>
          </w:p>
        </w:tc>
      </w:tr>
      <w:tr>
        <w:trPr>
          <w:trHeight w:val="141"/>
        </w:trPr>
        <w:tc>
          <w:tcPr>
            <w:tcW w:w="28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0"/>
              <w:spacing w:after="0" w:line="141" w:lineRule="exact"/>
              <w:rPr>
                <w:sz w:val="20"/>
                <w:szCs w:val="20"/>
                <w:color w:val="auto"/>
              </w:rPr>
            </w:pPr>
            <w:r>
              <w:rPr>
                <w:rFonts w:ascii="Arial" w:cs="Arial" w:eastAsia="Arial" w:hAnsi="Arial"/>
                <w:sz w:val="14"/>
                <w:szCs w:val="14"/>
                <w:b w:val="1"/>
                <w:bCs w:val="1"/>
                <w:color w:val="auto"/>
                <w:w w:val="80"/>
              </w:rPr>
              <w:t>Lease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0"/>
              <w:spacing w:after="0" w:line="141" w:lineRule="exact"/>
              <w:rPr>
                <w:sz w:val="20"/>
                <w:szCs w:val="20"/>
                <w:color w:val="auto"/>
              </w:rPr>
            </w:pPr>
            <w:r>
              <w:rPr>
                <w:rFonts w:ascii="Arial" w:cs="Arial" w:eastAsia="Arial" w:hAnsi="Arial"/>
                <w:sz w:val="14"/>
                <w:szCs w:val="14"/>
                <w:b w:val="1"/>
                <w:bCs w:val="1"/>
                <w:color w:val="auto"/>
                <w:w w:val="85"/>
              </w:rPr>
              <w:t>Lease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49"/>
              <w:spacing w:after="0" w:line="141" w:lineRule="exact"/>
              <w:rPr>
                <w:sz w:val="20"/>
                <w:szCs w:val="20"/>
                <w:color w:val="auto"/>
              </w:rPr>
            </w:pPr>
            <w:r>
              <w:rPr>
                <w:rFonts w:ascii="Arial" w:cs="Arial" w:eastAsia="Arial" w:hAnsi="Arial"/>
                <w:sz w:val="14"/>
                <w:szCs w:val="14"/>
                <w:b w:val="1"/>
                <w:bCs w:val="1"/>
                <w:color w:val="auto"/>
                <w:w w:val="81"/>
              </w:rPr>
              <w:t>Sublease</w:t>
            </w:r>
          </w:p>
        </w:tc>
      </w:tr>
      <w:tr>
        <w:trPr>
          <w:trHeight w:val="161"/>
        </w:trPr>
        <w:tc>
          <w:tcPr>
            <w:tcW w:w="2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Years Ending</w:t>
            </w:r>
          </w:p>
        </w:tc>
        <w:tc>
          <w:tcPr>
            <w:tcW w:w="300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84"/>
              </w:rPr>
              <w:t>Payments</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87"/>
              </w:rPr>
              <w:t>Payments</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85"/>
              </w:rPr>
              <w:t>Income</w:t>
            </w:r>
          </w:p>
        </w:tc>
      </w:tr>
      <w:tr>
        <w:trPr>
          <w:trHeight w:val="197"/>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December 29, 2021</w:t>
            </w:r>
          </w:p>
        </w:tc>
        <w:tc>
          <w:tcPr>
            <w:tcW w:w="3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857</w:t>
            </w:r>
          </w:p>
        </w:tc>
      </w:tr>
      <w:tr>
        <w:trPr>
          <w:trHeight w:val="613"/>
        </w:trPr>
        <w:tc>
          <w:tcPr>
            <w:tcW w:w="2860" w:type="dxa"/>
            <w:vAlign w:val="bottom"/>
          </w:tcPr>
          <w:p>
            <w:pPr>
              <w:spacing w:after="0"/>
              <w:rPr>
                <w:sz w:val="24"/>
                <w:szCs w:val="24"/>
                <w:color w:val="auto"/>
              </w:rPr>
            </w:pPr>
          </w:p>
        </w:tc>
        <w:tc>
          <w:tcPr>
            <w:tcW w:w="3000" w:type="dxa"/>
            <w:vAlign w:val="bottom"/>
          </w:tcPr>
          <w:p>
            <w:pPr>
              <w:jc w:val="right"/>
              <w:ind w:right="1235"/>
              <w:spacing w:after="0"/>
              <w:rPr>
                <w:sz w:val="20"/>
                <w:szCs w:val="20"/>
                <w:color w:val="auto"/>
              </w:rPr>
            </w:pPr>
            <w:r>
              <w:rPr>
                <w:rFonts w:ascii="Arial" w:cs="Arial" w:eastAsia="Arial" w:hAnsi="Arial"/>
                <w:sz w:val="17"/>
                <w:szCs w:val="17"/>
                <w:color w:val="auto"/>
              </w:rPr>
              <w:t>29</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31"/>
        </w:trPr>
        <w:tc>
          <w:tcPr>
            <w:tcW w:w="28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9020"/>
          </w:cols>
          <w:pgMar w:left="1440" w:top="498" w:right="1439" w:bottom="1440" w:gutter="0" w:footer="0" w:header="0"/>
        </w:sectPr>
      </w:pPr>
    </w:p>
    <w:bookmarkStart w:id="29" w:name="page30"/>
    <w:bookmarkEnd w:id="29"/>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360" w:type="dxa"/>
            <w:vAlign w:val="bottom"/>
          </w:tcPr>
          <w:p>
            <w:pPr>
              <w:spacing w:after="0"/>
              <w:rPr>
                <w:sz w:val="20"/>
                <w:szCs w:val="20"/>
                <w:color w:val="auto"/>
              </w:rPr>
            </w:pPr>
            <w:r>
              <w:rPr>
                <w:rFonts w:ascii="Arial" w:cs="Arial" w:eastAsia="Arial" w:hAnsi="Arial"/>
                <w:sz w:val="17"/>
                <w:szCs w:val="17"/>
                <w:color w:val="auto"/>
              </w:rPr>
              <w:t>December 28, 2022</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27,651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3,468</w:t>
            </w:r>
          </w:p>
        </w:tc>
        <w:tc>
          <w:tcPr>
            <w:tcW w:w="0" w:type="dxa"/>
            <w:vAlign w:val="bottom"/>
          </w:tcPr>
          <w:p>
            <w:pPr>
              <w:spacing w:after="0"/>
              <w:rPr>
                <w:sz w:val="1"/>
                <w:szCs w:val="1"/>
                <w:color w:val="auto"/>
              </w:rPr>
            </w:pPr>
          </w:p>
        </w:tc>
      </w:tr>
      <w:tr>
        <w:trPr>
          <w:trHeight w:val="206"/>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December 27, 2023</w:t>
            </w:r>
          </w:p>
        </w:tc>
        <w:tc>
          <w:tcPr>
            <w:tcW w:w="1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25,593</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3,571</w:t>
            </w:r>
          </w:p>
        </w:tc>
        <w:tc>
          <w:tcPr>
            <w:tcW w:w="0" w:type="dxa"/>
            <w:vAlign w:val="bottom"/>
          </w:tcPr>
          <w:p>
            <w:pPr>
              <w:spacing w:after="0"/>
              <w:rPr>
                <w:sz w:val="1"/>
                <w:szCs w:val="1"/>
                <w:color w:val="auto"/>
              </w:rPr>
            </w:pPr>
          </w:p>
        </w:tc>
      </w:tr>
      <w:tr>
        <w:trPr>
          <w:trHeight w:val="205"/>
        </w:trPr>
        <w:tc>
          <w:tcPr>
            <w:tcW w:w="4360" w:type="dxa"/>
            <w:vAlign w:val="bottom"/>
          </w:tcPr>
          <w:p>
            <w:pPr>
              <w:spacing w:after="0"/>
              <w:rPr>
                <w:sz w:val="20"/>
                <w:szCs w:val="20"/>
                <w:color w:val="auto"/>
              </w:rPr>
            </w:pPr>
            <w:r>
              <w:rPr>
                <w:rFonts w:ascii="Arial" w:cs="Arial" w:eastAsia="Arial" w:hAnsi="Arial"/>
                <w:sz w:val="17"/>
                <w:szCs w:val="17"/>
                <w:color w:val="auto"/>
              </w:rPr>
              <w:t>December 25, 2024</w:t>
            </w: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145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23,491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3,456</w:t>
            </w:r>
          </w:p>
        </w:tc>
        <w:tc>
          <w:tcPr>
            <w:tcW w:w="0" w:type="dxa"/>
            <w:vAlign w:val="bottom"/>
          </w:tcPr>
          <w:p>
            <w:pPr>
              <w:spacing w:after="0"/>
              <w:rPr>
                <w:sz w:val="1"/>
                <w:szCs w:val="1"/>
                <w:color w:val="auto"/>
              </w:rPr>
            </w:pPr>
          </w:p>
        </w:tc>
      </w:tr>
      <w:tr>
        <w:trPr>
          <w:trHeight w:val="205"/>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December 31, 2025</w:t>
            </w:r>
          </w:p>
        </w:tc>
        <w:tc>
          <w:tcPr>
            <w:tcW w:w="1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21,247</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3,106</w:t>
            </w:r>
          </w:p>
        </w:tc>
        <w:tc>
          <w:tcPr>
            <w:tcW w:w="0" w:type="dxa"/>
            <w:vAlign w:val="bottom"/>
          </w:tcPr>
          <w:p>
            <w:pPr>
              <w:spacing w:after="0"/>
              <w:rPr>
                <w:sz w:val="1"/>
                <w:szCs w:val="1"/>
                <w:color w:val="auto"/>
              </w:rPr>
            </w:pPr>
          </w:p>
        </w:tc>
      </w:tr>
      <w:tr>
        <w:trPr>
          <w:trHeight w:val="205"/>
        </w:trPr>
        <w:tc>
          <w:tcPr>
            <w:tcW w:w="43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Thereafter</w:t>
            </w:r>
          </w:p>
        </w:tc>
        <w:tc>
          <w:tcPr>
            <w:tcW w:w="16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1,690</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143,011</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25,746</w:t>
            </w:r>
          </w:p>
        </w:tc>
        <w:tc>
          <w:tcPr>
            <w:tcW w:w="0" w:type="dxa"/>
            <w:vAlign w:val="bottom"/>
          </w:tcPr>
          <w:p>
            <w:pPr>
              <w:spacing w:after="0"/>
              <w:rPr>
                <w:sz w:val="1"/>
                <w:szCs w:val="1"/>
                <w:color w:val="auto"/>
              </w:rPr>
            </w:pPr>
          </w:p>
        </w:tc>
      </w:tr>
      <w:tr>
        <w:trPr>
          <w:trHeight w:val="197"/>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6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2,361</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248,265</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40,204</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7"/>
                <w:szCs w:val="17"/>
                <w:color w:val="auto"/>
              </w:rPr>
              <w:t>Less: imputed interest (1.54% - 4.43%)</w:t>
            </w:r>
          </w:p>
        </w:tc>
        <w:tc>
          <w:tcPr>
            <w:tcW w:w="1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60" w:type="dxa"/>
            <w:vAlign w:val="bottom"/>
            <w:tcBorders>
              <w:bottom w:val="single" w:sz="8" w:color="CCEEFF"/>
            </w:tcBorders>
            <w:vMerge w:val="continue"/>
          </w:tcPr>
          <w:p>
            <w:pPr>
              <w:spacing w:after="0"/>
              <w:rPr>
                <w:sz w:val="15"/>
                <w:szCs w:val="15"/>
                <w:color w:val="auto"/>
              </w:rPr>
            </w:pPr>
          </w:p>
        </w:tc>
        <w:tc>
          <w:tcPr>
            <w:tcW w:w="16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(470)</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(55,750)</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Present value of lease obligations</w:t>
            </w:r>
          </w:p>
        </w:tc>
        <w:tc>
          <w:tcPr>
            <w:tcW w:w="1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192,515</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Less: current maturities</w:t>
            </w:r>
          </w:p>
        </w:tc>
        <w:tc>
          <w:tcPr>
            <w:tcW w:w="16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(19,718)</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Noncurrent portion</w:t>
            </w:r>
          </w:p>
        </w:tc>
        <w:tc>
          <w:tcPr>
            <w:tcW w:w="16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1,742</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172,797</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Short-Term Leases</w:t>
      </w:r>
    </w:p>
    <w:p>
      <w:pPr>
        <w:spacing w:after="0" w:line="214" w:lineRule="exact"/>
        <w:rPr>
          <w:sz w:val="20"/>
          <w:szCs w:val="20"/>
          <w:color w:val="auto"/>
        </w:rPr>
      </w:pPr>
    </w:p>
    <w:p>
      <w:pPr>
        <w:ind w:left="40" w:right="219"/>
        <w:spacing w:after="0" w:line="259" w:lineRule="auto"/>
        <w:rPr>
          <w:sz w:val="20"/>
          <w:szCs w:val="20"/>
          <w:color w:val="auto"/>
        </w:rPr>
      </w:pPr>
      <w:r>
        <w:rPr>
          <w:rFonts w:ascii="Arial" w:cs="Arial" w:eastAsia="Arial" w:hAnsi="Arial"/>
          <w:sz w:val="17"/>
          <w:szCs w:val="17"/>
          <w:color w:val="auto"/>
        </w:rPr>
        <w:t>The Company has multiple short-term leases, which have terms of less than 12 months, and thus were excluded from the recognition requirements of Topic 842. The Company has recognized these lease payments in its consolidated statements of operations on a straight-line basis over the lease term and variable lease payments in the period in which the obligation for those payments was incurred.</w:t>
      </w:r>
    </w:p>
    <w:p>
      <w:pPr>
        <w:spacing w:after="0" w:line="179" w:lineRule="exact"/>
        <w:rPr>
          <w:sz w:val="20"/>
          <w:szCs w:val="20"/>
          <w:color w:val="auto"/>
        </w:rPr>
      </w:pPr>
    </w:p>
    <w:p>
      <w:pPr>
        <w:ind w:left="40" w:right="59"/>
        <w:spacing w:after="0" w:line="294" w:lineRule="auto"/>
        <w:rPr>
          <w:sz w:val="20"/>
          <w:szCs w:val="20"/>
          <w:color w:val="auto"/>
        </w:rPr>
      </w:pPr>
      <w:r>
        <w:rPr>
          <w:rFonts w:ascii="Arial" w:cs="Arial" w:eastAsia="Arial" w:hAnsi="Arial"/>
          <w:sz w:val="15"/>
          <w:szCs w:val="15"/>
          <w:color w:val="auto"/>
        </w:rPr>
        <w:t>In April 2020, the FASB issued guidance allowing entities to make a policy election whether to account for lease concessions related to the COVID-19 pandemic as lease modifications. The election applies to any lessor-provided lease concession related to the impact of the COVID-19 pandemic, provided the concession does not result in a substantial increase in the rights of the lessor or in the obligations of the lessee. During fiscal 2020, the Company received non-substantial concessions from certain landlords in the form of rent deferrals and abatements. The Company elected to not account for these rent concessions as lease modifications. The rent concessions are recorded as part of other accrued expenses. The recognition of rent concessions did not have a material impact on the Company’s condensed consolidated financial statements as of September 29, 2021.</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Lessor</w:t>
      </w:r>
    </w:p>
    <w:p>
      <w:pPr>
        <w:spacing w:after="0" w:line="218" w:lineRule="exact"/>
        <w:rPr>
          <w:sz w:val="20"/>
          <w:szCs w:val="20"/>
          <w:color w:val="auto"/>
        </w:rPr>
      </w:pPr>
    </w:p>
    <w:p>
      <w:pPr>
        <w:ind w:left="40" w:right="319"/>
        <w:spacing w:after="0" w:line="259" w:lineRule="auto"/>
        <w:rPr>
          <w:sz w:val="20"/>
          <w:szCs w:val="20"/>
          <w:color w:val="auto"/>
        </w:rPr>
      </w:pPr>
      <w:r>
        <w:rPr>
          <w:rFonts w:ascii="Arial" w:cs="Arial" w:eastAsia="Arial" w:hAnsi="Arial"/>
          <w:sz w:val="17"/>
          <w:szCs w:val="17"/>
          <w:color w:val="auto"/>
        </w:rPr>
        <w:t>The Company is a lessor for certain property, facilities and equipment owned by the Company and leased to others, principally franchisees, under non-cancelable leases with initial terms ranging from three to 20 years. These lease agreements generally provide for a fixed base rent and, in some instances, contingent rent based on a percentage of gross operating profit or net revenues. All leases are considered operating leases.</w:t>
      </w:r>
    </w:p>
    <w:p>
      <w:pPr>
        <w:spacing w:after="0" w:line="179" w:lineRule="exact"/>
        <w:rPr>
          <w:sz w:val="20"/>
          <w:szCs w:val="20"/>
          <w:color w:val="auto"/>
        </w:rPr>
      </w:pPr>
    </w:p>
    <w:p>
      <w:pPr>
        <w:ind w:left="40" w:right="79"/>
        <w:spacing w:after="0" w:line="263" w:lineRule="auto"/>
        <w:rPr>
          <w:sz w:val="20"/>
          <w:szCs w:val="20"/>
          <w:color w:val="auto"/>
        </w:rPr>
      </w:pPr>
      <w:r>
        <w:rPr>
          <w:rFonts w:ascii="Arial" w:cs="Arial" w:eastAsia="Arial" w:hAnsi="Arial"/>
          <w:sz w:val="17"/>
          <w:szCs w:val="17"/>
          <w:color w:val="auto"/>
        </w:rPr>
        <w:t>For the leases in which the Company is the lessor, there are options to extend the lease. However, there are no terms and conditions to terminate the lease, no right to purchase premises and no residual value guarantees. Additionally, there are no related party leases.</w:t>
      </w:r>
    </w:p>
    <w:p>
      <w:pPr>
        <w:spacing w:after="0" w:line="176" w:lineRule="exact"/>
        <w:rPr>
          <w:sz w:val="20"/>
          <w:szCs w:val="20"/>
          <w:color w:val="auto"/>
        </w:rPr>
      </w:pPr>
    </w:p>
    <w:p>
      <w:pPr>
        <w:jc w:val="both"/>
        <w:ind w:left="40" w:right="679"/>
        <w:spacing w:after="0" w:line="314" w:lineRule="auto"/>
        <w:rPr>
          <w:sz w:val="20"/>
          <w:szCs w:val="20"/>
          <w:color w:val="auto"/>
        </w:rPr>
      </w:pPr>
      <w:r>
        <w:rPr>
          <w:rFonts w:ascii="Arial" w:cs="Arial" w:eastAsia="Arial" w:hAnsi="Arial"/>
          <w:sz w:val="15"/>
          <w:szCs w:val="15"/>
          <w:color w:val="auto"/>
        </w:rPr>
        <w:t>The Company received $0.1 million of lease income from company-owned locations for each of the thirteen weeks ended September 29, 2021 and September 23, 2020. The Company received $0.3 million and $0.4 million of lease income from company-owned locations for the thirty-nine weeks ended September 29, 2021 and September 23, 2020, respectively.</w:t>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Cautionary Statement Concerning Forward-Looking Statements</w:t>
      </w:r>
    </w:p>
    <w:p>
      <w:pPr>
        <w:spacing w:after="0" w:line="218" w:lineRule="exact"/>
        <w:rPr>
          <w:sz w:val="20"/>
          <w:szCs w:val="20"/>
          <w:color w:val="auto"/>
        </w:rPr>
      </w:pPr>
    </w:p>
    <w:p>
      <w:pPr>
        <w:ind w:left="40" w:right="59"/>
        <w:spacing w:after="0" w:line="272" w:lineRule="auto"/>
        <w:rPr>
          <w:sz w:val="20"/>
          <w:szCs w:val="20"/>
          <w:color w:val="auto"/>
        </w:rPr>
      </w:pPr>
      <w:r>
        <w:rPr>
          <w:rFonts w:ascii="Arial" w:cs="Arial" w:eastAsia="Arial" w:hAnsi="Arial"/>
          <w:sz w:val="16"/>
          <w:szCs w:val="16"/>
          <w:color w:val="auto"/>
        </w:rPr>
        <w:t>This report contains forward-looking statements that are subject to risks and uncertainties. All statements other than statements of historical fact included in this report are forward-looking statements. Forward-looking statements discuss our current expectations and projections relating to our financial condition, results of operations, plans, objectives, future performance and business. You can identify forward-looking statements because they do not relate strictly to historical or current facts. These statements may include words such as “aim,” “anticipate,” “believe,” “estimate,” “expect,” “forecast,” “outlook,” “potential,” “project,” “projection,” “plan,” “intend,” “seek,” “may,” “could,” “would,” “will,” “should,” “can,” “can have,” “likely,” the negatives thereof and other words and terms of similar meaning in connection with any discussion of the timing or nature of future operating or financial performance or other events. They appear in a number of places throughout this report and include statements regarding our intentions, beliefs or current expectations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30" w:name="page31"/>
    <w:bookmarkEnd w:id="30"/>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179"/>
        <w:spacing w:after="0" w:line="263" w:lineRule="auto"/>
        <w:rPr>
          <w:sz w:val="20"/>
          <w:szCs w:val="20"/>
          <w:color w:val="auto"/>
        </w:rPr>
      </w:pPr>
      <w:r>
        <w:rPr>
          <w:rFonts w:ascii="Arial" w:cs="Arial" w:eastAsia="Arial" w:hAnsi="Arial"/>
          <w:sz w:val="17"/>
          <w:szCs w:val="17"/>
          <w:color w:val="auto"/>
        </w:rPr>
        <w:t>concerning, among other things, our results of operations, financial condition, liquidity, prospects, growth, strategies and the industry in which we operate. All forward-looking statements are subject to risks and uncertainties that could cause actual results to differ materially from those that we expected.</w:t>
      </w:r>
    </w:p>
    <w:p>
      <w:pPr>
        <w:spacing w:after="0" w:line="176" w:lineRule="exact"/>
        <w:rPr>
          <w:sz w:val="20"/>
          <w:szCs w:val="20"/>
          <w:color w:val="auto"/>
        </w:rPr>
      </w:pPr>
    </w:p>
    <w:p>
      <w:pPr>
        <w:ind w:left="40" w:right="99"/>
        <w:spacing w:after="0" w:line="257" w:lineRule="auto"/>
        <w:rPr>
          <w:sz w:val="20"/>
          <w:szCs w:val="20"/>
          <w:color w:val="auto"/>
        </w:rPr>
      </w:pPr>
      <w:r>
        <w:rPr>
          <w:rFonts w:ascii="Arial" w:cs="Arial" w:eastAsia="Arial" w:hAnsi="Arial"/>
          <w:sz w:val="17"/>
          <w:szCs w:val="17"/>
          <w:color w:val="auto"/>
        </w:rPr>
        <w:t>While we believe that our assumptions are reasonable, 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report in the context of the factors that could cause outcomes to differ materially from our expectations. These factors include, but are not limited to:</w:t>
      </w:r>
    </w:p>
    <w:p>
      <w:pPr>
        <w:spacing w:after="0" w:line="181" w:lineRule="exact"/>
        <w:rPr>
          <w:sz w:val="20"/>
          <w:szCs w:val="20"/>
          <w:color w:val="auto"/>
        </w:rPr>
      </w:pPr>
    </w:p>
    <w:p>
      <w:pPr>
        <w:ind w:left="680" w:right="219" w:hanging="302"/>
        <w:spacing w:after="0" w:line="292" w:lineRule="auto"/>
        <w:tabs>
          <w:tab w:leader="none" w:pos="68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impacts of the COVID-19 pandemic on our company, our employees, our customers, our partners, our industry and the economy as a whole, as well as our franchisees’ ability to maintain operations in their individual restaurants;</w:t>
      </w:r>
    </w:p>
    <w:p>
      <w:pPr>
        <w:ind w:left="680" w:right="279" w:hanging="302"/>
        <w:spacing w:after="0" w:line="251" w:lineRule="auto"/>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open new restaurants in new and existing markets, including difficulty in finding sites and in negotiating acceptable leases;</w:t>
      </w:r>
    </w:p>
    <w:p>
      <w:pPr>
        <w:ind w:left="680" w:hanging="302"/>
        <w:spacing w:after="0"/>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compete successfully with other quick-service and fast casual restaurants;</w:t>
      </w:r>
    </w:p>
    <w:p>
      <w:pPr>
        <w:spacing w:after="0" w:line="9" w:lineRule="exact"/>
        <w:rPr>
          <w:rFonts w:ascii="Arial" w:cs="Arial" w:eastAsia="Arial" w:hAnsi="Arial"/>
          <w:sz w:val="17"/>
          <w:szCs w:val="17"/>
          <w:color w:val="auto"/>
        </w:rPr>
      </w:pPr>
    </w:p>
    <w:p>
      <w:pPr>
        <w:ind w:left="680" w:hanging="302"/>
        <w:spacing w:after="0"/>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vulnerability to changes in consumer preferences and economic conditions;</w:t>
      </w:r>
    </w:p>
    <w:p>
      <w:pPr>
        <w:spacing w:after="0" w:line="9" w:lineRule="exact"/>
        <w:rPr>
          <w:rFonts w:ascii="Arial" w:cs="Arial" w:eastAsia="Arial" w:hAnsi="Arial"/>
          <w:sz w:val="17"/>
          <w:szCs w:val="17"/>
          <w:color w:val="auto"/>
        </w:rPr>
      </w:pPr>
    </w:p>
    <w:p>
      <w:pPr>
        <w:ind w:left="680" w:hanging="302"/>
        <w:spacing w:after="0"/>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vulnerability to political and social factors, including regarding trade, immigration or customer preferences;</w:t>
      </w:r>
    </w:p>
    <w:p>
      <w:pPr>
        <w:spacing w:after="0" w:line="9" w:lineRule="exact"/>
        <w:rPr>
          <w:rFonts w:ascii="Arial" w:cs="Arial" w:eastAsia="Arial" w:hAnsi="Arial"/>
          <w:sz w:val="17"/>
          <w:szCs w:val="17"/>
          <w:color w:val="auto"/>
        </w:rPr>
      </w:pPr>
    </w:p>
    <w:p>
      <w:pPr>
        <w:ind w:left="680" w:hanging="302"/>
        <w:spacing w:after="0"/>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vulnerability to conditions in the greater Los Angeles area;</w:t>
      </w:r>
    </w:p>
    <w:p>
      <w:pPr>
        <w:spacing w:after="0" w:line="9" w:lineRule="exact"/>
        <w:rPr>
          <w:rFonts w:ascii="Arial" w:cs="Arial" w:eastAsia="Arial" w:hAnsi="Arial"/>
          <w:sz w:val="17"/>
          <w:szCs w:val="17"/>
          <w:color w:val="auto"/>
        </w:rPr>
      </w:pPr>
    </w:p>
    <w:p>
      <w:pPr>
        <w:ind w:left="680" w:hanging="302"/>
        <w:spacing w:after="0"/>
        <w:tabs>
          <w:tab w:leader="none" w:pos="680" w:val="left"/>
        </w:tabs>
        <w:numPr>
          <w:ilvl w:val="0"/>
          <w:numId w:val="9"/>
        </w:numPr>
        <w:rPr>
          <w:rFonts w:ascii="Arial" w:cs="Arial" w:eastAsia="Arial" w:hAnsi="Arial"/>
          <w:sz w:val="16"/>
          <w:szCs w:val="16"/>
          <w:color w:val="auto"/>
        </w:rPr>
      </w:pPr>
      <w:r>
        <w:rPr>
          <w:rFonts w:ascii="Arial" w:cs="Arial" w:eastAsia="Arial" w:hAnsi="Arial"/>
          <w:sz w:val="16"/>
          <w:szCs w:val="16"/>
          <w:color w:val="auto"/>
        </w:rPr>
        <w:t>vulnerability to natural disasters given the geographic concentration and real estate intensive nature of our business;</w:t>
      </w:r>
    </w:p>
    <w:p>
      <w:pPr>
        <w:spacing w:after="0" w:line="20" w:lineRule="exact"/>
        <w:rPr>
          <w:rFonts w:ascii="Arial" w:cs="Arial" w:eastAsia="Arial" w:hAnsi="Arial"/>
          <w:sz w:val="16"/>
          <w:szCs w:val="16"/>
          <w:color w:val="auto"/>
        </w:rPr>
      </w:pPr>
    </w:p>
    <w:p>
      <w:pPr>
        <w:ind w:left="680" w:right="439" w:hanging="302"/>
        <w:spacing w:after="0" w:line="251" w:lineRule="auto"/>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possibility that we may continue to incur significant impairment of certain of our assets, in particular in our new markets;</w:t>
      </w:r>
    </w:p>
    <w:p>
      <w:pPr>
        <w:ind w:left="680" w:hanging="302"/>
        <w:spacing w:after="0"/>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to food and supply costs, especially for chicken;</w:t>
      </w:r>
    </w:p>
    <w:p>
      <w:pPr>
        <w:spacing w:after="0" w:line="9" w:lineRule="exact"/>
        <w:rPr>
          <w:rFonts w:ascii="Arial" w:cs="Arial" w:eastAsia="Arial" w:hAnsi="Arial"/>
          <w:sz w:val="17"/>
          <w:szCs w:val="17"/>
          <w:color w:val="auto"/>
        </w:rPr>
      </w:pPr>
    </w:p>
    <w:p>
      <w:pPr>
        <w:ind w:left="680" w:right="579" w:hanging="302"/>
        <w:spacing w:after="0" w:line="251" w:lineRule="auto"/>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social media and negative publicity, whether or not valid, and our ability to respond to and effectively manage the accelerated impact of social media;</w:t>
      </w:r>
    </w:p>
    <w:p>
      <w:pPr>
        <w:ind w:left="680" w:hanging="302"/>
        <w:spacing w:after="0"/>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continue to expand our digital business, delivery orders and catering;</w:t>
      </w:r>
    </w:p>
    <w:p>
      <w:pPr>
        <w:spacing w:after="0" w:line="9" w:lineRule="exact"/>
        <w:rPr>
          <w:rFonts w:ascii="Arial" w:cs="Arial" w:eastAsia="Arial" w:hAnsi="Arial"/>
          <w:sz w:val="17"/>
          <w:szCs w:val="17"/>
          <w:color w:val="auto"/>
        </w:rPr>
      </w:pPr>
    </w:p>
    <w:p>
      <w:pPr>
        <w:ind w:left="680" w:hanging="302"/>
        <w:spacing w:after="0"/>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concerns about food safety and quality and about food-borne illness, particularly avian flu;</w:t>
      </w:r>
    </w:p>
    <w:p>
      <w:pPr>
        <w:spacing w:after="0" w:line="9" w:lineRule="exact"/>
        <w:rPr>
          <w:rFonts w:ascii="Arial" w:cs="Arial" w:eastAsia="Arial" w:hAnsi="Arial"/>
          <w:sz w:val="17"/>
          <w:szCs w:val="17"/>
          <w:color w:val="auto"/>
        </w:rPr>
      </w:pPr>
    </w:p>
    <w:p>
      <w:pPr>
        <w:ind w:left="680" w:right="159" w:hanging="302"/>
        <w:spacing w:after="0" w:line="251" w:lineRule="auto"/>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dependence on frequent and timely deliveries of food and supplies and our dependence on a single supplier to distribute substantially all of our products to our restaurants;</w:t>
      </w:r>
    </w:p>
    <w:p>
      <w:pPr>
        <w:ind w:left="680" w:hanging="302"/>
        <w:spacing w:after="0"/>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service our level of indebtedness;</w:t>
      </w:r>
    </w:p>
    <w:p>
      <w:pPr>
        <w:spacing w:after="0" w:line="9" w:lineRule="exact"/>
        <w:rPr>
          <w:rFonts w:ascii="Arial" w:cs="Arial" w:eastAsia="Arial" w:hAnsi="Arial"/>
          <w:sz w:val="17"/>
          <w:szCs w:val="17"/>
          <w:color w:val="auto"/>
        </w:rPr>
      </w:pPr>
    </w:p>
    <w:p>
      <w:pPr>
        <w:ind w:left="680" w:right="379" w:hanging="302"/>
        <w:spacing w:after="0" w:line="251" w:lineRule="auto"/>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uncertainty related to the success of our marketing programs, new menu items, advertising campaigns and restaurant designs and remodels;</w:t>
      </w:r>
    </w:p>
    <w:p>
      <w:pPr>
        <w:ind w:left="680" w:right="359" w:hanging="302"/>
        <w:spacing w:after="0" w:line="266" w:lineRule="auto"/>
        <w:tabs>
          <w:tab w:leader="none" w:pos="68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reliance on our franchisees, who may incur financial hardships, lose access to credit, close restaurants, or declare bankruptcy, and our limited control over our franchisees and potential liability for their acts;</w:t>
      </w:r>
    </w:p>
    <w:p>
      <w:pPr>
        <w:spacing w:after="0" w:line="1" w:lineRule="exact"/>
        <w:rPr>
          <w:rFonts w:ascii="Arial" w:cs="Arial" w:eastAsia="Arial" w:hAnsi="Arial"/>
          <w:sz w:val="16"/>
          <w:szCs w:val="16"/>
          <w:color w:val="auto"/>
        </w:rPr>
      </w:pPr>
    </w:p>
    <w:p>
      <w:pPr>
        <w:ind w:left="680" w:hanging="302"/>
        <w:spacing w:after="0"/>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potential exposure to unexpected costs and losses from our self-insurance programs;</w:t>
      </w:r>
    </w:p>
    <w:p>
      <w:pPr>
        <w:spacing w:after="0" w:line="9" w:lineRule="exact"/>
        <w:rPr>
          <w:rFonts w:ascii="Arial" w:cs="Arial" w:eastAsia="Arial" w:hAnsi="Arial"/>
          <w:sz w:val="17"/>
          <w:szCs w:val="17"/>
          <w:color w:val="auto"/>
        </w:rPr>
      </w:pPr>
    </w:p>
    <w:p>
      <w:pPr>
        <w:ind w:left="680" w:hanging="302"/>
        <w:spacing w:after="0"/>
        <w:tabs>
          <w:tab w:leader="none" w:pos="680" w:val="left"/>
        </w:tabs>
        <w:numPr>
          <w:ilvl w:val="0"/>
          <w:numId w:val="9"/>
        </w:numPr>
        <w:rPr>
          <w:rFonts w:ascii="Arial" w:cs="Arial" w:eastAsia="Arial" w:hAnsi="Arial"/>
          <w:sz w:val="15"/>
          <w:szCs w:val="15"/>
          <w:color w:val="auto"/>
        </w:rPr>
      </w:pPr>
      <w:r>
        <w:rPr>
          <w:rFonts w:ascii="Arial" w:cs="Arial" w:eastAsia="Arial" w:hAnsi="Arial"/>
          <w:sz w:val="15"/>
          <w:szCs w:val="15"/>
          <w:color w:val="auto"/>
        </w:rPr>
        <w:t>potential obligations under long-term and non-cancelable leases, and our ability to renew leases at the end of their terms;</w:t>
      </w:r>
    </w:p>
    <w:p>
      <w:pPr>
        <w:spacing w:after="0" w:line="32" w:lineRule="exact"/>
        <w:rPr>
          <w:rFonts w:ascii="Arial" w:cs="Arial" w:eastAsia="Arial" w:hAnsi="Arial"/>
          <w:sz w:val="15"/>
          <w:szCs w:val="15"/>
          <w:color w:val="auto"/>
        </w:rPr>
      </w:pPr>
    </w:p>
    <w:p>
      <w:pPr>
        <w:ind w:left="680" w:hanging="302"/>
        <w:spacing w:after="0"/>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impact of any failure of our information technology system or any breach of our network security;</w:t>
      </w:r>
    </w:p>
    <w:p>
      <w:pPr>
        <w:spacing w:after="0" w:line="9" w:lineRule="exact"/>
        <w:rPr>
          <w:rFonts w:ascii="Arial" w:cs="Arial" w:eastAsia="Arial" w:hAnsi="Arial"/>
          <w:sz w:val="17"/>
          <w:szCs w:val="17"/>
          <w:color w:val="auto"/>
        </w:rPr>
      </w:pPr>
    </w:p>
    <w:p>
      <w:pPr>
        <w:ind w:left="680" w:right="659" w:hanging="302"/>
        <w:spacing w:after="0" w:line="251" w:lineRule="auto"/>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impact of any security breaches of confidential customer data or personal information in connection with our electronic process of credit and debit card transactions;</w:t>
      </w:r>
    </w:p>
    <w:p>
      <w:pPr>
        <w:ind w:left="680" w:hanging="302"/>
        <w:spacing w:after="0"/>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enforce and maintain our trademarks and protect our other proprietary intellectual property;</w:t>
      </w:r>
    </w:p>
    <w:p>
      <w:pPr>
        <w:spacing w:after="0" w:line="9" w:lineRule="exact"/>
        <w:rPr>
          <w:rFonts w:ascii="Arial" w:cs="Arial" w:eastAsia="Arial" w:hAnsi="Arial"/>
          <w:sz w:val="17"/>
          <w:szCs w:val="17"/>
          <w:color w:val="auto"/>
        </w:rPr>
      </w:pPr>
    </w:p>
    <w:p>
      <w:pPr>
        <w:ind w:left="680" w:hanging="302"/>
        <w:spacing w:after="0"/>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risks related to government regulation and litigation, including employment and labor laws; and</w:t>
      </w:r>
    </w:p>
    <w:p>
      <w:pPr>
        <w:spacing w:after="0" w:line="9" w:lineRule="exact"/>
        <w:rPr>
          <w:rFonts w:ascii="Arial" w:cs="Arial" w:eastAsia="Arial" w:hAnsi="Arial"/>
          <w:sz w:val="17"/>
          <w:szCs w:val="17"/>
          <w:color w:val="auto"/>
        </w:rPr>
      </w:pPr>
    </w:p>
    <w:p>
      <w:pPr>
        <w:ind w:left="680" w:right="239" w:hanging="302"/>
        <w:spacing w:after="0" w:line="329" w:lineRule="auto"/>
        <w:tabs>
          <w:tab w:leader="none" w:pos="680" w:val="left"/>
        </w:tabs>
        <w:numPr>
          <w:ilvl w:val="0"/>
          <w:numId w:val="9"/>
        </w:numPr>
        <w:rPr>
          <w:rFonts w:ascii="Arial" w:cs="Arial" w:eastAsia="Arial" w:hAnsi="Arial"/>
          <w:sz w:val="15"/>
          <w:szCs w:val="15"/>
          <w:color w:val="auto"/>
        </w:rPr>
      </w:pPr>
      <w:r>
        <w:rPr>
          <w:rFonts w:ascii="Arial" w:cs="Arial" w:eastAsia="Arial" w:hAnsi="Arial"/>
          <w:sz w:val="15"/>
          <w:szCs w:val="15"/>
          <w:color w:val="auto"/>
        </w:rPr>
        <w:t xml:space="preserve">other risks set forth in our filings with the SEC from time to time, including under Item 1A, Risk Factors in our annual report on Form 10-K for the year ended December 30, 2020, which filings are available online at </w:t>
      </w:r>
      <w:r>
        <w:rPr>
          <w:rFonts w:ascii="Arial" w:cs="Arial" w:eastAsia="Arial" w:hAnsi="Arial"/>
          <w:sz w:val="15"/>
          <w:szCs w:val="15"/>
          <w:u w:val="single" w:color="auto"/>
          <w:color w:val="auto"/>
        </w:rPr>
        <w:t>www.sec.gov</w:t>
      </w:r>
      <w:r>
        <w:rPr>
          <w:rFonts w:ascii="Arial" w:cs="Arial" w:eastAsia="Arial" w:hAnsi="Arial"/>
          <w:sz w:val="15"/>
          <w:szCs w:val="15"/>
          <w:color w:val="auto"/>
        </w:rPr>
        <w:t>.</w:t>
      </w:r>
    </w:p>
    <w:p>
      <w:pPr>
        <w:spacing w:after="0" w:line="130" w:lineRule="exact"/>
        <w:rPr>
          <w:sz w:val="20"/>
          <w:szCs w:val="20"/>
          <w:color w:val="auto"/>
        </w:rPr>
      </w:pPr>
    </w:p>
    <w:p>
      <w:pPr>
        <w:ind w:left="40" w:right="199"/>
        <w:spacing w:after="0" w:line="254" w:lineRule="auto"/>
        <w:rPr>
          <w:sz w:val="20"/>
          <w:szCs w:val="20"/>
          <w:color w:val="auto"/>
        </w:rPr>
      </w:pPr>
      <w:r>
        <w:rPr>
          <w:rFonts w:ascii="Arial" w:cs="Arial" w:eastAsia="Arial" w:hAnsi="Arial"/>
          <w:sz w:val="17"/>
          <w:szCs w:val="17"/>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ways that we expect. The forward-looking statements included in this report are made only as of the date hereof. We undertake no obligation to publicly update or revise any forward-looking statement as a result of new information, future events or otherwise, except as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31" w:name="page32"/>
    <w:bookmarkEnd w:id="31"/>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Overview</w:t>
      </w:r>
    </w:p>
    <w:p>
      <w:pPr>
        <w:spacing w:after="0" w:line="218" w:lineRule="exact"/>
        <w:rPr>
          <w:sz w:val="20"/>
          <w:szCs w:val="20"/>
          <w:color w:val="auto"/>
        </w:rPr>
      </w:pPr>
    </w:p>
    <w:p>
      <w:pPr>
        <w:ind w:left="40" w:right="59"/>
        <w:spacing w:after="0" w:line="291" w:lineRule="auto"/>
        <w:rPr>
          <w:sz w:val="20"/>
          <w:szCs w:val="20"/>
          <w:color w:val="auto"/>
        </w:rPr>
      </w:pPr>
      <w:r>
        <w:rPr>
          <w:rFonts w:ascii="Arial" w:cs="Arial" w:eastAsia="Arial" w:hAnsi="Arial"/>
          <w:sz w:val="15"/>
          <w:szCs w:val="15"/>
          <w:color w:val="auto"/>
        </w:rPr>
        <w:t>El Pollo Loco is a differentiated and growing restaurant concept that specializes in fire-grilling citrus-marinated chicken and operates in the limited service restaurant (“LSR”) segment. We strive to offer food that integrates the culinary traditions of Mexico with the healthier lifestyle of Los Angeles, a combination that we call “LA-Mex.” Our distinctive menu features our signature product--citrus-marinated fire-grilled chicken--and a variety of Mexican and LA-inspired entrees that we create from our chicken. We serve individual and family-sized chicken meals, a variety of Mexican and LA-inspired entrees, and sides, and, throughout the year, on a limited-time basis, additional proteins like shrimp. Our entrees include favorites such as our Chicken Avocado Burrito, Pollo Fit entrees, chicken tostada salads, and Pollo Bowls. Our famous Creamy Cilantro dressings and salsas are prepared fresh daily, allowing our customers to create their favorite flavor profiles to enhance their culinary experience. Our distinctive menu with better for you and more affordable alternatives appeals to consumers across a wide variety of socio-economic backgrounds and drives our balanced composition of sales throughout the day (our “day-part mix”), including at lunch and dinner.</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COVID-19 Impact</w:t>
      </w:r>
    </w:p>
    <w:p>
      <w:pPr>
        <w:spacing w:after="0" w:line="218" w:lineRule="exact"/>
        <w:rPr>
          <w:sz w:val="20"/>
          <w:szCs w:val="20"/>
          <w:color w:val="auto"/>
        </w:rPr>
      </w:pPr>
    </w:p>
    <w:p>
      <w:pPr>
        <w:ind w:left="40" w:right="219"/>
        <w:spacing w:after="0" w:line="271" w:lineRule="auto"/>
        <w:rPr>
          <w:sz w:val="20"/>
          <w:szCs w:val="20"/>
          <w:color w:val="auto"/>
        </w:rPr>
      </w:pPr>
      <w:r>
        <w:rPr>
          <w:rFonts w:ascii="Arial" w:cs="Arial" w:eastAsia="Arial" w:hAnsi="Arial"/>
          <w:sz w:val="16"/>
          <w:szCs w:val="16"/>
          <w:color w:val="auto"/>
        </w:rPr>
        <w:t>During the COVID-19 pandemic, we have experienced periods of significant disruption to our restaurant operations. Following the pandemic declaration in March 2020, federal, state and local governments have periodically responded to the public health crisis by requiring social distancing, issuing “stay at home” directives, and implementing restaurant restrictions - including government-mandated dining room closures - that limited business to off-premise services only (take-out, drive-thru and delivery). Many state and local governments continue to periodically implement certain restrictions to try and contain the spread of the virus. As of September 29, 2021, all of our restaurants have dining rooms open at full capacity and continue to maintain take-away, mobile pick-up, delivery, and drive-thru operations where available. We continue to experience staffing challenges which resulted in reduced operating hours and service channels. Further, there have been inflationary pressures due to supply chain disruptions that have impacted our business and results of operations during the thirteen and thirty-nine weeks ended September 29, 2021.</w:t>
      </w:r>
    </w:p>
    <w:p>
      <w:pPr>
        <w:spacing w:after="0" w:line="174" w:lineRule="exact"/>
        <w:rPr>
          <w:sz w:val="20"/>
          <w:szCs w:val="20"/>
          <w:color w:val="auto"/>
        </w:rPr>
      </w:pPr>
    </w:p>
    <w:p>
      <w:pPr>
        <w:ind w:left="40" w:right="239"/>
        <w:spacing w:after="0" w:line="259" w:lineRule="auto"/>
        <w:rPr>
          <w:sz w:val="20"/>
          <w:szCs w:val="20"/>
          <w:color w:val="auto"/>
        </w:rPr>
      </w:pPr>
      <w:r>
        <w:rPr>
          <w:rFonts w:ascii="Arial" w:cs="Arial" w:eastAsia="Arial" w:hAnsi="Arial"/>
          <w:sz w:val="17"/>
          <w:szCs w:val="17"/>
          <w:color w:val="auto"/>
        </w:rPr>
        <w:t>During the thirteen and thirty-nine weeks ended September 29, 2021, we incurred $0.5 million and $3.5 million, respectively, in COVID-19 related expenses, primarily due to leaves of absence and overtime pay. During the thirteen and thirty-nine weeks ended September 23, 2020, the Company incurred $0.9 million and $2.0 million, respectively, in COVID-19 related expenses, primarily due to leaves of absence and overtime pay.</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Growth Strategies and Outlook</w:t>
      </w:r>
    </w:p>
    <w:p>
      <w:pPr>
        <w:spacing w:after="0" w:line="218" w:lineRule="exact"/>
        <w:rPr>
          <w:sz w:val="20"/>
          <w:szCs w:val="20"/>
          <w:color w:val="auto"/>
        </w:rPr>
      </w:pPr>
    </w:p>
    <w:p>
      <w:pPr>
        <w:ind w:left="40" w:right="139"/>
        <w:spacing w:after="0" w:line="299" w:lineRule="auto"/>
        <w:rPr>
          <w:sz w:val="20"/>
          <w:szCs w:val="20"/>
          <w:color w:val="auto"/>
        </w:rPr>
      </w:pPr>
      <w:r>
        <w:rPr>
          <w:rFonts w:ascii="Arial" w:cs="Arial" w:eastAsia="Arial" w:hAnsi="Arial"/>
          <w:sz w:val="15"/>
          <w:szCs w:val="15"/>
          <w:color w:val="auto"/>
        </w:rPr>
        <w:t>As of September 29, 2021, we had 480 locations in six states. In fiscal 2020, we opened one new company-operated restaurant in Nevada, which was in process prior to the COVID-19 pandemic and our franchisees opened three new restaurants, two in California and one in Arizona. For the thirty-nine weeks ended September 29, 2021, two new company-operated restaurants were opened, one in Nevada and one in California, and no new franchised restaurants were opened, although we sold eight of our company-owned restaurants to a franchisee during the thirteen and thirty-six weeks ended September 29, 2021.</w:t>
      </w:r>
    </w:p>
    <w:p>
      <w:pPr>
        <w:spacing w:after="0" w:line="154" w:lineRule="exact"/>
        <w:rPr>
          <w:sz w:val="20"/>
          <w:szCs w:val="20"/>
          <w:color w:val="auto"/>
        </w:rPr>
      </w:pPr>
    </w:p>
    <w:p>
      <w:pPr>
        <w:ind w:left="40" w:right="139"/>
        <w:spacing w:after="0" w:line="276" w:lineRule="auto"/>
        <w:rPr>
          <w:sz w:val="20"/>
          <w:szCs w:val="20"/>
          <w:color w:val="auto"/>
        </w:rPr>
      </w:pPr>
      <w:r>
        <w:rPr>
          <w:rFonts w:ascii="Arial" w:cs="Arial" w:eastAsia="Arial" w:hAnsi="Arial"/>
          <w:sz w:val="17"/>
          <w:szCs w:val="17"/>
          <w:color w:val="auto"/>
        </w:rPr>
        <w:t>We plan to continue to expand our business, drive restaurant sales growth, and enhance our competitive positioning, by executing the following strategies:</w:t>
      </w:r>
    </w:p>
    <w:p>
      <w:pPr>
        <w:spacing w:after="0" w:line="164" w:lineRule="exact"/>
        <w:rPr>
          <w:sz w:val="20"/>
          <w:szCs w:val="20"/>
          <w:color w:val="auto"/>
        </w:rPr>
      </w:pPr>
    </w:p>
    <w:p>
      <w:pPr>
        <w:ind w:left="680" w:hanging="302"/>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expand our restaurant base;</w:t>
      </w:r>
    </w:p>
    <w:p>
      <w:pPr>
        <w:spacing w:after="0" w:line="213" w:lineRule="exact"/>
        <w:rPr>
          <w:rFonts w:ascii="Arial" w:cs="Arial" w:eastAsia="Arial" w:hAnsi="Arial"/>
          <w:sz w:val="17"/>
          <w:szCs w:val="17"/>
          <w:color w:val="auto"/>
        </w:rPr>
      </w:pPr>
    </w:p>
    <w:p>
      <w:pPr>
        <w:ind w:left="680" w:hanging="302"/>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increase our comparable restaurant sales; and</w:t>
      </w:r>
    </w:p>
    <w:p>
      <w:pPr>
        <w:spacing w:after="0" w:line="213" w:lineRule="exact"/>
        <w:rPr>
          <w:rFonts w:ascii="Arial" w:cs="Arial" w:eastAsia="Arial" w:hAnsi="Arial"/>
          <w:sz w:val="17"/>
          <w:szCs w:val="17"/>
          <w:color w:val="auto"/>
        </w:rPr>
      </w:pPr>
    </w:p>
    <w:p>
      <w:pPr>
        <w:ind w:left="680" w:hanging="302"/>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enhance operations and leverage our infrastructure.</w:t>
      </w:r>
    </w:p>
    <w:p>
      <w:pPr>
        <w:spacing w:after="0" w:line="214" w:lineRule="exact"/>
        <w:rPr>
          <w:sz w:val="20"/>
          <w:szCs w:val="20"/>
          <w:color w:val="auto"/>
        </w:rPr>
      </w:pPr>
    </w:p>
    <w:p>
      <w:pPr>
        <w:ind w:left="40" w:right="219"/>
        <w:spacing w:after="0" w:line="276" w:lineRule="auto"/>
        <w:rPr>
          <w:sz w:val="20"/>
          <w:szCs w:val="20"/>
          <w:color w:val="auto"/>
        </w:rPr>
      </w:pPr>
      <w:r>
        <w:rPr>
          <w:rFonts w:ascii="Arial" w:cs="Arial" w:eastAsia="Arial" w:hAnsi="Arial"/>
          <w:sz w:val="17"/>
          <w:szCs w:val="17"/>
          <w:color w:val="auto"/>
        </w:rPr>
        <w:t>To increase comparable restaurant sales, we plan to increase customer frequency, attract new customers, and improve per-person spend. Success of these growth plans is not guaranteed.</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32" w:name="page33"/>
    <w:bookmarkEnd w:id="32"/>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Highlights and Trends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Comparable Restaurant Sales</w:t>
      </w:r>
    </w:p>
    <w:p>
      <w:pPr>
        <w:spacing w:after="0" w:line="214" w:lineRule="exact"/>
        <w:rPr>
          <w:sz w:val="20"/>
          <w:szCs w:val="20"/>
          <w:color w:val="auto"/>
        </w:rPr>
      </w:pPr>
    </w:p>
    <w:p>
      <w:pPr>
        <w:ind w:left="40" w:right="59"/>
        <w:spacing w:after="0" w:line="272" w:lineRule="auto"/>
        <w:rPr>
          <w:sz w:val="20"/>
          <w:szCs w:val="20"/>
          <w:color w:val="auto"/>
        </w:rPr>
      </w:pPr>
      <w:r>
        <w:rPr>
          <w:rFonts w:ascii="Arial" w:cs="Arial" w:eastAsia="Arial" w:hAnsi="Arial"/>
          <w:sz w:val="16"/>
          <w:szCs w:val="16"/>
          <w:color w:val="auto"/>
        </w:rPr>
        <w:t>For the thirteen and thirty-nine weeks ended September 29, 2021, system-wide comparable restaurant sales increased by 9.3% and 12.5%, respectively, from the comparable period in the prior year. For company-operated restaurants, comparable restaurant sales for the thirteen and thirty-nine weeks ended September 29, 2021 increased by 4.8% and 8.1%, respectively. For company-operated restaurants, the quarter’s change in comparable restaurant sales consisted of an approximately 3.5% increase in average check size and an increase in transactions of 1.2% and the year-to-date change in comparable restaurant sales consisted of a 6.6% increase in average check size and a 1.4% increase in transactions. For franchised restaurants, comparable restaurant sales increased 12.6% and 15.7% for the thirteen and thirty-nine weeks ended September 29, 2021, respectively. Refer to Comparable Restaurant Sales definition in “Key Performance Indicators” section below.</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Restaurant Development</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Our restaurant counts at the beginning and end of each of the last three fiscal years and the thirty-nine weeks ended</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color w:val="auto"/>
        </w:rPr>
        <w:t>September 29, 2021, were as follows: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780" w:type="dxa"/>
            <w:vAlign w:val="bottom"/>
            <w:gridSpan w:val="2"/>
          </w:tcPr>
          <w:p>
            <w:pPr>
              <w:ind w:left="60"/>
              <w:spacing w:after="0"/>
              <w:rPr>
                <w:sz w:val="20"/>
                <w:szCs w:val="20"/>
                <w:color w:val="auto"/>
              </w:rPr>
            </w:pPr>
            <w:r>
              <w:rPr>
                <w:rFonts w:ascii="Arial" w:cs="Arial" w:eastAsia="Arial" w:hAnsi="Arial"/>
                <w:sz w:val="14"/>
                <w:szCs w:val="14"/>
                <w:b w:val="1"/>
                <w:bCs w:val="1"/>
                <w:color w:val="auto"/>
              </w:rPr>
              <w:t>Thirty-Nine Weeks Ended</w:t>
            </w:r>
          </w:p>
        </w:tc>
        <w:tc>
          <w:tcPr>
            <w:tcW w:w="1620" w:type="dxa"/>
            <w:vAlign w:val="bottom"/>
            <w:gridSpan w:val="5"/>
          </w:tcPr>
          <w:p>
            <w:pPr>
              <w:ind w:left="520"/>
              <w:spacing w:after="0"/>
              <w:rPr>
                <w:sz w:val="20"/>
                <w:szCs w:val="20"/>
                <w:color w:val="auto"/>
              </w:rPr>
            </w:pPr>
            <w:r>
              <w:rPr>
                <w:rFonts w:ascii="Arial" w:cs="Arial" w:eastAsia="Arial" w:hAnsi="Arial"/>
                <w:sz w:val="14"/>
                <w:szCs w:val="14"/>
                <w:b w:val="1"/>
                <w:bCs w:val="1"/>
                <w:color w:val="auto"/>
                <w:w w:val="89"/>
              </w:rPr>
              <w:t>Fiscal Year Ended</w:t>
            </w:r>
          </w:p>
        </w:tc>
        <w:tc>
          <w:tcPr>
            <w:tcW w:w="480" w:type="dxa"/>
            <w:vAlign w:val="bottom"/>
          </w:tcPr>
          <w:p>
            <w:pPr>
              <w:spacing w:after="0"/>
              <w:rPr>
                <w:sz w:val="14"/>
                <w:szCs w:val="14"/>
                <w:color w:val="auto"/>
              </w:rPr>
            </w:pPr>
          </w:p>
        </w:tc>
      </w:tr>
      <w:tr>
        <w:trPr>
          <w:trHeight w:val="133"/>
        </w:trPr>
        <w:tc>
          <w:tcPr>
            <w:tcW w:w="5040" w:type="dxa"/>
            <w:vAlign w:val="bottom"/>
            <w:tcBorders>
              <w:bottom w:val="single" w:sz="8" w:color="CCEEFF"/>
            </w:tcBorders>
          </w:tcPr>
          <w:p>
            <w:pPr>
              <w:spacing w:after="0"/>
              <w:rPr>
                <w:sz w:val="11"/>
                <w:szCs w:val="11"/>
                <w:color w:val="auto"/>
              </w:rPr>
            </w:pPr>
          </w:p>
        </w:tc>
        <w:tc>
          <w:tcPr>
            <w:tcW w:w="1640" w:type="dxa"/>
            <w:vAlign w:val="bottom"/>
            <w:tcBorders>
              <w:top w:val="single" w:sz="8" w:color="auto"/>
              <w:bottom w:val="single" w:sz="8" w:color="auto"/>
            </w:tcBorders>
          </w:tcPr>
          <w:p>
            <w:pPr>
              <w:jc w:val="right"/>
              <w:ind w:right="177"/>
              <w:spacing w:after="0" w:line="134" w:lineRule="exact"/>
              <w:rPr>
                <w:sz w:val="20"/>
                <w:szCs w:val="20"/>
                <w:color w:val="auto"/>
              </w:rPr>
            </w:pPr>
            <w:r>
              <w:rPr>
                <w:rFonts w:ascii="Arial" w:cs="Arial" w:eastAsia="Arial" w:hAnsi="Arial"/>
                <w:sz w:val="14"/>
                <w:szCs w:val="14"/>
                <w:b w:val="1"/>
                <w:bCs w:val="1"/>
                <w:color w:val="auto"/>
              </w:rPr>
              <w:t>September 29, 2021</w:t>
            </w:r>
          </w:p>
        </w:tc>
        <w:tc>
          <w:tcPr>
            <w:tcW w:w="140" w:type="dxa"/>
            <w:vAlign w:val="bottom"/>
            <w:tcBorders>
              <w:bottom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77"/>
              <w:spacing w:after="0" w:line="134"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96"/>
              <w:spacing w:after="0" w:line="134"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96"/>
              <w:spacing w:after="0" w:line="134" w:lineRule="exact"/>
              <w:rPr>
                <w:sz w:val="20"/>
                <w:szCs w:val="20"/>
                <w:color w:val="auto"/>
              </w:rPr>
            </w:pPr>
            <w:r>
              <w:rPr>
                <w:rFonts w:ascii="Arial" w:cs="Arial" w:eastAsia="Arial" w:hAnsi="Arial"/>
                <w:sz w:val="14"/>
                <w:szCs w:val="14"/>
                <w:b w:val="1"/>
                <w:bCs w:val="1"/>
                <w:color w:val="auto"/>
                <w:w w:val="89"/>
              </w:rPr>
              <w:t>2018</w:t>
            </w:r>
          </w:p>
        </w:tc>
      </w:tr>
      <w:tr>
        <w:trPr>
          <w:trHeight w:val="197"/>
        </w:trPr>
        <w:tc>
          <w:tcPr>
            <w:tcW w:w="5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Company-operated restaurant activity:</w:t>
            </w:r>
          </w:p>
        </w:tc>
        <w:tc>
          <w:tcPr>
            <w:tcW w:w="1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05"/>
        </w:trPr>
        <w:tc>
          <w:tcPr>
            <w:tcW w:w="5040" w:type="dxa"/>
            <w:vAlign w:val="bottom"/>
          </w:tcPr>
          <w:p>
            <w:pPr>
              <w:spacing w:after="0"/>
              <w:rPr>
                <w:sz w:val="20"/>
                <w:szCs w:val="20"/>
                <w:color w:val="auto"/>
              </w:rPr>
            </w:pPr>
            <w:r>
              <w:rPr>
                <w:rFonts w:ascii="Arial" w:cs="Arial" w:eastAsia="Arial" w:hAnsi="Arial"/>
                <w:sz w:val="17"/>
                <w:szCs w:val="17"/>
                <w:color w:val="auto"/>
              </w:rPr>
              <w:t>Beginning of period</w:t>
            </w:r>
          </w:p>
        </w:tc>
        <w:tc>
          <w:tcPr>
            <w:tcW w:w="1640" w:type="dxa"/>
            <w:vAlign w:val="bottom"/>
          </w:tcPr>
          <w:p>
            <w:pPr>
              <w:jc w:val="right"/>
              <w:spacing w:after="0"/>
              <w:rPr>
                <w:sz w:val="20"/>
                <w:szCs w:val="20"/>
                <w:color w:val="auto"/>
              </w:rPr>
            </w:pPr>
            <w:r>
              <w:rPr>
                <w:rFonts w:ascii="Arial" w:cs="Arial" w:eastAsia="Arial" w:hAnsi="Arial"/>
                <w:sz w:val="17"/>
                <w:szCs w:val="17"/>
                <w:color w:val="auto"/>
              </w:rPr>
              <w:t>196</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195</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213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212</w:t>
            </w:r>
          </w:p>
        </w:tc>
      </w:tr>
      <w:tr>
        <w:trPr>
          <w:trHeight w:val="205"/>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Openings</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05"/>
        </w:trPr>
        <w:tc>
          <w:tcPr>
            <w:tcW w:w="5040" w:type="dxa"/>
            <w:vAlign w:val="bottom"/>
          </w:tcPr>
          <w:p>
            <w:pPr>
              <w:spacing w:after="0"/>
              <w:rPr>
                <w:sz w:val="20"/>
                <w:szCs w:val="20"/>
                <w:color w:val="auto"/>
              </w:rPr>
            </w:pPr>
            <w:r>
              <w:rPr>
                <w:rFonts w:ascii="Arial" w:cs="Arial" w:eastAsia="Arial" w:hAnsi="Arial"/>
                <w:sz w:val="17"/>
                <w:szCs w:val="17"/>
                <w:color w:val="auto"/>
              </w:rPr>
              <w:t>Restaurant sale to franchisee</w:t>
            </w:r>
          </w:p>
        </w:tc>
        <w:tc>
          <w:tcPr>
            <w:tcW w:w="1780" w:type="dxa"/>
            <w:vAlign w:val="bottom"/>
            <w:gridSpan w:val="2"/>
          </w:tcPr>
          <w:p>
            <w:pPr>
              <w:jc w:val="right"/>
              <w:ind w:right="140"/>
              <w:spacing w:after="0"/>
              <w:rPr>
                <w:sz w:val="20"/>
                <w:szCs w:val="20"/>
                <w:color w:val="auto"/>
              </w:rPr>
            </w:pPr>
            <w:r>
              <w:rPr>
                <w:rFonts w:ascii="Arial" w:cs="Arial" w:eastAsia="Arial" w:hAnsi="Arial"/>
                <w:sz w:val="17"/>
                <w:szCs w:val="17"/>
                <w:color w:val="auto"/>
              </w:rPr>
              <w:t>(8)</w:t>
            </w: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Closures</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197"/>
        </w:trPr>
        <w:tc>
          <w:tcPr>
            <w:tcW w:w="5040" w:type="dxa"/>
            <w:vAlign w:val="bottom"/>
          </w:tcPr>
          <w:p>
            <w:pPr>
              <w:spacing w:after="0"/>
              <w:rPr>
                <w:sz w:val="20"/>
                <w:szCs w:val="20"/>
                <w:color w:val="auto"/>
              </w:rPr>
            </w:pPr>
            <w:r>
              <w:rPr>
                <w:rFonts w:ascii="Arial" w:cs="Arial" w:eastAsia="Arial" w:hAnsi="Arial"/>
                <w:sz w:val="17"/>
                <w:szCs w:val="17"/>
                <w:color w:val="auto"/>
              </w:rPr>
              <w:t>Restaurants at end of period</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190</w:t>
            </w:r>
          </w:p>
        </w:tc>
        <w:tc>
          <w:tcPr>
            <w:tcW w:w="14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196</w:t>
            </w:r>
          </w:p>
        </w:tc>
        <w:tc>
          <w:tcPr>
            <w:tcW w:w="14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195</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213</w:t>
            </w:r>
          </w:p>
        </w:tc>
      </w:tr>
      <w:tr>
        <w:trPr>
          <w:trHeight w:val="205"/>
        </w:trPr>
        <w:tc>
          <w:tcPr>
            <w:tcW w:w="5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Franchised restaurant activity:</w:t>
            </w:r>
          </w:p>
        </w:tc>
        <w:tc>
          <w:tcPr>
            <w:tcW w:w="1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05"/>
        </w:trPr>
        <w:tc>
          <w:tcPr>
            <w:tcW w:w="5040" w:type="dxa"/>
            <w:vAlign w:val="bottom"/>
          </w:tcPr>
          <w:p>
            <w:pPr>
              <w:spacing w:after="0"/>
              <w:rPr>
                <w:sz w:val="20"/>
                <w:szCs w:val="20"/>
                <w:color w:val="auto"/>
              </w:rPr>
            </w:pPr>
            <w:r>
              <w:rPr>
                <w:rFonts w:ascii="Arial" w:cs="Arial" w:eastAsia="Arial" w:hAnsi="Arial"/>
                <w:sz w:val="17"/>
                <w:szCs w:val="17"/>
                <w:color w:val="auto"/>
              </w:rPr>
              <w:t>Beginning of period</w:t>
            </w:r>
          </w:p>
        </w:tc>
        <w:tc>
          <w:tcPr>
            <w:tcW w:w="1640" w:type="dxa"/>
            <w:vAlign w:val="bottom"/>
          </w:tcPr>
          <w:p>
            <w:pPr>
              <w:jc w:val="right"/>
              <w:spacing w:after="0"/>
              <w:rPr>
                <w:sz w:val="20"/>
                <w:szCs w:val="20"/>
                <w:color w:val="auto"/>
              </w:rPr>
            </w:pPr>
            <w:r>
              <w:rPr>
                <w:rFonts w:ascii="Arial" w:cs="Arial" w:eastAsia="Arial" w:hAnsi="Arial"/>
                <w:sz w:val="17"/>
                <w:szCs w:val="17"/>
                <w:color w:val="auto"/>
              </w:rPr>
              <w:t>283</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287</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271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265</w:t>
            </w:r>
          </w:p>
        </w:tc>
      </w:tr>
      <w:tr>
        <w:trPr>
          <w:trHeight w:val="205"/>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Openings</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05"/>
        </w:trPr>
        <w:tc>
          <w:tcPr>
            <w:tcW w:w="5040" w:type="dxa"/>
            <w:vAlign w:val="bottom"/>
          </w:tcPr>
          <w:p>
            <w:pPr>
              <w:spacing w:after="0"/>
              <w:rPr>
                <w:sz w:val="20"/>
                <w:szCs w:val="20"/>
                <w:color w:val="auto"/>
              </w:rPr>
            </w:pPr>
            <w:r>
              <w:rPr>
                <w:rFonts w:ascii="Arial" w:cs="Arial" w:eastAsia="Arial" w:hAnsi="Arial"/>
                <w:sz w:val="17"/>
                <w:szCs w:val="17"/>
                <w:color w:val="auto"/>
              </w:rPr>
              <w:t>Restaurant sale to franchisee</w:t>
            </w:r>
          </w:p>
        </w:tc>
        <w:tc>
          <w:tcPr>
            <w:tcW w:w="1640" w:type="dxa"/>
            <w:vAlign w:val="bottom"/>
          </w:tcPr>
          <w:p>
            <w:pPr>
              <w:jc w:val="right"/>
              <w:spacing w:after="0"/>
              <w:rPr>
                <w:sz w:val="20"/>
                <w:szCs w:val="20"/>
                <w:color w:val="auto"/>
              </w:rPr>
            </w:pPr>
            <w:r>
              <w:rPr>
                <w:rFonts w:ascii="Arial" w:cs="Arial" w:eastAsia="Arial" w:hAnsi="Arial"/>
                <w:sz w:val="17"/>
                <w:szCs w:val="17"/>
                <w:color w:val="auto"/>
              </w:rPr>
              <w:t>8</w:t>
            </w:r>
          </w:p>
        </w:tc>
        <w:tc>
          <w:tcPr>
            <w:tcW w:w="14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Closures</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197"/>
        </w:trPr>
        <w:tc>
          <w:tcPr>
            <w:tcW w:w="5040" w:type="dxa"/>
            <w:vAlign w:val="bottom"/>
          </w:tcPr>
          <w:p>
            <w:pPr>
              <w:spacing w:after="0"/>
              <w:rPr>
                <w:sz w:val="20"/>
                <w:szCs w:val="20"/>
                <w:color w:val="auto"/>
              </w:rPr>
            </w:pPr>
            <w:r>
              <w:rPr>
                <w:rFonts w:ascii="Arial" w:cs="Arial" w:eastAsia="Arial" w:hAnsi="Arial"/>
                <w:sz w:val="17"/>
                <w:szCs w:val="17"/>
                <w:color w:val="auto"/>
              </w:rPr>
              <w:t>Restaurants at end of period</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290</w:t>
            </w:r>
          </w:p>
        </w:tc>
        <w:tc>
          <w:tcPr>
            <w:tcW w:w="14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283</w:t>
            </w:r>
          </w:p>
        </w:tc>
        <w:tc>
          <w:tcPr>
            <w:tcW w:w="14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287</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271</w:t>
            </w:r>
          </w:p>
        </w:tc>
      </w:tr>
      <w:tr>
        <w:trPr>
          <w:trHeight w:val="205"/>
        </w:trPr>
        <w:tc>
          <w:tcPr>
            <w:tcW w:w="5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System-wide restaurant activity:</w:t>
            </w:r>
          </w:p>
        </w:tc>
        <w:tc>
          <w:tcPr>
            <w:tcW w:w="1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05"/>
        </w:trPr>
        <w:tc>
          <w:tcPr>
            <w:tcW w:w="5040" w:type="dxa"/>
            <w:vAlign w:val="bottom"/>
          </w:tcPr>
          <w:p>
            <w:pPr>
              <w:spacing w:after="0"/>
              <w:rPr>
                <w:sz w:val="20"/>
                <w:szCs w:val="20"/>
                <w:color w:val="auto"/>
              </w:rPr>
            </w:pPr>
            <w:r>
              <w:rPr>
                <w:rFonts w:ascii="Arial" w:cs="Arial" w:eastAsia="Arial" w:hAnsi="Arial"/>
                <w:sz w:val="17"/>
                <w:szCs w:val="17"/>
                <w:color w:val="auto"/>
              </w:rPr>
              <w:t>Beginning of period</w:t>
            </w:r>
          </w:p>
        </w:tc>
        <w:tc>
          <w:tcPr>
            <w:tcW w:w="1640" w:type="dxa"/>
            <w:vAlign w:val="bottom"/>
          </w:tcPr>
          <w:p>
            <w:pPr>
              <w:jc w:val="right"/>
              <w:spacing w:after="0"/>
              <w:rPr>
                <w:sz w:val="20"/>
                <w:szCs w:val="20"/>
                <w:color w:val="auto"/>
              </w:rPr>
            </w:pPr>
            <w:r>
              <w:rPr>
                <w:rFonts w:ascii="Arial" w:cs="Arial" w:eastAsia="Arial" w:hAnsi="Arial"/>
                <w:sz w:val="17"/>
                <w:szCs w:val="17"/>
                <w:color w:val="auto"/>
              </w:rPr>
              <w:t>479</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482</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484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477</w:t>
            </w:r>
          </w:p>
        </w:tc>
      </w:tr>
      <w:tr>
        <w:trPr>
          <w:trHeight w:val="205"/>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Openings</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05"/>
        </w:trPr>
        <w:tc>
          <w:tcPr>
            <w:tcW w:w="5040" w:type="dxa"/>
            <w:vAlign w:val="bottom"/>
          </w:tcPr>
          <w:p>
            <w:pPr>
              <w:spacing w:after="0"/>
              <w:rPr>
                <w:sz w:val="20"/>
                <w:szCs w:val="20"/>
                <w:color w:val="auto"/>
              </w:rPr>
            </w:pPr>
            <w:r>
              <w:rPr>
                <w:rFonts w:ascii="Arial" w:cs="Arial" w:eastAsia="Arial" w:hAnsi="Arial"/>
                <w:sz w:val="17"/>
                <w:szCs w:val="17"/>
                <w:color w:val="auto"/>
              </w:rPr>
              <w:t>Closures</w:t>
            </w:r>
          </w:p>
        </w:tc>
        <w:tc>
          <w:tcPr>
            <w:tcW w:w="178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(7)</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(6)</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197"/>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Restaurants at end of period</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484</w:t>
            </w:r>
          </w:p>
        </w:tc>
      </w:tr>
      <w:tr>
        <w:trPr>
          <w:trHeight w:val="20"/>
        </w:trPr>
        <w:tc>
          <w:tcPr>
            <w:tcW w:w="50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Restaurant Remodeling</w:t>
      </w:r>
    </w:p>
    <w:p>
      <w:pPr>
        <w:spacing w:after="0" w:line="214" w:lineRule="exact"/>
        <w:rPr>
          <w:sz w:val="20"/>
          <w:szCs w:val="20"/>
          <w:color w:val="auto"/>
        </w:rPr>
      </w:pPr>
    </w:p>
    <w:p>
      <w:pPr>
        <w:ind w:left="40" w:right="159"/>
        <w:spacing w:after="0" w:line="280" w:lineRule="auto"/>
        <w:rPr>
          <w:sz w:val="20"/>
          <w:szCs w:val="20"/>
          <w:color w:val="auto"/>
        </w:rPr>
      </w:pPr>
      <w:r>
        <w:rPr>
          <w:rFonts w:ascii="Arial" w:cs="Arial" w:eastAsia="Arial" w:hAnsi="Arial"/>
          <w:sz w:val="16"/>
          <w:szCs w:val="16"/>
          <w:color w:val="auto"/>
        </w:rPr>
        <w:t xml:space="preserve">In 2020, we finalized a new restaurant design that we believe will clearly differentiate and communicate our brand, both on the exterior and interior. We believe that our remodels using this new design will result in higher restaurant revenue and a strengthened brand. As of September 29, 2021 we have completed 12 remodels using the new asset design including 10 this year. </w:t>
      </w:r>
      <w:r>
        <w:rPr>
          <w:rFonts w:ascii="Arial" w:cs="Arial" w:eastAsia="Arial" w:hAnsi="Arial"/>
          <w:sz w:val="16"/>
          <w:szCs w:val="16"/>
          <w:color w:val="212529"/>
        </w:rPr>
        <w:t>In fiscal 2021, we plan to complete a total of 10-12 company and 5-7 franchise remodels using the new design.</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Loco Rewards</w:t>
      </w:r>
    </w:p>
    <w:p>
      <w:pPr>
        <w:spacing w:after="0" w:line="218" w:lineRule="exact"/>
        <w:rPr>
          <w:sz w:val="20"/>
          <w:szCs w:val="20"/>
          <w:color w:val="auto"/>
        </w:rPr>
      </w:pPr>
    </w:p>
    <w:p>
      <w:pPr>
        <w:ind w:left="40" w:right="999"/>
        <w:spacing w:after="0" w:line="292" w:lineRule="auto"/>
        <w:rPr>
          <w:sz w:val="20"/>
          <w:szCs w:val="20"/>
          <w:color w:val="auto"/>
        </w:rPr>
      </w:pPr>
      <w:r>
        <w:rPr>
          <w:rFonts w:ascii="Arial" w:cs="Arial" w:eastAsia="Arial" w:hAnsi="Arial"/>
          <w:sz w:val="15"/>
          <w:szCs w:val="15"/>
          <w:color w:val="auto"/>
        </w:rPr>
        <w:t>During the second quarter of 2017, we introduced a new loyalty rewards points program in an effort to increase sales and loyalty among our customers, by offering rewards that incentivize customers to visit our restaurants more often</w:t>
      </w:r>
    </w:p>
    <w:p>
      <w:pPr>
        <w:spacing w:after="0" w:line="1" w:lineRule="exact"/>
        <w:rPr>
          <w:sz w:val="20"/>
          <w:szCs w:val="20"/>
          <w:color w:val="auto"/>
        </w:rPr>
      </w:pPr>
    </w:p>
    <w:p>
      <w:pPr>
        <w:ind w:left="40" w:right="59"/>
        <w:spacing w:after="0" w:line="272" w:lineRule="auto"/>
        <w:rPr>
          <w:sz w:val="20"/>
          <w:szCs w:val="20"/>
          <w:color w:val="auto"/>
        </w:rPr>
      </w:pPr>
      <w:r>
        <w:rPr>
          <w:rFonts w:ascii="Arial" w:cs="Arial" w:eastAsia="Arial" w:hAnsi="Arial"/>
          <w:sz w:val="16"/>
          <w:szCs w:val="16"/>
          <w:color w:val="auto"/>
        </w:rPr>
        <w:t>each month. Customers earn points for each dollar spent and as of August 4, 2020, 50 points can be redeemed for a $5 reward to be used for a future purchase. Prior to August 4, 2020, 100 points could be redeemed for a $10 reward. If a customer does not earn or use points within a one-year period, their account is deactivated and all points expire. Additionally, if a reward is not used within six months, it expires.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w:t>
      </w:r>
    </w:p>
    <w:p>
      <w:pPr>
        <w:sectPr>
          <w:pgSz w:w="11900" w:h="16838" w:orient="portrait"/>
          <w:cols w:equalWidth="0" w:num="1">
            <w:col w:w="9019"/>
          </w:cols>
          <w:pgMar w:left="1440" w:top="498" w:right="1440"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360680</wp:posOffset>
            </wp:positionV>
            <wp:extent cx="5661025" cy="24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type w:val="continuous"/>
        </w:sectPr>
      </w:pPr>
    </w:p>
    <w:bookmarkStart w:id="33" w:name="page34"/>
    <w:bookmarkEnd w:id="33"/>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199"/>
        <w:spacing w:after="0" w:line="259" w:lineRule="auto"/>
        <w:rPr>
          <w:sz w:val="20"/>
          <w:szCs w:val="20"/>
          <w:color w:val="auto"/>
        </w:rPr>
      </w:pPr>
      <w:r>
        <w:rPr>
          <w:rFonts w:ascii="Arial" w:cs="Arial" w:eastAsia="Arial" w:hAnsi="Arial"/>
          <w:sz w:val="17"/>
          <w:szCs w:val="17"/>
          <w:color w:val="auto"/>
        </w:rPr>
        <w:t>been satisfied, and the amount deferred in the balance sheet is recognized as revenue, when the points are transferred to a reward and redeemed, the reward or points have expired, or the likelihood of redemption is remote. A portion of the transaction price is allocated to loyalty points on a pro-rata basis, based on stand-alone selling price, as determined by menu pricing and loyalty point’s terms.</w:t>
      </w:r>
    </w:p>
    <w:p>
      <w:pPr>
        <w:spacing w:after="0" w:line="179" w:lineRule="exact"/>
        <w:rPr>
          <w:sz w:val="20"/>
          <w:szCs w:val="20"/>
          <w:color w:val="auto"/>
        </w:rPr>
      </w:pPr>
    </w:p>
    <w:p>
      <w:pPr>
        <w:ind w:left="40" w:right="59"/>
        <w:spacing w:after="0" w:line="256" w:lineRule="auto"/>
        <w:rPr>
          <w:sz w:val="20"/>
          <w:szCs w:val="20"/>
          <w:color w:val="auto"/>
        </w:rPr>
      </w:pPr>
      <w:r>
        <w:rPr>
          <w:rFonts w:ascii="Arial" w:cs="Arial" w:eastAsia="Arial" w:hAnsi="Arial"/>
          <w:sz w:val="17"/>
          <w:szCs w:val="17"/>
          <w:color w:val="auto"/>
        </w:rPr>
        <w:t>In addition, customers can earn additional points and free entrées for a variety of engagement activities. As points are available for redemption past the quarter earned, a portion of the revenue associated with the earned points will be deferred until redemption or expiration. As of September 29, 2021 and December 30, 2020, the revenue allocated to loyalty points that had not been redeemed was $0.7 million and $0.9 million, respectively, which is reflected in the Company’s accompanying condensed consolidated balance sheets within other accrued expenses and current liabilities. The Company had over 2.5 million loyalty program members as of September 29, 2021.</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Critical Accounting Policies and Use of Estimates</w:t>
      </w:r>
    </w:p>
    <w:p>
      <w:pPr>
        <w:spacing w:after="0" w:line="218" w:lineRule="exact"/>
        <w:rPr>
          <w:sz w:val="20"/>
          <w:szCs w:val="20"/>
          <w:color w:val="auto"/>
        </w:rPr>
      </w:pPr>
    </w:p>
    <w:p>
      <w:pPr>
        <w:ind w:left="40" w:right="59"/>
        <w:spacing w:after="0" w:line="256" w:lineRule="auto"/>
        <w:rPr>
          <w:sz w:val="20"/>
          <w:szCs w:val="20"/>
          <w:color w:val="auto"/>
        </w:rPr>
      </w:pPr>
      <w:r>
        <w:rPr>
          <w:rFonts w:ascii="Arial" w:cs="Arial" w:eastAsia="Arial" w:hAnsi="Arial"/>
          <w:sz w:val="17"/>
          <w:szCs w:val="17"/>
          <w:color w:val="auto"/>
        </w:rPr>
        <w:t>The preparation of our condensed consolidated financial statements in accordance with GAAP requires us to make estimates and judgments that affect our reported amounts of assets, liabilities, revenue, and expenses, and related disclosures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spacing w:after="0" w:line="182" w:lineRule="exact"/>
        <w:rPr>
          <w:sz w:val="20"/>
          <w:szCs w:val="20"/>
          <w:color w:val="auto"/>
        </w:rPr>
      </w:pPr>
    </w:p>
    <w:p>
      <w:pPr>
        <w:ind w:left="40" w:right="59"/>
        <w:spacing w:after="0" w:line="296" w:lineRule="auto"/>
        <w:rPr>
          <w:sz w:val="20"/>
          <w:szCs w:val="20"/>
          <w:color w:val="auto"/>
        </w:rPr>
      </w:pPr>
      <w:r>
        <w:rPr>
          <w:rFonts w:ascii="Arial" w:cs="Arial" w:eastAsia="Arial" w:hAnsi="Arial"/>
          <w:sz w:val="15"/>
          <w:szCs w:val="15"/>
          <w:color w:val="auto"/>
        </w:rPr>
        <w:t>Accounting policies are an integral part of our condensed consolidated financial statements. A thorough understanding of these accounting policies is essential when reviewing our reported results of operations and our financial position. Management believes that the critical accounting policies and estimates discussed below involve the most difficult management judgments, due to the sensitivity of the methods and assumptions used. For a summary of our critical accounting policies and a discussion of our use of estimates, see “Critical Accounting Policies and Use of Estimates” in Item 7, “Management’s Discussion and Analysis of Financial Condition and Results of Operations” in our annual report on Form 10-K for the year ended December 30, 2020.</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There have been no material changes to our critical accounting policies or uses of estimates since our annual report on Form 10-K.</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Recent Accounting Pronouncements</w:t>
      </w:r>
    </w:p>
    <w:p>
      <w:pPr>
        <w:spacing w:after="0" w:line="218" w:lineRule="exact"/>
        <w:rPr>
          <w:sz w:val="20"/>
          <w:szCs w:val="20"/>
          <w:color w:val="auto"/>
        </w:rPr>
      </w:pPr>
    </w:p>
    <w:p>
      <w:pPr>
        <w:ind w:left="40" w:right="499"/>
        <w:spacing w:after="0" w:line="276" w:lineRule="auto"/>
        <w:rPr>
          <w:sz w:val="20"/>
          <w:szCs w:val="20"/>
          <w:color w:val="auto"/>
        </w:rPr>
      </w:pPr>
      <w:r>
        <w:rPr>
          <w:rFonts w:ascii="Arial" w:cs="Arial" w:eastAsia="Arial" w:hAnsi="Arial"/>
          <w:sz w:val="17"/>
          <w:szCs w:val="17"/>
          <w:color w:val="auto"/>
        </w:rPr>
        <w:t>Recent accounting pronouncements are described in Note 1, “Basis of Presentation and Summary of Significant Accounting Policies” in the Notes to Condensed Consolidated Financial Statements above.</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Key Financial Definitions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Revenue</w:t>
      </w:r>
    </w:p>
    <w:p>
      <w:pPr>
        <w:spacing w:after="0" w:line="214" w:lineRule="exact"/>
        <w:rPr>
          <w:sz w:val="20"/>
          <w:szCs w:val="20"/>
          <w:color w:val="auto"/>
        </w:rPr>
      </w:pPr>
    </w:p>
    <w:p>
      <w:pPr>
        <w:ind w:left="40" w:right="159"/>
        <w:spacing w:after="0" w:line="259" w:lineRule="auto"/>
        <w:rPr>
          <w:sz w:val="20"/>
          <w:szCs w:val="20"/>
          <w:color w:val="auto"/>
        </w:rPr>
      </w:pPr>
      <w:r>
        <w:rPr>
          <w:rFonts w:ascii="Arial" w:cs="Arial" w:eastAsia="Arial" w:hAnsi="Arial"/>
          <w:sz w:val="17"/>
          <w:szCs w:val="17"/>
          <w:color w:val="auto"/>
        </w:rPr>
        <w:t>Our revenue is derived from three primary sources: company-operated restaurant revenue, franchise revenue, which is comprised primarily of franchise royalties and, to a lesser extent, franchise fees and sublease rental income, and franchise advertising fee revenue. See Note 10, “Revenue from Contracts with Customers” in the Notes to Condensed Consolidated Financial Statements above for further details regarding our revenue recognition policy.</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Food and Paper Costs</w:t>
      </w:r>
    </w:p>
    <w:p>
      <w:pPr>
        <w:spacing w:after="0" w:line="214" w:lineRule="exact"/>
        <w:rPr>
          <w:sz w:val="20"/>
          <w:szCs w:val="20"/>
          <w:color w:val="auto"/>
        </w:rPr>
      </w:pPr>
    </w:p>
    <w:p>
      <w:pPr>
        <w:jc w:val="both"/>
        <w:ind w:left="40" w:right="199"/>
        <w:spacing w:after="0" w:line="263" w:lineRule="auto"/>
        <w:rPr>
          <w:sz w:val="20"/>
          <w:szCs w:val="20"/>
          <w:color w:val="auto"/>
        </w:rPr>
      </w:pPr>
      <w:r>
        <w:rPr>
          <w:rFonts w:ascii="Arial" w:cs="Arial" w:eastAsia="Arial" w:hAnsi="Arial"/>
          <w:sz w:val="17"/>
          <w:szCs w:val="17"/>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Labor and Related Expenses</w:t>
      </w:r>
    </w:p>
    <w:p>
      <w:pPr>
        <w:spacing w:after="0" w:line="214" w:lineRule="exact"/>
        <w:rPr>
          <w:sz w:val="20"/>
          <w:szCs w:val="20"/>
          <w:color w:val="auto"/>
        </w:rPr>
      </w:pPr>
    </w:p>
    <w:p>
      <w:pPr>
        <w:ind w:left="40" w:right="539"/>
        <w:spacing w:after="0" w:line="308" w:lineRule="auto"/>
        <w:rPr>
          <w:sz w:val="20"/>
          <w:szCs w:val="20"/>
          <w:color w:val="auto"/>
        </w:rPr>
      </w:pPr>
      <w:r>
        <w:rPr>
          <w:rFonts w:ascii="Arial" w:cs="Arial" w:eastAsia="Arial" w:hAnsi="Arial"/>
          <w:sz w:val="16"/>
          <w:szCs w:val="16"/>
          <w:color w:val="auto"/>
        </w:rPr>
        <w:t>Labor and related expenses include wages, payroll taxes, workers’ compensation expense, benefits, and bonuses paid to our restaurant management teams. Like other expense items, we expect labor costs to grow proportionately as our</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34" w:name="page35"/>
    <w:bookmarkEnd w:id="34"/>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459"/>
        <w:spacing w:after="0" w:line="308" w:lineRule="auto"/>
        <w:rPr>
          <w:sz w:val="20"/>
          <w:szCs w:val="20"/>
          <w:color w:val="auto"/>
        </w:rPr>
      </w:pPr>
      <w:r>
        <w:rPr>
          <w:rFonts w:ascii="Arial" w:cs="Arial" w:eastAsia="Arial" w:hAnsi="Arial"/>
          <w:sz w:val="16"/>
          <w:szCs w:val="16"/>
          <w:color w:val="auto"/>
        </w:rPr>
        <w:t>restaurant revenue grows. Factors that influence labor costs include minimum wage and payroll tax legislation, overtime, the frequency and severity of workers’ compensation claims, health care costs, and the performance of our restaurants.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Occupancy Costs and Other Operating Expenses</w:t>
      </w:r>
    </w:p>
    <w:p>
      <w:pPr>
        <w:spacing w:after="0" w:line="214" w:lineRule="exact"/>
        <w:rPr>
          <w:sz w:val="20"/>
          <w:szCs w:val="20"/>
          <w:color w:val="auto"/>
        </w:rPr>
      </w:pPr>
    </w:p>
    <w:p>
      <w:pPr>
        <w:ind w:left="40" w:right="559"/>
        <w:spacing w:after="0" w:line="345" w:lineRule="auto"/>
        <w:rPr>
          <w:sz w:val="20"/>
          <w:szCs w:val="20"/>
          <w:color w:val="auto"/>
        </w:rPr>
      </w:pPr>
      <w:r>
        <w:rPr>
          <w:rFonts w:ascii="Arial" w:cs="Arial" w:eastAsia="Arial" w:hAnsi="Arial"/>
          <w:sz w:val="15"/>
          <w:szCs w:val="15"/>
          <w:color w:val="auto"/>
        </w:rPr>
        <w:t>Occupancy costs include rent, CAM, and real estate taxes. Other restaurant operating expenses include the costs of utilities, advertising, credit card processing fees, restaurant supplies, repairs and maintenance, and other restaurant operating costs.</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214" w:lineRule="exact"/>
        <w:rPr>
          <w:sz w:val="20"/>
          <w:szCs w:val="20"/>
          <w:color w:val="auto"/>
        </w:rPr>
      </w:pPr>
    </w:p>
    <w:p>
      <w:pPr>
        <w:ind w:left="40" w:right="279"/>
        <w:spacing w:after="0" w:line="257" w:lineRule="auto"/>
        <w:rPr>
          <w:sz w:val="20"/>
          <w:szCs w:val="20"/>
          <w:color w:val="auto"/>
        </w:rPr>
      </w:pPr>
      <w:r>
        <w:rPr>
          <w:rFonts w:ascii="Arial" w:cs="Arial" w:eastAsia="Arial" w:hAnsi="Arial"/>
          <w:sz w:val="17"/>
          <w:szCs w:val="17"/>
          <w:color w:val="auto"/>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Legal Settlements</w:t>
      </w:r>
    </w:p>
    <w:p>
      <w:pPr>
        <w:spacing w:after="0" w:line="214" w:lineRule="exact"/>
        <w:rPr>
          <w:sz w:val="20"/>
          <w:szCs w:val="20"/>
          <w:color w:val="auto"/>
        </w:rPr>
      </w:pPr>
    </w:p>
    <w:p>
      <w:pPr>
        <w:ind w:left="40" w:right="659"/>
        <w:spacing w:after="0" w:line="276" w:lineRule="auto"/>
        <w:rPr>
          <w:sz w:val="20"/>
          <w:szCs w:val="20"/>
          <w:color w:val="auto"/>
        </w:rPr>
      </w:pPr>
      <w:r>
        <w:rPr>
          <w:rFonts w:ascii="Arial" w:cs="Arial" w:eastAsia="Arial" w:hAnsi="Arial"/>
          <w:sz w:val="17"/>
          <w:szCs w:val="17"/>
          <w:color w:val="auto"/>
        </w:rPr>
        <w:t>Legal settlements include expenses such as judgments or settlements related to legal matters, legal claims and class action lawsuits.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Franchise Expenses</w:t>
      </w:r>
    </w:p>
    <w:p>
      <w:pPr>
        <w:spacing w:after="0" w:line="214" w:lineRule="exact"/>
        <w:rPr>
          <w:sz w:val="20"/>
          <w:szCs w:val="20"/>
          <w:color w:val="auto"/>
        </w:rPr>
      </w:pPr>
    </w:p>
    <w:p>
      <w:pPr>
        <w:ind w:left="40" w:right="199"/>
        <w:spacing w:after="0" w:line="345" w:lineRule="auto"/>
        <w:rPr>
          <w:sz w:val="20"/>
          <w:szCs w:val="20"/>
          <w:color w:val="auto"/>
        </w:rPr>
      </w:pPr>
      <w:r>
        <w:rPr>
          <w:rFonts w:ascii="Arial" w:cs="Arial" w:eastAsia="Arial" w:hAnsi="Arial"/>
          <w:sz w:val="15"/>
          <w:szCs w:val="15"/>
          <w:color w:val="auto"/>
        </w:rPr>
        <w:t>Franchise expenses are primarily comprised of rent expenses incurred on properties leased by us and then sublet to franchisees, expenses incurred in support of franchisee information technology systems, and the franchisee’s portion of advertising expenses.</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Depreciation and Amortization</w:t>
      </w:r>
    </w:p>
    <w:p>
      <w:pPr>
        <w:spacing w:after="0" w:line="214" w:lineRule="exact"/>
        <w:rPr>
          <w:sz w:val="20"/>
          <w:szCs w:val="20"/>
          <w:color w:val="auto"/>
        </w:rPr>
      </w:pPr>
    </w:p>
    <w:p>
      <w:pPr>
        <w:ind w:left="40" w:right="1039"/>
        <w:spacing w:after="0" w:line="276" w:lineRule="auto"/>
        <w:rPr>
          <w:sz w:val="20"/>
          <w:szCs w:val="20"/>
          <w:color w:val="auto"/>
        </w:rPr>
      </w:pPr>
      <w:r>
        <w:rPr>
          <w:rFonts w:ascii="Arial" w:cs="Arial" w:eastAsia="Arial" w:hAnsi="Arial"/>
          <w:sz w:val="17"/>
          <w:szCs w:val="17"/>
          <w:color w:val="auto"/>
        </w:rPr>
        <w:t>Depreciation and amortization primarily consists of the depreciation of property and equipment, including leasehold improvements and equipment.</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Loss on Disposal of Assets</w:t>
      </w:r>
    </w:p>
    <w:p>
      <w:pPr>
        <w:spacing w:after="0" w:line="214" w:lineRule="exact"/>
        <w:rPr>
          <w:sz w:val="20"/>
          <w:szCs w:val="20"/>
          <w:color w:val="auto"/>
        </w:rPr>
      </w:pPr>
    </w:p>
    <w:p>
      <w:pPr>
        <w:ind w:left="40" w:right="239"/>
        <w:spacing w:after="0" w:line="276" w:lineRule="auto"/>
        <w:rPr>
          <w:sz w:val="20"/>
          <w:szCs w:val="20"/>
          <w:color w:val="auto"/>
        </w:rPr>
      </w:pPr>
      <w:r>
        <w:rPr>
          <w:rFonts w:ascii="Arial" w:cs="Arial" w:eastAsia="Arial" w:hAnsi="Arial"/>
          <w:sz w:val="17"/>
          <w:szCs w:val="17"/>
          <w:color w:val="auto"/>
        </w:rPr>
        <w:t>Loss on disposal of assets includes the loss on disposal of assets related to retirements and replacement or write-off of leasehold improvements or equipment.</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Impairment and Closed-Store Reserves</w:t>
      </w:r>
    </w:p>
    <w:p>
      <w:pPr>
        <w:spacing w:after="0" w:line="214" w:lineRule="exact"/>
        <w:rPr>
          <w:sz w:val="20"/>
          <w:szCs w:val="20"/>
          <w:color w:val="auto"/>
        </w:rPr>
      </w:pPr>
    </w:p>
    <w:p>
      <w:pPr>
        <w:ind w:left="40" w:right="79"/>
        <w:spacing w:after="0" w:line="271" w:lineRule="auto"/>
        <w:rPr>
          <w:sz w:val="20"/>
          <w:szCs w:val="20"/>
          <w:color w:val="auto"/>
        </w:rPr>
      </w:pPr>
      <w:r>
        <w:rPr>
          <w:rFonts w:ascii="Arial" w:cs="Arial" w:eastAsia="Arial" w:hAnsi="Arial"/>
          <w:sz w:val="16"/>
          <w:szCs w:val="16"/>
          <w:color w:val="auto"/>
        </w:rPr>
        <w:t>We review long-lived assets such as property, equipment, and intangibles on a unit-by-unit basis for impairment when events or circumstances indicate a carrying value of the assets that may not be recoverable. We determine if there is impairment at the restaurant level by comparing undiscounted future cash flows from the related long-lived assets to their respective carrying values and record an impairment charge when appropriate. In determining future cash flows, significant estimates are made by us with respect to future operating results of each restaurant over its remaining lease term, including sales trends, labor rates, commodity costs and other operating cost assumptions. If assets are determined to be impaired, the impairment charge is measured by calculating the amount by which the asset carrying amount exceeds its fair value. This process of assessing fair values requires the use of estimates and assumptions, including our ability to sell or reuse the related assets and market conditions, which are subject to a high degree of judgment. If these assumptions change in the future, we may be required to record impairment charges for these assets and these charges could be material.</w:t>
      </w:r>
    </w:p>
    <w:p>
      <w:pPr>
        <w:spacing w:after="0" w:line="174" w:lineRule="exact"/>
        <w:rPr>
          <w:sz w:val="20"/>
          <w:szCs w:val="20"/>
          <w:color w:val="auto"/>
        </w:rPr>
      </w:pPr>
    </w:p>
    <w:p>
      <w:pPr>
        <w:jc w:val="both"/>
        <w:ind w:left="40" w:right="239"/>
        <w:spacing w:after="0" w:line="263" w:lineRule="auto"/>
        <w:rPr>
          <w:sz w:val="20"/>
          <w:szCs w:val="20"/>
          <w:color w:val="auto"/>
        </w:rPr>
      </w:pPr>
      <w:r>
        <w:rPr>
          <w:rFonts w:ascii="Arial" w:cs="Arial" w:eastAsia="Arial" w:hAnsi="Arial"/>
          <w:sz w:val="17"/>
          <w:szCs w:val="17"/>
          <w:color w:val="auto"/>
        </w:rPr>
        <w:t>When the Company closes a restaurant, it will evaluate the ROU asset for impairment, based on anticipated sublease recoveries. The remaining value of the ROU asset is amortized on a straight-line basis, with the expense recognized in closed-store reserve expense, in addition to property tax and CAM charges for closed restaurants.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35" w:name="page36"/>
    <w:bookmarkEnd w:id="35"/>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Interest Expense, Net</w:t>
      </w:r>
    </w:p>
    <w:p>
      <w:pPr>
        <w:spacing w:after="0" w:line="214" w:lineRule="exact"/>
        <w:rPr>
          <w:sz w:val="20"/>
          <w:szCs w:val="20"/>
          <w:color w:val="auto"/>
        </w:rPr>
      </w:pPr>
    </w:p>
    <w:p>
      <w:pPr>
        <w:ind w:left="40" w:right="139"/>
        <w:spacing w:after="0" w:line="276" w:lineRule="auto"/>
        <w:rPr>
          <w:sz w:val="20"/>
          <w:szCs w:val="20"/>
          <w:color w:val="auto"/>
        </w:rPr>
      </w:pPr>
      <w:r>
        <w:rPr>
          <w:rFonts w:ascii="Arial" w:cs="Arial" w:eastAsia="Arial" w:hAnsi="Arial"/>
          <w:sz w:val="17"/>
          <w:szCs w:val="17"/>
          <w:color w:val="auto"/>
        </w:rPr>
        <w:t>Interest expense, net, consists primarily of interest on our outstanding debt. Debt issuance costs are amortized at cost over the life of the related debt.</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Provision for income taxes consists of federal and state taxes on our income.</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Comparison of Results of Operations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5"/>
          <w:szCs w:val="15"/>
          <w:color w:val="auto"/>
        </w:rPr>
        <w:t>Our operating results for the thirteen and thirty-nine weeks ended September 29, 2021 and September 23, 2020 and expressed</w:t>
      </w:r>
    </w:p>
    <w:p>
      <w:pPr>
        <w:spacing w:after="0" w:line="43" w:lineRule="exact"/>
        <w:rPr>
          <w:sz w:val="20"/>
          <w:szCs w:val="20"/>
          <w:color w:val="auto"/>
        </w:rPr>
      </w:pPr>
    </w:p>
    <w:p>
      <w:pPr>
        <w:ind w:left="40" w:right="99"/>
        <w:spacing w:after="0" w:line="262" w:lineRule="auto"/>
        <w:rPr>
          <w:sz w:val="20"/>
          <w:szCs w:val="20"/>
          <w:color w:val="auto"/>
        </w:rPr>
      </w:pPr>
      <w:r>
        <w:rPr>
          <w:rFonts w:ascii="Arial" w:cs="Arial" w:eastAsia="Arial" w:hAnsi="Arial"/>
          <w:sz w:val="17"/>
          <w:szCs w:val="17"/>
          <w:color w:val="auto"/>
        </w:rPr>
        <w:t>as percentages of total revenue, with the exception of cost of operations and company restaurant expenses, which are expressed as a percentage of company-operated restaurant revenue, are compared in the tables below.</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Thirteen Weeks Ended</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jc w:val="right"/>
              <w:ind w:right="55"/>
              <w:spacing w:after="0" w:line="134" w:lineRule="exact"/>
              <w:rPr>
                <w:sz w:val="20"/>
                <w:szCs w:val="20"/>
                <w:color w:val="auto"/>
              </w:rPr>
            </w:pPr>
            <w:r>
              <w:rPr>
                <w:rFonts w:ascii="Arial" w:cs="Arial" w:eastAsia="Arial" w:hAnsi="Arial"/>
                <w:sz w:val="14"/>
                <w:szCs w:val="14"/>
                <w:b w:val="1"/>
                <w:bCs w:val="1"/>
                <w:color w:val="auto"/>
                <w:w w:val="88"/>
              </w:rPr>
              <w:t>September 29, 2021</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jc w:val="right"/>
              <w:ind w:right="55"/>
              <w:spacing w:after="0" w:line="134" w:lineRule="exact"/>
              <w:rPr>
                <w:sz w:val="20"/>
                <w:szCs w:val="20"/>
                <w:color w:val="auto"/>
              </w:rPr>
            </w:pPr>
            <w:r>
              <w:rPr>
                <w:rFonts w:ascii="Arial" w:cs="Arial" w:eastAsia="Arial" w:hAnsi="Arial"/>
                <w:sz w:val="14"/>
                <w:szCs w:val="14"/>
                <w:b w:val="1"/>
                <w:bCs w:val="1"/>
                <w:color w:val="auto"/>
                <w:w w:val="88"/>
              </w:rPr>
              <w:t>September 23, 2020</w:t>
            </w:r>
          </w:p>
        </w:tc>
        <w:tc>
          <w:tcPr>
            <w:tcW w:w="140" w:type="dxa"/>
            <w:vAlign w:val="bottom"/>
          </w:tcPr>
          <w:p>
            <w:pPr>
              <w:spacing w:after="0"/>
              <w:rPr>
                <w:sz w:val="11"/>
                <w:szCs w:val="11"/>
                <w:color w:val="auto"/>
              </w:rPr>
            </w:pPr>
          </w:p>
        </w:tc>
        <w:tc>
          <w:tcPr>
            <w:tcW w:w="1360" w:type="dxa"/>
            <w:vAlign w:val="bottom"/>
            <w:tcBorders>
              <w:bottom w:val="single" w:sz="8" w:color="auto"/>
            </w:tcBorders>
            <w:gridSpan w:val="4"/>
          </w:tcPr>
          <w:p>
            <w:pPr>
              <w:jc w:val="right"/>
              <w:spacing w:after="0" w:line="134" w:lineRule="exact"/>
              <w:rPr>
                <w:sz w:val="20"/>
                <w:szCs w:val="20"/>
                <w:color w:val="auto"/>
              </w:rPr>
            </w:pPr>
            <w:r>
              <w:rPr>
                <w:rFonts w:ascii="Arial" w:cs="Arial" w:eastAsia="Arial" w:hAnsi="Arial"/>
                <w:sz w:val="14"/>
                <w:szCs w:val="14"/>
                <w:b w:val="1"/>
                <w:bCs w:val="1"/>
                <w:color w:val="auto"/>
                <w:w w:val="89"/>
              </w:rPr>
              <w:t>Increase / (Decrease)</w:t>
            </w:r>
          </w:p>
        </w:tc>
        <w:tc>
          <w:tcPr>
            <w:tcW w:w="0" w:type="dxa"/>
            <w:vAlign w:val="bottom"/>
          </w:tcPr>
          <w:p>
            <w:pPr>
              <w:spacing w:after="0"/>
              <w:rPr>
                <w:sz w:val="1"/>
                <w:szCs w:val="1"/>
                <w:color w:val="auto"/>
              </w:rPr>
            </w:pPr>
          </w:p>
        </w:tc>
      </w:tr>
      <w:tr>
        <w:trPr>
          <w:trHeight w:val="133"/>
        </w:trPr>
        <w:tc>
          <w:tcPr>
            <w:tcW w:w="41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Statements of Income Data</w:t>
            </w: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96"/>
              <w:spacing w:after="0" w:line="134" w:lineRule="exact"/>
              <w:rPr>
                <w:sz w:val="20"/>
                <w:szCs w:val="20"/>
                <w:color w:val="auto"/>
              </w:rPr>
            </w:pPr>
            <w:r>
              <w:rPr>
                <w:rFonts w:ascii="Arial" w:cs="Arial" w:eastAsia="Arial" w:hAnsi="Arial"/>
                <w:sz w:val="14"/>
                <w:szCs w:val="14"/>
                <w:b w:val="1"/>
                <w:bCs w:val="1"/>
                <w:color w:val="auto"/>
              </w:rPr>
              <w:t>($,000)</w:t>
            </w:r>
          </w:p>
        </w:tc>
        <w:tc>
          <w:tcPr>
            <w:tcW w:w="140" w:type="dxa"/>
            <w:vAlign w:val="bottom"/>
          </w:tcPr>
          <w:p>
            <w:pPr>
              <w:spacing w:after="0"/>
              <w:rPr>
                <w:sz w:val="11"/>
                <w:szCs w:val="11"/>
                <w:color w:val="auto"/>
              </w:rPr>
            </w:pPr>
          </w:p>
        </w:tc>
        <w:tc>
          <w:tcPr>
            <w:tcW w:w="520" w:type="dxa"/>
            <w:vAlign w:val="bottom"/>
            <w:tcBorders>
              <w:bottom w:val="single" w:sz="8" w:color="auto"/>
            </w:tcBorders>
          </w:tcPr>
          <w:p>
            <w:pPr>
              <w:jc w:val="right"/>
              <w:ind w:right="55"/>
              <w:spacing w:after="0" w:line="134"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16"/>
              <w:spacing w:after="0" w:line="134" w:lineRule="exact"/>
              <w:rPr>
                <w:sz w:val="20"/>
                <w:szCs w:val="20"/>
                <w:color w:val="auto"/>
              </w:rPr>
            </w:pPr>
            <w:r>
              <w:rPr>
                <w:rFonts w:ascii="Arial" w:cs="Arial" w:eastAsia="Arial" w:hAnsi="Arial"/>
                <w:sz w:val="14"/>
                <w:szCs w:val="14"/>
                <w:b w:val="1"/>
                <w:bCs w:val="1"/>
                <w:color w:val="auto"/>
                <w:w w:val="99"/>
              </w:rPr>
              <w:t>($,000)</w:t>
            </w:r>
          </w:p>
        </w:tc>
        <w:tc>
          <w:tcPr>
            <w:tcW w:w="140" w:type="dxa"/>
            <w:vAlign w:val="bottom"/>
          </w:tcPr>
          <w:p>
            <w:pPr>
              <w:spacing w:after="0"/>
              <w:rPr>
                <w:sz w:val="11"/>
                <w:szCs w:val="11"/>
                <w:color w:val="auto"/>
              </w:rPr>
            </w:pPr>
          </w:p>
        </w:tc>
        <w:tc>
          <w:tcPr>
            <w:tcW w:w="520" w:type="dxa"/>
            <w:vAlign w:val="bottom"/>
            <w:tcBorders>
              <w:bottom w:val="single" w:sz="8" w:color="auto"/>
            </w:tcBorders>
          </w:tcPr>
          <w:p>
            <w:pPr>
              <w:jc w:val="right"/>
              <w:ind w:right="55"/>
              <w:spacing w:after="0" w:line="134"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55"/>
              <w:spacing w:after="0" w:line="134" w:lineRule="exact"/>
              <w:rPr>
                <w:sz w:val="20"/>
                <w:szCs w:val="20"/>
                <w:color w:val="auto"/>
              </w:rPr>
            </w:pPr>
            <w:r>
              <w:rPr>
                <w:rFonts w:ascii="Arial" w:cs="Arial" w:eastAsia="Arial" w:hAnsi="Arial"/>
                <w:sz w:val="14"/>
                <w:szCs w:val="14"/>
                <w:b w:val="1"/>
                <w:bCs w:val="1"/>
                <w:color w:val="auto"/>
                <w:w w:val="90"/>
              </w:rPr>
              <w:t>($,000)</w:t>
            </w:r>
          </w:p>
        </w:tc>
        <w:tc>
          <w:tcPr>
            <w:tcW w:w="140" w:type="dxa"/>
            <w:vAlign w:val="bottom"/>
          </w:tcPr>
          <w:p>
            <w:pPr>
              <w:spacing w:after="0"/>
              <w:rPr>
                <w:sz w:val="11"/>
                <w:szCs w:val="11"/>
                <w:color w:val="auto"/>
              </w:rPr>
            </w:pPr>
          </w:p>
        </w:tc>
        <w:tc>
          <w:tcPr>
            <w:tcW w:w="540" w:type="dxa"/>
            <w:vAlign w:val="bottom"/>
            <w:tcBorders>
              <w:bottom w:val="single" w:sz="8" w:color="auto"/>
            </w:tcBorders>
          </w:tcPr>
          <w:p>
            <w:pPr>
              <w:jc w:val="right"/>
              <w:ind w:right="75"/>
              <w:spacing w:after="0" w:line="134"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41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Company-operated restaurant revenue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99,986</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97,276</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2,710</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5"/>
        </w:trPr>
        <w:tc>
          <w:tcPr>
            <w:tcW w:w="4100" w:type="dxa"/>
            <w:vAlign w:val="bottom"/>
            <w:gridSpan w:val="2"/>
          </w:tcPr>
          <w:p>
            <w:pPr>
              <w:spacing w:after="0"/>
              <w:rPr>
                <w:sz w:val="20"/>
                <w:szCs w:val="20"/>
                <w:color w:val="auto"/>
              </w:rPr>
            </w:pPr>
            <w:r>
              <w:rPr>
                <w:rFonts w:ascii="Arial" w:cs="Arial" w:eastAsia="Arial" w:hAnsi="Arial"/>
                <w:sz w:val="17"/>
                <w:szCs w:val="17"/>
                <w:color w:val="auto"/>
              </w:rPr>
              <w:t>Franchise revenue</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8,918</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7,781</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1,137</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205"/>
        </w:trPr>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Franchise advertising fee revenue</w:t>
            </w:r>
          </w:p>
        </w:tc>
        <w:tc>
          <w:tcPr>
            <w:tcW w:w="3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6,796</w:t>
            </w:r>
          </w:p>
        </w:tc>
        <w:tc>
          <w:tcPr>
            <w:tcW w:w="14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5,922</w:t>
            </w:r>
          </w:p>
        </w:tc>
        <w:tc>
          <w:tcPr>
            <w:tcW w:w="14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874</w:t>
            </w:r>
          </w:p>
        </w:tc>
        <w:tc>
          <w:tcPr>
            <w:tcW w:w="14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197"/>
        </w:trPr>
        <w:tc>
          <w:tcPr>
            <w:tcW w:w="4100" w:type="dxa"/>
            <w:vAlign w:val="bottom"/>
            <w:gridSpan w:val="2"/>
          </w:tcPr>
          <w:p>
            <w:pPr>
              <w:spacing w:after="0"/>
              <w:rPr>
                <w:sz w:val="20"/>
                <w:szCs w:val="20"/>
                <w:color w:val="auto"/>
              </w:rPr>
            </w:pPr>
            <w:r>
              <w:rPr>
                <w:rFonts w:ascii="Arial" w:cs="Arial" w:eastAsia="Arial" w:hAnsi="Arial"/>
                <w:sz w:val="17"/>
                <w:szCs w:val="17"/>
                <w:b w:val="1"/>
                <w:bCs w:val="1"/>
                <w:color w:val="auto"/>
              </w:rPr>
              <w:t>Total revenue</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w w:val="97"/>
              </w:rPr>
              <w:t>115,700</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100.0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w w:val="94"/>
              </w:rPr>
              <w:t>110,979</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100.0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4,721</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4.3</w:t>
            </w:r>
          </w:p>
        </w:tc>
        <w:tc>
          <w:tcPr>
            <w:tcW w:w="0" w:type="dxa"/>
            <w:vAlign w:val="bottom"/>
          </w:tcPr>
          <w:p>
            <w:pPr>
              <w:spacing w:after="0"/>
              <w:rPr>
                <w:sz w:val="1"/>
                <w:szCs w:val="1"/>
                <w:color w:val="auto"/>
              </w:rPr>
            </w:pPr>
          </w:p>
        </w:tc>
      </w:tr>
      <w:tr>
        <w:trPr>
          <w:trHeight w:val="205"/>
        </w:trPr>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Cost of operations</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00" w:type="dxa"/>
            <w:vAlign w:val="bottom"/>
            <w:gridSpan w:val="2"/>
          </w:tcPr>
          <w:p>
            <w:pPr>
              <w:spacing w:after="0"/>
              <w:rPr>
                <w:sz w:val="20"/>
                <w:szCs w:val="20"/>
                <w:color w:val="auto"/>
              </w:rPr>
            </w:pPr>
            <w:r>
              <w:rPr>
                <w:rFonts w:ascii="Arial" w:cs="Arial" w:eastAsia="Arial" w:hAnsi="Arial"/>
                <w:sz w:val="17"/>
                <w:szCs w:val="17"/>
                <w:color w:val="auto"/>
              </w:rPr>
              <w:t>Food and paper costs (1)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26,698</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26.7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24,922</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25.6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1,776</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05"/>
        </w:trPr>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Labor and related expenses (1)</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27,802</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28,756</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(954)</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05"/>
        </w:trPr>
        <w:tc>
          <w:tcPr>
            <w:tcW w:w="4100" w:type="dxa"/>
            <w:vAlign w:val="bottom"/>
            <w:gridSpan w:val="2"/>
          </w:tcPr>
          <w:p>
            <w:pPr>
              <w:spacing w:after="0"/>
              <w:rPr>
                <w:sz w:val="20"/>
                <w:szCs w:val="20"/>
                <w:color w:val="auto"/>
              </w:rPr>
            </w:pPr>
            <w:r>
              <w:rPr>
                <w:rFonts w:ascii="Arial" w:cs="Arial" w:eastAsia="Arial" w:hAnsi="Arial"/>
                <w:sz w:val="17"/>
                <w:szCs w:val="17"/>
                <w:color w:val="auto"/>
              </w:rPr>
              <w:t>Occupancy and other operating expenses (1)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25,108</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25.1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23,836</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24.5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1,272</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05"/>
        </w:trPr>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8"/>
              </w:rPr>
              <w:t>Gain on recovery of insurance proceeds, lost profits (1)</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97"/>
        </w:trPr>
        <w:tc>
          <w:tcPr>
            <w:tcW w:w="4100" w:type="dxa"/>
            <w:vAlign w:val="bottom"/>
            <w:gridSpan w:val="2"/>
          </w:tcPr>
          <w:p>
            <w:pPr>
              <w:spacing w:after="0"/>
              <w:rPr>
                <w:sz w:val="20"/>
                <w:szCs w:val="20"/>
                <w:color w:val="auto"/>
              </w:rPr>
            </w:pPr>
            <w:r>
              <w:rPr>
                <w:rFonts w:ascii="Arial" w:cs="Arial" w:eastAsia="Arial" w:hAnsi="Arial"/>
                <w:sz w:val="17"/>
                <w:szCs w:val="17"/>
                <w:b w:val="1"/>
                <w:bCs w:val="1"/>
                <w:color w:val="auto"/>
              </w:rPr>
              <w:t>Company restaurant expenses (1)</w:t>
            </w: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79,608</w:t>
            </w:r>
          </w:p>
        </w:tc>
        <w:tc>
          <w:tcPr>
            <w:tcW w:w="14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79.6</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75,514</w:t>
            </w:r>
          </w:p>
        </w:tc>
        <w:tc>
          <w:tcPr>
            <w:tcW w:w="14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77.6</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4,094</w:t>
            </w:r>
          </w:p>
        </w:tc>
        <w:tc>
          <w:tcPr>
            <w:tcW w:w="140" w:type="dxa"/>
            <w:vAlign w:val="bottom"/>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5.4</w:t>
            </w:r>
          </w:p>
        </w:tc>
        <w:tc>
          <w:tcPr>
            <w:tcW w:w="0" w:type="dxa"/>
            <w:vAlign w:val="bottom"/>
          </w:tcPr>
          <w:p>
            <w:pPr>
              <w:spacing w:after="0"/>
              <w:rPr>
                <w:sz w:val="1"/>
                <w:szCs w:val="1"/>
                <w:color w:val="auto"/>
              </w:rPr>
            </w:pPr>
          </w:p>
        </w:tc>
      </w:tr>
      <w:tr>
        <w:trPr>
          <w:trHeight w:val="205"/>
        </w:trPr>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General and administrative expenses</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9,357</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9,803</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05"/>
        </w:trPr>
        <w:tc>
          <w:tcPr>
            <w:tcW w:w="4100" w:type="dxa"/>
            <w:vAlign w:val="bottom"/>
            <w:gridSpan w:val="2"/>
          </w:tcPr>
          <w:p>
            <w:pPr>
              <w:spacing w:after="0"/>
              <w:rPr>
                <w:sz w:val="20"/>
                <w:szCs w:val="20"/>
                <w:color w:val="auto"/>
              </w:rPr>
            </w:pPr>
            <w:r>
              <w:rPr>
                <w:rFonts w:ascii="Arial" w:cs="Arial" w:eastAsia="Arial" w:hAnsi="Arial"/>
                <w:sz w:val="17"/>
                <w:szCs w:val="17"/>
                <w:color w:val="auto"/>
              </w:rPr>
              <w:t>Franchise expenses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8,545</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7,572</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973</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05"/>
        </w:trPr>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3,685</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4,092</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05"/>
        </w:trPr>
        <w:tc>
          <w:tcPr>
            <w:tcW w:w="4100" w:type="dxa"/>
            <w:vAlign w:val="bottom"/>
            <w:gridSpan w:val="2"/>
          </w:tcPr>
          <w:p>
            <w:pPr>
              <w:spacing w:after="0"/>
              <w:rPr>
                <w:sz w:val="20"/>
                <w:szCs w:val="20"/>
                <w:color w:val="auto"/>
              </w:rPr>
            </w:pPr>
            <w:r>
              <w:rPr>
                <w:rFonts w:ascii="Arial" w:cs="Arial" w:eastAsia="Arial" w:hAnsi="Arial"/>
                <w:sz w:val="17"/>
                <w:szCs w:val="17"/>
                <w:color w:val="auto"/>
              </w:rPr>
              <w:t>Loss on disposal of assets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83</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29</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54</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186.2</w:t>
            </w:r>
          </w:p>
        </w:tc>
        <w:tc>
          <w:tcPr>
            <w:tcW w:w="0" w:type="dxa"/>
            <w:vAlign w:val="bottom"/>
          </w:tcPr>
          <w:p>
            <w:pPr>
              <w:spacing w:after="0"/>
              <w:rPr>
                <w:sz w:val="1"/>
                <w:szCs w:val="1"/>
                <w:color w:val="auto"/>
              </w:rPr>
            </w:pPr>
          </w:p>
        </w:tc>
      </w:tr>
      <w:tr>
        <w:trPr>
          <w:trHeight w:val="205"/>
        </w:trPr>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on disposition of restaurants</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5"/>
        </w:trPr>
        <w:tc>
          <w:tcPr>
            <w:tcW w:w="41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Impairment and closed-store reserves</w:t>
            </w:r>
          </w:p>
        </w:tc>
        <w:tc>
          <w:tcPr>
            <w:tcW w:w="3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w:t>
            </w:r>
          </w:p>
        </w:tc>
        <w:tc>
          <w:tcPr>
            <w:tcW w:w="1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1,776</w:t>
            </w:r>
          </w:p>
        </w:tc>
        <w:tc>
          <w:tcPr>
            <w:tcW w:w="1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(1,609)</w:t>
            </w:r>
          </w:p>
        </w:tc>
        <w:tc>
          <w:tcPr>
            <w:tcW w:w="14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(90.6)</w:t>
            </w:r>
          </w:p>
        </w:tc>
        <w:tc>
          <w:tcPr>
            <w:tcW w:w="0" w:type="dxa"/>
            <w:vAlign w:val="bottom"/>
          </w:tcPr>
          <w:p>
            <w:pPr>
              <w:spacing w:after="0"/>
              <w:rPr>
                <w:sz w:val="1"/>
                <w:szCs w:val="1"/>
                <w:color w:val="auto"/>
              </w:rPr>
            </w:pPr>
          </w:p>
        </w:tc>
      </w:tr>
      <w:tr>
        <w:trPr>
          <w:trHeight w:val="197"/>
        </w:trPr>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expenses</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7"/>
              </w:rPr>
              <w:t>101,455</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87.7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98,786</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89.0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2,669</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w:t>
            </w:r>
          </w:p>
        </w:tc>
        <w:tc>
          <w:tcPr>
            <w:tcW w:w="0" w:type="dxa"/>
            <w:vAlign w:val="bottom"/>
          </w:tcPr>
          <w:p>
            <w:pPr>
              <w:spacing w:after="0"/>
              <w:rPr>
                <w:sz w:val="1"/>
                <w:szCs w:val="1"/>
                <w:color w:val="auto"/>
              </w:rPr>
            </w:pPr>
          </w:p>
        </w:tc>
      </w:tr>
      <w:tr>
        <w:trPr>
          <w:trHeight w:val="205"/>
        </w:trPr>
        <w:tc>
          <w:tcPr>
            <w:tcW w:w="4100" w:type="dxa"/>
            <w:vAlign w:val="bottom"/>
            <w:gridSpan w:val="2"/>
          </w:tcPr>
          <w:p>
            <w:pPr>
              <w:spacing w:after="0"/>
              <w:rPr>
                <w:sz w:val="20"/>
                <w:szCs w:val="20"/>
                <w:color w:val="auto"/>
              </w:rPr>
            </w:pPr>
            <w:r>
              <w:rPr>
                <w:rFonts w:ascii="Arial" w:cs="Arial" w:eastAsia="Arial" w:hAnsi="Arial"/>
                <w:sz w:val="17"/>
                <w:szCs w:val="17"/>
                <w:b w:val="1"/>
                <w:bCs w:val="1"/>
                <w:color w:val="auto"/>
              </w:rPr>
              <w:t>Income from operations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14,245</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12.3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12,193</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11.0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2,052</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16.8</w:t>
            </w:r>
          </w:p>
        </w:tc>
        <w:tc>
          <w:tcPr>
            <w:tcW w:w="0" w:type="dxa"/>
            <w:vAlign w:val="bottom"/>
          </w:tcPr>
          <w:p>
            <w:pPr>
              <w:spacing w:after="0"/>
              <w:rPr>
                <w:sz w:val="1"/>
                <w:szCs w:val="1"/>
                <w:color w:val="auto"/>
              </w:rPr>
            </w:pPr>
          </w:p>
        </w:tc>
      </w:tr>
      <w:tr>
        <w:trPr>
          <w:trHeight w:val="205"/>
        </w:trPr>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expense, net of interest income</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770</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w:t>
            </w:r>
          </w:p>
        </w:tc>
        <w:tc>
          <w:tcPr>
            <w:tcW w:w="0" w:type="dxa"/>
            <w:vAlign w:val="bottom"/>
          </w:tcPr>
          <w:p>
            <w:pPr>
              <w:spacing w:after="0"/>
              <w:rPr>
                <w:sz w:val="1"/>
                <w:szCs w:val="1"/>
                <w:color w:val="auto"/>
              </w:rPr>
            </w:pPr>
          </w:p>
        </w:tc>
      </w:tr>
      <w:tr>
        <w:trPr>
          <w:trHeight w:val="205"/>
        </w:trPr>
        <w:tc>
          <w:tcPr>
            <w:tcW w:w="41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Income tax receivable agreement expense (income)</w:t>
            </w:r>
          </w:p>
        </w:tc>
        <w:tc>
          <w:tcPr>
            <w:tcW w:w="3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w:t>
            </w:r>
          </w:p>
        </w:tc>
        <w:tc>
          <w:tcPr>
            <w:tcW w:w="1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w:t>
            </w:r>
          </w:p>
        </w:tc>
        <w:tc>
          <w:tcPr>
            <w:tcW w:w="14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(86.8)</w:t>
            </w:r>
          </w:p>
        </w:tc>
        <w:tc>
          <w:tcPr>
            <w:tcW w:w="0" w:type="dxa"/>
            <w:vAlign w:val="bottom"/>
          </w:tcPr>
          <w:p>
            <w:pPr>
              <w:spacing w:after="0"/>
              <w:rPr>
                <w:sz w:val="1"/>
                <w:szCs w:val="1"/>
                <w:color w:val="auto"/>
              </w:rPr>
            </w:pPr>
          </w:p>
        </w:tc>
      </w:tr>
      <w:tr>
        <w:trPr>
          <w:trHeight w:val="197"/>
        </w:trPr>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Income before provision for income taxes</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13,815</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11,567</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2,248</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19.4</w:t>
            </w:r>
          </w:p>
        </w:tc>
        <w:tc>
          <w:tcPr>
            <w:tcW w:w="0" w:type="dxa"/>
            <w:vAlign w:val="bottom"/>
          </w:tcPr>
          <w:p>
            <w:pPr>
              <w:spacing w:after="0"/>
              <w:rPr>
                <w:sz w:val="1"/>
                <w:szCs w:val="1"/>
                <w:color w:val="auto"/>
              </w:rPr>
            </w:pPr>
          </w:p>
        </w:tc>
      </w:tr>
      <w:tr>
        <w:trPr>
          <w:trHeight w:val="205"/>
        </w:trPr>
        <w:tc>
          <w:tcPr>
            <w:tcW w:w="41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Provision for income taxes</w:t>
            </w:r>
          </w:p>
        </w:tc>
        <w:tc>
          <w:tcPr>
            <w:tcW w:w="3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3,654</w:t>
            </w:r>
          </w:p>
        </w:tc>
        <w:tc>
          <w:tcPr>
            <w:tcW w:w="1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1,647</w:t>
            </w:r>
          </w:p>
        </w:tc>
        <w:tc>
          <w:tcPr>
            <w:tcW w:w="1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2,007</w:t>
            </w:r>
          </w:p>
        </w:tc>
        <w:tc>
          <w:tcPr>
            <w:tcW w:w="14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121.9</w:t>
            </w:r>
          </w:p>
        </w:tc>
        <w:tc>
          <w:tcPr>
            <w:tcW w:w="0" w:type="dxa"/>
            <w:vAlign w:val="bottom"/>
          </w:tcPr>
          <w:p>
            <w:pPr>
              <w:spacing w:after="0"/>
              <w:rPr>
                <w:sz w:val="1"/>
                <w:szCs w:val="1"/>
                <w:color w:val="auto"/>
              </w:rPr>
            </w:pPr>
          </w:p>
        </w:tc>
      </w:tr>
      <w:tr>
        <w:trPr>
          <w:trHeight w:val="197"/>
        </w:trPr>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10,161</w:t>
            </w:r>
          </w:p>
        </w:tc>
        <w:tc>
          <w:tcPr>
            <w:tcW w:w="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8.7</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9,920</w:t>
            </w:r>
          </w:p>
        </w:tc>
        <w:tc>
          <w:tcPr>
            <w:tcW w:w="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8.9</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241</w:t>
            </w: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240" w:type="dxa"/>
            <w:vAlign w:val="bottom"/>
            <w:tcBorders>
              <w:bottom w:val="single" w:sz="8" w:color="auto"/>
            </w:tcBorders>
          </w:tcPr>
          <w:p>
            <w:pPr>
              <w:spacing w:after="0"/>
              <w:rPr>
                <w:sz w:val="7"/>
                <w:szCs w:val="7"/>
                <w:color w:val="auto"/>
              </w:rPr>
            </w:pPr>
          </w:p>
        </w:tc>
        <w:tc>
          <w:tcPr>
            <w:tcW w:w="18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360" w:right="519" w:hanging="314"/>
        <w:spacing w:after="0" w:line="276" w:lineRule="auto"/>
        <w:tabs>
          <w:tab w:leader="none" w:pos="3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Percentages for line items relating to cost of operations and company restaurant expenses are calculated with company-operated restaurant revenue as the denominator. All other percentages use total revenue.</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2"/>
              </w:rPr>
              <w:t>Thirty-Nine Weeks Ended</w:t>
            </w: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40" w:type="dxa"/>
            <w:vAlign w:val="bottom"/>
            <w:gridSpan w:val="3"/>
          </w:tcPr>
          <w:p>
            <w:pPr>
              <w:jc w:val="right"/>
              <w:ind w:right="58"/>
              <w:spacing w:after="0" w:line="134" w:lineRule="exact"/>
              <w:rPr>
                <w:sz w:val="20"/>
                <w:szCs w:val="20"/>
                <w:color w:val="auto"/>
              </w:rPr>
            </w:pPr>
            <w:r>
              <w:rPr>
                <w:rFonts w:ascii="Arial" w:cs="Arial" w:eastAsia="Arial" w:hAnsi="Arial"/>
                <w:sz w:val="14"/>
                <w:szCs w:val="14"/>
                <w:b w:val="1"/>
                <w:bCs w:val="1"/>
                <w:color w:val="auto"/>
                <w:w w:val="97"/>
              </w:rPr>
              <w:t>September 29, 2021</w:t>
            </w:r>
          </w:p>
        </w:tc>
        <w:tc>
          <w:tcPr>
            <w:tcW w:w="140" w:type="dxa"/>
            <w:vAlign w:val="bottom"/>
          </w:tcPr>
          <w:p>
            <w:pPr>
              <w:spacing w:after="0"/>
              <w:rPr>
                <w:sz w:val="11"/>
                <w:szCs w:val="11"/>
                <w:color w:val="auto"/>
              </w:rPr>
            </w:pPr>
          </w:p>
        </w:tc>
        <w:tc>
          <w:tcPr>
            <w:tcW w:w="1540" w:type="dxa"/>
            <w:vAlign w:val="bottom"/>
            <w:gridSpan w:val="4"/>
          </w:tcPr>
          <w:p>
            <w:pPr>
              <w:jc w:val="right"/>
              <w:ind w:right="260"/>
              <w:spacing w:after="0" w:line="134" w:lineRule="exact"/>
              <w:rPr>
                <w:sz w:val="20"/>
                <w:szCs w:val="20"/>
                <w:color w:val="auto"/>
              </w:rPr>
            </w:pPr>
            <w:r>
              <w:rPr>
                <w:rFonts w:ascii="Arial" w:cs="Arial" w:eastAsia="Arial" w:hAnsi="Arial"/>
                <w:sz w:val="14"/>
                <w:szCs w:val="14"/>
                <w:b w:val="1"/>
                <w:bCs w:val="1"/>
                <w:color w:val="auto"/>
                <w:w w:val="96"/>
              </w:rPr>
              <w:t>September 23, 2020</w:t>
            </w:r>
          </w:p>
        </w:tc>
        <w:tc>
          <w:tcPr>
            <w:tcW w:w="40" w:type="dxa"/>
            <w:vAlign w:val="bottom"/>
          </w:tcPr>
          <w:p>
            <w:pPr>
              <w:spacing w:after="0"/>
              <w:rPr>
                <w:sz w:val="11"/>
                <w:szCs w:val="11"/>
                <w:color w:val="auto"/>
              </w:rPr>
            </w:pPr>
          </w:p>
        </w:tc>
        <w:tc>
          <w:tcPr>
            <w:tcW w:w="1440" w:type="dxa"/>
            <w:vAlign w:val="bottom"/>
            <w:gridSpan w:val="3"/>
          </w:tcPr>
          <w:p>
            <w:pPr>
              <w:jc w:val="right"/>
              <w:ind w:right="38"/>
              <w:spacing w:after="0" w:line="134" w:lineRule="exact"/>
              <w:rPr>
                <w:sz w:val="20"/>
                <w:szCs w:val="20"/>
                <w:color w:val="auto"/>
              </w:rPr>
            </w:pPr>
            <w:r>
              <w:rPr>
                <w:rFonts w:ascii="Arial" w:cs="Arial" w:eastAsia="Arial" w:hAnsi="Arial"/>
                <w:sz w:val="14"/>
                <w:szCs w:val="14"/>
                <w:b w:val="1"/>
                <w:bCs w:val="1"/>
                <w:color w:val="auto"/>
                <w:w w:val="92"/>
              </w:rPr>
              <w:t>Increase / (Decrease)</w:t>
            </w:r>
          </w:p>
        </w:tc>
        <w:tc>
          <w:tcPr>
            <w:tcW w:w="0" w:type="dxa"/>
            <w:vAlign w:val="bottom"/>
          </w:tcPr>
          <w:p>
            <w:pPr>
              <w:spacing w:after="0"/>
              <w:rPr>
                <w:sz w:val="1"/>
                <w:szCs w:val="1"/>
                <w:color w:val="auto"/>
              </w:rPr>
            </w:pPr>
          </w:p>
        </w:tc>
      </w:tr>
      <w:tr>
        <w:trPr>
          <w:trHeight w:val="133"/>
        </w:trPr>
        <w:tc>
          <w:tcPr>
            <w:tcW w:w="3460" w:type="dxa"/>
            <w:vAlign w:val="bottom"/>
            <w:vMerge w:val="restart"/>
          </w:tcPr>
          <w:p>
            <w:pPr>
              <w:spacing w:after="0"/>
              <w:rPr>
                <w:sz w:val="20"/>
                <w:szCs w:val="20"/>
                <w:color w:val="auto"/>
              </w:rPr>
            </w:pPr>
            <w:r>
              <w:rPr>
                <w:rFonts w:ascii="Arial" w:cs="Arial" w:eastAsia="Arial" w:hAnsi="Arial"/>
                <w:sz w:val="17"/>
                <w:szCs w:val="17"/>
                <w:b w:val="1"/>
                <w:bCs w:val="1"/>
                <w:color w:val="auto"/>
              </w:rPr>
              <w:t>Statements of Income Data</w:t>
            </w:r>
          </w:p>
        </w:tc>
        <w:tc>
          <w:tcPr>
            <w:tcW w:w="86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ind w:right="106"/>
              <w:spacing w:after="0" w:line="134" w:lineRule="exact"/>
              <w:rPr>
                <w:sz w:val="20"/>
                <w:szCs w:val="20"/>
                <w:color w:val="auto"/>
              </w:rPr>
            </w:pPr>
            <w:r>
              <w:rPr>
                <w:rFonts w:ascii="Arial" w:cs="Arial" w:eastAsia="Arial" w:hAnsi="Arial"/>
                <w:sz w:val="14"/>
                <w:szCs w:val="14"/>
                <w:b w:val="1"/>
                <w:bCs w:val="1"/>
                <w:color w:val="auto"/>
              </w:rPr>
              <w:t>($,000)</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58"/>
              <w:spacing w:after="0" w:line="134"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ind w:right="106"/>
              <w:spacing w:after="0" w:line="134" w:lineRule="exact"/>
              <w:rPr>
                <w:sz w:val="20"/>
                <w:szCs w:val="20"/>
                <w:color w:val="auto"/>
              </w:rPr>
            </w:pPr>
            <w:r>
              <w:rPr>
                <w:rFonts w:ascii="Arial" w:cs="Arial" w:eastAsia="Arial" w:hAnsi="Arial"/>
                <w:sz w:val="14"/>
                <w:szCs w:val="14"/>
                <w:b w:val="1"/>
                <w:bCs w:val="1"/>
                <w:color w:val="auto"/>
              </w:rPr>
              <w:t>($,000)</w:t>
            </w: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58"/>
              <w:spacing w:after="0" w:line="134"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ind w:right="86"/>
              <w:spacing w:after="0" w:line="134" w:lineRule="exact"/>
              <w:rPr>
                <w:sz w:val="20"/>
                <w:szCs w:val="20"/>
                <w:color w:val="auto"/>
              </w:rPr>
            </w:pPr>
            <w:r>
              <w:rPr>
                <w:rFonts w:ascii="Arial" w:cs="Arial" w:eastAsia="Arial" w:hAnsi="Arial"/>
                <w:sz w:val="14"/>
                <w:szCs w:val="14"/>
                <w:b w:val="1"/>
                <w:bCs w:val="1"/>
                <w:color w:val="auto"/>
              </w:rPr>
              <w:t>($,000)</w:t>
            </w: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98"/>
              <w:spacing w:after="0" w:line="134"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346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Company-operated restaurant revenue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$ 301,117</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$ 277,617</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87.9</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9"/>
              </w:rPr>
              <w:t>$ 23,500</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05"/>
        </w:trPr>
        <w:tc>
          <w:tcPr>
            <w:tcW w:w="3460" w:type="dxa"/>
            <w:vAlign w:val="bottom"/>
          </w:tcPr>
          <w:p>
            <w:pPr>
              <w:spacing w:after="0"/>
              <w:rPr>
                <w:sz w:val="20"/>
                <w:szCs w:val="20"/>
                <w:color w:val="auto"/>
              </w:rPr>
            </w:pPr>
            <w:r>
              <w:rPr>
                <w:rFonts w:ascii="Arial" w:cs="Arial" w:eastAsia="Arial" w:hAnsi="Arial"/>
                <w:sz w:val="17"/>
                <w:szCs w:val="17"/>
                <w:color w:val="auto"/>
              </w:rPr>
              <w:t>Franchise revenue</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24,919</w:t>
            </w: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7.2</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21,562</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3,357</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15.6</w:t>
            </w:r>
          </w:p>
        </w:tc>
        <w:tc>
          <w:tcPr>
            <w:tcW w:w="0" w:type="dxa"/>
            <w:vAlign w:val="bottom"/>
          </w:tcPr>
          <w:p>
            <w:pPr>
              <w:spacing w:after="0"/>
              <w:rPr>
                <w:sz w:val="1"/>
                <w:szCs w:val="1"/>
                <w:color w:val="auto"/>
              </w:rPr>
            </w:pPr>
          </w:p>
        </w:tc>
      </w:tr>
      <w:tr>
        <w:trPr>
          <w:trHeight w:val="205"/>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Franchise advertising fee revenue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19,370</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16,567</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2,803</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r>
        <w:trPr>
          <w:trHeight w:val="197"/>
        </w:trPr>
        <w:tc>
          <w:tcPr>
            <w:tcW w:w="3460" w:type="dxa"/>
            <w:vAlign w:val="bottom"/>
          </w:tcPr>
          <w:p>
            <w:pPr>
              <w:spacing w:after="0"/>
              <w:rPr>
                <w:sz w:val="20"/>
                <w:szCs w:val="20"/>
                <w:color w:val="auto"/>
              </w:rPr>
            </w:pPr>
            <w:r>
              <w:rPr>
                <w:rFonts w:ascii="Arial" w:cs="Arial" w:eastAsia="Arial" w:hAnsi="Arial"/>
                <w:sz w:val="17"/>
                <w:szCs w:val="17"/>
                <w:b w:val="1"/>
                <w:bCs w:val="1"/>
                <w:color w:val="auto"/>
              </w:rPr>
              <w:t>Total revenue</w:t>
            </w:r>
          </w:p>
        </w:tc>
        <w:tc>
          <w:tcPr>
            <w:tcW w:w="86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345,406</w:t>
            </w:r>
          </w:p>
        </w:tc>
        <w:tc>
          <w:tcPr>
            <w:tcW w:w="16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100.0</w:t>
            </w:r>
          </w:p>
        </w:tc>
        <w:tc>
          <w:tcPr>
            <w:tcW w:w="14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315,746</w:t>
            </w:r>
          </w:p>
        </w:tc>
        <w:tc>
          <w:tcPr>
            <w:tcW w:w="14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100.0</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29,660</w:t>
            </w:r>
          </w:p>
        </w:tc>
        <w:tc>
          <w:tcPr>
            <w:tcW w:w="14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9.4</w:t>
            </w:r>
          </w:p>
        </w:tc>
        <w:tc>
          <w:tcPr>
            <w:tcW w:w="0" w:type="dxa"/>
            <w:vAlign w:val="bottom"/>
          </w:tcPr>
          <w:p>
            <w:pPr>
              <w:spacing w:after="0"/>
              <w:rPr>
                <w:sz w:val="1"/>
                <w:szCs w:val="1"/>
                <w:color w:val="auto"/>
              </w:rPr>
            </w:pPr>
          </w:p>
        </w:tc>
      </w:tr>
      <w:tr>
        <w:trPr>
          <w:trHeight w:val="205"/>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Cost of operations</w:t>
            </w:r>
          </w:p>
        </w:tc>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7"/>
                <w:szCs w:val="17"/>
                <w:color w:val="auto"/>
              </w:rPr>
              <w:t>Food and paper costs (1)</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78,971</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26.2</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73,357</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26.4</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5,614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498" w:right="1440"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360680</wp:posOffset>
            </wp:positionV>
            <wp:extent cx="5661025" cy="241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type w:val="continuous"/>
        </w:sectPr>
      </w:pPr>
    </w:p>
    <w:bookmarkStart w:id="36" w:name="page37"/>
    <w:bookmarkEnd w:id="36"/>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Labor and related expenses (1)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90,060</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83,208</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6,852</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r>
      <w:tr>
        <w:trPr>
          <w:trHeight w:val="205"/>
        </w:trPr>
        <w:tc>
          <w:tcPr>
            <w:tcW w:w="4140" w:type="dxa"/>
            <w:vAlign w:val="bottom"/>
            <w:gridSpan w:val="2"/>
          </w:tcPr>
          <w:p>
            <w:pPr>
              <w:spacing w:after="0"/>
              <w:rPr>
                <w:sz w:val="20"/>
                <w:szCs w:val="20"/>
                <w:color w:val="auto"/>
              </w:rPr>
            </w:pPr>
            <w:r>
              <w:rPr>
                <w:rFonts w:ascii="Arial" w:cs="Arial" w:eastAsia="Arial" w:hAnsi="Arial"/>
                <w:sz w:val="17"/>
                <w:szCs w:val="17"/>
                <w:color w:val="auto"/>
              </w:rPr>
              <w:t>Occupancy and other operating expenses (1)</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74,288</w:t>
            </w: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24.7</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67,867</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24.4</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6,421</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9.5</w:t>
            </w:r>
          </w:p>
        </w:tc>
      </w:tr>
      <w:tr>
        <w:trPr>
          <w:trHeight w:val="205"/>
        </w:trPr>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Gain on recovery of insurance proceeds, lost profits(1)</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(2,000)</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2,000</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r>
      <w:tr>
        <w:trPr>
          <w:trHeight w:val="197"/>
        </w:trPr>
        <w:tc>
          <w:tcPr>
            <w:tcW w:w="4140" w:type="dxa"/>
            <w:vAlign w:val="bottom"/>
            <w:gridSpan w:val="2"/>
          </w:tcPr>
          <w:p>
            <w:pPr>
              <w:spacing w:after="0"/>
              <w:rPr>
                <w:sz w:val="20"/>
                <w:szCs w:val="20"/>
                <w:color w:val="auto"/>
              </w:rPr>
            </w:pPr>
            <w:r>
              <w:rPr>
                <w:rFonts w:ascii="Arial" w:cs="Arial" w:eastAsia="Arial" w:hAnsi="Arial"/>
                <w:sz w:val="17"/>
                <w:szCs w:val="17"/>
                <w:b w:val="1"/>
                <w:bCs w:val="1"/>
                <w:color w:val="auto"/>
              </w:rPr>
              <w:t>Company restaurant expenses (1)</w:t>
            </w:r>
          </w:p>
        </w:tc>
        <w:tc>
          <w:tcPr>
            <w:tcW w:w="18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243,319</w:t>
            </w:r>
          </w:p>
        </w:tc>
        <w:tc>
          <w:tcPr>
            <w:tcW w:w="16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80.8</w:t>
            </w:r>
          </w:p>
        </w:tc>
        <w:tc>
          <w:tcPr>
            <w:tcW w:w="14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222,432</w:t>
            </w:r>
          </w:p>
        </w:tc>
        <w:tc>
          <w:tcPr>
            <w:tcW w:w="14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80.1</w:t>
            </w:r>
          </w:p>
        </w:tc>
        <w:tc>
          <w:tcPr>
            <w:tcW w:w="14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20,887</w:t>
            </w:r>
          </w:p>
        </w:tc>
        <w:tc>
          <w:tcPr>
            <w:tcW w:w="14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9.4</w:t>
            </w:r>
          </w:p>
        </w:tc>
      </w:tr>
      <w:tr>
        <w:trPr>
          <w:trHeight w:val="205"/>
        </w:trPr>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General and administrative expenses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30,354</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29,599</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755</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05"/>
        </w:trPr>
        <w:tc>
          <w:tcPr>
            <w:tcW w:w="4140" w:type="dxa"/>
            <w:vAlign w:val="bottom"/>
            <w:gridSpan w:val="2"/>
          </w:tcPr>
          <w:p>
            <w:pPr>
              <w:spacing w:after="0"/>
              <w:rPr>
                <w:sz w:val="20"/>
                <w:szCs w:val="20"/>
                <w:color w:val="auto"/>
              </w:rPr>
            </w:pPr>
            <w:r>
              <w:rPr>
                <w:rFonts w:ascii="Arial" w:cs="Arial" w:eastAsia="Arial" w:hAnsi="Arial"/>
                <w:sz w:val="17"/>
                <w:szCs w:val="17"/>
                <w:color w:val="auto"/>
              </w:rPr>
              <w:t>Franchise expenses</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24,457</w:t>
            </w: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7.1</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21,110</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6.7</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3,347</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15.9</w:t>
            </w:r>
          </w:p>
        </w:tc>
      </w:tr>
      <w:tr>
        <w:trPr>
          <w:trHeight w:val="205"/>
        </w:trPr>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11,540</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12,629</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(1,089)</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r>
      <w:tr>
        <w:trPr>
          <w:trHeight w:val="205"/>
        </w:trPr>
        <w:tc>
          <w:tcPr>
            <w:tcW w:w="4140" w:type="dxa"/>
            <w:vAlign w:val="bottom"/>
            <w:gridSpan w:val="2"/>
          </w:tcPr>
          <w:p>
            <w:pPr>
              <w:spacing w:after="0"/>
              <w:rPr>
                <w:sz w:val="20"/>
                <w:szCs w:val="20"/>
                <w:color w:val="auto"/>
              </w:rPr>
            </w:pPr>
            <w:r>
              <w:rPr>
                <w:rFonts w:ascii="Arial" w:cs="Arial" w:eastAsia="Arial" w:hAnsi="Arial"/>
                <w:sz w:val="17"/>
                <w:szCs w:val="17"/>
                <w:color w:val="auto"/>
              </w:rPr>
              <w:t>Loss on disposal of assets</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194</w:t>
            </w: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0.1</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156</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38</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24.4</w:t>
            </w:r>
          </w:p>
        </w:tc>
      </w:tr>
      <w:tr>
        <w:trPr>
          <w:trHeight w:val="192"/>
        </w:trPr>
        <w:tc>
          <w:tcPr>
            <w:tcW w:w="414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w w:val="93"/>
              </w:rPr>
              <w:t>Recovery of securities lawsuits related legal expenses and</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217"/>
        </w:trPr>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insurance claims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05"/>
        </w:trPr>
        <w:tc>
          <w:tcPr>
            <w:tcW w:w="4140" w:type="dxa"/>
            <w:vAlign w:val="bottom"/>
            <w:gridSpan w:val="2"/>
          </w:tcPr>
          <w:p>
            <w:pPr>
              <w:spacing w:after="0"/>
              <w:rPr>
                <w:sz w:val="20"/>
                <w:szCs w:val="20"/>
                <w:color w:val="auto"/>
              </w:rPr>
            </w:pPr>
            <w:r>
              <w:rPr>
                <w:rFonts w:ascii="Arial" w:cs="Arial" w:eastAsia="Arial" w:hAnsi="Arial"/>
                <w:sz w:val="17"/>
                <w:szCs w:val="17"/>
                <w:color w:val="auto"/>
              </w:rPr>
              <w:t>Loss on disposition of restaurants</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1,534</w:t>
            </w: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0.4</w:t>
            </w:r>
          </w:p>
        </w:tc>
        <w:tc>
          <w:tcPr>
            <w:tcW w:w="1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1,534</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N/A</w:t>
            </w:r>
          </w:p>
        </w:tc>
      </w:tr>
      <w:tr>
        <w:trPr>
          <w:trHeight w:val="205"/>
        </w:trPr>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Impairment and closed-store reserves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1,091</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4,615</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(3,524)</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(76.4)</w:t>
            </w:r>
          </w:p>
        </w:tc>
      </w:tr>
      <w:tr>
        <w:trPr>
          <w:trHeight w:val="197"/>
        </w:trPr>
        <w:tc>
          <w:tcPr>
            <w:tcW w:w="4140" w:type="dxa"/>
            <w:vAlign w:val="bottom"/>
            <w:gridSpan w:val="2"/>
          </w:tcPr>
          <w:p>
            <w:pPr>
              <w:spacing w:after="0"/>
              <w:rPr>
                <w:sz w:val="20"/>
                <w:szCs w:val="20"/>
                <w:color w:val="auto"/>
              </w:rPr>
            </w:pPr>
            <w:r>
              <w:rPr>
                <w:rFonts w:ascii="Arial" w:cs="Arial" w:eastAsia="Arial" w:hAnsi="Arial"/>
                <w:sz w:val="17"/>
                <w:szCs w:val="17"/>
                <w:b w:val="1"/>
                <w:bCs w:val="1"/>
                <w:color w:val="auto"/>
              </w:rPr>
              <w:t>Total expenses</w:t>
            </w:r>
          </w:p>
        </w:tc>
        <w:tc>
          <w:tcPr>
            <w:tcW w:w="18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312,489</w:t>
            </w:r>
          </w:p>
        </w:tc>
        <w:tc>
          <w:tcPr>
            <w:tcW w:w="16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90.5</w:t>
            </w:r>
          </w:p>
        </w:tc>
        <w:tc>
          <w:tcPr>
            <w:tcW w:w="14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290,418</w:t>
            </w:r>
          </w:p>
        </w:tc>
        <w:tc>
          <w:tcPr>
            <w:tcW w:w="14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92.0</w:t>
            </w:r>
          </w:p>
        </w:tc>
        <w:tc>
          <w:tcPr>
            <w:tcW w:w="14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22,071</w:t>
            </w:r>
          </w:p>
        </w:tc>
        <w:tc>
          <w:tcPr>
            <w:tcW w:w="14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7.6</w:t>
            </w:r>
          </w:p>
        </w:tc>
      </w:tr>
      <w:tr>
        <w:trPr>
          <w:trHeight w:val="205"/>
        </w:trPr>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Income from operations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32,917</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25,328</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7,589</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30.0</w:t>
            </w:r>
          </w:p>
        </w:tc>
      </w:tr>
      <w:tr>
        <w:trPr>
          <w:trHeight w:val="205"/>
        </w:trPr>
        <w:tc>
          <w:tcPr>
            <w:tcW w:w="4140" w:type="dxa"/>
            <w:vAlign w:val="bottom"/>
            <w:gridSpan w:val="2"/>
          </w:tcPr>
          <w:p>
            <w:pPr>
              <w:spacing w:after="0"/>
              <w:rPr>
                <w:sz w:val="20"/>
                <w:szCs w:val="20"/>
                <w:color w:val="auto"/>
              </w:rPr>
            </w:pPr>
            <w:r>
              <w:rPr>
                <w:rFonts w:ascii="Arial" w:cs="Arial" w:eastAsia="Arial" w:hAnsi="Arial"/>
                <w:sz w:val="17"/>
                <w:szCs w:val="17"/>
                <w:color w:val="auto"/>
              </w:rPr>
              <w:t>Interest expense, net of interest income</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1,399</w:t>
            </w: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0.4</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2,583</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0.8</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(1,184)</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(45.8)</w:t>
            </w:r>
          </w:p>
        </w:tc>
      </w:tr>
      <w:tr>
        <w:trPr>
          <w:trHeight w:val="205"/>
        </w:trPr>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 receivable agreement (income) expense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(365.4)</w:t>
            </w:r>
          </w:p>
        </w:tc>
      </w:tr>
      <w:tr>
        <w:trPr>
          <w:trHeight w:val="197"/>
        </w:trPr>
        <w:tc>
          <w:tcPr>
            <w:tcW w:w="4140" w:type="dxa"/>
            <w:vAlign w:val="bottom"/>
            <w:gridSpan w:val="2"/>
          </w:tcPr>
          <w:p>
            <w:pPr>
              <w:spacing w:after="0"/>
              <w:rPr>
                <w:sz w:val="20"/>
                <w:szCs w:val="20"/>
                <w:color w:val="auto"/>
              </w:rPr>
            </w:pPr>
            <w:r>
              <w:rPr>
                <w:rFonts w:ascii="Arial" w:cs="Arial" w:eastAsia="Arial" w:hAnsi="Arial"/>
                <w:sz w:val="17"/>
                <w:szCs w:val="17"/>
                <w:b w:val="1"/>
                <w:bCs w:val="1"/>
                <w:color w:val="auto"/>
              </w:rPr>
              <w:t>Income before provision for income taxes</w:t>
            </w:r>
          </w:p>
        </w:tc>
        <w:tc>
          <w:tcPr>
            <w:tcW w:w="18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31,587</w:t>
            </w:r>
          </w:p>
        </w:tc>
        <w:tc>
          <w:tcPr>
            <w:tcW w:w="16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9.1</w:t>
            </w:r>
          </w:p>
        </w:tc>
        <w:tc>
          <w:tcPr>
            <w:tcW w:w="14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22,719</w:t>
            </w:r>
          </w:p>
        </w:tc>
        <w:tc>
          <w:tcPr>
            <w:tcW w:w="14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7.2</w:t>
            </w:r>
          </w:p>
        </w:tc>
        <w:tc>
          <w:tcPr>
            <w:tcW w:w="14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8,868</w:t>
            </w:r>
          </w:p>
        </w:tc>
        <w:tc>
          <w:tcPr>
            <w:tcW w:w="14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39.0</w:t>
            </w:r>
          </w:p>
        </w:tc>
      </w:tr>
      <w:tr>
        <w:trPr>
          <w:trHeight w:val="205"/>
        </w:trPr>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8,644</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3,700</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4,944</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133.6</w:t>
            </w:r>
          </w:p>
        </w:tc>
      </w:tr>
      <w:tr>
        <w:trPr>
          <w:trHeight w:val="197"/>
        </w:trPr>
        <w:tc>
          <w:tcPr>
            <w:tcW w:w="4140" w:type="dxa"/>
            <w:vAlign w:val="bottom"/>
            <w:gridSpan w:val="2"/>
          </w:tcPr>
          <w:p>
            <w:pPr>
              <w:spacing w:after="0"/>
              <w:rPr>
                <w:sz w:val="20"/>
                <w:szCs w:val="20"/>
                <w:color w:val="auto"/>
              </w:rPr>
            </w:pPr>
            <w:r>
              <w:rPr>
                <w:rFonts w:ascii="Arial" w:cs="Arial" w:eastAsia="Arial" w:hAnsi="Arial"/>
                <w:sz w:val="17"/>
                <w:szCs w:val="17"/>
                <w:b w:val="1"/>
                <w:bCs w:val="1"/>
                <w:color w:val="auto"/>
              </w:rPr>
              <w:t>Net income</w:t>
            </w:r>
          </w:p>
        </w:tc>
        <w:tc>
          <w:tcPr>
            <w:tcW w:w="1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  22,943</w:t>
            </w:r>
          </w:p>
        </w:tc>
        <w:tc>
          <w:tcPr>
            <w:tcW w:w="16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6.6</w:t>
            </w:r>
          </w:p>
        </w:tc>
        <w:tc>
          <w:tcPr>
            <w:tcW w:w="14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  19,019</w:t>
            </w:r>
          </w:p>
        </w:tc>
        <w:tc>
          <w:tcPr>
            <w:tcW w:w="14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6.0</w:t>
            </w:r>
          </w:p>
        </w:tc>
        <w:tc>
          <w:tcPr>
            <w:tcW w:w="14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  3,924</w:t>
            </w:r>
          </w:p>
        </w:tc>
        <w:tc>
          <w:tcPr>
            <w:tcW w:w="14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20.6</w:t>
            </w:r>
          </w:p>
        </w:tc>
      </w:tr>
      <w:tr>
        <w:trPr>
          <w:trHeight w:val="20"/>
        </w:trPr>
        <w:tc>
          <w:tcPr>
            <w:tcW w:w="22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86"/>
        </w:trPr>
        <w:tc>
          <w:tcPr>
            <w:tcW w:w="2240" w:type="dxa"/>
            <w:vAlign w:val="bottom"/>
            <w:tcBorders>
              <w:bottom w:val="single" w:sz="8" w:color="auto"/>
            </w:tcBorders>
          </w:tcPr>
          <w:p>
            <w:pPr>
              <w:spacing w:after="0"/>
              <w:rPr>
                <w:sz w:val="7"/>
                <w:szCs w:val="7"/>
                <w:color w:val="auto"/>
              </w:rPr>
            </w:pPr>
          </w:p>
        </w:tc>
        <w:tc>
          <w:tcPr>
            <w:tcW w:w="1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r>
    </w:tbl>
    <w:p>
      <w:pPr>
        <w:spacing w:after="0" w:line="64" w:lineRule="exact"/>
        <w:rPr>
          <w:sz w:val="20"/>
          <w:szCs w:val="20"/>
          <w:color w:val="auto"/>
        </w:rPr>
      </w:pPr>
    </w:p>
    <w:p>
      <w:pPr>
        <w:ind w:left="360" w:right="519" w:hanging="314"/>
        <w:spacing w:after="0" w:line="276" w:lineRule="auto"/>
        <w:tabs>
          <w:tab w:leader="none" w:pos="3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Percentages for line items relating to cost of operations and company restaurant expenses are calculated with company-operated restaurant revenue as the denominator. All other percentages use total revenue.</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Company-Operated Restaurant Revenue</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 the quarter, company-operated restaurant revenue increased $2.7 million, or 2.8%, from the comparable period in the</w:t>
      </w:r>
    </w:p>
    <w:p>
      <w:pPr>
        <w:spacing w:after="0" w:line="32" w:lineRule="exact"/>
        <w:rPr>
          <w:sz w:val="20"/>
          <w:szCs w:val="20"/>
          <w:color w:val="auto"/>
        </w:rPr>
      </w:pPr>
    </w:p>
    <w:p>
      <w:pPr>
        <w:ind w:left="40" w:right="99"/>
        <w:spacing w:after="0" w:line="270" w:lineRule="auto"/>
        <w:rPr>
          <w:sz w:val="20"/>
          <w:szCs w:val="20"/>
          <w:color w:val="auto"/>
        </w:rPr>
      </w:pPr>
      <w:r>
        <w:rPr>
          <w:rFonts w:ascii="Arial" w:cs="Arial" w:eastAsia="Arial" w:hAnsi="Arial"/>
          <w:sz w:val="16"/>
          <w:szCs w:val="16"/>
          <w:color w:val="auto"/>
        </w:rPr>
        <w:t>prior year. The increase in company-operated restaurant sales was primarily due to an increase in company-operated comparable restaurant revenue of $4.4 million, or 4.8%. The company-operated comparable restaurant sales increase consisted of an approximately 3.5% increase in average check size and a 1.2% increase in transactions. In addition, company-operated restaurant revenue was favorably impacted by $0.9 million of additional sales from restaurants opened during or after the third quarter of the prior year and a $0.4 million increase in revenue from restaurants that were temporarily closed due to the COVID-19 pandemic during the third quarter of the prior year. This restaurant sales increase was partially offset by a $2.6 million decrease in revenue from the eight company-operated restaurants sold by the Company to an existing franchisee during the quarter and a $0.4 million decrease in revenue recognized for our loyalty points program.</w:t>
      </w:r>
    </w:p>
    <w:p>
      <w:pPr>
        <w:spacing w:after="0" w:line="175" w:lineRule="exact"/>
        <w:rPr>
          <w:sz w:val="20"/>
          <w:szCs w:val="20"/>
          <w:color w:val="auto"/>
        </w:rPr>
      </w:pPr>
    </w:p>
    <w:p>
      <w:pPr>
        <w:ind w:left="40" w:right="119"/>
        <w:spacing w:after="0" w:line="291" w:lineRule="auto"/>
        <w:rPr>
          <w:sz w:val="20"/>
          <w:szCs w:val="20"/>
          <w:color w:val="auto"/>
        </w:rPr>
      </w:pPr>
      <w:r>
        <w:rPr>
          <w:rFonts w:ascii="Arial" w:cs="Arial" w:eastAsia="Arial" w:hAnsi="Arial"/>
          <w:sz w:val="15"/>
          <w:szCs w:val="15"/>
          <w:color w:val="auto"/>
        </w:rPr>
        <w:t>Year-to-date, company-operated restaurant revenue increased $23.5 million, or 8.5%, from the comparable period in the prior year. The increase in company-operated restaurant sales was primarily due to a $23.5 million, or 8.1% increase in company-operated comparable restaurant revenue. In addition, company-operated restaurant revenue was favorably impacted by $2.7 million of additional sales from restaurants opened during or after the second quarter of the prior year and a $0.4 million increase in revenue from restaurants that were temporarily closed due to the COVID-19 pandemic during the year-to-date period of the prior year. The company-operated comparable restaurant sales increase consisted of an approximately 6.6% increase in average check size and a 1.4% increase in transactions. This restaurant sales increase was partially offset by a $2.6 million decrease in revenue from the eight company-operated restaurants sold by the Company to an existing franchisee during the quarter and a $0.5 million decrease in revenue recognized for our loyalty points program. See above under “COVID-19 Impact” for additional information related to the impact of the COVID-19 pandemic on our business.</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Franchise Revenue</w:t>
      </w:r>
    </w:p>
    <w:p>
      <w:pPr>
        <w:spacing w:after="0" w:line="214" w:lineRule="exact"/>
        <w:rPr>
          <w:sz w:val="20"/>
          <w:szCs w:val="20"/>
          <w:color w:val="auto"/>
        </w:rPr>
      </w:pPr>
    </w:p>
    <w:p>
      <w:pPr>
        <w:ind w:left="40" w:right="239"/>
        <w:spacing w:after="0" w:line="257" w:lineRule="auto"/>
        <w:rPr>
          <w:sz w:val="20"/>
          <w:szCs w:val="20"/>
          <w:color w:val="auto"/>
        </w:rPr>
      </w:pPr>
      <w:r>
        <w:rPr>
          <w:rFonts w:ascii="Arial" w:cs="Arial" w:eastAsia="Arial" w:hAnsi="Arial"/>
          <w:sz w:val="17"/>
          <w:szCs w:val="17"/>
          <w:color w:val="auto"/>
        </w:rPr>
        <w:t>For the quarter, franchise revenue increased $1.1 million, or 14.6%, from the comparable period in the prior year. This increase was primarily due to a franchise comparable restaurant sales increase of 12.6%, the opening of one restaurant during or subsequent to the third quarter of 2020 and revenue generated from eight company-operated restaurants sold by the Company to an existing franchisee during the quarter. This franchise revenue increase was partially offset by the closure of two franchise locations during or subsequent to the third quarter of 2020.</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37" w:name="page38"/>
    <w:bookmarkEnd w:id="37"/>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159"/>
        <w:spacing w:after="0" w:line="257" w:lineRule="auto"/>
        <w:rPr>
          <w:sz w:val="20"/>
          <w:szCs w:val="20"/>
          <w:color w:val="auto"/>
        </w:rPr>
      </w:pPr>
      <w:r>
        <w:rPr>
          <w:rFonts w:ascii="Arial" w:cs="Arial" w:eastAsia="Arial" w:hAnsi="Arial"/>
          <w:sz w:val="17"/>
          <w:szCs w:val="17"/>
          <w:color w:val="auto"/>
        </w:rPr>
        <w:t>Year-to-date, franchise revenue increased $3.4 million, or 15.6%, from the comparable period in the prior year. This increase was primarily due to a franchise comparable restaurant sales increase of 15.7%, the opening of three restaurants during or subsequent to the first quarter of 2020 and revenue generated from eight company-operated restaurants sold by the Company to an existing franchisee during the quarter. This franchise revenue increase was partially offset by the closure of eight franchise locations during or subsequent to the first quarter of 2020.</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Franchise Advertising Fee Revenue</w:t>
      </w:r>
    </w:p>
    <w:p>
      <w:pPr>
        <w:spacing w:after="0" w:line="214" w:lineRule="exact"/>
        <w:rPr>
          <w:sz w:val="20"/>
          <w:szCs w:val="20"/>
          <w:color w:val="auto"/>
        </w:rPr>
      </w:pPr>
    </w:p>
    <w:p>
      <w:pPr>
        <w:jc w:val="both"/>
        <w:ind w:left="40" w:right="119"/>
        <w:spacing w:after="0" w:line="259" w:lineRule="auto"/>
        <w:rPr>
          <w:sz w:val="20"/>
          <w:szCs w:val="20"/>
          <w:color w:val="auto"/>
        </w:rPr>
      </w:pPr>
      <w:r>
        <w:rPr>
          <w:rFonts w:ascii="Arial" w:cs="Arial" w:eastAsia="Arial" w:hAnsi="Arial"/>
          <w:sz w:val="17"/>
          <w:szCs w:val="17"/>
          <w:color w:val="auto"/>
        </w:rPr>
        <w:t>For the quarter, franchise advertising fee revenue increased $0.9 million, or 14.8%, from the comparable period in the prior year. Year-to-date, franchise advertising fee revenue increased $2.8 million, or 16.9%, from the comparable period in the prior year. As advertising fee revenue is a percentage of franchisees’ revenue, the quarter and year-to-date fluctuations were due to the increases and decreases noted in franchise revenue above.</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Food and Paper Costs</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5"/>
          <w:szCs w:val="15"/>
          <w:color w:val="auto"/>
        </w:rPr>
        <w:t>For the quarter, food and paper costs increased $1.8 million, or 7.1%, from the comparable period in the prior year, primarily due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5"/>
          <w:szCs w:val="15"/>
          <w:color w:val="auto"/>
        </w:rPr>
        <w:t>to a $1.0 million increase in food costs and a $0.8 million increase in paper costs. Year-to-date, food and paper costs increased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5"/>
          <w:szCs w:val="15"/>
          <w:color w:val="auto"/>
        </w:rPr>
        <w:t>$5.6 million, or 7.7%, from the comparable period in the prior year, due to a $3.4 million increase in food costs and a $2.2 million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increase in paper costs. The increase in food and paper costs for the quarter and year-to-date periods resulted primarily from</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higher company transactions, sales mix and commodity inflation. For the quarter, food and paper costs as a percentage of</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company-operated restaurant revenue were 26.7%, up from 25.6% in the comparable period of the prior year primarily due to</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5"/>
          <w:szCs w:val="15"/>
          <w:color w:val="auto"/>
        </w:rPr>
        <w:t>commodity inflation and investment in new elevated packaging, partially offset by an increase in pricing. Year-to-date, food and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5"/>
          <w:szCs w:val="15"/>
          <w:color w:val="auto"/>
        </w:rPr>
        <w:t>paper costs as a percentage of company-operated restaurant revenue were 26.2%, down from 26.4% in the comparable period of</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prior year. The percentage decrease for the year-to-date period was due primarily to an increase in pricing and effective waste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management, partially offset by sales mix and commodity inflation.</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Labor and Related Expenses</w:t>
      </w:r>
    </w:p>
    <w:p>
      <w:pPr>
        <w:spacing w:after="0" w:line="214" w:lineRule="exact"/>
        <w:rPr>
          <w:sz w:val="20"/>
          <w:szCs w:val="20"/>
          <w:color w:val="auto"/>
        </w:rPr>
      </w:pPr>
    </w:p>
    <w:p>
      <w:pPr>
        <w:ind w:left="40" w:right="159"/>
        <w:spacing w:after="0" w:line="290" w:lineRule="auto"/>
        <w:rPr>
          <w:sz w:val="20"/>
          <w:szCs w:val="20"/>
          <w:color w:val="auto"/>
        </w:rPr>
      </w:pPr>
      <w:r>
        <w:rPr>
          <w:rFonts w:ascii="Arial" w:cs="Arial" w:eastAsia="Arial" w:hAnsi="Arial"/>
          <w:sz w:val="15"/>
          <w:szCs w:val="15"/>
          <w:color w:val="auto"/>
        </w:rPr>
        <w:t>For the quarter, labor and related expenses decreased $1.0 million, or 3.3%, from the comparable period in the prior year. The decrease for the quarter was primarily due to recognizing a $3.2 million ERC which was recorded as an offset to the corresponding payroll tax expense and was classified as part of the labor and other operating expenses on the condensed consolidated statements of income during the thirteen weeks ended September 29, 2021. See Note 1, “Basis of Presentation and Summary of Significant Accounting Policies” in the Notes to Condensed Consolidated Financial Statements” for additional information related to the ERC. Additionally, the labor and related expenses were favorably impacted by a $0.9 million reduction in labor related to the eight locations sold to an existing franchisee during the quarter. The decrease in labor and related expenses was partially offset by a $1.5 million increase primarily related to minimum wage increases in California during fiscal 2020 and 2021 and other labor wage increases as a result of competitive pressure, a $0.8 million increase related to the 1.2% increase in year-over-year sales transactions, a $0.3 million increase in overtime, a $0.3 million increase in medical and workers compensation expense due to higher claims activity and a $0.2 million increase in other labor related expenses.</w:t>
      </w:r>
    </w:p>
    <w:p>
      <w:pPr>
        <w:spacing w:after="0" w:line="163" w:lineRule="exact"/>
        <w:rPr>
          <w:sz w:val="20"/>
          <w:szCs w:val="20"/>
          <w:color w:val="auto"/>
        </w:rPr>
      </w:pPr>
    </w:p>
    <w:p>
      <w:pPr>
        <w:ind w:left="40" w:right="119"/>
        <w:spacing w:after="0" w:line="254" w:lineRule="auto"/>
        <w:rPr>
          <w:sz w:val="20"/>
          <w:szCs w:val="20"/>
          <w:color w:val="auto"/>
        </w:rPr>
      </w:pPr>
      <w:r>
        <w:rPr>
          <w:rFonts w:ascii="Arial" w:cs="Arial" w:eastAsia="Arial" w:hAnsi="Arial"/>
          <w:sz w:val="17"/>
          <w:szCs w:val="17"/>
          <w:color w:val="auto"/>
        </w:rPr>
        <w:t>Year-to-date, labor and related expenses increased $6.9 million, or 8.2%, from the comparable period in the prior year. The increase for the year-to-date period was due to a $2.6 million increase primarily related to minimum wage increases in California during fiscal 2020 and 2021 and other labor wage increases as a result of competitive pressure, a $2.5 million increase in overtime, a $2.3 million increase related to the 1.4% increase in year-over-year sales transactions, a $1.1 million increase primarily related to employee training and other labor related expenses, $0.9 million in labor costs associated with the COVID-19 pandemic and $0.7 million in higher payroll taxes. This labor and related expense increase was partially offset by recognizing a $3.2 million ERC which is recorded as an offset to the corresponding payroll tax expense and is classified as part of the labor and other operating expenses on the condensed consolidated statements of income during the thirty-nine weeks ended September 29, 2021.</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5"/>
          <w:szCs w:val="15"/>
          <w:color w:val="auto"/>
        </w:rPr>
        <w:t>For the quarter, labor and related expenses as a percentage of company-operated restaurant revenue were 27.8%, down from</w:t>
      </w:r>
    </w:p>
    <w:p>
      <w:pPr>
        <w:spacing w:after="0" w:line="43" w:lineRule="exact"/>
        <w:rPr>
          <w:sz w:val="20"/>
          <w:szCs w:val="20"/>
          <w:color w:val="auto"/>
        </w:rPr>
      </w:pPr>
    </w:p>
    <w:p>
      <w:pPr>
        <w:ind w:left="40" w:right="99"/>
        <w:spacing w:after="0" w:line="255" w:lineRule="auto"/>
        <w:rPr>
          <w:sz w:val="20"/>
          <w:szCs w:val="20"/>
          <w:color w:val="auto"/>
        </w:rPr>
      </w:pPr>
      <w:r>
        <w:rPr>
          <w:rFonts w:ascii="Arial" w:cs="Arial" w:eastAsia="Arial" w:hAnsi="Arial"/>
          <w:sz w:val="17"/>
          <w:szCs w:val="17"/>
          <w:color w:val="auto"/>
        </w:rPr>
        <w:t>29.6% in the comparable period in the prior year due to the cost increases highlighted above, partially offset by the obtained ERC. Year-to-date labor and related expenses as a percentage of company-operated restaurant revenue were 29.9%, compared to 30.0% in the comparable period in the prior year. The year-to-date percentage was impacted by the cost increases highlighted above, offset by an obtained ERC.</w:t>
      </w:r>
    </w:p>
    <w:p>
      <w:pPr>
        <w:sectPr>
          <w:pgSz w:w="11900" w:h="16838" w:orient="portrait"/>
          <w:cols w:equalWidth="0" w:num="1">
            <w:col w:w="9019"/>
          </w:cols>
          <w:pgMar w:left="1440" w:top="498" w:right="1440" w:bottom="144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360680</wp:posOffset>
            </wp:positionV>
            <wp:extent cx="5661025" cy="24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type w:val="continuous"/>
        </w:sectPr>
      </w:pPr>
    </w:p>
    <w:bookmarkStart w:id="38" w:name="page39"/>
    <w:bookmarkEnd w:id="38"/>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Occupancy and Other Operating Expenses</w:t>
      </w:r>
    </w:p>
    <w:p>
      <w:pPr>
        <w:spacing w:after="0" w:line="214" w:lineRule="exact"/>
        <w:rPr>
          <w:sz w:val="20"/>
          <w:szCs w:val="20"/>
          <w:color w:val="auto"/>
        </w:rPr>
      </w:pPr>
    </w:p>
    <w:p>
      <w:pPr>
        <w:ind w:left="40" w:right="199"/>
        <w:spacing w:after="0" w:line="259" w:lineRule="auto"/>
        <w:rPr>
          <w:sz w:val="20"/>
          <w:szCs w:val="20"/>
          <w:color w:val="auto"/>
        </w:rPr>
      </w:pPr>
      <w:r>
        <w:rPr>
          <w:rFonts w:ascii="Arial" w:cs="Arial" w:eastAsia="Arial" w:hAnsi="Arial"/>
          <w:sz w:val="17"/>
          <w:szCs w:val="17"/>
          <w:color w:val="auto"/>
        </w:rPr>
        <w:t>For the quarter, occupancy and other operating expenses increased $1.3 million, or 5.3%, from the comparable period of the prior year. Fluctuations in occupancy and other expenses consisted primarily of a $0.5 million increase in utilities, a $0.4 million increase in other operating expenses, a $0.2 million increase in repairs and maintenance costs and a $0.2 million increase in market place delivery fees.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Year-to-date, occupancy and other operating expenses increased $6.4 million, or 9.5%, from the comparable period of the</w:t>
      </w:r>
    </w:p>
    <w:p>
      <w:pPr>
        <w:spacing w:after="0" w:line="32" w:lineRule="exact"/>
        <w:rPr>
          <w:sz w:val="20"/>
          <w:szCs w:val="20"/>
          <w:color w:val="auto"/>
        </w:rPr>
      </w:pPr>
    </w:p>
    <w:p>
      <w:pPr>
        <w:ind w:left="40" w:right="59"/>
        <w:spacing w:after="0" w:line="275" w:lineRule="auto"/>
        <w:rPr>
          <w:sz w:val="20"/>
          <w:szCs w:val="20"/>
          <w:color w:val="auto"/>
        </w:rPr>
      </w:pPr>
      <w:r>
        <w:rPr>
          <w:rFonts w:ascii="Arial" w:cs="Arial" w:eastAsia="Arial" w:hAnsi="Arial"/>
          <w:sz w:val="16"/>
          <w:szCs w:val="16"/>
          <w:color w:val="auto"/>
        </w:rPr>
        <w:t>prior year. The increase was primarily due to a $1.2 million increase in utilities, a $1.1 million increase in market place delivery fees, a $1.0 million increase in advertising fees, a $0.9 million increase in repairs and maintenance costs, a $0.8 million increase in other operating expenses, a $0.6 million increase in operating supplies, a $0.4 million increase in occupancy costs, primarily related to rent expense and higher general liability claims, and a $0.4 million increase in credit card charges.</w:t>
      </w:r>
    </w:p>
    <w:p>
      <w:pPr>
        <w:spacing w:after="0" w:line="169" w:lineRule="exact"/>
        <w:rPr>
          <w:sz w:val="20"/>
          <w:szCs w:val="20"/>
          <w:color w:val="auto"/>
        </w:rPr>
      </w:pPr>
    </w:p>
    <w:p>
      <w:pPr>
        <w:ind w:left="40" w:right="139"/>
        <w:spacing w:after="0" w:line="257" w:lineRule="auto"/>
        <w:rPr>
          <w:sz w:val="20"/>
          <w:szCs w:val="20"/>
          <w:color w:val="auto"/>
        </w:rPr>
      </w:pPr>
      <w:r>
        <w:rPr>
          <w:rFonts w:ascii="Arial" w:cs="Arial" w:eastAsia="Arial" w:hAnsi="Arial"/>
          <w:sz w:val="17"/>
          <w:szCs w:val="17"/>
          <w:color w:val="auto"/>
        </w:rPr>
        <w:t>For the quarter, occupancy and other operating expenses as a percentage of company-operated restaurant revenue were 25.1%, up from 24.5% in the comparable period in the prior year. Year-to-date, occupancy and other operating expenses as a percentage of company-operated restaurant revenue were 24.7%, up from 24.4% in the comparable period of the prior year. The higher percentage on both a quarter and year-to-date basis reflects the cost increases noted above partially offset by higher year-to-date revenue.</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 the quarter, general and administrative expenses decreased $0.4 million, or 4.5%, from the comparable period in the</w:t>
      </w:r>
    </w:p>
    <w:p>
      <w:pPr>
        <w:spacing w:after="0" w:line="32" w:lineRule="exact"/>
        <w:rPr>
          <w:sz w:val="20"/>
          <w:szCs w:val="20"/>
          <w:color w:val="auto"/>
        </w:rPr>
      </w:pPr>
    </w:p>
    <w:p>
      <w:pPr>
        <w:ind w:left="40" w:right="239"/>
        <w:spacing w:after="0" w:line="307" w:lineRule="auto"/>
        <w:rPr>
          <w:sz w:val="20"/>
          <w:szCs w:val="20"/>
          <w:color w:val="auto"/>
        </w:rPr>
      </w:pPr>
      <w:r>
        <w:rPr>
          <w:rFonts w:ascii="Arial" w:cs="Arial" w:eastAsia="Arial" w:hAnsi="Arial"/>
          <w:sz w:val="15"/>
          <w:szCs w:val="15"/>
          <w:color w:val="auto"/>
        </w:rPr>
        <w:t>prior year. The decrease for the quarter was due primarily to a $1.3 million decrease in labor related costs, primarily related to a decrease in estimated management bonus expense. This general and administrative expenses decrease was partially offset by a $0.6 million increase in recruiting and other outside services fees and a $0.3 million increase in legal and professional expenses.</w:t>
      </w:r>
    </w:p>
    <w:p>
      <w:pPr>
        <w:spacing w:after="0" w:line="145" w:lineRule="exact"/>
        <w:rPr>
          <w:sz w:val="20"/>
          <w:szCs w:val="20"/>
          <w:color w:val="auto"/>
        </w:rPr>
      </w:pPr>
    </w:p>
    <w:p>
      <w:pPr>
        <w:ind w:left="40" w:right="59"/>
        <w:spacing w:after="0" w:line="296" w:lineRule="auto"/>
        <w:rPr>
          <w:sz w:val="20"/>
          <w:szCs w:val="20"/>
          <w:color w:val="auto"/>
        </w:rPr>
      </w:pPr>
      <w:r>
        <w:rPr>
          <w:rFonts w:ascii="Arial" w:cs="Arial" w:eastAsia="Arial" w:hAnsi="Arial"/>
          <w:sz w:val="15"/>
          <w:szCs w:val="15"/>
          <w:color w:val="auto"/>
        </w:rPr>
        <w:t>Year-to-date, general and administrative expenses increased $0.8 million, or 2.6%, from the comparable period in the prior year. The increase for the year-to-date period was due primarily to a $1.2 million increase in recruiting and other outside services fees, a $0.8 million increase in stock compensation expenses and a $0.3 million increase in labor related costs, primarily related to an increase in management bonus expense. This increase was partially offset by a $1.5 million decrease in legal and professional expenses, related primarily to a $2.5 million legal settlement in the prior year period discussed in Note 7, “Commitments and Contingencies, Legal Matters” in the Notes to Condensed Consolidated Financial Statements above.</w:t>
      </w:r>
    </w:p>
    <w:p>
      <w:pPr>
        <w:spacing w:after="0" w:line="156" w:lineRule="exact"/>
        <w:rPr>
          <w:sz w:val="20"/>
          <w:szCs w:val="20"/>
          <w:color w:val="auto"/>
        </w:rPr>
      </w:pPr>
    </w:p>
    <w:p>
      <w:pPr>
        <w:ind w:left="40" w:right="119"/>
        <w:spacing w:after="0" w:line="257" w:lineRule="auto"/>
        <w:rPr>
          <w:sz w:val="20"/>
          <w:szCs w:val="20"/>
          <w:color w:val="auto"/>
        </w:rPr>
      </w:pPr>
      <w:r>
        <w:rPr>
          <w:rFonts w:ascii="Arial" w:cs="Arial" w:eastAsia="Arial" w:hAnsi="Arial"/>
          <w:sz w:val="17"/>
          <w:szCs w:val="17"/>
          <w:color w:val="auto"/>
        </w:rPr>
        <w:t>For the quarter, general and administrative expenses as a percentage of total revenue were 8.1%, down from 8.8% in the comparable period of the prior year. The percentage decrease for the quarterly period resulted primarily from higher revenue. Year-to-date, general and administrative expenses as a percentage of total revenue were 8.8%, down from 9.4% in the comparable period of the prior year. The year-to-date percentage decrease is primarily due to the higher revenue, partially offset by the cost increases discussed above.</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Loss on Disposition of Restaurants</w:t>
      </w:r>
    </w:p>
    <w:p>
      <w:pPr>
        <w:spacing w:after="0" w:line="214" w:lineRule="exact"/>
        <w:rPr>
          <w:sz w:val="20"/>
          <w:szCs w:val="20"/>
          <w:color w:val="auto"/>
        </w:rPr>
      </w:pPr>
    </w:p>
    <w:p>
      <w:pPr>
        <w:ind w:left="40" w:right="179"/>
        <w:spacing w:after="0" w:line="314" w:lineRule="auto"/>
        <w:rPr>
          <w:sz w:val="20"/>
          <w:szCs w:val="20"/>
          <w:color w:val="auto"/>
        </w:rPr>
      </w:pPr>
      <w:r>
        <w:rPr>
          <w:rFonts w:ascii="Arial" w:cs="Arial" w:eastAsia="Arial" w:hAnsi="Arial"/>
          <w:sz w:val="15"/>
          <w:szCs w:val="15"/>
          <w:color w:val="auto"/>
        </w:rPr>
        <w:t>During the thirteen and thirty-nine weeks ended September 29, 2021, we completed the sale of our eight restaurants within Sacramento area to an existing franchisee. This sale resulted in cash proceeds of $4.6 million and a net loss on sale of restaurants of less than $0.1 million and $1.5 million for the thirteen and thirty-nine weeks ended September 29, 2021, respectively.</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Impairment and Closed-Store Reserves</w:t>
      </w:r>
    </w:p>
    <w:p>
      <w:pPr>
        <w:spacing w:after="0" w:line="214" w:lineRule="exact"/>
        <w:rPr>
          <w:sz w:val="20"/>
          <w:szCs w:val="20"/>
          <w:color w:val="auto"/>
        </w:rPr>
      </w:pPr>
    </w:p>
    <w:p>
      <w:pPr>
        <w:ind w:left="40" w:right="119"/>
        <w:spacing w:after="0" w:line="256" w:lineRule="auto"/>
        <w:rPr>
          <w:sz w:val="20"/>
          <w:szCs w:val="20"/>
          <w:color w:val="auto"/>
        </w:rPr>
      </w:pPr>
      <w:r>
        <w:rPr>
          <w:rFonts w:ascii="Arial" w:cs="Arial" w:eastAsia="Arial" w:hAnsi="Arial"/>
          <w:sz w:val="17"/>
          <w:szCs w:val="17"/>
          <w:color w:val="auto"/>
        </w:rPr>
        <w:t>During the thirteen and thirty-nine weeks ended September 29, 2021, we recorded non-cash impairment charges of $0.1 million and $0.7 million, respectively, primarily related to the carrying value of the ROU assets of one restaurant in Texas closed in 2019, the ROU assets of one restaurant in California, and the long-lived assets of three restaurants in California. During the thirteen and thirty-nine weeks ended September 23, 2020, we recorded non-cash impairment charges of $1.5 million and $3.5 million, respectively, primarily related to the carrying value of the assets of one restaurant in Texas and the long-lived assets of four restaurants in California. Given the inherent uncertainty in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39" w:name="page40"/>
    <w:bookmarkEnd w:id="39"/>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59"/>
        <w:spacing w:after="0" w:line="259" w:lineRule="auto"/>
        <w:rPr>
          <w:sz w:val="20"/>
          <w:szCs w:val="20"/>
          <w:color w:val="auto"/>
        </w:rPr>
      </w:pPr>
      <w:r>
        <w:rPr>
          <w:rFonts w:ascii="Arial" w:cs="Arial" w:eastAsia="Arial" w:hAnsi="Arial"/>
          <w:sz w:val="17"/>
          <w:szCs w:val="17"/>
          <w:color w:val="auto"/>
        </w:rPr>
        <w:t>projecting results for newer restaurants in newer markets, as well as the impact of the COVID-19 pandemic, the Company is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spacing w:after="0" w:line="179" w:lineRule="exact"/>
        <w:rPr>
          <w:sz w:val="20"/>
          <w:szCs w:val="20"/>
          <w:color w:val="auto"/>
        </w:rPr>
      </w:pPr>
    </w:p>
    <w:p>
      <w:pPr>
        <w:ind w:left="40" w:right="99"/>
        <w:spacing w:after="0" w:line="272" w:lineRule="auto"/>
        <w:rPr>
          <w:sz w:val="20"/>
          <w:szCs w:val="20"/>
          <w:color w:val="auto"/>
        </w:rPr>
      </w:pPr>
      <w:r>
        <w:rPr>
          <w:rFonts w:ascii="Arial" w:cs="Arial" w:eastAsia="Arial" w:hAnsi="Arial"/>
          <w:sz w:val="16"/>
          <w:szCs w:val="16"/>
          <w:color w:val="auto"/>
        </w:rPr>
        <w:t>When a restaurant is closed, we will evaluate the ROU asset for impairment, based on anticipated sublease recoveries. The remaining value of the ROU asset is amortized on a straight-line basis, with the expense recognized in closed-store reserve expense. Additionally, any property tax and CAM payments relating to closed restaurants are included within closed-store expense. During the thirteen and thirty-nine weeks ended September 29, 2021, we recognized $0.1 million and $0.4 million, respectively, of closed-store reserve expense related to the amortization of ROU assets, property taxes and CAM payments for our closed locations. During the thirteen and thirty-nine weeks ended September 23, 2020, we recognized $0.3 million and $1.1 million, respectively, of closed-store reserve expense, primarily related to the amortization of ROU assets, property taxes and CAM payments for our closed locations.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Interest Expense, Net</w:t>
      </w:r>
    </w:p>
    <w:p>
      <w:pPr>
        <w:spacing w:after="0" w:line="214" w:lineRule="exact"/>
        <w:rPr>
          <w:sz w:val="20"/>
          <w:szCs w:val="20"/>
          <w:color w:val="auto"/>
        </w:rPr>
      </w:pPr>
    </w:p>
    <w:p>
      <w:pPr>
        <w:ind w:left="40" w:right="139"/>
        <w:spacing w:after="0" w:line="263" w:lineRule="auto"/>
        <w:rPr>
          <w:sz w:val="20"/>
          <w:szCs w:val="20"/>
          <w:color w:val="auto"/>
        </w:rPr>
      </w:pPr>
      <w:r>
        <w:rPr>
          <w:rFonts w:ascii="Arial" w:cs="Arial" w:eastAsia="Arial" w:hAnsi="Arial"/>
          <w:sz w:val="17"/>
          <w:szCs w:val="17"/>
          <w:color w:val="auto"/>
        </w:rPr>
        <w:t>For the quarter and year-to-date, interest expense, net, decreased $0.3 million and $1.2 million, respectively, from the comparable period in the prior year. The decrease is primarily related to lower interest rates and lower outstanding balances on our 2018 Revolver.</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Income Tax Receivable Agreement</w:t>
      </w:r>
    </w:p>
    <w:p>
      <w:pPr>
        <w:spacing w:after="0" w:line="214" w:lineRule="exact"/>
        <w:rPr>
          <w:sz w:val="20"/>
          <w:szCs w:val="20"/>
          <w:color w:val="auto"/>
        </w:rPr>
      </w:pPr>
    </w:p>
    <w:p>
      <w:pPr>
        <w:ind w:left="40" w:right="119"/>
        <w:spacing w:after="0" w:line="277" w:lineRule="auto"/>
        <w:rPr>
          <w:sz w:val="20"/>
          <w:szCs w:val="20"/>
          <w:color w:val="auto"/>
        </w:rPr>
      </w:pPr>
      <w:r>
        <w:rPr>
          <w:rFonts w:ascii="Arial" w:cs="Arial" w:eastAsia="Arial" w:hAnsi="Arial"/>
          <w:sz w:val="16"/>
          <w:szCs w:val="16"/>
          <w:color w:val="auto"/>
        </w:rPr>
        <w:t>On July 30, 2014, we entered into the TRA. The TRA calls for us to pay to our pre-IPO stockholders 85% of the savings in cash that we realize in our taxes as a result of utilizing our NOLs and other tax attributes attributable to preceding periods. For both the thirteen and thirty-nine weeks ended September 29, 2021, we recorded income tax receivable agreement income of less than $0.1 million, and for the thirteen and thirty-nine weeks ended September 23, 2020 we recorded income tax receivable agreement income of $0.1 million and income tax receivable expense of less than $0.1 million, respectively.</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214" w:lineRule="exact"/>
        <w:rPr>
          <w:sz w:val="20"/>
          <w:szCs w:val="20"/>
          <w:color w:val="auto"/>
        </w:rPr>
      </w:pPr>
    </w:p>
    <w:p>
      <w:pPr>
        <w:ind w:left="40" w:right="159"/>
        <w:spacing w:after="0" w:line="256" w:lineRule="auto"/>
        <w:rPr>
          <w:sz w:val="20"/>
          <w:szCs w:val="20"/>
          <w:color w:val="auto"/>
        </w:rPr>
      </w:pPr>
      <w:r>
        <w:rPr>
          <w:rFonts w:ascii="Arial" w:cs="Arial" w:eastAsia="Arial" w:hAnsi="Arial"/>
          <w:sz w:val="17"/>
          <w:szCs w:val="17"/>
          <w:color w:val="auto"/>
        </w:rPr>
        <w:t>For the quarter ended September 29, 2021, we recorded an income tax provision of $3.7 million, reflecting an estimated effective tax rate of 26.4%. For the quarter ended September 23, 2020, we recorded an income tax provision of $1.6 million, reflecting an estimated effective tax rate of approximately 14.2%. For the year-to-date period ended September 29, 2021, we recorded an income tax provision of $8.7 million, reflecting an estimated effective tax rate of approximately 27.4%. For the year-to-date period ended September 23, 2020, we recorded an income tax provision of $3.7 million, reflecting an estimated effective tax rate of approximately 16.3%.</w:t>
      </w:r>
    </w:p>
    <w:p>
      <w:pPr>
        <w:spacing w:after="0" w:line="182" w:lineRule="exact"/>
        <w:rPr>
          <w:sz w:val="20"/>
          <w:szCs w:val="20"/>
          <w:color w:val="auto"/>
        </w:rPr>
      </w:pPr>
    </w:p>
    <w:p>
      <w:pPr>
        <w:ind w:left="40" w:right="199"/>
        <w:spacing w:after="0" w:line="259" w:lineRule="auto"/>
        <w:rPr>
          <w:sz w:val="20"/>
          <w:szCs w:val="20"/>
          <w:color w:val="auto"/>
        </w:rPr>
      </w:pPr>
      <w:r>
        <w:rPr>
          <w:rFonts w:ascii="Arial" w:cs="Arial" w:eastAsia="Arial" w:hAnsi="Arial"/>
          <w:sz w:val="17"/>
          <w:szCs w:val="17"/>
          <w:color w:val="auto"/>
        </w:rPr>
        <w:t>The difference between the 21.0% statutory rate and the Company’s effective tax rate of 27.4% for the year-to-date period ended September 29, 2021 is primarily a result of a windfall tax benefit related to stock options exercised, non-deductible executive compensation, state taxes, a Work Opportunity Tax Credit benefit, the change in valuation allowance against certain state credits and prior year true up related to stock based compensation.</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Key Performance Indicators</w:t>
      </w:r>
    </w:p>
    <w:p>
      <w:pPr>
        <w:spacing w:after="0" w:line="218" w:lineRule="exact"/>
        <w:rPr>
          <w:sz w:val="20"/>
          <w:szCs w:val="20"/>
          <w:color w:val="auto"/>
        </w:rPr>
      </w:pPr>
    </w:p>
    <w:p>
      <w:pPr>
        <w:ind w:left="40" w:right="179"/>
        <w:spacing w:after="0" w:line="263" w:lineRule="auto"/>
        <w:rPr>
          <w:sz w:val="20"/>
          <w:szCs w:val="20"/>
          <w:color w:val="auto"/>
        </w:rPr>
      </w:pPr>
      <w:r>
        <w:rPr>
          <w:rFonts w:ascii="Arial" w:cs="Arial" w:eastAsia="Arial" w:hAnsi="Arial"/>
          <w:sz w:val="17"/>
          <w:szCs w:val="17"/>
          <w:color w:val="auto"/>
        </w:rPr>
        <w:t>To evaluate the performance of our business, we utilize a variety of financial and performance measures. These key measures include company-operated restaurant revenue, system-wide sales, comparable restaurant sales, restaurant contribution, restaurant contribution margin, new restaurant openings, EBITDA, and Adjusted EBITDA.</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System-Wide Sales</w:t>
      </w:r>
    </w:p>
    <w:p>
      <w:pPr>
        <w:spacing w:after="0" w:line="214" w:lineRule="exact"/>
        <w:rPr>
          <w:sz w:val="20"/>
          <w:szCs w:val="20"/>
          <w:color w:val="auto"/>
        </w:rPr>
      </w:pPr>
    </w:p>
    <w:p>
      <w:pPr>
        <w:ind w:left="40" w:right="119"/>
        <w:spacing w:after="0" w:line="275" w:lineRule="auto"/>
        <w:rPr>
          <w:sz w:val="20"/>
          <w:szCs w:val="20"/>
          <w:color w:val="auto"/>
        </w:rPr>
      </w:pPr>
      <w:r>
        <w:rPr>
          <w:rFonts w:ascii="Arial" w:cs="Arial" w:eastAsia="Arial" w:hAnsi="Arial"/>
          <w:sz w:val="16"/>
          <w:szCs w:val="16"/>
          <w:color w:val="auto"/>
        </w:rPr>
        <w:t>System-wide sales are neither required by, nor presented in accordance with GAAP. System-wide sales are the sum of company-operated restaurant revenue and sales from franchised restaurants. Our total revenue in our consolidated statements of operations is limited to company-operated restaurant revenue and franchise revenue from our franchisees. Accordingly, system-wide sales should not be considered in isolation or as a substitute for our results as reported under GAAP. Management believes that system-wide sales are an important figure for investors, because they are widely used in the restaurant industry, including by our management, to evaluate brand scale and market penetration.</w:t>
      </w:r>
    </w:p>
    <w:p>
      <w:pPr>
        <w:sectPr>
          <w:pgSz w:w="11900" w:h="16838" w:orient="portrait"/>
          <w:cols w:equalWidth="0" w:num="1">
            <w:col w:w="9019"/>
          </w:cols>
          <w:pgMar w:left="1440" w:top="498" w:right="1440" w:bottom="144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360680</wp:posOffset>
            </wp:positionV>
            <wp:extent cx="5661025" cy="24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type w:val="continuous"/>
        </w:sectPr>
      </w:pPr>
    </w:p>
    <w:bookmarkStart w:id="40" w:name="page41"/>
    <w:bookmarkEnd w:id="40"/>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following table reconciles system-wide sales to company-operated restaurant revenue and total revenue:</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4"/>
                <w:szCs w:val="14"/>
                <w:b w:val="1"/>
                <w:bCs w:val="1"/>
                <w:color w:val="auto"/>
              </w:rPr>
              <w:t>Thirteen Weeks Ended</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right"/>
              <w:ind w:right="455"/>
              <w:spacing w:after="0"/>
              <w:rPr>
                <w:sz w:val="20"/>
                <w:szCs w:val="20"/>
                <w:color w:val="auto"/>
              </w:rPr>
            </w:pPr>
            <w:r>
              <w:rPr>
                <w:rFonts w:ascii="Arial" w:cs="Arial" w:eastAsia="Arial" w:hAnsi="Arial"/>
                <w:sz w:val="14"/>
                <w:szCs w:val="14"/>
                <w:b w:val="1"/>
                <w:bCs w:val="1"/>
                <w:color w:val="auto"/>
              </w:rPr>
              <w:t>Thirty-Nine Weeks Ended</w:t>
            </w:r>
          </w:p>
        </w:tc>
      </w:tr>
      <w:tr>
        <w:trPr>
          <w:trHeight w:val="133"/>
        </w:trPr>
        <w:tc>
          <w:tcPr>
            <w:tcW w:w="3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40" w:type="dxa"/>
            <w:vAlign w:val="bottom"/>
            <w:gridSpan w:val="2"/>
          </w:tcPr>
          <w:p>
            <w:pPr>
              <w:jc w:val="right"/>
              <w:spacing w:after="0" w:line="134" w:lineRule="exact"/>
              <w:rPr>
                <w:sz w:val="20"/>
                <w:szCs w:val="20"/>
                <w:color w:val="auto"/>
              </w:rPr>
            </w:pPr>
            <w:r>
              <w:rPr>
                <w:rFonts w:ascii="Arial" w:cs="Arial" w:eastAsia="Arial" w:hAnsi="Arial"/>
                <w:sz w:val="14"/>
                <w:szCs w:val="14"/>
                <w:b w:val="1"/>
                <w:bCs w:val="1"/>
                <w:color w:val="auto"/>
                <w:w w:val="90"/>
              </w:rPr>
              <w:t>September 29, 2021</w:t>
            </w:r>
          </w:p>
        </w:tc>
        <w:tc>
          <w:tcPr>
            <w:tcW w:w="1220" w:type="dxa"/>
            <w:vAlign w:val="bottom"/>
            <w:gridSpan w:val="2"/>
          </w:tcPr>
          <w:p>
            <w:pPr>
              <w:jc w:val="right"/>
              <w:spacing w:after="0" w:line="134" w:lineRule="exact"/>
              <w:rPr>
                <w:sz w:val="20"/>
                <w:szCs w:val="20"/>
                <w:color w:val="auto"/>
              </w:rPr>
            </w:pPr>
            <w:r>
              <w:rPr>
                <w:rFonts w:ascii="Arial" w:cs="Arial" w:eastAsia="Arial" w:hAnsi="Arial"/>
                <w:sz w:val="14"/>
                <w:szCs w:val="14"/>
                <w:b w:val="1"/>
                <w:bCs w:val="1"/>
                <w:color w:val="auto"/>
                <w:w w:val="88"/>
              </w:rPr>
              <w:t>September 23, 2020</w:t>
            </w:r>
          </w:p>
        </w:tc>
        <w:tc>
          <w:tcPr>
            <w:tcW w:w="140" w:type="dxa"/>
            <w:vAlign w:val="bottom"/>
          </w:tcPr>
          <w:p>
            <w:pPr>
              <w:spacing w:after="0"/>
              <w:rPr>
                <w:sz w:val="11"/>
                <w:szCs w:val="11"/>
                <w:color w:val="auto"/>
              </w:rPr>
            </w:pPr>
          </w:p>
        </w:tc>
        <w:tc>
          <w:tcPr>
            <w:tcW w:w="1380" w:type="dxa"/>
            <w:vAlign w:val="bottom"/>
            <w:gridSpan w:val="3"/>
          </w:tcPr>
          <w:p>
            <w:pPr>
              <w:ind w:left="60"/>
              <w:spacing w:after="0" w:line="134" w:lineRule="exact"/>
              <w:rPr>
                <w:sz w:val="20"/>
                <w:szCs w:val="20"/>
                <w:color w:val="auto"/>
              </w:rPr>
            </w:pPr>
            <w:r>
              <w:rPr>
                <w:rFonts w:ascii="Arial" w:cs="Arial" w:eastAsia="Arial" w:hAnsi="Arial"/>
                <w:sz w:val="14"/>
                <w:szCs w:val="14"/>
                <w:b w:val="1"/>
                <w:bCs w:val="1"/>
                <w:color w:val="auto"/>
                <w:w w:val="99"/>
              </w:rPr>
              <w:t>September 29, 2021</w:t>
            </w:r>
          </w:p>
        </w:tc>
        <w:tc>
          <w:tcPr>
            <w:tcW w:w="20" w:type="dxa"/>
            <w:vAlign w:val="bottom"/>
          </w:tcPr>
          <w:p>
            <w:pPr>
              <w:spacing w:after="0"/>
              <w:rPr>
                <w:sz w:val="11"/>
                <w:szCs w:val="11"/>
                <w:color w:val="auto"/>
              </w:rPr>
            </w:pPr>
          </w:p>
        </w:tc>
        <w:tc>
          <w:tcPr>
            <w:tcW w:w="1200" w:type="dxa"/>
            <w:vAlign w:val="bottom"/>
            <w:gridSpan w:val="2"/>
          </w:tcPr>
          <w:p>
            <w:pPr>
              <w:jc w:val="right"/>
              <w:spacing w:after="0" w:line="134" w:lineRule="exact"/>
              <w:rPr>
                <w:sz w:val="20"/>
                <w:szCs w:val="20"/>
                <w:color w:val="auto"/>
              </w:rPr>
            </w:pPr>
            <w:r>
              <w:rPr>
                <w:rFonts w:ascii="Arial" w:cs="Arial" w:eastAsia="Arial" w:hAnsi="Arial"/>
                <w:sz w:val="14"/>
                <w:szCs w:val="14"/>
                <w:b w:val="1"/>
                <w:bCs w:val="1"/>
                <w:color w:val="auto"/>
                <w:w w:val="87"/>
              </w:rPr>
              <w:t>September 23, 2020</w:t>
            </w:r>
          </w:p>
        </w:tc>
      </w:tr>
      <w:tr>
        <w:trPr>
          <w:trHeight w:val="197"/>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Company-operated restaurant revenue</w:t>
            </w:r>
          </w:p>
        </w:tc>
        <w:tc>
          <w:tcPr>
            <w:tcW w:w="4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99,986</w:t>
            </w:r>
          </w:p>
        </w:tc>
        <w:tc>
          <w:tcPr>
            <w:tcW w:w="36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97,276</w:t>
            </w: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301,117</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277,617</w:t>
            </w:r>
          </w:p>
        </w:tc>
      </w:tr>
      <w:tr>
        <w:trPr>
          <w:trHeight w:val="205"/>
        </w:trPr>
        <w:tc>
          <w:tcPr>
            <w:tcW w:w="3280" w:type="dxa"/>
            <w:vAlign w:val="bottom"/>
          </w:tcPr>
          <w:p>
            <w:pPr>
              <w:spacing w:after="0"/>
              <w:rPr>
                <w:sz w:val="20"/>
                <w:szCs w:val="20"/>
                <w:color w:val="auto"/>
              </w:rPr>
            </w:pPr>
            <w:r>
              <w:rPr>
                <w:rFonts w:ascii="Arial" w:cs="Arial" w:eastAsia="Arial" w:hAnsi="Arial"/>
                <w:sz w:val="17"/>
                <w:szCs w:val="17"/>
                <w:color w:val="auto"/>
              </w:rPr>
              <w:t>Franchise revenue</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8,918</w:t>
            </w: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7,781</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24,919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21,562</w:t>
            </w:r>
          </w:p>
        </w:tc>
      </w:tr>
      <w:tr>
        <w:trPr>
          <w:trHeight w:val="205"/>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Franchise advertising fee revenue</w:t>
            </w:r>
          </w:p>
        </w:tc>
        <w:tc>
          <w:tcPr>
            <w:tcW w:w="4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6,796</w:t>
            </w:r>
          </w:p>
        </w:tc>
        <w:tc>
          <w:tcPr>
            <w:tcW w:w="3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5,922</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19,370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16,567</w:t>
            </w:r>
          </w:p>
        </w:tc>
      </w:tr>
      <w:tr>
        <w:trPr>
          <w:trHeight w:val="197"/>
        </w:trPr>
        <w:tc>
          <w:tcPr>
            <w:tcW w:w="3280" w:type="dxa"/>
            <w:vAlign w:val="bottom"/>
          </w:tcPr>
          <w:p>
            <w:pPr>
              <w:spacing w:after="0"/>
              <w:rPr>
                <w:sz w:val="20"/>
                <w:szCs w:val="20"/>
                <w:color w:val="auto"/>
              </w:rPr>
            </w:pPr>
            <w:r>
              <w:rPr>
                <w:rFonts w:ascii="Arial" w:cs="Arial" w:eastAsia="Arial" w:hAnsi="Arial"/>
                <w:sz w:val="17"/>
                <w:szCs w:val="17"/>
                <w:b w:val="1"/>
                <w:bCs w:val="1"/>
                <w:color w:val="auto"/>
              </w:rPr>
              <w:t>Total Revenue</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115,700</w:t>
            </w: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110,979</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345,406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315,746</w:t>
            </w:r>
          </w:p>
        </w:tc>
      </w:tr>
      <w:tr>
        <w:trPr>
          <w:trHeight w:val="205"/>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Franchise revenue</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(8,918)</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(7,781)</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(24,919)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(21,562)</w:t>
            </w:r>
          </w:p>
        </w:tc>
      </w:tr>
      <w:tr>
        <w:trPr>
          <w:trHeight w:val="205"/>
        </w:trPr>
        <w:tc>
          <w:tcPr>
            <w:tcW w:w="3280" w:type="dxa"/>
            <w:vAlign w:val="bottom"/>
          </w:tcPr>
          <w:p>
            <w:pPr>
              <w:spacing w:after="0"/>
              <w:rPr>
                <w:sz w:val="20"/>
                <w:szCs w:val="20"/>
                <w:color w:val="auto"/>
              </w:rPr>
            </w:pPr>
            <w:r>
              <w:rPr>
                <w:rFonts w:ascii="Arial" w:cs="Arial" w:eastAsia="Arial" w:hAnsi="Arial"/>
                <w:sz w:val="17"/>
                <w:szCs w:val="17"/>
                <w:color w:val="auto"/>
              </w:rPr>
              <w:t>Franchise advertising fee revenue</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(6,796)</w:t>
            </w: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(5,922)</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(19,370)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(16,567)</w:t>
            </w:r>
          </w:p>
        </w:tc>
      </w:tr>
      <w:tr>
        <w:trPr>
          <w:trHeight w:val="205"/>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Sales from franchised restaurants</w:t>
            </w:r>
          </w:p>
        </w:tc>
        <w:tc>
          <w:tcPr>
            <w:tcW w:w="4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151,657</w:t>
            </w:r>
          </w:p>
        </w:tc>
        <w:tc>
          <w:tcPr>
            <w:tcW w:w="3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132,334</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432,752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370,454</w:t>
            </w:r>
          </w:p>
        </w:tc>
      </w:tr>
      <w:tr>
        <w:trPr>
          <w:trHeight w:val="197"/>
        </w:trPr>
        <w:tc>
          <w:tcPr>
            <w:tcW w:w="3280" w:type="dxa"/>
            <w:vAlign w:val="bottom"/>
          </w:tcPr>
          <w:p>
            <w:pPr>
              <w:spacing w:after="0"/>
              <w:rPr>
                <w:sz w:val="20"/>
                <w:szCs w:val="20"/>
                <w:color w:val="auto"/>
              </w:rPr>
            </w:pPr>
            <w:r>
              <w:rPr>
                <w:rFonts w:ascii="Arial" w:cs="Arial" w:eastAsia="Arial" w:hAnsi="Arial"/>
                <w:sz w:val="17"/>
                <w:szCs w:val="17"/>
                <w:b w:val="1"/>
                <w:bCs w:val="1"/>
                <w:color w:val="auto"/>
              </w:rPr>
              <w:t>System-wide sales</w:t>
            </w:r>
          </w:p>
        </w:tc>
        <w:tc>
          <w:tcPr>
            <w:tcW w:w="440" w:type="dxa"/>
            <w:vAlign w:val="bottom"/>
          </w:tcPr>
          <w:p>
            <w:pPr>
              <w:spacing w:after="0"/>
              <w:rPr>
                <w:sz w:val="17"/>
                <w:szCs w:val="17"/>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251,643</w:t>
            </w: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229,610</w:t>
            </w:r>
          </w:p>
        </w:tc>
        <w:tc>
          <w:tcPr>
            <w:tcW w:w="140" w:type="dxa"/>
            <w:vAlign w:val="bottom"/>
          </w:tcPr>
          <w:p>
            <w:pPr>
              <w:spacing w:after="0"/>
              <w:rPr>
                <w:sz w:val="17"/>
                <w:szCs w:val="17"/>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733,869</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205"/>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648,071</w:t>
            </w:r>
          </w:p>
        </w:tc>
      </w:tr>
      <w:tr>
        <w:trPr>
          <w:trHeight w:val="20"/>
        </w:trPr>
        <w:tc>
          <w:tcPr>
            <w:tcW w:w="3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Company-Operated Restaurant Revenue</w:t>
      </w:r>
    </w:p>
    <w:p>
      <w:pPr>
        <w:spacing w:after="0" w:line="214" w:lineRule="exact"/>
        <w:rPr>
          <w:sz w:val="20"/>
          <w:szCs w:val="20"/>
          <w:color w:val="auto"/>
        </w:rPr>
      </w:pPr>
    </w:p>
    <w:p>
      <w:pPr>
        <w:ind w:left="40" w:right="99"/>
        <w:spacing w:after="0" w:line="314" w:lineRule="auto"/>
        <w:rPr>
          <w:sz w:val="20"/>
          <w:szCs w:val="20"/>
          <w:color w:val="auto"/>
        </w:rPr>
      </w:pPr>
      <w:r>
        <w:rPr>
          <w:rFonts w:ascii="Arial" w:cs="Arial" w:eastAsia="Arial" w:hAnsi="Arial"/>
          <w:sz w:val="15"/>
          <w:szCs w:val="15"/>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spacing w:after="0" w:line="142" w:lineRule="exact"/>
        <w:rPr>
          <w:sz w:val="20"/>
          <w:szCs w:val="20"/>
          <w:color w:val="auto"/>
        </w:rPr>
      </w:pPr>
    </w:p>
    <w:p>
      <w:pPr>
        <w:ind w:left="40" w:right="279"/>
        <w:spacing w:after="0" w:line="255" w:lineRule="auto"/>
        <w:rPr>
          <w:sz w:val="20"/>
          <w:szCs w:val="20"/>
          <w:color w:val="auto"/>
        </w:rPr>
      </w:pPr>
      <w:r>
        <w:rPr>
          <w:rFonts w:ascii="Arial" w:cs="Arial" w:eastAsia="Arial" w:hAnsi="Arial"/>
          <w:sz w:val="17"/>
          <w:szCs w:val="17"/>
          <w:color w:val="auto"/>
        </w:rPr>
        <w:t>Seasonal factors and the timing of holidays cause our revenue to fluctuate from quarter to quarter. Our revenue per restaurant is typically lower in the first and fourth quarters due to reduced January and December traffic and higher in the second and third quarters. As a result of seasonality, our quarterly and annual results of operations and key performance indicators such as company-operated restaurant revenue and comparable restaurant sales may fluctuate. In addition, we expect our quarterly company-operated restaurant revenue and comparable restaurant sales to continue to fluctuate significantly due to the current COVID-19 pandemic. See above under “COVID-19 Impact” for additional information related to the impact of the COVID-19 pandemic on our business.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Comparable Restaurant Sales</w:t>
      </w:r>
    </w:p>
    <w:p>
      <w:pPr>
        <w:spacing w:after="0" w:line="214" w:lineRule="exact"/>
        <w:rPr>
          <w:sz w:val="20"/>
          <w:szCs w:val="20"/>
          <w:color w:val="auto"/>
        </w:rPr>
      </w:pPr>
    </w:p>
    <w:p>
      <w:pPr>
        <w:ind w:left="40" w:right="139"/>
        <w:spacing w:after="0" w:line="289" w:lineRule="auto"/>
        <w:rPr>
          <w:sz w:val="20"/>
          <w:szCs w:val="20"/>
          <w:color w:val="auto"/>
        </w:rPr>
      </w:pPr>
      <w:r>
        <w:rPr>
          <w:rFonts w:ascii="Arial" w:cs="Arial" w:eastAsia="Arial" w:hAnsi="Arial"/>
          <w:sz w:val="15"/>
          <w:szCs w:val="15"/>
          <w:color w:val="auto"/>
        </w:rPr>
        <w:t>Comparable restaurant sales reflect year-over-year sales changes for comparable company-operated, franchised, and system-wide restaurants. A restaurant enters our comparable restaurant base the first full week after it has operated for fifteen months. Comparable restaurant sales exclude restaurants closed during the applicable period. At September 29, 2021 and</w:t>
      </w:r>
    </w:p>
    <w:p>
      <w:pPr>
        <w:spacing w:after="0" w:line="2" w:lineRule="exact"/>
        <w:rPr>
          <w:sz w:val="20"/>
          <w:szCs w:val="20"/>
          <w:color w:val="auto"/>
        </w:rPr>
      </w:pPr>
    </w:p>
    <w:p>
      <w:pPr>
        <w:ind w:left="40" w:right="99"/>
        <w:spacing w:after="0" w:line="256" w:lineRule="auto"/>
        <w:rPr>
          <w:sz w:val="20"/>
          <w:szCs w:val="20"/>
          <w:color w:val="auto"/>
        </w:rPr>
      </w:pPr>
      <w:r>
        <w:rPr>
          <w:rFonts w:ascii="Arial" w:cs="Arial" w:eastAsia="Arial" w:hAnsi="Arial"/>
          <w:sz w:val="17"/>
          <w:szCs w:val="17"/>
          <w:color w:val="auto"/>
        </w:rPr>
        <w:t>September 23, 2020, there were 462 and 468 comparable restaurants, 189 and 191 company-operated restaurants and 273 and 277 franchised restaurants, respectively. Comparable restaurant sales indicate the performance of existing restaurants, since new restaurants are excluded.</w:t>
      </w:r>
    </w:p>
    <w:p>
      <w:pPr>
        <w:spacing w:after="0" w:line="182" w:lineRule="exact"/>
        <w:rPr>
          <w:sz w:val="20"/>
          <w:szCs w:val="20"/>
          <w:color w:val="auto"/>
        </w:rPr>
      </w:pPr>
    </w:p>
    <w:p>
      <w:pPr>
        <w:ind w:left="40" w:right="379"/>
        <w:spacing w:after="0" w:line="345" w:lineRule="auto"/>
        <w:rPr>
          <w:sz w:val="20"/>
          <w:szCs w:val="20"/>
          <w:color w:val="auto"/>
        </w:rPr>
      </w:pPr>
      <w:r>
        <w:rPr>
          <w:rFonts w:ascii="Arial" w:cs="Arial" w:eastAsia="Arial" w:hAnsi="Arial"/>
          <w:sz w:val="15"/>
          <w:szCs w:val="15"/>
          <w:color w:val="auto"/>
        </w:rPr>
        <w:t>Comparable restaurant sales growth can be generated by an increase in the number of meals sold and/or by increases in the average check amount, resulting from a shift in menu mix and/or higher prices resulting from new products or price increases.</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Restaurant Contribution and Restaurant Contribution Margin</w:t>
      </w:r>
    </w:p>
    <w:p>
      <w:pPr>
        <w:spacing w:after="0" w:line="214" w:lineRule="exact"/>
        <w:rPr>
          <w:sz w:val="20"/>
          <w:szCs w:val="20"/>
          <w:color w:val="auto"/>
        </w:rPr>
      </w:pPr>
    </w:p>
    <w:p>
      <w:pPr>
        <w:ind w:left="40" w:right="79"/>
        <w:spacing w:after="0" w:line="272" w:lineRule="auto"/>
        <w:rPr>
          <w:sz w:val="20"/>
          <w:szCs w:val="20"/>
          <w:color w:val="auto"/>
        </w:rPr>
      </w:pPr>
      <w:r>
        <w:rPr>
          <w:rFonts w:ascii="Arial" w:cs="Arial" w:eastAsia="Arial" w:hAnsi="Arial"/>
          <w:sz w:val="16"/>
          <w:szCs w:val="16"/>
          <w:color w:val="auto"/>
        </w:rPr>
        <w:t>Restaurant contribution and restaurant contribution margin are neither required by, nor presented in accordance with, GAAP. Restaurant contribution is defined as company-operated restaurant revenue less company restaurant expenses which includes food and paper cost, labor and related expenses and occupancy and other operating expenses, where applicable. Restaurant contribution excludes certain costs, such as general and administrative expenses, depreciation and amortization, impairment and closed-store reserve and other costs that are considered normal operating costs and, accordingly, restaurant contribution is not indicative of overall Company results and does not accrue directly to the benefit of stockholders because of the exclusion of certain corporate-level expenses. Restaurant contribution margin is defined as restaurant contribution as a percentage of net company-operated restaurant revenue.</w:t>
      </w:r>
    </w:p>
    <w:p>
      <w:pPr>
        <w:spacing w:after="0" w:line="174" w:lineRule="exact"/>
        <w:rPr>
          <w:sz w:val="20"/>
          <w:szCs w:val="20"/>
          <w:color w:val="auto"/>
        </w:rPr>
      </w:pPr>
    </w:p>
    <w:p>
      <w:pPr>
        <w:ind w:left="40" w:right="59"/>
        <w:spacing w:after="0" w:line="277" w:lineRule="auto"/>
        <w:rPr>
          <w:sz w:val="20"/>
          <w:szCs w:val="20"/>
          <w:color w:val="auto"/>
        </w:rPr>
      </w:pPr>
      <w:r>
        <w:rPr>
          <w:rFonts w:ascii="Arial" w:cs="Arial" w:eastAsia="Arial" w:hAnsi="Arial"/>
          <w:sz w:val="16"/>
          <w:szCs w:val="16"/>
          <w:color w:val="auto"/>
        </w:rPr>
        <w:t>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superior to, or as substitutes for the analysis of our results as reported under GAAP. Management uses restaurant contribution and restaurant contribution margin as key metrics to evaluate the profitability of incremental sales</w:t>
      </w:r>
    </w:p>
    <w:p>
      <w:pPr>
        <w:sectPr>
          <w:pgSz w:w="11900" w:h="16838" w:orient="portrait"/>
          <w:cols w:equalWidth="0" w:num="1">
            <w:col w:w="9019"/>
          </w:cols>
          <w:pgMar w:left="1440" w:top="498" w:right="1440"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360680</wp:posOffset>
            </wp:positionV>
            <wp:extent cx="5661025" cy="241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type w:val="continuous"/>
        </w:sectPr>
      </w:pPr>
    </w:p>
    <w:bookmarkStart w:id="41" w:name="page42"/>
    <w:bookmarkEnd w:id="41"/>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179"/>
        <w:spacing w:after="0" w:line="256" w:lineRule="auto"/>
        <w:rPr>
          <w:sz w:val="20"/>
          <w:szCs w:val="20"/>
          <w:color w:val="auto"/>
        </w:rPr>
      </w:pPr>
      <w:r>
        <w:rPr>
          <w:rFonts w:ascii="Arial" w:cs="Arial" w:eastAsia="Arial" w:hAnsi="Arial"/>
          <w:sz w:val="17"/>
          <w:szCs w:val="17"/>
          <w:color w:val="auto"/>
        </w:rPr>
        <w:t>at our restaurants, to evaluate our restaurant performance across periods, and to evaluate our restaurant financial performance compared with our competitors. Management believes that restaurant contribution and restaurant contribution margin are important tools for investors, because they are widely-used metrics within the restaurant industry to evaluate restaurant-level productivity, efficiency, and performance. Restaurant contribution and restaurant contribution margin may also assist investors in evaluating our business and performance relative to industry peers and provide greater transparency with respect to the Company’s financial condition and results of operation.</w:t>
      </w:r>
    </w:p>
    <w:p>
      <w:pPr>
        <w:spacing w:after="0" w:line="182" w:lineRule="exact"/>
        <w:rPr>
          <w:sz w:val="20"/>
          <w:szCs w:val="20"/>
          <w:color w:val="auto"/>
        </w:rPr>
      </w:pPr>
    </w:p>
    <w:p>
      <w:pPr>
        <w:ind w:left="40" w:right="99"/>
        <w:spacing w:after="0" w:line="276" w:lineRule="auto"/>
        <w:rPr>
          <w:sz w:val="20"/>
          <w:szCs w:val="20"/>
          <w:color w:val="auto"/>
        </w:rPr>
      </w:pPr>
      <w:r>
        <w:rPr>
          <w:rFonts w:ascii="Arial" w:cs="Arial" w:eastAsia="Arial" w:hAnsi="Arial"/>
          <w:sz w:val="17"/>
          <w:szCs w:val="17"/>
          <w:color w:val="auto"/>
        </w:rPr>
        <w:t>A reconciliation of restaurant contribution and restaurant contribution margin to company-operated restaurant revenue is provided below:</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 amounts in thousands)</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33"/>
        </w:trPr>
        <w:tc>
          <w:tcPr>
            <w:tcW w:w="2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Borders>
              <w:top w:val="single" w:sz="8" w:color="auto"/>
            </w:tcBorders>
            <w:gridSpan w:val="3"/>
          </w:tcPr>
          <w:p>
            <w:pPr>
              <w:jc w:val="right"/>
              <w:ind w:right="240"/>
              <w:spacing w:after="0" w:line="134" w:lineRule="exact"/>
              <w:rPr>
                <w:sz w:val="20"/>
                <w:szCs w:val="20"/>
                <w:color w:val="auto"/>
              </w:rPr>
            </w:pPr>
            <w:r>
              <w:rPr>
                <w:rFonts w:ascii="Arial" w:cs="Arial" w:eastAsia="Arial" w:hAnsi="Arial"/>
                <w:sz w:val="14"/>
                <w:szCs w:val="14"/>
                <w:b w:val="1"/>
                <w:bCs w:val="1"/>
                <w:color w:val="auto"/>
                <w:w w:val="88"/>
              </w:rPr>
              <w:t>September 29, 2021</w:t>
            </w:r>
          </w:p>
        </w:tc>
        <w:tc>
          <w:tcPr>
            <w:tcW w:w="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spacing w:after="0" w:line="134" w:lineRule="exact"/>
              <w:rPr>
                <w:sz w:val="20"/>
                <w:szCs w:val="20"/>
                <w:color w:val="auto"/>
              </w:rPr>
            </w:pPr>
            <w:r>
              <w:rPr>
                <w:rFonts w:ascii="Arial" w:cs="Arial" w:eastAsia="Arial" w:hAnsi="Arial"/>
                <w:sz w:val="14"/>
                <w:szCs w:val="14"/>
                <w:b w:val="1"/>
                <w:bCs w:val="1"/>
                <w:color w:val="auto"/>
                <w:w w:val="88"/>
              </w:rPr>
              <w:t>September 23, 2020</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tcBorders>
              <w:top w:val="single" w:sz="8" w:color="auto"/>
            </w:tcBorders>
            <w:gridSpan w:val="3"/>
          </w:tcPr>
          <w:p>
            <w:pPr>
              <w:jc w:val="right"/>
              <w:ind w:right="240"/>
              <w:spacing w:after="0" w:line="134" w:lineRule="exact"/>
              <w:rPr>
                <w:sz w:val="20"/>
                <w:szCs w:val="20"/>
                <w:color w:val="auto"/>
              </w:rPr>
            </w:pPr>
            <w:r>
              <w:rPr>
                <w:rFonts w:ascii="Arial" w:cs="Arial" w:eastAsia="Arial" w:hAnsi="Arial"/>
                <w:sz w:val="14"/>
                <w:szCs w:val="14"/>
                <w:b w:val="1"/>
                <w:bCs w:val="1"/>
                <w:color w:val="auto"/>
                <w:w w:val="88"/>
              </w:rPr>
              <w:t>September 29, 2021</w:t>
            </w:r>
          </w:p>
        </w:tc>
        <w:tc>
          <w:tcPr>
            <w:tcW w:w="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spacing w:after="0" w:line="134" w:lineRule="exact"/>
              <w:rPr>
                <w:sz w:val="20"/>
                <w:szCs w:val="20"/>
                <w:color w:val="auto"/>
              </w:rPr>
            </w:pPr>
            <w:r>
              <w:rPr>
                <w:rFonts w:ascii="Arial" w:cs="Arial" w:eastAsia="Arial" w:hAnsi="Arial"/>
                <w:sz w:val="14"/>
                <w:szCs w:val="14"/>
                <w:b w:val="1"/>
                <w:bCs w:val="1"/>
                <w:color w:val="auto"/>
                <w:w w:val="88"/>
              </w:rPr>
              <w:t>September 23, 2020</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Restaurant contribution:</w:t>
            </w: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Arial" w:cs="Arial" w:eastAsia="Arial" w:hAnsi="Arial"/>
                <w:sz w:val="17"/>
                <w:szCs w:val="17"/>
                <w:b w:val="1"/>
                <w:bCs w:val="1"/>
                <w:color w:val="auto"/>
              </w:rPr>
              <w:t>Income from operations</w:t>
            </w:r>
          </w:p>
        </w:tc>
        <w:tc>
          <w:tcPr>
            <w:tcW w:w="500" w:type="dxa"/>
            <w:vAlign w:val="bottom"/>
            <w:gridSpan w:val="2"/>
          </w:tcPr>
          <w:p>
            <w:pPr>
              <w:jc w:val="right"/>
              <w:ind w:right="209"/>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14,245</w:t>
            </w:r>
          </w:p>
        </w:tc>
        <w:tc>
          <w:tcPr>
            <w:tcW w:w="200" w:type="dxa"/>
            <w:vAlign w:val="bottom"/>
          </w:tcPr>
          <w:p>
            <w:pPr>
              <w:spacing w:after="0"/>
              <w:rPr>
                <w:sz w:val="17"/>
                <w:szCs w:val="17"/>
                <w:color w:val="auto"/>
              </w:rPr>
            </w:pPr>
          </w:p>
        </w:tc>
        <w:tc>
          <w:tcPr>
            <w:tcW w:w="620" w:type="dxa"/>
            <w:vAlign w:val="bottom"/>
            <w:gridSpan w:val="2"/>
          </w:tcPr>
          <w:p>
            <w:pPr>
              <w:jc w:val="right"/>
              <w:ind w:right="403"/>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12,193</w:t>
            </w:r>
          </w:p>
        </w:tc>
        <w:tc>
          <w:tcPr>
            <w:tcW w:w="200" w:type="dxa"/>
            <w:vAlign w:val="bottom"/>
          </w:tcPr>
          <w:p>
            <w:pPr>
              <w:spacing w:after="0"/>
              <w:rPr>
                <w:sz w:val="17"/>
                <w:szCs w:val="17"/>
                <w:color w:val="auto"/>
              </w:rPr>
            </w:pPr>
          </w:p>
        </w:tc>
        <w:tc>
          <w:tcPr>
            <w:tcW w:w="380" w:type="dxa"/>
            <w:vAlign w:val="bottom"/>
            <w:gridSpan w:val="2"/>
          </w:tcPr>
          <w:p>
            <w:pPr>
              <w:jc w:val="right"/>
              <w:ind w:right="189"/>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32,917</w:t>
            </w:r>
          </w:p>
        </w:tc>
        <w:tc>
          <w:tcPr>
            <w:tcW w:w="180" w:type="dxa"/>
            <w:vAlign w:val="bottom"/>
          </w:tcPr>
          <w:p>
            <w:pPr>
              <w:spacing w:after="0"/>
              <w:rPr>
                <w:sz w:val="17"/>
                <w:szCs w:val="17"/>
                <w:color w:val="auto"/>
              </w:rPr>
            </w:pPr>
          </w:p>
        </w:tc>
        <w:tc>
          <w:tcPr>
            <w:tcW w:w="400" w:type="dxa"/>
            <w:vAlign w:val="bottom"/>
            <w:gridSpan w:val="2"/>
          </w:tcPr>
          <w:p>
            <w:pPr>
              <w:jc w:val="right"/>
              <w:ind w:right="189"/>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25,328</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Add (less):</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tcPr>
          <w:p>
            <w:pPr>
              <w:ind w:left="80"/>
              <w:spacing w:after="0"/>
              <w:rPr>
                <w:sz w:val="20"/>
                <w:szCs w:val="20"/>
                <w:color w:val="auto"/>
              </w:rPr>
            </w:pPr>
            <w:r>
              <w:rPr>
                <w:rFonts w:ascii="Arial" w:cs="Arial" w:eastAsia="Arial" w:hAnsi="Arial"/>
                <w:sz w:val="17"/>
                <w:szCs w:val="17"/>
                <w:color w:val="auto"/>
                <w:w w:val="95"/>
              </w:rPr>
              <w:t>General and administrative expenses</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9,357</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9,803</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30,354</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29,599</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shd w:val="clear" w:color="auto" w:fill="CCEEFF"/>
          </w:tcPr>
          <w:p>
            <w:pPr>
              <w:ind w:left="80"/>
              <w:spacing w:after="0"/>
              <w:rPr>
                <w:sz w:val="20"/>
                <w:szCs w:val="20"/>
                <w:color w:val="auto"/>
              </w:rPr>
            </w:pPr>
            <w:r>
              <w:rPr>
                <w:rFonts w:ascii="Arial" w:cs="Arial" w:eastAsia="Arial" w:hAnsi="Arial"/>
                <w:sz w:val="17"/>
                <w:szCs w:val="17"/>
                <w:color w:val="auto"/>
              </w:rPr>
              <w:t>Franchise expenses</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8,545</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7,572</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24,457</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21,110</w:t>
            </w: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tcPr>
          <w:p>
            <w:pPr>
              <w:ind w:left="80"/>
              <w:spacing w:after="0"/>
              <w:rPr>
                <w:sz w:val="20"/>
                <w:szCs w:val="20"/>
                <w:color w:val="auto"/>
              </w:rPr>
            </w:pPr>
            <w:r>
              <w:rPr>
                <w:rFonts w:ascii="Arial" w:cs="Arial" w:eastAsia="Arial" w:hAnsi="Arial"/>
                <w:sz w:val="17"/>
                <w:szCs w:val="17"/>
                <w:color w:val="auto"/>
              </w:rPr>
              <w:t>Depreciation and amortization</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3,685</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4,092</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11,540</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12,629</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shd w:val="clear" w:color="auto" w:fill="CCEEFF"/>
          </w:tcPr>
          <w:p>
            <w:pPr>
              <w:ind w:left="80"/>
              <w:spacing w:after="0"/>
              <w:rPr>
                <w:sz w:val="20"/>
                <w:szCs w:val="20"/>
                <w:color w:val="auto"/>
              </w:rPr>
            </w:pPr>
            <w:r>
              <w:rPr>
                <w:rFonts w:ascii="Arial" w:cs="Arial" w:eastAsia="Arial" w:hAnsi="Arial"/>
                <w:sz w:val="17"/>
                <w:szCs w:val="17"/>
                <w:color w:val="auto"/>
              </w:rPr>
              <w:t>Loss on disposal of assets</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tcPr>
          <w:p>
            <w:pPr>
              <w:ind w:left="80"/>
              <w:spacing w:after="0"/>
              <w:rPr>
                <w:sz w:val="20"/>
                <w:szCs w:val="20"/>
                <w:color w:val="auto"/>
              </w:rPr>
            </w:pPr>
            <w:r>
              <w:rPr>
                <w:rFonts w:ascii="Arial" w:cs="Arial" w:eastAsia="Arial" w:hAnsi="Arial"/>
                <w:sz w:val="17"/>
                <w:szCs w:val="17"/>
                <w:color w:val="auto"/>
              </w:rPr>
              <w:t>Loss on disposition of restaurants</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1,534</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shd w:val="clear" w:color="auto" w:fill="CCEEFF"/>
          </w:tcPr>
          <w:p>
            <w:pPr>
              <w:ind w:left="80"/>
              <w:spacing w:after="0"/>
              <w:rPr>
                <w:sz w:val="20"/>
                <w:szCs w:val="20"/>
                <w:color w:val="auto"/>
              </w:rPr>
            </w:pPr>
            <w:r>
              <w:rPr>
                <w:rFonts w:ascii="Arial" w:cs="Arial" w:eastAsia="Arial" w:hAnsi="Arial"/>
                <w:sz w:val="17"/>
                <w:szCs w:val="17"/>
                <w:color w:val="auto"/>
              </w:rPr>
              <w:t>Franchise revenue</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(8,918)</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(7,781)</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(24,919)</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(21,562)</w:t>
            </w: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tcPr>
          <w:p>
            <w:pPr>
              <w:ind w:left="80"/>
              <w:spacing w:after="0"/>
              <w:rPr>
                <w:sz w:val="20"/>
                <w:szCs w:val="20"/>
                <w:color w:val="auto"/>
              </w:rPr>
            </w:pPr>
            <w:r>
              <w:rPr>
                <w:rFonts w:ascii="Arial" w:cs="Arial" w:eastAsia="Arial" w:hAnsi="Arial"/>
                <w:sz w:val="17"/>
                <w:szCs w:val="17"/>
                <w:color w:val="auto"/>
              </w:rPr>
              <w:t>Franchise advertising fee revenue</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(6,796)</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(5,922)</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(19,370)</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(16,567)</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80" w:type="dxa"/>
            <w:vAlign w:val="bottom"/>
            <w:shd w:val="clear" w:color="auto" w:fill="CCEEFF"/>
          </w:tcPr>
          <w:p>
            <w:pPr>
              <w:ind w:left="80"/>
              <w:spacing w:after="0" w:line="193" w:lineRule="exact"/>
              <w:rPr>
                <w:sz w:val="20"/>
                <w:szCs w:val="20"/>
                <w:color w:val="auto"/>
              </w:rPr>
            </w:pPr>
            <w:r>
              <w:rPr>
                <w:rFonts w:ascii="Arial" w:cs="Arial" w:eastAsia="Arial" w:hAnsi="Arial"/>
                <w:sz w:val="17"/>
                <w:szCs w:val="17"/>
                <w:color w:val="auto"/>
                <w:w w:val="92"/>
              </w:rPr>
              <w:t>Recovery of securities lawsuits related</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shd w:val="clear" w:color="auto" w:fill="CCEEFF"/>
          </w:tcPr>
          <w:p>
            <w:pPr>
              <w:ind w:left="80"/>
              <w:spacing w:after="0"/>
              <w:rPr>
                <w:sz w:val="20"/>
                <w:szCs w:val="20"/>
                <w:color w:val="auto"/>
              </w:rPr>
            </w:pPr>
            <w:r>
              <w:rPr>
                <w:rFonts w:ascii="Arial" w:cs="Arial" w:eastAsia="Arial" w:hAnsi="Arial"/>
                <w:sz w:val="17"/>
                <w:szCs w:val="17"/>
                <w:color w:val="auto"/>
                <w:w w:val="99"/>
              </w:rPr>
              <w:t>legal expenses and other insurance</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80" w:type="dxa"/>
            <w:vAlign w:val="bottom"/>
            <w:shd w:val="clear" w:color="auto" w:fill="CCEEFF"/>
          </w:tcPr>
          <w:p>
            <w:pPr>
              <w:ind w:left="80"/>
              <w:spacing w:after="0"/>
              <w:rPr>
                <w:sz w:val="20"/>
                <w:szCs w:val="20"/>
                <w:color w:val="auto"/>
              </w:rPr>
            </w:pPr>
            <w:r>
              <w:rPr>
                <w:rFonts w:ascii="Arial" w:cs="Arial" w:eastAsia="Arial" w:hAnsi="Arial"/>
                <w:sz w:val="17"/>
                <w:szCs w:val="17"/>
                <w:color w:val="auto"/>
              </w:rPr>
              <w:t>claims</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w w:val="93"/>
              </w:rPr>
              <w:t>Impairment and closed-store reserves</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w:t>
            </w:r>
          </w:p>
        </w:tc>
        <w:tc>
          <w:tcPr>
            <w:tcW w:w="2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1,776</w:t>
            </w:r>
          </w:p>
        </w:tc>
        <w:tc>
          <w:tcPr>
            <w:tcW w:w="2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1,091</w:t>
            </w:r>
          </w:p>
        </w:tc>
        <w:tc>
          <w:tcPr>
            <w:tcW w:w="1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4,615</w:t>
            </w:r>
          </w:p>
        </w:tc>
        <w:tc>
          <w:tcPr>
            <w:tcW w:w="3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Restaurant contribution</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20,378</w:t>
            </w:r>
          </w:p>
        </w:tc>
        <w:tc>
          <w:tcPr>
            <w:tcW w:w="2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03"/>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21,762</w:t>
            </w:r>
          </w:p>
        </w:tc>
        <w:tc>
          <w:tcPr>
            <w:tcW w:w="2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57,798</w:t>
            </w:r>
          </w:p>
        </w:tc>
        <w:tc>
          <w:tcPr>
            <w:tcW w:w="1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55,185</w:t>
            </w:r>
          </w:p>
        </w:tc>
        <w:tc>
          <w:tcPr>
            <w:tcW w:w="3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7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Company-operated restaurant</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Arial" w:cs="Arial" w:eastAsia="Arial" w:hAnsi="Arial"/>
                <w:sz w:val="17"/>
                <w:szCs w:val="17"/>
                <w:b w:val="1"/>
                <w:bCs w:val="1"/>
                <w:color w:val="auto"/>
              </w:rPr>
              <w:t>Total revenue</w:t>
            </w:r>
          </w:p>
        </w:tc>
        <w:tc>
          <w:tcPr>
            <w:tcW w:w="500" w:type="dxa"/>
            <w:vAlign w:val="bottom"/>
            <w:gridSpan w:val="2"/>
          </w:tcPr>
          <w:p>
            <w:pPr>
              <w:jc w:val="right"/>
              <w:ind w:right="209"/>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115,700</w:t>
            </w:r>
          </w:p>
        </w:tc>
        <w:tc>
          <w:tcPr>
            <w:tcW w:w="200" w:type="dxa"/>
            <w:vAlign w:val="bottom"/>
          </w:tcPr>
          <w:p>
            <w:pPr>
              <w:spacing w:after="0"/>
              <w:rPr>
                <w:sz w:val="17"/>
                <w:szCs w:val="17"/>
                <w:color w:val="auto"/>
              </w:rPr>
            </w:pPr>
          </w:p>
        </w:tc>
        <w:tc>
          <w:tcPr>
            <w:tcW w:w="620" w:type="dxa"/>
            <w:vAlign w:val="bottom"/>
            <w:gridSpan w:val="2"/>
          </w:tcPr>
          <w:p>
            <w:pPr>
              <w:jc w:val="right"/>
              <w:ind w:right="403"/>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4"/>
              </w:rPr>
              <w:t>110,979</w:t>
            </w:r>
          </w:p>
        </w:tc>
        <w:tc>
          <w:tcPr>
            <w:tcW w:w="200" w:type="dxa"/>
            <w:vAlign w:val="bottom"/>
          </w:tcPr>
          <w:p>
            <w:pPr>
              <w:spacing w:after="0"/>
              <w:rPr>
                <w:sz w:val="17"/>
                <w:szCs w:val="17"/>
                <w:color w:val="auto"/>
              </w:rPr>
            </w:pPr>
          </w:p>
        </w:tc>
        <w:tc>
          <w:tcPr>
            <w:tcW w:w="380" w:type="dxa"/>
            <w:vAlign w:val="bottom"/>
            <w:gridSpan w:val="2"/>
          </w:tcPr>
          <w:p>
            <w:pPr>
              <w:jc w:val="right"/>
              <w:ind w:right="189"/>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345,406</w:t>
            </w:r>
          </w:p>
        </w:tc>
        <w:tc>
          <w:tcPr>
            <w:tcW w:w="180" w:type="dxa"/>
            <w:vAlign w:val="bottom"/>
          </w:tcPr>
          <w:p>
            <w:pPr>
              <w:spacing w:after="0"/>
              <w:rPr>
                <w:sz w:val="17"/>
                <w:szCs w:val="17"/>
                <w:color w:val="auto"/>
              </w:rPr>
            </w:pPr>
          </w:p>
        </w:tc>
        <w:tc>
          <w:tcPr>
            <w:tcW w:w="400" w:type="dxa"/>
            <w:vAlign w:val="bottom"/>
            <w:gridSpan w:val="2"/>
          </w:tcPr>
          <w:p>
            <w:pPr>
              <w:jc w:val="right"/>
              <w:ind w:right="189"/>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315,746</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Less:</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tcPr>
          <w:p>
            <w:pPr>
              <w:ind w:left="80"/>
              <w:spacing w:after="0"/>
              <w:rPr>
                <w:sz w:val="20"/>
                <w:szCs w:val="20"/>
                <w:color w:val="auto"/>
              </w:rPr>
            </w:pPr>
            <w:r>
              <w:rPr>
                <w:rFonts w:ascii="Arial" w:cs="Arial" w:eastAsia="Arial" w:hAnsi="Arial"/>
                <w:sz w:val="17"/>
                <w:szCs w:val="17"/>
                <w:color w:val="auto"/>
              </w:rPr>
              <w:t>Franchise revenue</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(8,918)</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(7,781)</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(24,919)</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(21,562)</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shd w:val="clear" w:color="auto" w:fill="CCEEFF"/>
          </w:tcPr>
          <w:p>
            <w:pPr>
              <w:ind w:left="80"/>
              <w:spacing w:after="0"/>
              <w:rPr>
                <w:sz w:val="20"/>
                <w:szCs w:val="20"/>
                <w:color w:val="auto"/>
              </w:rPr>
            </w:pPr>
            <w:r>
              <w:rPr>
                <w:rFonts w:ascii="Arial" w:cs="Arial" w:eastAsia="Arial" w:hAnsi="Arial"/>
                <w:sz w:val="17"/>
                <w:szCs w:val="17"/>
                <w:color w:val="auto"/>
              </w:rPr>
              <w:t>Franchise advertising fee revenue</w:t>
            </w:r>
          </w:p>
        </w:tc>
        <w:tc>
          <w:tcPr>
            <w:tcW w:w="1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(6,796)</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(5,922)</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(19,370)</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(16,567)</w:t>
            </w: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780" w:type="dxa"/>
            <w:vAlign w:val="bottom"/>
          </w:tcPr>
          <w:p>
            <w:pPr>
              <w:spacing w:after="0" w:line="168" w:lineRule="exact"/>
              <w:rPr>
                <w:sz w:val="20"/>
                <w:szCs w:val="20"/>
                <w:color w:val="auto"/>
              </w:rPr>
            </w:pPr>
            <w:r>
              <w:rPr>
                <w:rFonts w:ascii="Arial" w:cs="Arial" w:eastAsia="Arial" w:hAnsi="Arial"/>
                <w:sz w:val="17"/>
                <w:szCs w:val="17"/>
                <w:b w:val="1"/>
                <w:bCs w:val="1"/>
                <w:color w:val="auto"/>
              </w:rPr>
              <w:t>Company-operated restaurant</w:t>
            </w:r>
          </w:p>
        </w:tc>
        <w:tc>
          <w:tcPr>
            <w:tcW w:w="500" w:type="dxa"/>
            <w:vAlign w:val="bottom"/>
            <w:gridSpan w:val="2"/>
            <w:vMerge w:val="restart"/>
          </w:tcPr>
          <w:p>
            <w:pPr>
              <w:jc w:val="right"/>
              <w:ind w:right="209"/>
              <w:spacing w:after="0"/>
              <w:rPr>
                <w:sz w:val="20"/>
                <w:szCs w:val="20"/>
                <w:color w:val="auto"/>
              </w:rPr>
            </w:pPr>
            <w:r>
              <w:rPr>
                <w:rFonts w:ascii="Arial" w:cs="Arial" w:eastAsia="Arial" w:hAnsi="Arial"/>
                <w:sz w:val="17"/>
                <w:szCs w:val="17"/>
                <w:color w:val="auto"/>
              </w:rPr>
              <w:t>$</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99,986</w:t>
            </w:r>
          </w:p>
        </w:tc>
        <w:tc>
          <w:tcPr>
            <w:tcW w:w="200" w:type="dxa"/>
            <w:vAlign w:val="bottom"/>
          </w:tcPr>
          <w:p>
            <w:pPr>
              <w:spacing w:after="0"/>
              <w:rPr>
                <w:sz w:val="14"/>
                <w:szCs w:val="14"/>
                <w:color w:val="auto"/>
              </w:rPr>
            </w:pPr>
          </w:p>
        </w:tc>
        <w:tc>
          <w:tcPr>
            <w:tcW w:w="620" w:type="dxa"/>
            <w:vAlign w:val="bottom"/>
            <w:gridSpan w:val="2"/>
            <w:vMerge w:val="restart"/>
          </w:tcPr>
          <w:p>
            <w:pPr>
              <w:jc w:val="right"/>
              <w:ind w:right="403"/>
              <w:spacing w:after="0"/>
              <w:rPr>
                <w:sz w:val="20"/>
                <w:szCs w:val="20"/>
                <w:color w:val="auto"/>
              </w:rPr>
            </w:pPr>
            <w:r>
              <w:rPr>
                <w:rFonts w:ascii="Arial" w:cs="Arial" w:eastAsia="Arial" w:hAnsi="Arial"/>
                <w:sz w:val="17"/>
                <w:szCs w:val="17"/>
                <w:color w:val="auto"/>
              </w:rPr>
              <w:t>$</w:t>
            </w: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97,276</w:t>
            </w:r>
          </w:p>
        </w:tc>
        <w:tc>
          <w:tcPr>
            <w:tcW w:w="200" w:type="dxa"/>
            <w:vAlign w:val="bottom"/>
          </w:tcPr>
          <w:p>
            <w:pPr>
              <w:spacing w:after="0"/>
              <w:rPr>
                <w:sz w:val="14"/>
                <w:szCs w:val="14"/>
                <w:color w:val="auto"/>
              </w:rPr>
            </w:pPr>
          </w:p>
        </w:tc>
        <w:tc>
          <w:tcPr>
            <w:tcW w:w="380" w:type="dxa"/>
            <w:vAlign w:val="bottom"/>
            <w:gridSpan w:val="2"/>
            <w:vMerge w:val="restart"/>
          </w:tcPr>
          <w:p>
            <w:pPr>
              <w:jc w:val="right"/>
              <w:ind w:right="189"/>
              <w:spacing w:after="0"/>
              <w:rPr>
                <w:sz w:val="20"/>
                <w:szCs w:val="20"/>
                <w:color w:val="auto"/>
              </w:rPr>
            </w:pPr>
            <w:r>
              <w:rPr>
                <w:rFonts w:ascii="Arial" w:cs="Arial" w:eastAsia="Arial" w:hAnsi="Arial"/>
                <w:sz w:val="17"/>
                <w:szCs w:val="17"/>
                <w:color w:val="auto"/>
              </w:rPr>
              <w:t>$</w:t>
            </w: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301,117</w:t>
            </w:r>
          </w:p>
        </w:tc>
        <w:tc>
          <w:tcPr>
            <w:tcW w:w="180" w:type="dxa"/>
            <w:vAlign w:val="bottom"/>
          </w:tcPr>
          <w:p>
            <w:pPr>
              <w:spacing w:after="0"/>
              <w:rPr>
                <w:sz w:val="14"/>
                <w:szCs w:val="14"/>
                <w:color w:val="auto"/>
              </w:rPr>
            </w:pPr>
          </w:p>
        </w:tc>
        <w:tc>
          <w:tcPr>
            <w:tcW w:w="400" w:type="dxa"/>
            <w:vAlign w:val="bottom"/>
            <w:gridSpan w:val="2"/>
            <w:vMerge w:val="restart"/>
          </w:tcPr>
          <w:p>
            <w:pPr>
              <w:jc w:val="right"/>
              <w:ind w:right="189"/>
              <w:spacing w:after="0"/>
              <w:rPr>
                <w:sz w:val="20"/>
                <w:szCs w:val="20"/>
                <w:color w:val="auto"/>
              </w:rPr>
            </w:pPr>
            <w:r>
              <w:rPr>
                <w:rFonts w:ascii="Arial" w:cs="Arial" w:eastAsia="Arial" w:hAnsi="Arial"/>
                <w:sz w:val="17"/>
                <w:szCs w:val="17"/>
                <w:color w:val="auto"/>
              </w:rPr>
              <w:t>$</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277,617</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800" w:type="dxa"/>
            <w:vAlign w:val="bottom"/>
            <w:gridSpan w:val="2"/>
          </w:tcPr>
          <w:p>
            <w:pPr>
              <w:spacing w:after="0"/>
              <w:rPr>
                <w:sz w:val="20"/>
                <w:szCs w:val="20"/>
                <w:color w:val="auto"/>
              </w:rPr>
            </w:pPr>
            <w:r>
              <w:rPr>
                <w:rFonts w:ascii="Arial" w:cs="Arial" w:eastAsia="Arial" w:hAnsi="Arial"/>
                <w:sz w:val="17"/>
                <w:szCs w:val="17"/>
                <w:b w:val="1"/>
                <w:bCs w:val="1"/>
                <w:color w:val="auto"/>
              </w:rPr>
              <w:t>revenue</w:t>
            </w:r>
          </w:p>
        </w:tc>
        <w:tc>
          <w:tcPr>
            <w:tcW w:w="500" w:type="dxa"/>
            <w:vAlign w:val="bottom"/>
            <w:gridSpan w:val="2"/>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gridSpan w:val="2"/>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gridSpan w:val="2"/>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7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800" w:type="dxa"/>
            <w:vAlign w:val="bottom"/>
            <w:gridSpan w:val="2"/>
          </w:tcPr>
          <w:p>
            <w:pPr>
              <w:spacing w:after="0"/>
              <w:rPr>
                <w:sz w:val="20"/>
                <w:szCs w:val="20"/>
                <w:color w:val="auto"/>
              </w:rPr>
            </w:pPr>
            <w:r>
              <w:rPr>
                <w:rFonts w:ascii="Arial" w:cs="Arial" w:eastAsia="Arial" w:hAnsi="Arial"/>
                <w:sz w:val="17"/>
                <w:szCs w:val="17"/>
                <w:color w:val="auto"/>
              </w:rPr>
              <w:t>Restaurant contribution margin (%)</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20.4 %</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22.4 %</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19.2 %</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19.9 %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New Restaurant Openings</w:t>
      </w:r>
    </w:p>
    <w:p>
      <w:pPr>
        <w:spacing w:after="0" w:line="214" w:lineRule="exact"/>
        <w:rPr>
          <w:sz w:val="20"/>
          <w:szCs w:val="20"/>
          <w:color w:val="auto"/>
        </w:rPr>
      </w:pPr>
    </w:p>
    <w:p>
      <w:pPr>
        <w:ind w:left="40" w:right="79"/>
        <w:spacing w:after="0" w:line="272" w:lineRule="auto"/>
        <w:rPr>
          <w:sz w:val="20"/>
          <w:szCs w:val="20"/>
          <w:color w:val="auto"/>
        </w:rPr>
      </w:pPr>
      <w:r>
        <w:rPr>
          <w:rFonts w:ascii="Arial" w:cs="Arial" w:eastAsia="Arial" w:hAnsi="Arial"/>
          <w:sz w:val="16"/>
          <w:szCs w:val="16"/>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 than 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EBITDA and Adjusted EBITDA</w:t>
      </w:r>
    </w:p>
    <w:p>
      <w:pPr>
        <w:spacing w:after="0" w:line="214" w:lineRule="exact"/>
        <w:rPr>
          <w:sz w:val="20"/>
          <w:szCs w:val="20"/>
          <w:color w:val="auto"/>
        </w:rPr>
      </w:pPr>
    </w:p>
    <w:p>
      <w:pPr>
        <w:ind w:left="40" w:right="439"/>
        <w:spacing w:after="0" w:line="308" w:lineRule="auto"/>
        <w:rPr>
          <w:sz w:val="20"/>
          <w:szCs w:val="20"/>
          <w:color w:val="auto"/>
        </w:rPr>
      </w:pPr>
      <w:r>
        <w:rPr>
          <w:rFonts w:ascii="Arial" w:cs="Arial" w:eastAsia="Arial" w:hAnsi="Arial"/>
          <w:sz w:val="16"/>
          <w:szCs w:val="16"/>
          <w:color w:val="auto"/>
        </w:rPr>
        <w:t>EBITDA represents net income before interest expense, provision for income taxes, depreciation, and amortization. Adjusted EBITDA represents net income before interest expense, provision for income taxes, depreciation, amortization,</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42" w:name="page43"/>
    <w:bookmarkEnd w:id="42"/>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279"/>
        <w:spacing w:after="0" w:line="276" w:lineRule="auto"/>
        <w:rPr>
          <w:sz w:val="20"/>
          <w:szCs w:val="20"/>
          <w:color w:val="auto"/>
        </w:rPr>
      </w:pPr>
      <w:r>
        <w:rPr>
          <w:rFonts w:ascii="Arial" w:cs="Arial" w:eastAsia="Arial" w:hAnsi="Arial"/>
          <w:sz w:val="17"/>
          <w:szCs w:val="17"/>
          <w:color w:val="auto"/>
        </w:rPr>
        <w:t>and items that we do not consider representative of our on-going operating performance, as identified in the reconciliation table below.</w:t>
      </w:r>
    </w:p>
    <w:p>
      <w:pPr>
        <w:spacing w:after="0" w:line="164" w:lineRule="exact"/>
        <w:rPr>
          <w:sz w:val="20"/>
          <w:szCs w:val="20"/>
          <w:color w:val="auto"/>
        </w:rPr>
      </w:pPr>
    </w:p>
    <w:p>
      <w:pPr>
        <w:ind w:left="40" w:right="79"/>
        <w:spacing w:after="0" w:line="294" w:lineRule="auto"/>
        <w:rPr>
          <w:sz w:val="20"/>
          <w:szCs w:val="20"/>
          <w:color w:val="auto"/>
        </w:rPr>
      </w:pPr>
      <w:r>
        <w:rPr>
          <w:rFonts w:ascii="Arial" w:cs="Arial" w:eastAsia="Arial" w:hAnsi="Arial"/>
          <w:sz w:val="15"/>
          <w:szCs w:val="15"/>
          <w:color w:val="auto"/>
        </w:rPr>
        <w:t>EBITDA and Adjusted EBITDA as presented in this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pacing w:after="0" w:line="158" w:lineRule="exact"/>
        <w:rPr>
          <w:sz w:val="20"/>
          <w:szCs w:val="20"/>
          <w:color w:val="auto"/>
        </w:rPr>
      </w:pPr>
    </w:p>
    <w:p>
      <w:pPr>
        <w:ind w:left="40" w:right="119"/>
        <w:spacing w:after="0" w:line="271" w:lineRule="auto"/>
        <w:rPr>
          <w:sz w:val="20"/>
          <w:szCs w:val="20"/>
          <w:color w:val="auto"/>
        </w:rPr>
      </w:pPr>
      <w:r>
        <w:rPr>
          <w:rFonts w:ascii="Arial" w:cs="Arial" w:eastAsia="Arial" w:hAnsi="Arial"/>
          <w:sz w:val="16"/>
          <w:szCs w:val="16"/>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the significant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174" w:lineRule="exact"/>
        <w:rPr>
          <w:sz w:val="20"/>
          <w:szCs w:val="20"/>
          <w:color w:val="auto"/>
        </w:rPr>
      </w:pPr>
    </w:p>
    <w:p>
      <w:pPr>
        <w:jc w:val="both"/>
        <w:ind w:left="40" w:right="259"/>
        <w:spacing w:after="0" w:line="263" w:lineRule="auto"/>
        <w:rPr>
          <w:sz w:val="20"/>
          <w:szCs w:val="20"/>
          <w:color w:val="auto"/>
        </w:rPr>
      </w:pPr>
      <w:r>
        <w:rPr>
          <w:rFonts w:ascii="Arial" w:cs="Arial" w:eastAsia="Arial" w:hAnsi="Arial"/>
          <w:sz w:val="17"/>
          <w:szCs w:val="17"/>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176" w:lineRule="exact"/>
        <w:rPr>
          <w:sz w:val="20"/>
          <w:szCs w:val="20"/>
          <w:color w:val="auto"/>
        </w:rPr>
      </w:pPr>
    </w:p>
    <w:p>
      <w:pPr>
        <w:ind w:left="40" w:right="139"/>
        <w:spacing w:after="0" w:line="272" w:lineRule="auto"/>
        <w:rPr>
          <w:sz w:val="20"/>
          <w:szCs w:val="20"/>
          <w:color w:val="auto"/>
        </w:rPr>
      </w:pPr>
      <w:r>
        <w:rPr>
          <w:rFonts w:ascii="Arial" w:cs="Arial" w:eastAsia="Arial" w:hAnsi="Arial"/>
          <w:sz w:val="16"/>
          <w:szCs w:val="16"/>
          <w:color w:val="auto"/>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NOL)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we believe that investors will find these measures useful in assessing our ability to service or incur indebtedness, and (iii) we use EBITDA and Adjusted EBITDA internally for a number of benchmarks including to compare our performance to that of our competitors.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43" w:name="page44"/>
    <w:bookmarkEnd w:id="43"/>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following table sets forth reconciliations of our net income to our EBITDA and Adjusted EBITDA:</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3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440" w:type="dxa"/>
            <w:vAlign w:val="bottom"/>
            <w:gridSpan w:val="3"/>
            <w:vMerge w:val="continue"/>
          </w:tcPr>
          <w:p>
            <w:pPr>
              <w:spacing w:after="0"/>
              <w:rPr>
                <w:sz w:val="11"/>
                <w:szCs w:val="11"/>
                <w:color w:val="auto"/>
              </w:rPr>
            </w:pPr>
          </w:p>
        </w:tc>
        <w:tc>
          <w:tcPr>
            <w:tcW w:w="1360" w:type="dxa"/>
            <w:vAlign w:val="bottom"/>
            <w:gridSpan w:val="3"/>
          </w:tcPr>
          <w:p>
            <w:pPr>
              <w:jc w:val="right"/>
              <w:ind w:right="180"/>
              <w:spacing w:after="0" w:line="134" w:lineRule="exact"/>
              <w:rPr>
                <w:sz w:val="20"/>
                <w:szCs w:val="20"/>
                <w:color w:val="auto"/>
              </w:rPr>
            </w:pPr>
            <w:r>
              <w:rPr>
                <w:rFonts w:ascii="Arial" w:cs="Arial" w:eastAsia="Arial" w:hAnsi="Arial"/>
                <w:sz w:val="14"/>
                <w:szCs w:val="14"/>
                <w:b w:val="1"/>
                <w:bCs w:val="1"/>
                <w:color w:val="auto"/>
                <w:w w:val="88"/>
              </w:rPr>
              <w:t>September 29, 2021</w:t>
            </w:r>
          </w:p>
        </w:tc>
        <w:tc>
          <w:tcPr>
            <w:tcW w:w="1240" w:type="dxa"/>
            <w:vAlign w:val="bottom"/>
            <w:gridSpan w:val="2"/>
          </w:tcPr>
          <w:p>
            <w:pPr>
              <w:jc w:val="right"/>
              <w:spacing w:after="0" w:line="134" w:lineRule="exact"/>
              <w:rPr>
                <w:sz w:val="20"/>
                <w:szCs w:val="20"/>
                <w:color w:val="auto"/>
              </w:rPr>
            </w:pPr>
            <w:r>
              <w:rPr>
                <w:rFonts w:ascii="Arial" w:cs="Arial" w:eastAsia="Arial" w:hAnsi="Arial"/>
                <w:sz w:val="14"/>
                <w:szCs w:val="14"/>
                <w:b w:val="1"/>
                <w:bCs w:val="1"/>
                <w:color w:val="auto"/>
                <w:w w:val="88"/>
              </w:rPr>
              <w:t>September 23, 2020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3"/>
          </w:tcPr>
          <w:p>
            <w:pPr>
              <w:ind w:left="40"/>
              <w:spacing w:after="0" w:line="134" w:lineRule="exact"/>
              <w:rPr>
                <w:sz w:val="20"/>
                <w:szCs w:val="20"/>
                <w:color w:val="auto"/>
              </w:rPr>
            </w:pPr>
            <w:r>
              <w:rPr>
                <w:rFonts w:ascii="Arial" w:cs="Arial" w:eastAsia="Arial" w:hAnsi="Arial"/>
                <w:sz w:val="14"/>
                <w:szCs w:val="14"/>
                <w:b w:val="1"/>
                <w:bCs w:val="1"/>
                <w:color w:val="auto"/>
                <w:w w:val="99"/>
              </w:rPr>
              <w:t>September 29, 2021</w:t>
            </w:r>
          </w:p>
        </w:tc>
        <w:tc>
          <w:tcPr>
            <w:tcW w:w="20" w:type="dxa"/>
            <w:vAlign w:val="bottom"/>
          </w:tcPr>
          <w:p>
            <w:pPr>
              <w:spacing w:after="0"/>
              <w:rPr>
                <w:sz w:val="11"/>
                <w:szCs w:val="11"/>
                <w:color w:val="auto"/>
              </w:rPr>
            </w:pPr>
          </w:p>
        </w:tc>
        <w:tc>
          <w:tcPr>
            <w:tcW w:w="1200" w:type="dxa"/>
            <w:vAlign w:val="bottom"/>
            <w:gridSpan w:val="2"/>
          </w:tcPr>
          <w:p>
            <w:pPr>
              <w:jc w:val="right"/>
              <w:spacing w:after="0" w:line="134" w:lineRule="exact"/>
              <w:rPr>
                <w:sz w:val="20"/>
                <w:szCs w:val="20"/>
                <w:color w:val="auto"/>
              </w:rPr>
            </w:pPr>
            <w:r>
              <w:rPr>
                <w:rFonts w:ascii="Arial" w:cs="Arial" w:eastAsia="Arial" w:hAnsi="Arial"/>
                <w:sz w:val="14"/>
                <w:szCs w:val="14"/>
                <w:b w:val="1"/>
                <w:bCs w:val="1"/>
                <w:color w:val="auto"/>
                <w:w w:val="87"/>
              </w:rPr>
              <w:t>September 23, 2020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3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10,161</w:t>
            </w: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507"/>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9,920</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22,943</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567"/>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8"/>
              </w:rPr>
              <w:t>19,019</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40" w:type="dxa"/>
            <w:vAlign w:val="bottom"/>
            <w:gridSpan w:val="3"/>
          </w:tcPr>
          <w:p>
            <w:pPr>
              <w:spacing w:after="0"/>
              <w:rPr>
                <w:sz w:val="20"/>
                <w:szCs w:val="20"/>
                <w:color w:val="auto"/>
              </w:rPr>
            </w:pPr>
            <w:r>
              <w:rPr>
                <w:rFonts w:ascii="Arial" w:cs="Arial" w:eastAsia="Arial" w:hAnsi="Arial"/>
                <w:sz w:val="17"/>
                <w:szCs w:val="17"/>
                <w:color w:val="auto"/>
              </w:rPr>
              <w:t>Non-GAAP adjustments:</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3,654</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40" w:type="dxa"/>
            <w:vAlign w:val="bottom"/>
            <w:gridSpan w:val="3"/>
          </w:tcPr>
          <w:p>
            <w:pPr>
              <w:spacing w:after="0"/>
              <w:rPr>
                <w:sz w:val="20"/>
                <w:szCs w:val="20"/>
                <w:color w:val="auto"/>
              </w:rPr>
            </w:pPr>
            <w:r>
              <w:rPr>
                <w:rFonts w:ascii="Arial" w:cs="Arial" w:eastAsia="Arial" w:hAnsi="Arial"/>
                <w:sz w:val="17"/>
                <w:szCs w:val="17"/>
                <w:color w:val="auto"/>
              </w:rPr>
              <w:t>Interest expense, net of interest income</w:t>
            </w: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449</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770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1,399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2,583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3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3,685</w:t>
            </w:r>
          </w:p>
        </w:tc>
        <w:tc>
          <w:tcPr>
            <w:tcW w:w="14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11,540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12,629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4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b w:val="1"/>
                <w:bCs w:val="1"/>
                <w:color w:val="auto"/>
              </w:rPr>
              <w:t>EBITDA</w:t>
            </w: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17,949</w:t>
            </w: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ind w:right="507"/>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6"/>
              </w:rPr>
              <w:t>16,429</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44,526</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ind w:right="567"/>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8"/>
              </w:rPr>
              <w:t>37,931</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Stock-based compensation expense (a)</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909</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40" w:type="dxa"/>
            <w:vAlign w:val="bottom"/>
            <w:gridSpan w:val="3"/>
          </w:tcPr>
          <w:p>
            <w:pPr>
              <w:spacing w:after="0"/>
              <w:rPr>
                <w:sz w:val="20"/>
                <w:szCs w:val="20"/>
                <w:color w:val="auto"/>
              </w:rPr>
            </w:pPr>
            <w:r>
              <w:rPr>
                <w:rFonts w:ascii="Arial" w:cs="Arial" w:eastAsia="Arial" w:hAnsi="Arial"/>
                <w:sz w:val="17"/>
                <w:szCs w:val="17"/>
                <w:color w:val="auto"/>
              </w:rPr>
              <w:t>Loss on disposal of assets (b)</w:t>
            </w: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83</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156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Loss on disposition of restaurants (c)</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3440" w:type="dxa"/>
            <w:vAlign w:val="bottom"/>
            <w:gridSpan w:val="3"/>
          </w:tcPr>
          <w:p>
            <w:pPr>
              <w:spacing w:after="0" w:line="193" w:lineRule="exact"/>
              <w:rPr>
                <w:sz w:val="20"/>
                <w:szCs w:val="20"/>
                <w:color w:val="auto"/>
              </w:rPr>
            </w:pPr>
            <w:r>
              <w:rPr>
                <w:rFonts w:ascii="Arial" w:cs="Arial" w:eastAsia="Arial" w:hAnsi="Arial"/>
                <w:sz w:val="17"/>
                <w:szCs w:val="17"/>
                <w:color w:val="auto"/>
              </w:rPr>
              <w:t>Recovery of securities lawsuits related legal</w:t>
            </w: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440" w:type="dxa"/>
            <w:vAlign w:val="bottom"/>
            <w:gridSpan w:val="3"/>
          </w:tcPr>
          <w:p>
            <w:pPr>
              <w:spacing w:after="0"/>
              <w:rPr>
                <w:sz w:val="20"/>
                <w:szCs w:val="20"/>
                <w:color w:val="auto"/>
              </w:rPr>
            </w:pPr>
            <w:r>
              <w:rPr>
                <w:rFonts w:ascii="Arial" w:cs="Arial" w:eastAsia="Arial" w:hAnsi="Arial"/>
                <w:sz w:val="17"/>
                <w:szCs w:val="17"/>
                <w:color w:val="auto"/>
              </w:rPr>
              <w:t>expense and other insurance claims (d)</w:t>
            </w:r>
          </w:p>
        </w:tc>
        <w:tc>
          <w:tcPr>
            <w:tcW w:w="3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05"/>
        </w:trPr>
        <w:tc>
          <w:tcPr>
            <w:tcW w:w="3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Impairment and closed-store reserves (e)</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440" w:type="dxa"/>
            <w:vAlign w:val="bottom"/>
            <w:gridSpan w:val="3"/>
          </w:tcPr>
          <w:p>
            <w:pPr>
              <w:spacing w:after="0" w:line="193" w:lineRule="exact"/>
              <w:rPr>
                <w:sz w:val="20"/>
                <w:szCs w:val="20"/>
                <w:color w:val="auto"/>
              </w:rPr>
            </w:pPr>
            <w:r>
              <w:rPr>
                <w:rFonts w:ascii="Arial" w:cs="Arial" w:eastAsia="Arial" w:hAnsi="Arial"/>
                <w:sz w:val="17"/>
                <w:szCs w:val="17"/>
                <w:color w:val="auto"/>
              </w:rPr>
              <w:t>Income tax receivable agreement (income)</w:t>
            </w: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440" w:type="dxa"/>
            <w:vAlign w:val="bottom"/>
            <w:gridSpan w:val="3"/>
          </w:tcPr>
          <w:p>
            <w:pPr>
              <w:spacing w:after="0"/>
              <w:rPr>
                <w:sz w:val="20"/>
                <w:szCs w:val="20"/>
                <w:color w:val="auto"/>
              </w:rPr>
            </w:pPr>
            <w:r>
              <w:rPr>
                <w:rFonts w:ascii="Arial" w:cs="Arial" w:eastAsia="Arial" w:hAnsi="Arial"/>
                <w:sz w:val="17"/>
                <w:szCs w:val="17"/>
                <w:color w:val="auto"/>
              </w:rPr>
              <w:t>expense (f)</w:t>
            </w:r>
          </w:p>
        </w:tc>
        <w:tc>
          <w:tcPr>
            <w:tcW w:w="3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(19)</w:t>
            </w:r>
          </w:p>
        </w:tc>
        <w:tc>
          <w:tcPr>
            <w:tcW w:w="6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(144)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(69)</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Securities class action legal expense (g)</w:t>
            </w:r>
          </w:p>
        </w:tc>
        <w:tc>
          <w:tcPr>
            <w:tcW w:w="3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(415)</w:t>
            </w: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40" w:type="dxa"/>
            <w:vAlign w:val="bottom"/>
            <w:gridSpan w:val="3"/>
          </w:tcPr>
          <w:p>
            <w:pPr>
              <w:spacing w:after="0"/>
              <w:rPr>
                <w:sz w:val="20"/>
                <w:szCs w:val="20"/>
                <w:color w:val="auto"/>
              </w:rPr>
            </w:pPr>
            <w:r>
              <w:rPr>
                <w:rFonts w:ascii="Arial" w:cs="Arial" w:eastAsia="Arial" w:hAnsi="Arial"/>
                <w:sz w:val="17"/>
                <w:szCs w:val="17"/>
                <w:color w:val="auto"/>
              </w:rPr>
              <w:t>Legal settlements (h)</w:t>
            </w:r>
          </w:p>
        </w:tc>
        <w:tc>
          <w:tcPr>
            <w:tcW w:w="36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2,566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Pre-opening costs (i)</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40" w:type="dxa"/>
            <w:vAlign w:val="bottom"/>
            <w:gridSpan w:val="3"/>
          </w:tcPr>
          <w:p>
            <w:pPr>
              <w:spacing w:after="0"/>
              <w:rPr>
                <w:sz w:val="20"/>
                <w:szCs w:val="20"/>
                <w:color w:val="auto"/>
              </w:rPr>
            </w:pPr>
            <w:r>
              <w:rPr>
                <w:rFonts w:ascii="Arial" w:cs="Arial" w:eastAsia="Arial" w:hAnsi="Arial"/>
                <w:sz w:val="17"/>
                <w:szCs w:val="17"/>
                <w:b w:val="1"/>
                <w:bCs w:val="1"/>
                <w:color w:val="auto"/>
              </w:rPr>
              <w:t>Adjusted EBITDA</w:t>
            </w: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18,853</w:t>
            </w:r>
          </w:p>
        </w:tc>
        <w:tc>
          <w:tcPr>
            <w:tcW w:w="14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ind w:right="507"/>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6"/>
              </w:rPr>
              <w:t>19,288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50,688</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567"/>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8"/>
              </w:rPr>
              <w:t>47,978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240" w:type="dxa"/>
            <w:vAlign w:val="bottom"/>
            <w:tcBorders>
              <w:bottom w:val="single" w:sz="8" w:color="auto"/>
            </w:tcBorders>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360" w:hanging="314"/>
        <w:spacing w:after="0"/>
        <w:tabs>
          <w:tab w:leader="none" w:pos="3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non-cash, stock-based compensation.</w:t>
      </w:r>
    </w:p>
    <w:p>
      <w:pPr>
        <w:spacing w:after="0" w:line="20" w:lineRule="exact"/>
        <w:rPr>
          <w:rFonts w:ascii="Arial" w:cs="Arial" w:eastAsia="Arial" w:hAnsi="Arial"/>
          <w:sz w:val="17"/>
          <w:szCs w:val="17"/>
          <w:color w:val="auto"/>
        </w:rPr>
      </w:pPr>
    </w:p>
    <w:p>
      <w:pPr>
        <w:ind w:left="360" w:right="619" w:hanging="314"/>
        <w:spacing w:after="0" w:line="251" w:lineRule="auto"/>
        <w:tabs>
          <w:tab w:leader="none" w:pos="3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Loss on disposal of assets includes the loss on disposal of assets related to retirements and replacement or write-off of leasehold improvements or equipment.</w:t>
      </w:r>
    </w:p>
    <w:p>
      <w:pPr>
        <w:ind w:left="360" w:right="299" w:hanging="314"/>
        <w:spacing w:after="0" w:line="266" w:lineRule="auto"/>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During the thirteen and thirty-nine weeks ended September 29, 2021, we completed the sale of our eight restaurants within Sacramento area to an existing franchisee. This sale resulted in cash proceeds of $4.6 million during the thirty-nine weeks ended September 29, 2021 and a net loss on sale of restaurants of less than $0.1 million and $1.5 million for the thirteen and thirty-nine weeks ended September 29, 2021, respectively.</w:t>
      </w:r>
    </w:p>
    <w:p>
      <w:pPr>
        <w:spacing w:after="0" w:line="2" w:lineRule="exact"/>
        <w:rPr>
          <w:rFonts w:ascii="Arial" w:cs="Arial" w:eastAsia="Arial" w:hAnsi="Arial"/>
          <w:sz w:val="16"/>
          <w:szCs w:val="16"/>
          <w:color w:val="auto"/>
        </w:rPr>
      </w:pPr>
    </w:p>
    <w:p>
      <w:pPr>
        <w:ind w:left="360" w:right="119" w:hanging="314"/>
        <w:spacing w:after="0" w:line="251" w:lineRule="auto"/>
        <w:tabs>
          <w:tab w:leader="none" w:pos="3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During the thirty-nine weeks ended September 23, 2020, we received insurance proceeds of $0.1 million related to a property claim.</w:t>
      </w:r>
    </w:p>
    <w:p>
      <w:pPr>
        <w:ind w:left="360" w:right="99" w:hanging="314"/>
        <w:spacing w:after="0" w:line="266" w:lineRule="auto"/>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costs related to impairment of long-lived and ROU assets and closing restaurants. During the thirteen and thirty-nine weeks ended September 29, 2021, we recorded non-cash impairment charges of $0.1 million and $0.7 million, respectively, primarily related to the carrying value of the ROU assets of one restaurant in Texas closed in 2019, the ROU assets of one restaurant in California, and the long-lived assets of three restaurants in California.</w:t>
      </w:r>
    </w:p>
    <w:p>
      <w:pPr>
        <w:spacing w:after="0" w:line="2" w:lineRule="exact"/>
        <w:rPr>
          <w:rFonts w:ascii="Arial" w:cs="Arial" w:eastAsia="Arial" w:hAnsi="Arial"/>
          <w:sz w:val="16"/>
          <w:szCs w:val="16"/>
          <w:color w:val="auto"/>
        </w:rPr>
      </w:pPr>
    </w:p>
    <w:p>
      <w:pPr>
        <w:ind w:left="360" w:right="59"/>
        <w:spacing w:after="0" w:line="251" w:lineRule="auto"/>
        <w:rPr>
          <w:rFonts w:ascii="Arial" w:cs="Arial" w:eastAsia="Arial" w:hAnsi="Arial"/>
          <w:sz w:val="16"/>
          <w:szCs w:val="16"/>
          <w:color w:val="auto"/>
        </w:rPr>
      </w:pPr>
      <w:r>
        <w:rPr>
          <w:rFonts w:ascii="Arial" w:cs="Arial" w:eastAsia="Arial" w:hAnsi="Arial"/>
          <w:sz w:val="17"/>
          <w:szCs w:val="17"/>
          <w:color w:val="auto"/>
        </w:rPr>
        <w:t>During the thirteen and thirty-nine weeks ended September 23, 2020, we recorded non-cash impairment charges of $1.5 million and $3.5 million, respectively, primarily related to the carrying value of the ROU assets of one restaurant in Texas and the long-lived assets of four restaurants in California.</w:t>
      </w:r>
    </w:p>
    <w:p>
      <w:pPr>
        <w:ind w:left="360" w:right="59"/>
        <w:spacing w:after="0" w:line="251" w:lineRule="auto"/>
        <w:rPr>
          <w:rFonts w:ascii="Arial" w:cs="Arial" w:eastAsia="Arial" w:hAnsi="Arial"/>
          <w:sz w:val="16"/>
          <w:szCs w:val="16"/>
          <w:color w:val="auto"/>
        </w:rPr>
      </w:pPr>
      <w:r>
        <w:rPr>
          <w:rFonts w:ascii="Arial" w:cs="Arial" w:eastAsia="Arial" w:hAnsi="Arial"/>
          <w:sz w:val="17"/>
          <w:szCs w:val="17"/>
          <w:color w:val="auto"/>
        </w:rPr>
        <w:t>During the thirteen and thirty-nine weeks ended September 29, 2021, we recognized $0.1 million and $0.4 million, respectively, of closed-store reserve expense related to the amortization of ROU assets, property taxes and CAM payments for our closed locations. During the thirteen and thirty-nine weeks ended September 23, 2020, we recognized $0.3 million and $1.1 million, respectively, of closed-store reserve expense, primarily related to the amortization of ROU assets, property taxes and CAM payments for our closed locations.</w:t>
      </w:r>
    </w:p>
    <w:p>
      <w:pPr>
        <w:spacing w:after="0" w:line="1" w:lineRule="exact"/>
        <w:rPr>
          <w:rFonts w:ascii="Arial" w:cs="Arial" w:eastAsia="Arial" w:hAnsi="Arial"/>
          <w:sz w:val="16"/>
          <w:szCs w:val="16"/>
          <w:color w:val="auto"/>
        </w:rPr>
      </w:pPr>
    </w:p>
    <w:p>
      <w:pPr>
        <w:ind w:left="360" w:right="179" w:hanging="314"/>
        <w:spacing w:after="0" w:line="266" w:lineRule="auto"/>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July 30, 2014, we entered into the TRA. This agreement calls for us to pay to our pre-IPO stockholders 85% of the savings in cash that we realize in our taxes as a result of utilizing our NOL and other tax attributes attributable to preceding periods. For the thirteen and thirty-nine weeks ended September 29, 2021 and September 23, 2020, income tax receivable agreement (income) expense consisted of the amortization of interest expense and changes in estimates for actual tax returns filed, related to our total expected TRA payments.</w:t>
      </w:r>
    </w:p>
    <w:p>
      <w:pPr>
        <w:spacing w:after="0" w:line="3" w:lineRule="exact"/>
        <w:rPr>
          <w:rFonts w:ascii="Arial" w:cs="Arial" w:eastAsia="Arial" w:hAnsi="Arial"/>
          <w:sz w:val="16"/>
          <w:szCs w:val="16"/>
          <w:color w:val="auto"/>
        </w:rPr>
      </w:pPr>
    </w:p>
    <w:p>
      <w:pPr>
        <w:jc w:val="both"/>
        <w:ind w:left="360" w:right="179" w:hanging="314"/>
        <w:spacing w:after="0" w:line="284" w:lineRule="auto"/>
        <w:tabs>
          <w:tab w:leader="none" w:pos="3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Consists of costs related to the defense of securities lawsuits. During the thirteen and thirty-nine weeks ended September 29, 2021, we received $0.5 million in insurance proceeds, net of legal expenses, related to the derivative complaint. See Note 7, “Commitments and Contingencies, Legal Matters” in the Notes to Condensed Consolidated Financial Statements above.</w:t>
      </w:r>
    </w:p>
    <w:p>
      <w:pPr>
        <w:spacing w:after="0" w:line="1" w:lineRule="exact"/>
        <w:rPr>
          <w:rFonts w:ascii="Arial" w:cs="Arial" w:eastAsia="Arial" w:hAnsi="Arial"/>
          <w:sz w:val="15"/>
          <w:szCs w:val="15"/>
          <w:color w:val="auto"/>
        </w:rPr>
      </w:pPr>
    </w:p>
    <w:p>
      <w:pPr>
        <w:ind w:left="360" w:right="419" w:hanging="314"/>
        <w:spacing w:after="0" w:line="251" w:lineRule="auto"/>
        <w:tabs>
          <w:tab w:leader="none" w:pos="3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amounts incurred related to the payment of the final settlement amounts for multiple wage and hour class action suits.</w:t>
      </w:r>
    </w:p>
    <w:p>
      <w:pPr>
        <w:ind w:left="360" w:right="259" w:hanging="314"/>
        <w:spacing w:after="0" w:line="293" w:lineRule="auto"/>
        <w:tabs>
          <w:tab w:leader="none" w:pos="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Pre-opening costs are a component of general and administrative expenses, and consist of costs directly associated with the opening of new restaurants and incurred prior to opening, including management labor costs, staff labor</w:t>
      </w:r>
    </w:p>
    <w:p>
      <w:pPr>
        <w:sectPr>
          <w:pgSz w:w="11900" w:h="16838" w:orient="portrait"/>
          <w:cols w:equalWidth="0" w:num="1">
            <w:col w:w="9019"/>
          </w:cols>
          <w:pgMar w:left="1440" w:top="498" w:right="1440" w:bottom="1440"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360680</wp:posOffset>
            </wp:positionV>
            <wp:extent cx="5661025" cy="241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type w:val="continuous"/>
        </w:sectPr>
      </w:pPr>
    </w:p>
    <w:bookmarkStart w:id="44" w:name="page45"/>
    <w:bookmarkEnd w:id="44"/>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60" w:right="179"/>
        <w:spacing w:after="0" w:line="263" w:lineRule="auto"/>
        <w:rPr>
          <w:sz w:val="20"/>
          <w:szCs w:val="20"/>
          <w:color w:val="auto"/>
        </w:rPr>
      </w:pPr>
      <w:r>
        <w:rPr>
          <w:rFonts w:ascii="Arial" w:cs="Arial" w:eastAsia="Arial" w:hAnsi="Arial"/>
          <w:sz w:val="17"/>
          <w:szCs w:val="17"/>
          <w:color w:val="auto"/>
        </w:rPr>
        <w:t>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spacing w:after="0" w:line="37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Liquidity and Capital Resources</w:t>
      </w:r>
    </w:p>
    <w:p>
      <w:pPr>
        <w:spacing w:after="0" w:line="218" w:lineRule="exact"/>
        <w:rPr>
          <w:sz w:val="20"/>
          <w:szCs w:val="20"/>
          <w:color w:val="auto"/>
        </w:rPr>
      </w:pPr>
    </w:p>
    <w:p>
      <w:pPr>
        <w:ind w:left="40" w:right="79"/>
        <w:spacing w:after="0" w:line="290" w:lineRule="auto"/>
        <w:rPr>
          <w:sz w:val="20"/>
          <w:szCs w:val="20"/>
          <w:color w:val="auto"/>
        </w:rPr>
      </w:pPr>
      <w:r>
        <w:rPr>
          <w:rFonts w:ascii="Arial" w:cs="Arial" w:eastAsia="Arial" w:hAnsi="Arial"/>
          <w:sz w:val="15"/>
          <w:szCs w:val="15"/>
          <w:color w:val="auto"/>
        </w:rPr>
        <w:t xml:space="preserve">Our primary sources of liquidity and capital resources have been cash provided from operations, cash and cash equivalents, and the 2018 Revolver. Our primary requirements for liquidity and capital are new restaurants, existing restaurant capital investments (remodels and maintenance), legal defense costs, lease obligations, interest payments on our debt,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Our restaurants do not require significant inventories or receivables. We believe that these sources of liquidity and capital are sufficient to finance our continued operations for at least the next 12 months from the issuance of the consolidated financial statements. However, </w:t>
      </w:r>
      <w:r>
        <w:rPr>
          <w:rFonts w:ascii="Arial" w:cs="Arial" w:eastAsia="Arial" w:hAnsi="Arial"/>
          <w:sz w:val="15"/>
          <w:szCs w:val="15"/>
          <w:color w:val="212529"/>
        </w:rPr>
        <w:t>depending on the severity and longevity of the COVID-19 pandemic, the efforts taken to reduce its</w:t>
      </w:r>
      <w:r>
        <w:rPr>
          <w:rFonts w:ascii="Arial" w:cs="Arial" w:eastAsia="Arial" w:hAnsi="Arial"/>
          <w:sz w:val="15"/>
          <w:szCs w:val="15"/>
          <w:color w:val="auto"/>
        </w:rPr>
        <w:t xml:space="preserve"> </w:t>
      </w:r>
      <w:r>
        <w:rPr>
          <w:rFonts w:ascii="Arial" w:cs="Arial" w:eastAsia="Arial" w:hAnsi="Arial"/>
          <w:sz w:val="15"/>
          <w:szCs w:val="15"/>
          <w:color w:val="212529"/>
        </w:rPr>
        <w:t xml:space="preserve">spread and the possibility of a subsequent resurgence of the COVID-19 outbreak, our </w:t>
      </w:r>
      <w:r>
        <w:rPr>
          <w:rFonts w:ascii="Arial" w:cs="Arial" w:eastAsia="Arial" w:hAnsi="Arial"/>
          <w:sz w:val="15"/>
          <w:szCs w:val="15"/>
          <w:color w:val="000000"/>
        </w:rPr>
        <w:t>financial performance and liquidity could be</w:t>
      </w:r>
      <w:r>
        <w:rPr>
          <w:rFonts w:ascii="Arial" w:cs="Arial" w:eastAsia="Arial" w:hAnsi="Arial"/>
          <w:sz w:val="15"/>
          <w:szCs w:val="15"/>
          <w:color w:val="212529"/>
        </w:rPr>
        <w:t xml:space="preserve"> </w:t>
      </w:r>
      <w:r>
        <w:rPr>
          <w:rFonts w:ascii="Arial" w:cs="Arial" w:eastAsia="Arial" w:hAnsi="Arial"/>
          <w:sz w:val="15"/>
          <w:szCs w:val="15"/>
          <w:color w:val="000000"/>
        </w:rPr>
        <w:t>further impacted and could impact our ability to meet certain financial covenants required in our 2018 Credit Agreement, specifically the lease-adjusted coverage ratio and fixed-charge coverage ratio.</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following table presents summary cash flow information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Thirty-Nine Weeks Ended</w:t>
            </w: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06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20" w:type="dxa"/>
            <w:vAlign w:val="bottom"/>
            <w:tcBorders>
              <w:bottom w:val="single" w:sz="8" w:color="auto"/>
            </w:tcBorders>
            <w:gridSpan w:val="2"/>
          </w:tcPr>
          <w:p>
            <w:pPr>
              <w:jc w:val="right"/>
              <w:spacing w:after="0" w:line="134" w:lineRule="exact"/>
              <w:rPr>
                <w:sz w:val="20"/>
                <w:szCs w:val="20"/>
                <w:color w:val="auto"/>
              </w:rPr>
            </w:pPr>
            <w:r>
              <w:rPr>
                <w:rFonts w:ascii="Arial" w:cs="Arial" w:eastAsia="Arial" w:hAnsi="Arial"/>
                <w:sz w:val="14"/>
                <w:szCs w:val="14"/>
                <w:b w:val="1"/>
                <w:bCs w:val="1"/>
                <w:color w:val="auto"/>
                <w:w w:val="88"/>
              </w:rPr>
              <w:t>September 29, 2021</w:t>
            </w:r>
          </w:p>
        </w:tc>
        <w:tc>
          <w:tcPr>
            <w:tcW w:w="140" w:type="dxa"/>
            <w:vAlign w:val="bottom"/>
            <w:tcBorders>
              <w:bottom w:val="single" w:sz="8" w:color="CCEEFF"/>
            </w:tcBorders>
          </w:tcPr>
          <w:p>
            <w:pPr>
              <w:spacing w:after="0"/>
              <w:rPr>
                <w:sz w:val="11"/>
                <w:szCs w:val="11"/>
                <w:color w:val="auto"/>
              </w:rPr>
            </w:pPr>
          </w:p>
        </w:tc>
        <w:tc>
          <w:tcPr>
            <w:tcW w:w="1220" w:type="dxa"/>
            <w:vAlign w:val="bottom"/>
            <w:tcBorders>
              <w:bottom w:val="single" w:sz="8" w:color="auto"/>
            </w:tcBorders>
            <w:gridSpan w:val="2"/>
          </w:tcPr>
          <w:p>
            <w:pPr>
              <w:jc w:val="right"/>
              <w:spacing w:after="0" w:line="134" w:lineRule="exact"/>
              <w:rPr>
                <w:sz w:val="20"/>
                <w:szCs w:val="20"/>
                <w:color w:val="auto"/>
              </w:rPr>
            </w:pPr>
            <w:r>
              <w:rPr>
                <w:rFonts w:ascii="Arial" w:cs="Arial" w:eastAsia="Arial" w:hAnsi="Arial"/>
                <w:sz w:val="14"/>
                <w:szCs w:val="14"/>
                <w:b w:val="1"/>
                <w:bCs w:val="1"/>
                <w:color w:val="auto"/>
                <w:w w:val="88"/>
              </w:rPr>
              <w:t>September 23, 2020</w:t>
            </w: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(used in)</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60" w:type="dxa"/>
            <w:vAlign w:val="bottom"/>
          </w:tcPr>
          <w:p>
            <w:pPr>
              <w:ind w:left="100"/>
              <w:spacing w:after="0"/>
              <w:rPr>
                <w:sz w:val="20"/>
                <w:szCs w:val="20"/>
                <w:color w:val="auto"/>
              </w:rPr>
            </w:pPr>
            <w:r>
              <w:rPr>
                <w:rFonts w:ascii="Arial" w:cs="Arial" w:eastAsia="Arial" w:hAnsi="Arial"/>
                <w:sz w:val="17"/>
                <w:szCs w:val="17"/>
                <w:color w:val="auto"/>
              </w:rPr>
              <w:t>Operating activities</w:t>
            </w:r>
          </w:p>
        </w:tc>
        <w:tc>
          <w:tcPr>
            <w:tcW w:w="440" w:type="dxa"/>
            <w:vAlign w:val="bottom"/>
            <w:gridSpan w:val="2"/>
          </w:tcPr>
          <w:p>
            <w:pPr>
              <w:jc w:val="right"/>
              <w:ind w:right="149"/>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42,332</w:t>
            </w:r>
          </w:p>
        </w:tc>
        <w:tc>
          <w:tcPr>
            <w:tcW w:w="840" w:type="dxa"/>
            <w:vAlign w:val="bottom"/>
            <w:gridSpan w:val="2"/>
          </w:tcPr>
          <w:p>
            <w:pPr>
              <w:jc w:val="right"/>
              <w:ind w:right="549"/>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84"/>
              </w:rPr>
              <w:t>33,519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Investing activities</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(8,143)</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(4,349)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6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Financing activities</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(22,739)</w:t>
            </w:r>
          </w:p>
        </w:tc>
        <w:tc>
          <w:tcPr>
            <w:tcW w:w="14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(7,711)</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increase in cash</w:t>
            </w:r>
          </w:p>
        </w:tc>
        <w:tc>
          <w:tcPr>
            <w:tcW w:w="1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11,450</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49"/>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21,459</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214" w:lineRule="exact"/>
        <w:rPr>
          <w:sz w:val="20"/>
          <w:szCs w:val="20"/>
          <w:color w:val="auto"/>
        </w:rPr>
      </w:pPr>
    </w:p>
    <w:p>
      <w:pPr>
        <w:jc w:val="both"/>
        <w:ind w:left="40" w:right="319"/>
        <w:spacing w:after="0" w:line="263" w:lineRule="auto"/>
        <w:rPr>
          <w:sz w:val="20"/>
          <w:szCs w:val="20"/>
          <w:color w:val="auto"/>
        </w:rPr>
      </w:pPr>
      <w:r>
        <w:rPr>
          <w:rFonts w:ascii="Arial" w:cs="Arial" w:eastAsia="Arial" w:hAnsi="Arial"/>
          <w:sz w:val="17"/>
          <w:szCs w:val="17"/>
          <w:color w:val="auto"/>
        </w:rPr>
        <w:t>For the thirty-nine weeks ended September 29, 2021, net cash from operating activities changed by approximately $8.8 million from the comparable period of the prior year. This change was due primarily to an increase in profitability after non-cash items and favorable working capital fluctuations.</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214" w:lineRule="exact"/>
        <w:rPr>
          <w:sz w:val="20"/>
          <w:szCs w:val="20"/>
          <w:color w:val="auto"/>
        </w:rPr>
      </w:pPr>
    </w:p>
    <w:p>
      <w:pPr>
        <w:ind w:left="40" w:right="239"/>
        <w:spacing w:after="0" w:line="280" w:lineRule="auto"/>
        <w:rPr>
          <w:sz w:val="20"/>
          <w:szCs w:val="20"/>
          <w:color w:val="auto"/>
        </w:rPr>
      </w:pPr>
      <w:r>
        <w:rPr>
          <w:rFonts w:ascii="Arial" w:cs="Arial" w:eastAsia="Arial" w:hAnsi="Arial"/>
          <w:sz w:val="16"/>
          <w:szCs w:val="16"/>
          <w:color w:val="auto"/>
        </w:rPr>
        <w:t>For the thirty-nine weeks ended September 29, 2021, net cash used in investing activities increased by $3.8 million from the comparable period of the prior year. This increase was due primarily to opening two new company-operated restaurants and remodeling ten restaurants in the thirty-nine weeks ended September 29, 2021 compared to opening one new company-operated restaurant and completing no new remodels in the thirty-nine weeks ended September 29, 2020.</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214" w:lineRule="exact"/>
        <w:rPr>
          <w:sz w:val="20"/>
          <w:szCs w:val="20"/>
          <w:color w:val="auto"/>
        </w:rPr>
      </w:pPr>
    </w:p>
    <w:p>
      <w:pPr>
        <w:ind w:left="40" w:right="199"/>
        <w:spacing w:after="0" w:line="259" w:lineRule="auto"/>
        <w:rPr>
          <w:sz w:val="20"/>
          <w:szCs w:val="20"/>
          <w:color w:val="auto"/>
        </w:rPr>
      </w:pPr>
      <w:r>
        <w:rPr>
          <w:rFonts w:ascii="Arial" w:cs="Arial" w:eastAsia="Arial" w:hAnsi="Arial"/>
          <w:sz w:val="17"/>
          <w:szCs w:val="17"/>
          <w:color w:val="auto"/>
        </w:rPr>
        <w:t>For the thirty-nine weeks ended September 29, 2021, net cash from financing activities changed by $15.0 million from the comparable period of the prior year. This change was due primarily to an increase in net pay downs of $22.8 million on the 2018 Revolver during the thirty-nine weeks ended September 29, 2021, compared to the net pay downs of $13.2 million on the 2018 Revolver during the thirty-nine weeks ended September 23, 2020.</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Debt and Other Obligations</w:t>
      </w:r>
    </w:p>
    <w:p>
      <w:pPr>
        <w:spacing w:after="0" w:line="214" w:lineRule="exact"/>
        <w:rPr>
          <w:sz w:val="20"/>
          <w:szCs w:val="20"/>
          <w:color w:val="auto"/>
        </w:rPr>
      </w:pPr>
    </w:p>
    <w:p>
      <w:pPr>
        <w:ind w:left="40" w:right="199"/>
        <w:spacing w:after="0" w:line="308" w:lineRule="auto"/>
        <w:rPr>
          <w:sz w:val="20"/>
          <w:szCs w:val="20"/>
          <w:color w:val="auto"/>
        </w:rPr>
      </w:pPr>
      <w:r>
        <w:rPr>
          <w:rFonts w:ascii="Arial" w:cs="Arial" w:eastAsia="Arial" w:hAnsi="Arial"/>
          <w:sz w:val="16"/>
          <w:szCs w:val="16"/>
          <w:color w:val="auto"/>
        </w:rPr>
        <w:t>The 2018 Revolver, which is available pursuant to the 2018 Credit Agreement, includes a sub limit of $15.0 million for letters of credit and a sub limit of $15.0 million for swingline loans. The 2018 Revolver and 2018 Credit Agreement will</w:t>
      </w:r>
    </w:p>
    <w:p>
      <w:pPr>
        <w:sectPr>
          <w:pgSz w:w="11900" w:h="16838" w:orient="portrait"/>
          <w:cols w:equalWidth="0" w:num="1">
            <w:col w:w="9019"/>
          </w:cols>
          <w:pgMar w:left="1440" w:top="498" w:right="1440"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360680</wp:posOffset>
            </wp:positionV>
            <wp:extent cx="5661025" cy="241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type w:val="continuous"/>
        </w:sectPr>
      </w:pPr>
    </w:p>
    <w:bookmarkStart w:id="45" w:name="page46"/>
    <w:bookmarkEnd w:id="45"/>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119"/>
        <w:spacing w:after="0" w:line="287" w:lineRule="auto"/>
        <w:rPr>
          <w:sz w:val="20"/>
          <w:szCs w:val="20"/>
          <w:color w:val="auto"/>
        </w:rPr>
      </w:pPr>
      <w:r>
        <w:rPr>
          <w:rFonts w:ascii="Arial" w:cs="Arial" w:eastAsia="Arial" w:hAnsi="Arial"/>
          <w:sz w:val="16"/>
          <w:szCs w:val="16"/>
          <w:color w:val="auto"/>
        </w:rPr>
        <w:t>mature on July 13, 2023. The obligations under the 2018 Credit Agreement and related loan documents are guaranteed by the Company and Intermediate. The obligations of the Company, EPL and Intermediate under the 2018 Credit Agreement and related loan documents are secured by a first priority lien on substantially all of their respective assets.</w:t>
      </w:r>
    </w:p>
    <w:p>
      <w:pPr>
        <w:spacing w:after="0" w:line="159" w:lineRule="exact"/>
        <w:rPr>
          <w:sz w:val="20"/>
          <w:szCs w:val="20"/>
          <w:color w:val="auto"/>
        </w:rPr>
      </w:pPr>
    </w:p>
    <w:p>
      <w:pPr>
        <w:ind w:left="40" w:right="219"/>
        <w:spacing w:after="0" w:line="287" w:lineRule="auto"/>
        <w:rPr>
          <w:sz w:val="20"/>
          <w:szCs w:val="20"/>
          <w:color w:val="auto"/>
        </w:rPr>
      </w:pPr>
      <w:r>
        <w:rPr>
          <w:rFonts w:ascii="Arial" w:cs="Arial" w:eastAsia="Arial" w:hAnsi="Arial"/>
          <w:sz w:val="15"/>
          <w:szCs w:val="15"/>
          <w:color w:val="auto"/>
        </w:rPr>
        <w:t>Under the 2018 Revolver, Holdings may not make certain payments such as cash dividends, except that it may, inter alia, (i) pay up to $1.0 million per year to repurchase or redeem qualified equity interests of Holdings held by past or present officers, directors, or employees (or their estates) of the Company upon death, disability, or termination of employment, (ii) pay under its TRA, and (iii)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 (b) pay up to $0.5 million in any</w:t>
      </w:r>
    </w:p>
    <w:p>
      <w:pPr>
        <w:spacing w:after="0" w:line="2" w:lineRule="exact"/>
        <w:rPr>
          <w:sz w:val="20"/>
          <w:szCs w:val="20"/>
          <w:color w:val="auto"/>
        </w:rPr>
      </w:pPr>
    </w:p>
    <w:p>
      <w:pPr>
        <w:ind w:left="40" w:right="59"/>
        <w:spacing w:after="0" w:line="273" w:lineRule="auto"/>
        <w:rPr>
          <w:sz w:val="20"/>
          <w:szCs w:val="20"/>
          <w:color w:val="auto"/>
        </w:rPr>
      </w:pPr>
      <w:r>
        <w:rPr>
          <w:rFonts w:ascii="Arial" w:cs="Arial" w:eastAsia="Arial" w:hAnsi="Arial"/>
          <w:sz w:val="16"/>
          <w:szCs w:val="16"/>
          <w:color w:val="auto"/>
        </w:rPr>
        <w:t>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its compliance, on a pro forma basis, with (x) a lease-adjusted consolidated leverage ratio not to exceed 4.25 times and (y) the financial covenants applicable to the 2018 Revolver.</w:t>
      </w:r>
    </w:p>
    <w:p>
      <w:pPr>
        <w:spacing w:after="0" w:line="170" w:lineRule="exact"/>
        <w:rPr>
          <w:sz w:val="20"/>
          <w:szCs w:val="20"/>
          <w:color w:val="auto"/>
        </w:rPr>
      </w:pPr>
    </w:p>
    <w:p>
      <w:pPr>
        <w:ind w:left="40" w:right="59"/>
        <w:spacing w:after="0" w:line="254" w:lineRule="auto"/>
        <w:rPr>
          <w:sz w:val="20"/>
          <w:szCs w:val="20"/>
          <w:color w:val="auto"/>
        </w:rPr>
      </w:pPr>
      <w:r>
        <w:rPr>
          <w:rFonts w:ascii="Arial" w:cs="Arial" w:eastAsia="Arial" w:hAnsi="Arial"/>
          <w:sz w:val="17"/>
          <w:szCs w:val="17"/>
          <w:color w:val="auto"/>
        </w:rPr>
        <w:t>Borrowings under the 2018 Credit Agreement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published Bank of America prime rate, or (c) LIBOR plus 1.00%. For LIBOR loans, the margin is in the range of 1.25% to 2.25%, and for base rate loans the margin is in a range of 0.25% to 1.25%. Borrowings under the 2018 Revolver may be repaid and reborrowed. The interest rate range was 1.34% to 1.35% and 1.34% to 1.65% for the thirteen and thirty-nine weeks ended September 29, 2021, respectively, and 1.67% to 1.68% and 1.67% to 3.29% for the thirteen and thirty-nine weeks ended September 23, 2020, respectively.</w:t>
      </w:r>
    </w:p>
    <w:p>
      <w:pPr>
        <w:spacing w:after="0" w:line="187" w:lineRule="exact"/>
        <w:rPr>
          <w:sz w:val="20"/>
          <w:szCs w:val="20"/>
          <w:color w:val="auto"/>
        </w:rPr>
      </w:pPr>
    </w:p>
    <w:p>
      <w:pPr>
        <w:ind w:left="40" w:right="59"/>
        <w:spacing w:after="0" w:line="276" w:lineRule="auto"/>
        <w:rPr>
          <w:sz w:val="20"/>
          <w:szCs w:val="20"/>
          <w:color w:val="auto"/>
        </w:rPr>
      </w:pPr>
      <w:r>
        <w:rPr>
          <w:rFonts w:ascii="Arial" w:cs="Arial" w:eastAsia="Arial" w:hAnsi="Arial"/>
          <w:sz w:val="17"/>
          <w:szCs w:val="17"/>
          <w:color w:val="auto"/>
        </w:rPr>
        <w:t>The 2018 Credit Agreement contains certain financial covenants. The Company was in compliance with the financial covenants as of September 29, 2021.</w:t>
      </w:r>
    </w:p>
    <w:p>
      <w:pPr>
        <w:spacing w:after="0" w:line="164" w:lineRule="exact"/>
        <w:rPr>
          <w:sz w:val="20"/>
          <w:szCs w:val="20"/>
          <w:color w:val="auto"/>
        </w:rPr>
      </w:pPr>
    </w:p>
    <w:p>
      <w:pPr>
        <w:ind w:left="40" w:right="679"/>
        <w:spacing w:after="0" w:line="345" w:lineRule="auto"/>
        <w:rPr>
          <w:sz w:val="20"/>
          <w:szCs w:val="20"/>
          <w:color w:val="auto"/>
        </w:rPr>
      </w:pPr>
      <w:r>
        <w:rPr>
          <w:rFonts w:ascii="Arial" w:cs="Arial" w:eastAsia="Arial" w:hAnsi="Arial"/>
          <w:sz w:val="15"/>
          <w:szCs w:val="15"/>
          <w:color w:val="auto"/>
        </w:rPr>
        <w:t>At September 29, 2021, $8.4 million of letters of credit and $40.0 million of borrowings were outstanding under the 2018 Revolver. There were $101.6 million remaining borrowings available under the 2018 Revolver at September 29, 2021.</w:t>
      </w:r>
    </w:p>
    <w:p>
      <w:pPr>
        <w:spacing w:after="0" w:line="118" w:lineRule="exact"/>
        <w:rPr>
          <w:sz w:val="20"/>
          <w:szCs w:val="20"/>
          <w:color w:val="auto"/>
        </w:rPr>
      </w:pPr>
    </w:p>
    <w:p>
      <w:pPr>
        <w:ind w:left="40" w:right="179"/>
        <w:spacing w:after="0" w:line="304" w:lineRule="auto"/>
        <w:rPr>
          <w:sz w:val="20"/>
          <w:szCs w:val="20"/>
          <w:color w:val="auto"/>
        </w:rPr>
      </w:pPr>
      <w:r>
        <w:rPr>
          <w:rFonts w:ascii="Arial" w:cs="Arial" w:eastAsia="Arial" w:hAnsi="Arial"/>
          <w:sz w:val="15"/>
          <w:szCs w:val="15"/>
          <w:color w:val="auto"/>
        </w:rPr>
        <w:t>During the year ended December 25, 2019, we entered into an interest rate swap with a notional amount of $40.0 million, related to the outstanding borrowings under our 2018 Revolver. The interest rate swap was designated as a cash flow hedge and effectively converted a portion of our outstanding borrowings to a fixed rate of 1.31%, plus the applicable margin spread, which was 1.5% for the thirteen and thirty-nine weeks ended September 29, 2021. The interest rate swap matures in June 2023.</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Contractual Obligations</w:t>
      </w:r>
    </w:p>
    <w:p>
      <w:pPr>
        <w:spacing w:after="0" w:line="214" w:lineRule="exact"/>
        <w:rPr>
          <w:sz w:val="20"/>
          <w:szCs w:val="20"/>
          <w:color w:val="auto"/>
        </w:rPr>
      </w:pPr>
    </w:p>
    <w:p>
      <w:pPr>
        <w:ind w:left="40" w:right="59"/>
        <w:spacing w:after="0" w:line="256" w:lineRule="auto"/>
        <w:rPr>
          <w:sz w:val="20"/>
          <w:szCs w:val="20"/>
          <w:color w:val="auto"/>
        </w:rPr>
      </w:pPr>
      <w:r>
        <w:rPr>
          <w:rFonts w:ascii="Arial" w:cs="Arial" w:eastAsia="Arial" w:hAnsi="Arial"/>
          <w:sz w:val="17"/>
          <w:szCs w:val="17"/>
          <w:color w:val="auto"/>
        </w:rPr>
        <w:t>Other than our paydown of $22.8 million on the 2018 Revolver during the thirty-nine weeks ended September 29, 2021 described above, our contractual obligations outstanding on September 29, 2021 have not changed materially since those disclosed under “Debt and Other Obligations – Contractual Obligations” in Part II, Item 7 of our annual report on Form 10-K for the year ended December 30, 2020. Our contractual commitments relate to future (i) debt payments, including expected interest expense, calculated based on current interest rates, (ii) restaurant operating lease payments, (iii) income tax receivable agreement payments, and (iv) purchasing commitments for chicken.</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Off-Balance Sheet and Other Arrangements</w:t>
      </w:r>
    </w:p>
    <w:p>
      <w:pPr>
        <w:spacing w:after="0" w:line="214" w:lineRule="exact"/>
        <w:rPr>
          <w:sz w:val="20"/>
          <w:szCs w:val="20"/>
          <w:color w:val="auto"/>
        </w:rPr>
      </w:pPr>
    </w:p>
    <w:p>
      <w:pPr>
        <w:ind w:left="40" w:right="259"/>
        <w:spacing w:after="0" w:line="276" w:lineRule="auto"/>
        <w:rPr>
          <w:sz w:val="20"/>
          <w:szCs w:val="20"/>
          <w:color w:val="auto"/>
        </w:rPr>
      </w:pPr>
      <w:r>
        <w:rPr>
          <w:rFonts w:ascii="Arial" w:cs="Arial" w:eastAsia="Arial" w:hAnsi="Arial"/>
          <w:sz w:val="17"/>
          <w:szCs w:val="17"/>
          <w:color w:val="auto"/>
        </w:rPr>
        <w:t>As of September 29, 2021 and December 25, 2020, we were using $8.4 million of borrowing capacity on the 2018 Revolver for letters of credit in support of our insurance programs.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46" w:name="page47"/>
    <w:bookmarkEnd w:id="46"/>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Interest Rate Risk</w:t>
      </w:r>
    </w:p>
    <w:p>
      <w:pPr>
        <w:spacing w:after="0" w:line="218" w:lineRule="exact"/>
        <w:rPr>
          <w:sz w:val="20"/>
          <w:szCs w:val="20"/>
          <w:color w:val="auto"/>
        </w:rPr>
      </w:pPr>
    </w:p>
    <w:p>
      <w:pPr>
        <w:ind w:left="40" w:right="119"/>
        <w:spacing w:after="0" w:line="290" w:lineRule="auto"/>
        <w:rPr>
          <w:sz w:val="20"/>
          <w:szCs w:val="20"/>
          <w:color w:val="auto"/>
        </w:rPr>
      </w:pPr>
      <w:r>
        <w:rPr>
          <w:rFonts w:ascii="Arial" w:cs="Arial" w:eastAsia="Arial" w:hAnsi="Arial"/>
          <w:sz w:val="15"/>
          <w:szCs w:val="15"/>
          <w:color w:val="auto"/>
        </w:rPr>
        <w:t>We are exposed to market risk from changes in interest rates on our debt, which bears interest, at USD LIBOR plus a margin between 1.25% and 2.25%. As of September 29, 2021, we had outstanding borrowings of $40.0 million under our 2018 Revolver, $8.4 million of letters of credit in support of our insurance programs, and the applicable margin on outstanding borrowings under 2018 Revolver was 1.5%. In addition, certain tenors of LIBOR are expected to be phased out beginning after 2021. Organizations are currently working on industry wide and company specific transition plans as it relates to financial and other derivative contracts exposed to LIBOR. When LIBOR ceases to exist, we may need to enter into an amendment to the 2018 Credit Agreement and we cannot predict what alternative index would be negotiated with our lenders. If future rates based upon a successor rate are higher than LIBOR rates as currently determined or if our lenders have increased costs due to changes in LIBOR, we may experience potential increases in interest rates on our variable rate debt, which could adversely impact our interest expense, results of operations and cash flows. After giving effect to the $40.0 million of interest rate swaps described below, we effectively did not have any long-term debt subject to variations in interest rates as of September 29, 2021 and as such, a one percent increase in the variable rate of interest would not result in any increase in annual interest expense.</w:t>
      </w:r>
    </w:p>
    <w:p>
      <w:pPr>
        <w:spacing w:after="0" w:line="160" w:lineRule="exact"/>
        <w:rPr>
          <w:sz w:val="20"/>
          <w:szCs w:val="20"/>
          <w:color w:val="auto"/>
        </w:rPr>
      </w:pPr>
    </w:p>
    <w:p>
      <w:pPr>
        <w:ind w:left="40" w:right="119"/>
        <w:spacing w:after="0" w:line="256" w:lineRule="auto"/>
        <w:rPr>
          <w:sz w:val="20"/>
          <w:szCs w:val="20"/>
          <w:color w:val="auto"/>
        </w:rPr>
      </w:pPr>
      <w:r>
        <w:rPr>
          <w:rFonts w:ascii="Arial" w:cs="Arial" w:eastAsia="Arial" w:hAnsi="Arial"/>
          <w:sz w:val="17"/>
          <w:szCs w:val="17"/>
          <w:color w:val="auto"/>
        </w:rPr>
        <w:t>We manage our interest rate risk through normal operating and financing activities and, when determined appropriate, through the use of derivative financial instruments. To balance our portfolio, we entered into an interest rate swap during the year ended December 25, 2019 with a notional amount of $40.0 million, related to the outstanding borrowings under our 2018 Revolver. The interest rate swap was designated as a cash flow hedge and effectively converted a portion of our outstanding borrowings to a fixed rate of 1.31%, plus applicable margin, which was 1.5% for the thirty-nine weeks ended September 29, 2021. The interest rate swap matures in June 2023.</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Inflation</w:t>
      </w:r>
    </w:p>
    <w:p>
      <w:pPr>
        <w:spacing w:after="0" w:line="218" w:lineRule="exact"/>
        <w:rPr>
          <w:sz w:val="20"/>
          <w:szCs w:val="20"/>
          <w:color w:val="auto"/>
        </w:rPr>
      </w:pPr>
    </w:p>
    <w:p>
      <w:pPr>
        <w:ind w:left="40" w:right="219"/>
        <w:spacing w:after="0" w:line="299" w:lineRule="auto"/>
        <w:rPr>
          <w:sz w:val="20"/>
          <w:szCs w:val="20"/>
          <w:color w:val="auto"/>
        </w:rPr>
      </w:pPr>
      <w:r>
        <w:rPr>
          <w:rFonts w:ascii="Arial" w:cs="Arial" w:eastAsia="Arial" w:hAnsi="Arial"/>
          <w:sz w:val="15"/>
          <w:szCs w:val="15"/>
          <w:color w:val="auto"/>
        </w:rPr>
        <w:t>Inflation has an impact on food, paper, construction, utility, labor and benefits, general and administrative, and other costs, all of which can materially impact our operations. We have a substantial number of hourly employees who are paid wage rates at or based on the applicable federal, state, or local minimum wage, and increases in the minimum wage will increase our labor costs. In general, we have been able to substantially offset cost increases resulting from inflation by increasing menu prices, managing menu mix, improving productivity, or making other adjustments. We may not be able to offset cost increases in the future.</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Commodity Price Risk</w:t>
      </w:r>
    </w:p>
    <w:p>
      <w:pPr>
        <w:spacing w:after="0" w:line="218" w:lineRule="exact"/>
        <w:rPr>
          <w:sz w:val="20"/>
          <w:szCs w:val="20"/>
          <w:color w:val="auto"/>
        </w:rPr>
      </w:pPr>
    </w:p>
    <w:p>
      <w:pPr>
        <w:ind w:left="40" w:right="79"/>
        <w:spacing w:after="0" w:line="293" w:lineRule="auto"/>
        <w:rPr>
          <w:sz w:val="20"/>
          <w:szCs w:val="20"/>
          <w:color w:val="auto"/>
        </w:rPr>
      </w:pPr>
      <w:r>
        <w:rPr>
          <w:rFonts w:ascii="Arial" w:cs="Arial" w:eastAsia="Arial" w:hAnsi="Arial"/>
          <w:sz w:val="15"/>
          <w:szCs w:val="15"/>
          <w:color w:val="auto"/>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periods when the prices of commodities drop, we may pay higher prices under our purchasing commitments. In rapidly fluctuating commodities markets, it may prove difficult for us to adjust our menu prices in accordance with input price fluctuations. Therefore, to the extent that we do not pass along cost increases to our customers, our results of operations may be adversely affected. At this time, we do not use financial instruments to hedge our commodity risk.</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4. Controls and Procedures.</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Disclosure Controls and Procedures</w:t>
      </w:r>
    </w:p>
    <w:p>
      <w:pPr>
        <w:spacing w:after="0" w:line="218" w:lineRule="exact"/>
        <w:rPr>
          <w:sz w:val="20"/>
          <w:szCs w:val="20"/>
          <w:color w:val="auto"/>
        </w:rPr>
      </w:pPr>
    </w:p>
    <w:p>
      <w:pPr>
        <w:ind w:left="40" w:right="179"/>
        <w:spacing w:after="0" w:line="256" w:lineRule="auto"/>
        <w:rPr>
          <w:sz w:val="20"/>
          <w:szCs w:val="20"/>
          <w:color w:val="auto"/>
        </w:rPr>
      </w:pPr>
      <w:r>
        <w:rPr>
          <w:rFonts w:ascii="Arial" w:cs="Arial" w:eastAsia="Arial" w:hAnsi="Arial"/>
          <w:sz w:val="17"/>
          <w:szCs w:val="17"/>
          <w:color w:val="auto"/>
        </w:rPr>
        <w:t>We maintain disclosure controls and procedures (as such term is defined in Rules 13a-15(e) of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Interim Chief Executive Officer and Chief Financial Officer, as appropriate to allow timely decisions regarding required disclosure.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47" w:name="page48"/>
    <w:bookmarkEnd w:id="47"/>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right="99"/>
        <w:spacing w:after="0" w:line="280" w:lineRule="auto"/>
        <w:rPr>
          <w:sz w:val="20"/>
          <w:szCs w:val="20"/>
          <w:color w:val="auto"/>
        </w:rPr>
      </w:pPr>
      <w:r>
        <w:rPr>
          <w:rFonts w:ascii="Arial" w:cs="Arial" w:eastAsia="Arial" w:hAnsi="Arial"/>
          <w:sz w:val="16"/>
          <w:szCs w:val="16"/>
          <w:color w:val="auto"/>
        </w:rPr>
        <w:t>Our disclosure controls and procedures are based on assumptions about the likelihood of future events, and even effective disclosure controls and procedures can only provide reasonable assurance of achieving their objectives. Because of their inherent limitations, we cannot guarantee that our disclosure controls and procedures will succeed in achieving their stated objectives in all cases, that they will be complied with in all cases, or that they will prevent or detect all misstatements.</w:t>
      </w:r>
    </w:p>
    <w:p>
      <w:pPr>
        <w:spacing w:after="0" w:line="165" w:lineRule="exact"/>
        <w:rPr>
          <w:sz w:val="20"/>
          <w:szCs w:val="20"/>
          <w:color w:val="auto"/>
        </w:rPr>
      </w:pPr>
    </w:p>
    <w:p>
      <w:pPr>
        <w:ind w:left="40" w:right="99"/>
        <w:spacing w:after="0" w:line="259" w:lineRule="auto"/>
        <w:rPr>
          <w:sz w:val="20"/>
          <w:szCs w:val="20"/>
          <w:color w:val="auto"/>
        </w:rPr>
      </w:pPr>
      <w:r>
        <w:rPr>
          <w:rFonts w:ascii="Arial" w:cs="Arial" w:eastAsia="Arial" w:hAnsi="Arial"/>
          <w:sz w:val="17"/>
          <w:szCs w:val="17"/>
          <w:color w:val="auto"/>
        </w:rPr>
        <w:t>Our management has evaluated, with the participation of our Interim Chief Executive Officer and Chief Financial Officer, the effectiveness of our disclosure controls and procedures, as of the end of the period covered by this report. Based on this evaluation, our Interim Chief Executive Officer and Chief Financial Officer concluded that our disclosure controls and procedures were effective, at the reasonable assurance level, as of September 29, 2021.</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18" w:lineRule="exact"/>
        <w:rPr>
          <w:sz w:val="20"/>
          <w:szCs w:val="20"/>
          <w:color w:val="auto"/>
        </w:rPr>
      </w:pPr>
    </w:p>
    <w:p>
      <w:pPr>
        <w:ind w:left="40" w:right="559"/>
        <w:spacing w:after="0" w:line="308" w:lineRule="auto"/>
        <w:rPr>
          <w:sz w:val="20"/>
          <w:szCs w:val="20"/>
          <w:color w:val="auto"/>
        </w:rPr>
      </w:pPr>
      <w:r>
        <w:rPr>
          <w:rFonts w:ascii="Arial" w:cs="Arial" w:eastAsia="Arial" w:hAnsi="Arial"/>
          <w:sz w:val="16"/>
          <w:szCs w:val="16"/>
          <w:color w:val="auto"/>
        </w:rPr>
        <w:t>No changes in our internal control over financial reporting occurred during the quarter ended September 29,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48" w:name="page49"/>
    <w:bookmarkEnd w:id="48"/>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II—OTHER INFORMATION</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 Legal Proceedings.</w:t>
      </w:r>
    </w:p>
    <w:p>
      <w:pPr>
        <w:spacing w:after="0" w:line="203" w:lineRule="exact"/>
        <w:rPr>
          <w:sz w:val="20"/>
          <w:szCs w:val="20"/>
          <w:color w:val="auto"/>
        </w:rPr>
      </w:pPr>
    </w:p>
    <w:p>
      <w:pPr>
        <w:ind w:left="40" w:right="399"/>
        <w:spacing w:after="0" w:line="345" w:lineRule="auto"/>
        <w:rPr>
          <w:sz w:val="20"/>
          <w:szCs w:val="20"/>
          <w:color w:val="auto"/>
        </w:rPr>
      </w:pPr>
      <w:r>
        <w:rPr>
          <w:rFonts w:ascii="Arial" w:cs="Arial" w:eastAsia="Arial" w:hAnsi="Arial"/>
          <w:sz w:val="15"/>
          <w:szCs w:val="15"/>
          <w:color w:val="auto"/>
        </w:rPr>
        <w:t>For information regarding legal proceedings, see Note 7, “Commitments and Contingencies—Legal Matters” in the “Notes to Condensed Consolidated Financial Statements” above, which information is incorporated by reference into this Item 1.</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1A. Risk Factors.</w:t>
      </w:r>
    </w:p>
    <w:p>
      <w:pPr>
        <w:spacing w:after="0" w:line="218" w:lineRule="exact"/>
        <w:rPr>
          <w:sz w:val="20"/>
          <w:szCs w:val="20"/>
          <w:color w:val="auto"/>
        </w:rPr>
      </w:pPr>
    </w:p>
    <w:p>
      <w:pPr>
        <w:ind w:left="40" w:right="339"/>
        <w:spacing w:after="0" w:line="276" w:lineRule="auto"/>
        <w:rPr>
          <w:sz w:val="20"/>
          <w:szCs w:val="20"/>
          <w:color w:val="auto"/>
        </w:rPr>
      </w:pPr>
      <w:r>
        <w:rPr>
          <w:rFonts w:ascii="Arial" w:cs="Arial" w:eastAsia="Arial" w:hAnsi="Arial"/>
          <w:sz w:val="17"/>
          <w:szCs w:val="17"/>
          <w:color w:val="auto"/>
        </w:rPr>
        <w:t>There have been no material changes from the risk factors previously disclosed in our annual report on Form 10-K for the year ended December 30, 2020 filed with the SEC on March 15, 2021.</w:t>
      </w:r>
    </w:p>
    <w:p>
      <w:pPr>
        <w:spacing w:after="0" w:line="36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None.</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None.</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4. Mine Safety Disclosures.</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None.</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5. Other Information.</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49" w:name="page50"/>
    <w:bookmarkEnd w:id="49"/>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6. Exhibits.</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Exhibit Index</w:t>
      </w:r>
    </w:p>
    <w:p>
      <w:pPr>
        <w:spacing w:after="0" w:line="19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5"/>
          </w:tcPr>
          <w:p>
            <w:pPr>
              <w:jc w:val="center"/>
              <w:ind w:right="720"/>
              <w:spacing w:after="0"/>
              <w:rPr>
                <w:sz w:val="20"/>
                <w:szCs w:val="20"/>
                <w:color w:val="auto"/>
              </w:rPr>
            </w:pPr>
            <w:r>
              <w:rPr>
                <w:rFonts w:ascii="Arial" w:cs="Arial" w:eastAsia="Arial" w:hAnsi="Arial"/>
                <w:sz w:val="14"/>
                <w:szCs w:val="14"/>
                <w:color w:val="auto"/>
                <w:w w:val="92"/>
              </w:rPr>
              <w:t>Filed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gridSpan w:val="4"/>
          </w:tcPr>
          <w:p>
            <w:pPr>
              <w:spacing w:after="0"/>
              <w:rPr>
                <w:sz w:val="20"/>
                <w:szCs w:val="20"/>
                <w:color w:val="auto"/>
              </w:rPr>
            </w:pPr>
            <w:r>
              <w:rPr>
                <w:rFonts w:ascii="Arial" w:cs="Arial" w:eastAsia="Arial" w:hAnsi="Arial"/>
                <w:sz w:val="14"/>
                <w:szCs w:val="14"/>
                <w:color w:val="auto"/>
                <w:w w:val="94"/>
              </w:rPr>
              <w:t>SEC File</w:t>
            </w:r>
          </w:p>
        </w:tc>
      </w:tr>
      <w:tr>
        <w:trPr>
          <w:trHeight w:val="121"/>
        </w:trPr>
        <w:tc>
          <w:tcPr>
            <w:tcW w:w="820" w:type="dxa"/>
            <w:vAlign w:val="bottom"/>
            <w:gridSpan w:val="2"/>
          </w:tcPr>
          <w:p>
            <w:pPr>
              <w:spacing w:after="0" w:line="121" w:lineRule="exact"/>
              <w:rPr>
                <w:sz w:val="20"/>
                <w:szCs w:val="20"/>
                <w:color w:val="auto"/>
              </w:rPr>
            </w:pPr>
            <w:r>
              <w:rPr>
                <w:rFonts w:ascii="Arial" w:cs="Arial" w:eastAsia="Arial" w:hAnsi="Arial"/>
                <w:sz w:val="12"/>
                <w:szCs w:val="12"/>
                <w:color w:val="auto"/>
              </w:rPr>
              <w:t>Number</w:t>
            </w: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0" w:type="dxa"/>
            <w:vAlign w:val="bottom"/>
            <w:gridSpan w:val="15"/>
          </w:tcPr>
          <w:p>
            <w:pPr>
              <w:spacing w:after="0" w:line="121" w:lineRule="exact"/>
              <w:rPr>
                <w:sz w:val="20"/>
                <w:szCs w:val="20"/>
                <w:color w:val="auto"/>
              </w:rPr>
            </w:pPr>
            <w:r>
              <w:rPr>
                <w:rFonts w:ascii="Arial" w:cs="Arial" w:eastAsia="Arial" w:hAnsi="Arial"/>
                <w:sz w:val="12"/>
                <w:szCs w:val="12"/>
                <w:color w:val="auto"/>
              </w:rPr>
              <w:t>Description</w:t>
            </w:r>
          </w:p>
        </w:tc>
        <w:tc>
          <w:tcPr>
            <w:tcW w:w="120" w:type="dxa"/>
            <w:vAlign w:val="bottom"/>
          </w:tcPr>
          <w:p>
            <w:pPr>
              <w:spacing w:after="0"/>
              <w:rPr>
                <w:sz w:val="10"/>
                <w:szCs w:val="10"/>
                <w:color w:val="auto"/>
              </w:rPr>
            </w:pPr>
          </w:p>
        </w:tc>
        <w:tc>
          <w:tcPr>
            <w:tcW w:w="28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70"/>
              </w:rPr>
              <w:t>Herewith</w:t>
            </w:r>
          </w:p>
        </w:tc>
        <w:tc>
          <w:tcPr>
            <w:tcW w:w="120" w:type="dxa"/>
            <w:vAlign w:val="bottom"/>
          </w:tcPr>
          <w:p>
            <w:pPr>
              <w:spacing w:after="0"/>
              <w:rPr>
                <w:sz w:val="10"/>
                <w:szCs w:val="10"/>
                <w:color w:val="auto"/>
              </w:rPr>
            </w:pPr>
          </w:p>
        </w:tc>
        <w:tc>
          <w:tcPr>
            <w:tcW w:w="600" w:type="dxa"/>
            <w:vAlign w:val="bottom"/>
            <w:gridSpan w:val="3"/>
          </w:tcPr>
          <w:p>
            <w:pPr>
              <w:ind w:left="220"/>
              <w:spacing w:after="0" w:line="121" w:lineRule="exact"/>
              <w:rPr>
                <w:sz w:val="20"/>
                <w:szCs w:val="20"/>
                <w:color w:val="auto"/>
              </w:rPr>
            </w:pPr>
            <w:r>
              <w:rPr>
                <w:rFonts w:ascii="Arial" w:cs="Arial" w:eastAsia="Arial" w:hAnsi="Arial"/>
                <w:sz w:val="12"/>
                <w:szCs w:val="12"/>
                <w:color w:val="auto"/>
              </w:rPr>
              <w:t>Form</w:t>
            </w:r>
          </w:p>
        </w:tc>
        <w:tc>
          <w:tcPr>
            <w:tcW w:w="100" w:type="dxa"/>
            <w:vAlign w:val="bottom"/>
          </w:tcPr>
          <w:p>
            <w:pPr>
              <w:spacing w:after="0"/>
              <w:rPr>
                <w:sz w:val="10"/>
                <w:szCs w:val="10"/>
                <w:color w:val="auto"/>
              </w:rPr>
            </w:pPr>
          </w:p>
        </w:tc>
        <w:tc>
          <w:tcPr>
            <w:tcW w:w="780" w:type="dxa"/>
            <w:vAlign w:val="bottom"/>
            <w:gridSpan w:val="2"/>
          </w:tcPr>
          <w:p>
            <w:pPr>
              <w:spacing w:after="0" w:line="121" w:lineRule="exact"/>
              <w:rPr>
                <w:sz w:val="20"/>
                <w:szCs w:val="20"/>
                <w:color w:val="auto"/>
              </w:rPr>
            </w:pPr>
            <w:r>
              <w:rPr>
                <w:rFonts w:ascii="Arial" w:cs="Arial" w:eastAsia="Arial" w:hAnsi="Arial"/>
                <w:sz w:val="12"/>
                <w:szCs w:val="12"/>
                <w:color w:val="auto"/>
              </w:rPr>
              <w:t>Period Ended</w:t>
            </w:r>
          </w:p>
        </w:tc>
        <w:tc>
          <w:tcPr>
            <w:tcW w:w="100" w:type="dxa"/>
            <w:vAlign w:val="bottom"/>
          </w:tcPr>
          <w:p>
            <w:pPr>
              <w:spacing w:after="0"/>
              <w:rPr>
                <w:sz w:val="10"/>
                <w:szCs w:val="10"/>
                <w:color w:val="auto"/>
              </w:rPr>
            </w:pPr>
          </w:p>
        </w:tc>
        <w:tc>
          <w:tcPr>
            <w:tcW w:w="400" w:type="dxa"/>
            <w:vAlign w:val="bottom"/>
          </w:tcPr>
          <w:p>
            <w:pPr>
              <w:spacing w:after="0" w:line="121" w:lineRule="exact"/>
              <w:rPr>
                <w:sz w:val="20"/>
                <w:szCs w:val="20"/>
                <w:color w:val="auto"/>
              </w:rPr>
            </w:pPr>
            <w:r>
              <w:rPr>
                <w:rFonts w:ascii="Arial" w:cs="Arial" w:eastAsia="Arial" w:hAnsi="Arial"/>
                <w:sz w:val="12"/>
                <w:szCs w:val="12"/>
                <w:color w:val="auto"/>
              </w:rPr>
              <w:t>Exhibit</w:t>
            </w:r>
          </w:p>
        </w:tc>
        <w:tc>
          <w:tcPr>
            <w:tcW w:w="1000" w:type="dxa"/>
            <w:vAlign w:val="bottom"/>
            <w:gridSpan w:val="3"/>
          </w:tcPr>
          <w:p>
            <w:pPr>
              <w:ind w:left="240"/>
              <w:spacing w:after="0" w:line="121" w:lineRule="exact"/>
              <w:rPr>
                <w:sz w:val="20"/>
                <w:szCs w:val="20"/>
                <w:color w:val="auto"/>
              </w:rPr>
            </w:pPr>
            <w:r>
              <w:rPr>
                <w:rFonts w:ascii="Arial" w:cs="Arial" w:eastAsia="Arial" w:hAnsi="Arial"/>
                <w:sz w:val="12"/>
                <w:szCs w:val="12"/>
                <w:color w:val="auto"/>
              </w:rPr>
              <w:t>Filing Date</w:t>
            </w:r>
          </w:p>
        </w:tc>
        <w:tc>
          <w:tcPr>
            <w:tcW w:w="2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gridSpan w:val="2"/>
          </w:tcPr>
          <w:p>
            <w:pPr>
              <w:spacing w:after="0" w:line="121" w:lineRule="exact"/>
              <w:rPr>
                <w:sz w:val="20"/>
                <w:szCs w:val="20"/>
                <w:color w:val="auto"/>
              </w:rPr>
            </w:pPr>
            <w:r>
              <w:rPr>
                <w:rFonts w:ascii="Arial" w:cs="Arial" w:eastAsia="Arial" w:hAnsi="Arial"/>
                <w:sz w:val="12"/>
                <w:szCs w:val="12"/>
                <w:color w:val="auto"/>
              </w:rPr>
              <w:t>Number</w:t>
            </w:r>
          </w:p>
        </w:tc>
        <w:tc>
          <w:tcPr>
            <w:tcW w:w="40" w:type="dxa"/>
            <w:vAlign w:val="bottom"/>
          </w:tcPr>
          <w:p>
            <w:pPr>
              <w:spacing w:after="0"/>
              <w:rPr>
                <w:sz w:val="10"/>
                <w:szCs w:val="10"/>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4"/>
        </w:trPr>
        <w:tc>
          <w:tcPr>
            <w:tcW w:w="440" w:type="dxa"/>
            <w:vAlign w:val="bottom"/>
          </w:tcPr>
          <w:p>
            <w:pPr>
              <w:spacing w:after="0"/>
              <w:rPr>
                <w:sz w:val="20"/>
                <w:szCs w:val="20"/>
                <w:color w:val="auto"/>
              </w:rPr>
            </w:pPr>
            <w:r>
              <w:rPr>
                <w:rFonts w:ascii="Arial" w:cs="Arial" w:eastAsia="Arial" w:hAnsi="Arial"/>
                <w:sz w:val="17"/>
                <w:szCs w:val="17"/>
                <w:color w:val="auto"/>
              </w:rPr>
              <w:t>3.1</w:t>
            </w:r>
          </w:p>
        </w:tc>
        <w:tc>
          <w:tcPr>
            <w:tcW w:w="380" w:type="dxa"/>
            <w:vAlign w:val="bottom"/>
          </w:tcPr>
          <w:p>
            <w:pPr>
              <w:spacing w:after="0"/>
              <w:rPr>
                <w:sz w:val="24"/>
                <w:szCs w:val="24"/>
                <w:color w:val="auto"/>
              </w:rPr>
            </w:pPr>
          </w:p>
        </w:tc>
        <w:tc>
          <w:tcPr>
            <w:tcW w:w="2540" w:type="dxa"/>
            <w:vAlign w:val="bottom"/>
            <w:tcBorders>
              <w:bottom w:val="single" w:sz="8" w:color="0000EE"/>
            </w:tcBorders>
            <w:gridSpan w:val="6"/>
          </w:tcPr>
          <w:p>
            <w:pPr>
              <w:spacing w:after="0"/>
              <w:rPr>
                <w:rFonts w:ascii="Arial" w:cs="Arial" w:eastAsia="Arial" w:hAnsi="Arial"/>
                <w:sz w:val="17"/>
                <w:szCs w:val="17"/>
                <w:color w:val="0000EE"/>
                <w:w w:val="90"/>
              </w:rPr>
            </w:pPr>
            <w:hyperlink r:id="rId64">
              <w:r>
                <w:rPr>
                  <w:rFonts w:ascii="Arial" w:cs="Arial" w:eastAsia="Arial" w:hAnsi="Arial"/>
                  <w:sz w:val="17"/>
                  <w:szCs w:val="17"/>
                  <w:color w:val="0000EE"/>
                  <w:w w:val="90"/>
                </w:rPr>
                <w:t>Amended and Restated Certificate of</w:t>
              </w:r>
            </w:hyperlink>
          </w:p>
        </w:tc>
        <w:tc>
          <w:tcPr>
            <w:tcW w:w="1080" w:type="dxa"/>
            <w:vAlign w:val="bottom"/>
            <w:gridSpan w:val="12"/>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5"/>
        </w:trPr>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20" w:type="dxa"/>
            <w:vAlign w:val="bottom"/>
            <w:gridSpan w:val="18"/>
          </w:tcPr>
          <w:p>
            <w:pPr>
              <w:spacing w:after="0" w:line="185" w:lineRule="exact"/>
              <w:rPr>
                <w:rFonts w:ascii="Arial" w:cs="Arial" w:eastAsia="Arial" w:hAnsi="Arial"/>
                <w:sz w:val="17"/>
                <w:szCs w:val="17"/>
                <w:color w:val="0000EE"/>
              </w:rPr>
            </w:pPr>
            <w:hyperlink r:id="rId64">
              <w:r>
                <w:rPr>
                  <w:rFonts w:ascii="Arial" w:cs="Arial" w:eastAsia="Arial" w:hAnsi="Arial"/>
                  <w:sz w:val="17"/>
                  <w:szCs w:val="17"/>
                  <w:color w:val="0000EE"/>
                </w:rPr>
                <w:t>Incorporation of El Pollo Loco Holdings, Inc.</w:t>
              </w:r>
            </w:hyperlink>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3"/>
          </w:tcPr>
          <w:p>
            <w:pPr>
              <w:ind w:left="160"/>
              <w:spacing w:after="0" w:line="185" w:lineRule="exact"/>
              <w:rPr>
                <w:sz w:val="20"/>
                <w:szCs w:val="20"/>
                <w:color w:val="auto"/>
              </w:rPr>
            </w:pPr>
            <w:r>
              <w:rPr>
                <w:rFonts w:ascii="Arial" w:cs="Arial" w:eastAsia="Arial" w:hAnsi="Arial"/>
                <w:sz w:val="17"/>
                <w:szCs w:val="17"/>
                <w:color w:val="auto"/>
              </w:rPr>
              <w:t>10-Q</w:t>
            </w:r>
          </w:p>
        </w:tc>
        <w:tc>
          <w:tcPr>
            <w:tcW w:w="820" w:type="dxa"/>
            <w:vAlign w:val="bottom"/>
            <w:gridSpan w:val="2"/>
          </w:tcPr>
          <w:p>
            <w:pPr>
              <w:jc w:val="right"/>
              <w:spacing w:after="0" w:line="185" w:lineRule="exact"/>
              <w:rPr>
                <w:sz w:val="20"/>
                <w:szCs w:val="20"/>
                <w:color w:val="auto"/>
              </w:rPr>
            </w:pPr>
            <w:r>
              <w:rPr>
                <w:rFonts w:ascii="Arial" w:cs="Arial" w:eastAsia="Arial" w:hAnsi="Arial"/>
                <w:sz w:val="17"/>
                <w:szCs w:val="17"/>
                <w:color w:val="auto"/>
                <w:w w:val="97"/>
              </w:rPr>
              <w:t>6/25/2014</w:t>
            </w:r>
          </w:p>
        </w:tc>
        <w:tc>
          <w:tcPr>
            <w:tcW w:w="60" w:type="dxa"/>
            <w:vAlign w:val="bottom"/>
          </w:tcPr>
          <w:p>
            <w:pPr>
              <w:spacing w:after="0"/>
              <w:rPr>
                <w:sz w:val="16"/>
                <w:szCs w:val="16"/>
                <w:color w:val="auto"/>
              </w:rPr>
            </w:pPr>
          </w:p>
        </w:tc>
        <w:tc>
          <w:tcPr>
            <w:tcW w:w="500" w:type="dxa"/>
            <w:vAlign w:val="bottom"/>
            <w:gridSpan w:val="2"/>
          </w:tcPr>
          <w:p>
            <w:pPr>
              <w:ind w:left="60"/>
              <w:spacing w:after="0" w:line="185" w:lineRule="exact"/>
              <w:rPr>
                <w:sz w:val="20"/>
                <w:szCs w:val="20"/>
                <w:color w:val="auto"/>
              </w:rPr>
            </w:pPr>
            <w:r>
              <w:rPr>
                <w:rFonts w:ascii="Arial" w:cs="Arial" w:eastAsia="Arial" w:hAnsi="Arial"/>
                <w:sz w:val="17"/>
                <w:szCs w:val="17"/>
                <w:color w:val="auto"/>
              </w:rPr>
              <w:t>3.1</w:t>
            </w:r>
          </w:p>
        </w:tc>
        <w:tc>
          <w:tcPr>
            <w:tcW w:w="860" w:type="dxa"/>
            <w:vAlign w:val="bottom"/>
            <w:gridSpan w:val="2"/>
          </w:tcPr>
          <w:p>
            <w:pPr>
              <w:ind w:left="140"/>
              <w:spacing w:after="0" w:line="185" w:lineRule="exact"/>
              <w:rPr>
                <w:sz w:val="20"/>
                <w:szCs w:val="20"/>
                <w:color w:val="auto"/>
              </w:rPr>
            </w:pPr>
            <w:r>
              <w:rPr>
                <w:rFonts w:ascii="Arial" w:cs="Arial" w:eastAsia="Arial" w:hAnsi="Arial"/>
                <w:sz w:val="17"/>
                <w:szCs w:val="17"/>
                <w:color w:val="auto"/>
              </w:rPr>
              <w:t>9/5/2014</w:t>
            </w:r>
          </w:p>
        </w:tc>
        <w:tc>
          <w:tcPr>
            <w:tcW w:w="140" w:type="dxa"/>
            <w:vAlign w:val="bottom"/>
          </w:tcPr>
          <w:p>
            <w:pPr>
              <w:spacing w:after="0"/>
              <w:rPr>
                <w:sz w:val="16"/>
                <w:szCs w:val="16"/>
                <w:color w:val="auto"/>
              </w:rPr>
            </w:pPr>
          </w:p>
        </w:tc>
        <w:tc>
          <w:tcPr>
            <w:tcW w:w="800" w:type="dxa"/>
            <w:vAlign w:val="bottom"/>
            <w:gridSpan w:val="5"/>
          </w:tcPr>
          <w:p>
            <w:pPr>
              <w:jc w:val="right"/>
              <w:spacing w:after="0" w:line="185" w:lineRule="exact"/>
              <w:rPr>
                <w:sz w:val="20"/>
                <w:szCs w:val="20"/>
                <w:color w:val="auto"/>
              </w:rPr>
            </w:pPr>
            <w:r>
              <w:rPr>
                <w:rFonts w:ascii="Arial" w:cs="Arial" w:eastAsia="Arial" w:hAnsi="Arial"/>
                <w:sz w:val="17"/>
                <w:szCs w:val="17"/>
                <w:color w:val="auto"/>
                <w:w w:val="95"/>
              </w:rPr>
              <w:t>001-36556</w:t>
            </w:r>
          </w:p>
        </w:tc>
      </w:tr>
      <w:tr>
        <w:trPr>
          <w:trHeight w:val="20"/>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9"/>
        </w:trPr>
        <w:tc>
          <w:tcPr>
            <w:tcW w:w="440" w:type="dxa"/>
            <w:vAlign w:val="bottom"/>
          </w:tcPr>
          <w:p>
            <w:pPr>
              <w:spacing w:after="0"/>
              <w:rPr>
                <w:sz w:val="20"/>
                <w:szCs w:val="20"/>
                <w:color w:val="auto"/>
              </w:rPr>
            </w:pPr>
            <w:r>
              <w:rPr>
                <w:rFonts w:ascii="Arial" w:cs="Arial" w:eastAsia="Arial" w:hAnsi="Arial"/>
                <w:sz w:val="17"/>
                <w:szCs w:val="17"/>
                <w:color w:val="auto"/>
              </w:rPr>
              <w:t>3.2</w:t>
            </w:r>
          </w:p>
        </w:tc>
        <w:tc>
          <w:tcPr>
            <w:tcW w:w="380" w:type="dxa"/>
            <w:vAlign w:val="bottom"/>
          </w:tcPr>
          <w:p>
            <w:pPr>
              <w:spacing w:after="0"/>
              <w:rPr>
                <w:sz w:val="24"/>
                <w:szCs w:val="24"/>
                <w:color w:val="auto"/>
              </w:rPr>
            </w:pPr>
          </w:p>
        </w:tc>
        <w:tc>
          <w:tcPr>
            <w:tcW w:w="3440" w:type="dxa"/>
            <w:vAlign w:val="bottom"/>
            <w:tcBorders>
              <w:bottom w:val="single" w:sz="8" w:color="0000EE"/>
            </w:tcBorders>
            <w:gridSpan w:val="16"/>
          </w:tcPr>
          <w:p>
            <w:pPr>
              <w:spacing w:after="0"/>
              <w:rPr>
                <w:rFonts w:ascii="Arial" w:cs="Arial" w:eastAsia="Arial" w:hAnsi="Arial"/>
                <w:sz w:val="17"/>
                <w:szCs w:val="17"/>
                <w:color w:val="0000EE"/>
                <w:w w:val="92"/>
              </w:rPr>
            </w:pPr>
            <w:hyperlink r:id="rId65">
              <w:r>
                <w:rPr>
                  <w:rFonts w:ascii="Arial" w:cs="Arial" w:eastAsia="Arial" w:hAnsi="Arial"/>
                  <w:sz w:val="17"/>
                  <w:szCs w:val="17"/>
                  <w:color w:val="0000EE"/>
                  <w:w w:val="92"/>
                </w:rPr>
                <w:t>Amended and Restated By-Laws of El Pollo Loco</w:t>
              </w:r>
            </w:hyperlink>
          </w:p>
        </w:tc>
        <w:tc>
          <w:tcPr>
            <w:tcW w:w="1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5"/>
        </w:trPr>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Borders>
              <w:bottom w:val="single" w:sz="8" w:color="0000EE"/>
            </w:tcBorders>
            <w:gridSpan w:val="2"/>
          </w:tcPr>
          <w:p>
            <w:pPr>
              <w:spacing w:after="0" w:line="185" w:lineRule="exact"/>
              <w:rPr>
                <w:rFonts w:ascii="Arial" w:cs="Arial" w:eastAsia="Arial" w:hAnsi="Arial"/>
                <w:sz w:val="17"/>
                <w:szCs w:val="17"/>
                <w:color w:val="0000EE"/>
                <w:w w:val="93"/>
              </w:rPr>
            </w:pPr>
            <w:hyperlink r:id="rId65">
              <w:r>
                <w:rPr>
                  <w:rFonts w:ascii="Arial" w:cs="Arial" w:eastAsia="Arial" w:hAnsi="Arial"/>
                  <w:sz w:val="17"/>
                  <w:szCs w:val="17"/>
                  <w:color w:val="0000EE"/>
                  <w:w w:val="93"/>
                </w:rPr>
                <w:t>Holdings, Inc.</w:t>
              </w:r>
            </w:hyperlink>
          </w:p>
        </w:tc>
        <w:tc>
          <w:tcPr>
            <w:tcW w:w="2640" w:type="dxa"/>
            <w:vAlign w:val="bottom"/>
            <w:gridSpan w:val="16"/>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3"/>
          </w:tcPr>
          <w:p>
            <w:pPr>
              <w:ind w:left="160"/>
              <w:spacing w:after="0" w:line="185" w:lineRule="exact"/>
              <w:rPr>
                <w:sz w:val="20"/>
                <w:szCs w:val="20"/>
                <w:color w:val="auto"/>
              </w:rPr>
            </w:pPr>
            <w:r>
              <w:rPr>
                <w:rFonts w:ascii="Arial" w:cs="Arial" w:eastAsia="Arial" w:hAnsi="Arial"/>
                <w:sz w:val="17"/>
                <w:szCs w:val="17"/>
                <w:color w:val="auto"/>
              </w:rPr>
              <w:t>10-Q</w:t>
            </w:r>
          </w:p>
        </w:tc>
        <w:tc>
          <w:tcPr>
            <w:tcW w:w="820" w:type="dxa"/>
            <w:vAlign w:val="bottom"/>
            <w:gridSpan w:val="2"/>
          </w:tcPr>
          <w:p>
            <w:pPr>
              <w:jc w:val="right"/>
              <w:spacing w:after="0" w:line="185" w:lineRule="exact"/>
              <w:rPr>
                <w:sz w:val="20"/>
                <w:szCs w:val="20"/>
                <w:color w:val="auto"/>
              </w:rPr>
            </w:pPr>
            <w:r>
              <w:rPr>
                <w:rFonts w:ascii="Arial" w:cs="Arial" w:eastAsia="Arial" w:hAnsi="Arial"/>
                <w:sz w:val="17"/>
                <w:szCs w:val="17"/>
                <w:color w:val="auto"/>
                <w:w w:val="97"/>
              </w:rPr>
              <w:t>6/25/2014</w:t>
            </w:r>
          </w:p>
        </w:tc>
        <w:tc>
          <w:tcPr>
            <w:tcW w:w="60" w:type="dxa"/>
            <w:vAlign w:val="bottom"/>
          </w:tcPr>
          <w:p>
            <w:pPr>
              <w:spacing w:after="0"/>
              <w:rPr>
                <w:sz w:val="16"/>
                <w:szCs w:val="16"/>
                <w:color w:val="auto"/>
              </w:rPr>
            </w:pPr>
          </w:p>
        </w:tc>
        <w:tc>
          <w:tcPr>
            <w:tcW w:w="500" w:type="dxa"/>
            <w:vAlign w:val="bottom"/>
            <w:gridSpan w:val="2"/>
          </w:tcPr>
          <w:p>
            <w:pPr>
              <w:ind w:left="60"/>
              <w:spacing w:after="0" w:line="185" w:lineRule="exact"/>
              <w:rPr>
                <w:sz w:val="20"/>
                <w:szCs w:val="20"/>
                <w:color w:val="auto"/>
              </w:rPr>
            </w:pPr>
            <w:r>
              <w:rPr>
                <w:rFonts w:ascii="Arial" w:cs="Arial" w:eastAsia="Arial" w:hAnsi="Arial"/>
                <w:sz w:val="17"/>
                <w:szCs w:val="17"/>
                <w:color w:val="auto"/>
              </w:rPr>
              <w:t>3.2</w:t>
            </w:r>
          </w:p>
        </w:tc>
        <w:tc>
          <w:tcPr>
            <w:tcW w:w="860" w:type="dxa"/>
            <w:vAlign w:val="bottom"/>
            <w:gridSpan w:val="2"/>
          </w:tcPr>
          <w:p>
            <w:pPr>
              <w:ind w:left="140"/>
              <w:spacing w:after="0" w:line="185" w:lineRule="exact"/>
              <w:rPr>
                <w:sz w:val="20"/>
                <w:szCs w:val="20"/>
                <w:color w:val="auto"/>
              </w:rPr>
            </w:pPr>
            <w:r>
              <w:rPr>
                <w:rFonts w:ascii="Arial" w:cs="Arial" w:eastAsia="Arial" w:hAnsi="Arial"/>
                <w:sz w:val="17"/>
                <w:szCs w:val="17"/>
                <w:color w:val="auto"/>
              </w:rPr>
              <w:t>9/5/2014</w:t>
            </w:r>
          </w:p>
        </w:tc>
        <w:tc>
          <w:tcPr>
            <w:tcW w:w="140" w:type="dxa"/>
            <w:vAlign w:val="bottom"/>
          </w:tcPr>
          <w:p>
            <w:pPr>
              <w:spacing w:after="0"/>
              <w:rPr>
                <w:sz w:val="16"/>
                <w:szCs w:val="16"/>
                <w:color w:val="auto"/>
              </w:rPr>
            </w:pPr>
          </w:p>
        </w:tc>
        <w:tc>
          <w:tcPr>
            <w:tcW w:w="800" w:type="dxa"/>
            <w:vAlign w:val="bottom"/>
            <w:gridSpan w:val="5"/>
          </w:tcPr>
          <w:p>
            <w:pPr>
              <w:jc w:val="right"/>
              <w:spacing w:after="0" w:line="185" w:lineRule="exact"/>
              <w:rPr>
                <w:sz w:val="20"/>
                <w:szCs w:val="20"/>
                <w:color w:val="auto"/>
              </w:rPr>
            </w:pPr>
            <w:r>
              <w:rPr>
                <w:rFonts w:ascii="Arial" w:cs="Arial" w:eastAsia="Arial" w:hAnsi="Arial"/>
                <w:sz w:val="17"/>
                <w:szCs w:val="17"/>
                <w:color w:val="auto"/>
                <w:w w:val="95"/>
              </w:rPr>
              <w:t>001-36556</w:t>
            </w:r>
          </w:p>
        </w:tc>
      </w:tr>
      <w:tr>
        <w:trPr>
          <w:trHeight w:val="389"/>
        </w:trPr>
        <w:tc>
          <w:tcPr>
            <w:tcW w:w="440" w:type="dxa"/>
            <w:vAlign w:val="bottom"/>
          </w:tcPr>
          <w:p>
            <w:pPr>
              <w:spacing w:after="0"/>
              <w:rPr>
                <w:sz w:val="20"/>
                <w:szCs w:val="20"/>
                <w:color w:val="auto"/>
              </w:rPr>
            </w:pPr>
            <w:r>
              <w:rPr>
                <w:rFonts w:ascii="Arial" w:cs="Arial" w:eastAsia="Arial" w:hAnsi="Arial"/>
                <w:sz w:val="17"/>
                <w:szCs w:val="17"/>
                <w:color w:val="auto"/>
              </w:rPr>
              <w:t>10.1</w:t>
            </w:r>
          </w:p>
        </w:tc>
        <w:tc>
          <w:tcPr>
            <w:tcW w:w="380" w:type="dxa"/>
            <w:vAlign w:val="bottom"/>
          </w:tcPr>
          <w:p>
            <w:pPr>
              <w:spacing w:after="0"/>
              <w:rPr>
                <w:sz w:val="24"/>
                <w:szCs w:val="24"/>
                <w:color w:val="auto"/>
              </w:rPr>
            </w:pPr>
          </w:p>
        </w:tc>
        <w:tc>
          <w:tcPr>
            <w:tcW w:w="3620" w:type="dxa"/>
            <w:vAlign w:val="bottom"/>
            <w:gridSpan w:val="18"/>
          </w:tcPr>
          <w:p>
            <w:pPr>
              <w:spacing w:after="0"/>
              <w:rPr>
                <w:rFonts w:ascii="Arial" w:cs="Arial" w:eastAsia="Arial" w:hAnsi="Arial"/>
                <w:sz w:val="17"/>
                <w:szCs w:val="17"/>
                <w:color w:val="0000EE"/>
              </w:rPr>
            </w:pPr>
            <w:hyperlink r:id="rId66">
              <w:r>
                <w:rPr>
                  <w:rFonts w:ascii="Arial" w:cs="Arial" w:eastAsia="Arial" w:hAnsi="Arial"/>
                  <w:sz w:val="17"/>
                  <w:szCs w:val="17"/>
                  <w:color w:val="0000EE"/>
                </w:rPr>
                <w:t>Letter Agreement, dated October 15, 2021,</w:t>
              </w:r>
            </w:hyperlink>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r>
      <w:tr>
        <w:trPr>
          <w:trHeight w:val="185"/>
        </w:trPr>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tcBorders>
              <w:bottom w:val="single" w:sz="8" w:color="0000EE"/>
            </w:tcBorders>
            <w:gridSpan w:val="12"/>
          </w:tcPr>
          <w:p>
            <w:pPr>
              <w:spacing w:after="0" w:line="185" w:lineRule="exact"/>
              <w:rPr>
                <w:rFonts w:ascii="Arial" w:cs="Arial" w:eastAsia="Arial" w:hAnsi="Arial"/>
                <w:sz w:val="17"/>
                <w:szCs w:val="17"/>
                <w:color w:val="0000EE"/>
                <w:w w:val="89"/>
              </w:rPr>
            </w:pPr>
            <w:hyperlink r:id="rId66">
              <w:r>
                <w:rPr>
                  <w:rFonts w:ascii="Arial" w:cs="Arial" w:eastAsia="Arial" w:hAnsi="Arial"/>
                  <w:sz w:val="17"/>
                  <w:szCs w:val="17"/>
                  <w:color w:val="0000EE"/>
                  <w:w w:val="89"/>
                </w:rPr>
                <w:t>between the Company and Laurance Roberts</w:t>
              </w:r>
            </w:hyperlink>
          </w:p>
        </w:tc>
        <w:tc>
          <w:tcPr>
            <w:tcW w:w="540" w:type="dxa"/>
            <w:vAlign w:val="bottom"/>
            <w:gridSpan w:val="6"/>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3"/>
          </w:tcPr>
          <w:p>
            <w:pPr>
              <w:ind w:left="160"/>
              <w:spacing w:after="0" w:line="185" w:lineRule="exact"/>
              <w:rPr>
                <w:sz w:val="20"/>
                <w:szCs w:val="20"/>
                <w:color w:val="auto"/>
              </w:rPr>
            </w:pPr>
            <w:r>
              <w:rPr>
                <w:rFonts w:ascii="Arial" w:cs="Arial" w:eastAsia="Arial" w:hAnsi="Arial"/>
                <w:sz w:val="17"/>
                <w:szCs w:val="17"/>
                <w:color w:val="auto"/>
              </w:rPr>
              <w:t>8-K</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gridSpan w:val="2"/>
          </w:tcPr>
          <w:p>
            <w:pPr>
              <w:ind w:left="60"/>
              <w:spacing w:after="0" w:line="185" w:lineRule="exact"/>
              <w:rPr>
                <w:sz w:val="20"/>
                <w:szCs w:val="20"/>
                <w:color w:val="auto"/>
              </w:rPr>
            </w:pPr>
            <w:r>
              <w:rPr>
                <w:rFonts w:ascii="Arial" w:cs="Arial" w:eastAsia="Arial" w:hAnsi="Arial"/>
                <w:sz w:val="17"/>
                <w:szCs w:val="17"/>
                <w:color w:val="auto"/>
              </w:rPr>
              <w:t>10.1</w:t>
            </w:r>
          </w:p>
        </w:tc>
        <w:tc>
          <w:tcPr>
            <w:tcW w:w="1000" w:type="dxa"/>
            <w:vAlign w:val="bottom"/>
            <w:gridSpan w:val="3"/>
          </w:tcPr>
          <w:p>
            <w:pPr>
              <w:ind w:left="140"/>
              <w:spacing w:after="0" w:line="185" w:lineRule="exact"/>
              <w:rPr>
                <w:sz w:val="20"/>
                <w:szCs w:val="20"/>
                <w:color w:val="auto"/>
              </w:rPr>
            </w:pPr>
            <w:r>
              <w:rPr>
                <w:rFonts w:ascii="Arial" w:cs="Arial" w:eastAsia="Arial" w:hAnsi="Arial"/>
                <w:sz w:val="17"/>
                <w:szCs w:val="17"/>
                <w:color w:val="auto"/>
                <w:w w:val="98"/>
              </w:rPr>
              <w:t>10/15/2021</w:t>
            </w:r>
          </w:p>
        </w:tc>
        <w:tc>
          <w:tcPr>
            <w:tcW w:w="800" w:type="dxa"/>
            <w:vAlign w:val="bottom"/>
            <w:gridSpan w:val="5"/>
          </w:tcPr>
          <w:p>
            <w:pPr>
              <w:jc w:val="right"/>
              <w:spacing w:after="0" w:line="185" w:lineRule="exact"/>
              <w:rPr>
                <w:sz w:val="20"/>
                <w:szCs w:val="20"/>
                <w:color w:val="auto"/>
              </w:rPr>
            </w:pPr>
            <w:r>
              <w:rPr>
                <w:rFonts w:ascii="Arial" w:cs="Arial" w:eastAsia="Arial" w:hAnsi="Arial"/>
                <w:sz w:val="17"/>
                <w:szCs w:val="17"/>
                <w:color w:val="auto"/>
                <w:w w:val="95"/>
              </w:rPr>
              <w:t>001-36556</w:t>
            </w:r>
          </w:p>
        </w:tc>
      </w:tr>
      <w:tr>
        <w:trPr>
          <w:trHeight w:val="389"/>
        </w:trPr>
        <w:tc>
          <w:tcPr>
            <w:tcW w:w="440" w:type="dxa"/>
            <w:vAlign w:val="bottom"/>
          </w:tcPr>
          <w:p>
            <w:pPr>
              <w:spacing w:after="0"/>
              <w:rPr>
                <w:sz w:val="20"/>
                <w:szCs w:val="20"/>
                <w:color w:val="auto"/>
              </w:rPr>
            </w:pPr>
            <w:r>
              <w:rPr>
                <w:rFonts w:ascii="Arial" w:cs="Arial" w:eastAsia="Arial" w:hAnsi="Arial"/>
                <w:sz w:val="17"/>
                <w:szCs w:val="17"/>
                <w:color w:val="auto"/>
              </w:rPr>
              <w:t>10.2</w:t>
            </w:r>
          </w:p>
        </w:tc>
        <w:tc>
          <w:tcPr>
            <w:tcW w:w="380" w:type="dxa"/>
            <w:vAlign w:val="bottom"/>
          </w:tcPr>
          <w:p>
            <w:pPr>
              <w:spacing w:after="0"/>
              <w:rPr>
                <w:sz w:val="24"/>
                <w:szCs w:val="24"/>
                <w:color w:val="auto"/>
              </w:rPr>
            </w:pPr>
          </w:p>
        </w:tc>
        <w:tc>
          <w:tcPr>
            <w:tcW w:w="3620" w:type="dxa"/>
            <w:vAlign w:val="bottom"/>
            <w:gridSpan w:val="18"/>
          </w:tcPr>
          <w:p>
            <w:pPr>
              <w:spacing w:after="0"/>
              <w:rPr>
                <w:rFonts w:ascii="Arial" w:cs="Arial" w:eastAsia="Arial" w:hAnsi="Arial"/>
                <w:sz w:val="17"/>
                <w:szCs w:val="17"/>
                <w:color w:val="0000EE"/>
                <w:w w:val="93"/>
              </w:rPr>
            </w:pPr>
            <w:hyperlink r:id="rId67">
              <w:r>
                <w:rPr>
                  <w:rFonts w:ascii="Arial" w:cs="Arial" w:eastAsia="Arial" w:hAnsi="Arial"/>
                  <w:sz w:val="17"/>
                  <w:szCs w:val="17"/>
                  <w:color w:val="0000EE"/>
                  <w:w w:val="93"/>
                </w:rPr>
                <w:t>Release and Consulting Agreement, dated October</w:t>
              </w:r>
            </w:hyperlink>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5"/>
        </w:trPr>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20" w:type="dxa"/>
            <w:vAlign w:val="bottom"/>
            <w:tcBorders>
              <w:top w:val="single" w:sz="8" w:color="0000EE"/>
              <w:bottom w:val="single" w:sz="8" w:color="0000EE"/>
            </w:tcBorders>
            <w:gridSpan w:val="13"/>
          </w:tcPr>
          <w:p>
            <w:pPr>
              <w:spacing w:after="0" w:line="185" w:lineRule="exact"/>
              <w:rPr>
                <w:rFonts w:ascii="Arial" w:cs="Arial" w:eastAsia="Arial" w:hAnsi="Arial"/>
                <w:sz w:val="17"/>
                <w:szCs w:val="17"/>
                <w:color w:val="0000EE"/>
                <w:w w:val="89"/>
              </w:rPr>
            </w:pPr>
            <w:hyperlink r:id="rId67">
              <w:r>
                <w:rPr>
                  <w:rFonts w:ascii="Arial" w:cs="Arial" w:eastAsia="Arial" w:hAnsi="Arial"/>
                  <w:sz w:val="17"/>
                  <w:szCs w:val="17"/>
                  <w:color w:val="0000EE"/>
                  <w:w w:val="89"/>
                </w:rPr>
                <w:t>14, 2021, between the Company and Bernard</w:t>
              </w:r>
            </w:hyperlink>
          </w:p>
        </w:tc>
        <w:tc>
          <w:tcPr>
            <w:tcW w:w="340" w:type="dxa"/>
            <w:vAlign w:val="bottom"/>
            <w:tcBorders>
              <w:top w:val="single" w:sz="8" w:color="0000EE"/>
            </w:tcBorders>
            <w:gridSpan w:val="4"/>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5"/>
        </w:trPr>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20" w:type="dxa"/>
            <w:vAlign w:val="bottom"/>
            <w:gridSpan w:val="18"/>
          </w:tcPr>
          <w:p>
            <w:pPr>
              <w:spacing w:after="0" w:line="185" w:lineRule="exact"/>
              <w:rPr>
                <w:rFonts w:ascii="Arial" w:cs="Arial" w:eastAsia="Arial" w:hAnsi="Arial"/>
                <w:sz w:val="17"/>
                <w:szCs w:val="17"/>
                <w:color w:val="0000EE"/>
              </w:rPr>
            </w:pPr>
            <w:hyperlink r:id="rId67">
              <w:r>
                <w:rPr>
                  <w:rFonts w:ascii="Arial" w:cs="Arial" w:eastAsia="Arial" w:hAnsi="Arial"/>
                  <w:sz w:val="17"/>
                  <w:szCs w:val="17"/>
                  <w:color w:val="0000EE"/>
                </w:rPr>
                <w:t>Acoca</w:t>
              </w:r>
            </w:hyperlink>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3"/>
          </w:tcPr>
          <w:p>
            <w:pPr>
              <w:ind w:left="160"/>
              <w:spacing w:after="0" w:line="185" w:lineRule="exact"/>
              <w:rPr>
                <w:sz w:val="20"/>
                <w:szCs w:val="20"/>
                <w:color w:val="auto"/>
              </w:rPr>
            </w:pPr>
            <w:r>
              <w:rPr>
                <w:rFonts w:ascii="Arial" w:cs="Arial" w:eastAsia="Arial" w:hAnsi="Arial"/>
                <w:sz w:val="17"/>
                <w:szCs w:val="17"/>
                <w:color w:val="auto"/>
              </w:rPr>
              <w:t>8-K</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gridSpan w:val="2"/>
          </w:tcPr>
          <w:p>
            <w:pPr>
              <w:ind w:left="60"/>
              <w:spacing w:after="0" w:line="185" w:lineRule="exact"/>
              <w:rPr>
                <w:sz w:val="20"/>
                <w:szCs w:val="20"/>
                <w:color w:val="auto"/>
              </w:rPr>
            </w:pPr>
            <w:r>
              <w:rPr>
                <w:rFonts w:ascii="Arial" w:cs="Arial" w:eastAsia="Arial" w:hAnsi="Arial"/>
                <w:sz w:val="17"/>
                <w:szCs w:val="17"/>
                <w:color w:val="auto"/>
              </w:rPr>
              <w:t>10.2</w:t>
            </w:r>
          </w:p>
        </w:tc>
        <w:tc>
          <w:tcPr>
            <w:tcW w:w="1000" w:type="dxa"/>
            <w:vAlign w:val="bottom"/>
            <w:gridSpan w:val="3"/>
          </w:tcPr>
          <w:p>
            <w:pPr>
              <w:ind w:left="140"/>
              <w:spacing w:after="0" w:line="185" w:lineRule="exact"/>
              <w:rPr>
                <w:sz w:val="20"/>
                <w:szCs w:val="20"/>
                <w:color w:val="auto"/>
              </w:rPr>
            </w:pPr>
            <w:r>
              <w:rPr>
                <w:rFonts w:ascii="Arial" w:cs="Arial" w:eastAsia="Arial" w:hAnsi="Arial"/>
                <w:sz w:val="17"/>
                <w:szCs w:val="17"/>
                <w:color w:val="auto"/>
                <w:w w:val="98"/>
              </w:rPr>
              <w:t>10/15/2021</w:t>
            </w:r>
          </w:p>
        </w:tc>
        <w:tc>
          <w:tcPr>
            <w:tcW w:w="800" w:type="dxa"/>
            <w:vAlign w:val="bottom"/>
            <w:gridSpan w:val="5"/>
          </w:tcPr>
          <w:p>
            <w:pPr>
              <w:jc w:val="right"/>
              <w:spacing w:after="0" w:line="185" w:lineRule="exact"/>
              <w:rPr>
                <w:sz w:val="20"/>
                <w:szCs w:val="20"/>
                <w:color w:val="auto"/>
              </w:rPr>
            </w:pPr>
            <w:r>
              <w:rPr>
                <w:rFonts w:ascii="Arial" w:cs="Arial" w:eastAsia="Arial" w:hAnsi="Arial"/>
                <w:sz w:val="17"/>
                <w:szCs w:val="17"/>
                <w:color w:val="auto"/>
                <w:w w:val="95"/>
              </w:rPr>
              <w:t>001-36556</w:t>
            </w:r>
          </w:p>
        </w:tc>
      </w:tr>
      <w:tr>
        <w:trPr>
          <w:trHeight w:val="20"/>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9"/>
        </w:trPr>
        <w:tc>
          <w:tcPr>
            <w:tcW w:w="440" w:type="dxa"/>
            <w:vAlign w:val="bottom"/>
          </w:tcPr>
          <w:p>
            <w:pPr>
              <w:spacing w:after="0"/>
              <w:rPr>
                <w:sz w:val="20"/>
                <w:szCs w:val="20"/>
                <w:color w:val="auto"/>
              </w:rPr>
            </w:pPr>
            <w:r>
              <w:rPr>
                <w:rFonts w:ascii="Arial" w:cs="Arial" w:eastAsia="Arial" w:hAnsi="Arial"/>
                <w:sz w:val="17"/>
                <w:szCs w:val="17"/>
                <w:color w:val="auto"/>
              </w:rPr>
              <w:t>31.1</w:t>
            </w:r>
          </w:p>
        </w:tc>
        <w:tc>
          <w:tcPr>
            <w:tcW w:w="380" w:type="dxa"/>
            <w:vAlign w:val="bottom"/>
          </w:tcPr>
          <w:p>
            <w:pPr>
              <w:spacing w:after="0"/>
              <w:rPr>
                <w:sz w:val="24"/>
                <w:szCs w:val="24"/>
                <w:color w:val="auto"/>
              </w:rPr>
            </w:pPr>
          </w:p>
        </w:tc>
        <w:tc>
          <w:tcPr>
            <w:tcW w:w="3000" w:type="dxa"/>
            <w:vAlign w:val="bottom"/>
            <w:tcBorders>
              <w:bottom w:val="single" w:sz="8" w:color="0000EE"/>
            </w:tcBorders>
            <w:gridSpan w:val="10"/>
          </w:tcPr>
          <w:p>
            <w:pPr>
              <w:spacing w:after="0"/>
              <w:rPr>
                <w:rFonts w:ascii="Arial" w:cs="Arial" w:eastAsia="Arial" w:hAnsi="Arial"/>
                <w:sz w:val="17"/>
                <w:szCs w:val="17"/>
                <w:color w:val="0000EE"/>
                <w:w w:val="94"/>
              </w:rPr>
            </w:pPr>
            <w:hyperlink w:anchor="page52">
              <w:r>
                <w:rPr>
                  <w:rFonts w:ascii="Arial" w:cs="Arial" w:eastAsia="Arial" w:hAnsi="Arial"/>
                  <w:sz w:val="17"/>
                  <w:szCs w:val="17"/>
                  <w:color w:val="0000EE"/>
                  <w:w w:val="94"/>
                </w:rPr>
                <w:t>Certification of Interim Principal Executive</w:t>
              </w:r>
            </w:hyperlink>
          </w:p>
        </w:tc>
        <w:tc>
          <w:tcPr>
            <w:tcW w:w="620" w:type="dxa"/>
            <w:vAlign w:val="bottom"/>
            <w:gridSpan w:val="8"/>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5"/>
        </w:trPr>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80" w:type="dxa"/>
            <w:vAlign w:val="bottom"/>
            <w:tcBorders>
              <w:bottom w:val="single" w:sz="8" w:color="0000EE"/>
            </w:tcBorders>
            <w:gridSpan w:val="15"/>
          </w:tcPr>
          <w:p>
            <w:pPr>
              <w:spacing w:after="0" w:line="185" w:lineRule="exact"/>
              <w:rPr>
                <w:rFonts w:ascii="Arial" w:cs="Arial" w:eastAsia="Arial" w:hAnsi="Arial"/>
                <w:sz w:val="17"/>
                <w:szCs w:val="17"/>
                <w:color w:val="0000EE"/>
                <w:w w:val="92"/>
              </w:rPr>
            </w:pPr>
            <w:hyperlink w:anchor="page52">
              <w:r>
                <w:rPr>
                  <w:rFonts w:ascii="Arial" w:cs="Arial" w:eastAsia="Arial" w:hAnsi="Arial"/>
                  <w:sz w:val="17"/>
                  <w:szCs w:val="17"/>
                  <w:color w:val="0000EE"/>
                  <w:w w:val="92"/>
                </w:rPr>
                <w:t>Officer and Chief Financial Officer under section</w:t>
              </w:r>
            </w:hyperlink>
          </w:p>
        </w:tc>
        <w:tc>
          <w:tcPr>
            <w:tcW w:w="240" w:type="dxa"/>
            <w:vAlign w:val="bottom"/>
            <w:gridSpan w:val="3"/>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5"/>
        </w:trPr>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20" w:type="dxa"/>
            <w:vAlign w:val="bottom"/>
            <w:tcBorders>
              <w:bottom w:val="single" w:sz="8" w:color="0000EE"/>
            </w:tcBorders>
            <w:gridSpan w:val="7"/>
          </w:tcPr>
          <w:p>
            <w:pPr>
              <w:spacing w:after="0" w:line="185" w:lineRule="exact"/>
              <w:rPr>
                <w:rFonts w:ascii="Arial" w:cs="Arial" w:eastAsia="Arial" w:hAnsi="Arial"/>
                <w:sz w:val="17"/>
                <w:szCs w:val="17"/>
                <w:color w:val="0000EE"/>
                <w:w w:val="90"/>
              </w:rPr>
            </w:pPr>
            <w:hyperlink w:anchor="page52">
              <w:r>
                <w:rPr>
                  <w:rFonts w:ascii="Arial" w:cs="Arial" w:eastAsia="Arial" w:hAnsi="Arial"/>
                  <w:sz w:val="17"/>
                  <w:szCs w:val="17"/>
                  <w:color w:val="0000EE"/>
                  <w:w w:val="90"/>
                </w:rPr>
                <w:t>302 of the Sarbanes–Oxley Act of 2002</w:t>
              </w:r>
            </w:hyperlink>
          </w:p>
        </w:tc>
        <w:tc>
          <w:tcPr>
            <w:tcW w:w="900" w:type="dxa"/>
            <w:vAlign w:val="bottom"/>
            <w:gridSpan w:val="11"/>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5"/>
          </w:tcPr>
          <w:p>
            <w:pPr>
              <w:jc w:val="center"/>
              <w:ind w:right="720"/>
              <w:spacing w:after="0" w:line="185" w:lineRule="exact"/>
              <w:rPr>
                <w:sz w:val="20"/>
                <w:szCs w:val="20"/>
                <w:color w:val="auto"/>
              </w:rPr>
            </w:pPr>
            <w:r>
              <w:rPr>
                <w:rFonts w:ascii="Arial" w:cs="Arial" w:eastAsia="Arial" w:hAnsi="Arial"/>
                <w:sz w:val="17"/>
                <w:szCs w:val="17"/>
                <w:color w:val="auto"/>
              </w:rPr>
              <w:t>X</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89"/>
        </w:trPr>
        <w:tc>
          <w:tcPr>
            <w:tcW w:w="440" w:type="dxa"/>
            <w:vAlign w:val="bottom"/>
          </w:tcPr>
          <w:p>
            <w:pPr>
              <w:spacing w:after="0"/>
              <w:rPr>
                <w:sz w:val="20"/>
                <w:szCs w:val="20"/>
                <w:color w:val="auto"/>
              </w:rPr>
            </w:pPr>
            <w:r>
              <w:rPr>
                <w:rFonts w:ascii="Arial" w:cs="Arial" w:eastAsia="Arial" w:hAnsi="Arial"/>
                <w:sz w:val="17"/>
                <w:szCs w:val="17"/>
                <w:color w:val="auto"/>
              </w:rPr>
              <w:t>32.1</w:t>
            </w:r>
          </w:p>
        </w:tc>
        <w:tc>
          <w:tcPr>
            <w:tcW w:w="380" w:type="dxa"/>
            <w:vAlign w:val="bottom"/>
          </w:tcPr>
          <w:p>
            <w:pPr>
              <w:spacing w:after="0"/>
              <w:rPr>
                <w:sz w:val="24"/>
                <w:szCs w:val="24"/>
                <w:color w:val="auto"/>
              </w:rPr>
            </w:pPr>
          </w:p>
        </w:tc>
        <w:tc>
          <w:tcPr>
            <w:tcW w:w="3280" w:type="dxa"/>
            <w:vAlign w:val="bottom"/>
            <w:tcBorders>
              <w:bottom w:val="single" w:sz="8" w:color="0000EE"/>
            </w:tcBorders>
            <w:gridSpan w:val="14"/>
          </w:tcPr>
          <w:p>
            <w:pPr>
              <w:spacing w:after="0"/>
              <w:rPr>
                <w:rFonts w:ascii="Arial" w:cs="Arial" w:eastAsia="Arial" w:hAnsi="Arial"/>
                <w:sz w:val="17"/>
                <w:szCs w:val="17"/>
                <w:color w:val="0000EE"/>
                <w:w w:val="95"/>
              </w:rPr>
            </w:pPr>
            <w:hyperlink w:anchor="page53">
              <w:r>
                <w:rPr>
                  <w:rFonts w:ascii="Arial" w:cs="Arial" w:eastAsia="Arial" w:hAnsi="Arial"/>
                  <w:sz w:val="17"/>
                  <w:szCs w:val="17"/>
                  <w:color w:val="0000EE"/>
                  <w:w w:val="95"/>
                </w:rPr>
                <w:t>Certification of Interim Chief Executive Officer</w:t>
              </w:r>
            </w:hyperlink>
          </w:p>
        </w:tc>
        <w:tc>
          <w:tcPr>
            <w:tcW w:w="340" w:type="dxa"/>
            <w:vAlign w:val="bottom"/>
            <w:gridSpan w:val="4"/>
          </w:tcPr>
          <w:p>
            <w:pPr>
              <w:spacing w:after="0"/>
              <w:rPr>
                <w:sz w:val="24"/>
                <w:szCs w:val="24"/>
                <w:color w:val="auto"/>
              </w:rPr>
            </w:pPr>
          </w:p>
        </w:tc>
        <w:tc>
          <w:tcPr>
            <w:tcW w:w="400" w:type="dxa"/>
            <w:vAlign w:val="bottom"/>
            <w:gridSpan w:val="2"/>
          </w:tcPr>
          <w:p>
            <w:pPr>
              <w:jc w:val="center"/>
              <w:ind w:left="35"/>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5"/>
        </w:trPr>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20" w:type="dxa"/>
            <w:vAlign w:val="bottom"/>
            <w:gridSpan w:val="18"/>
          </w:tcPr>
          <w:p>
            <w:pPr>
              <w:spacing w:after="0" w:line="185" w:lineRule="exact"/>
              <w:rPr>
                <w:rFonts w:ascii="Arial" w:cs="Arial" w:eastAsia="Arial" w:hAnsi="Arial"/>
                <w:sz w:val="17"/>
                <w:szCs w:val="17"/>
                <w:color w:val="0000EE"/>
              </w:rPr>
            </w:pPr>
            <w:hyperlink w:anchor="page53">
              <w:r>
                <w:rPr>
                  <w:rFonts w:ascii="Arial" w:cs="Arial" w:eastAsia="Arial" w:hAnsi="Arial"/>
                  <w:sz w:val="17"/>
                  <w:szCs w:val="17"/>
                  <w:color w:val="0000EE"/>
                </w:rPr>
                <w:t>and Chief Financial Officer under 18 U.S.C.</w:t>
              </w:r>
            </w:hyperlink>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5"/>
        </w:trPr>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tcBorders>
              <w:top w:val="single" w:sz="8" w:color="0000EE"/>
              <w:bottom w:val="single" w:sz="8" w:color="0000EE"/>
            </w:tcBorders>
            <w:gridSpan w:val="9"/>
          </w:tcPr>
          <w:p>
            <w:pPr>
              <w:spacing w:after="0" w:line="185" w:lineRule="exact"/>
              <w:rPr>
                <w:rFonts w:ascii="Arial" w:cs="Arial" w:eastAsia="Arial" w:hAnsi="Arial"/>
                <w:sz w:val="17"/>
                <w:szCs w:val="17"/>
                <w:color w:val="0000EE"/>
                <w:w w:val="89"/>
              </w:rPr>
            </w:pPr>
            <w:hyperlink w:anchor="page53">
              <w:r>
                <w:rPr>
                  <w:rFonts w:ascii="Arial" w:cs="Arial" w:eastAsia="Arial" w:hAnsi="Arial"/>
                  <w:sz w:val="17"/>
                  <w:szCs w:val="17"/>
                  <w:color w:val="0000EE"/>
                  <w:w w:val="89"/>
                </w:rPr>
                <w:t>section 1350, adopted by section 906 of the</w:t>
              </w:r>
            </w:hyperlink>
          </w:p>
        </w:tc>
        <w:tc>
          <w:tcPr>
            <w:tcW w:w="40" w:type="dxa"/>
            <w:vAlign w:val="bottom"/>
            <w:tcBorders>
              <w:top w:val="single" w:sz="8" w:color="0000EE"/>
            </w:tcBorders>
            <w:gridSpan w:val="2"/>
          </w:tcPr>
          <w:p>
            <w:pPr>
              <w:spacing w:after="0"/>
              <w:rPr>
                <w:sz w:val="16"/>
                <w:szCs w:val="16"/>
                <w:color w:val="auto"/>
              </w:rPr>
            </w:pPr>
          </w:p>
        </w:tc>
        <w:tc>
          <w:tcPr>
            <w:tcW w:w="600" w:type="dxa"/>
            <w:vAlign w:val="bottom"/>
            <w:gridSpan w:val="7"/>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5"/>
        </w:trPr>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20" w:type="dxa"/>
            <w:vAlign w:val="bottom"/>
            <w:gridSpan w:val="18"/>
          </w:tcPr>
          <w:p>
            <w:pPr>
              <w:spacing w:after="0" w:line="185" w:lineRule="exact"/>
              <w:rPr>
                <w:rFonts w:ascii="Arial" w:cs="Arial" w:eastAsia="Arial" w:hAnsi="Arial"/>
                <w:sz w:val="17"/>
                <w:szCs w:val="17"/>
                <w:color w:val="0000EE"/>
              </w:rPr>
            </w:pPr>
            <w:hyperlink w:anchor="page53">
              <w:r>
                <w:rPr>
                  <w:rFonts w:ascii="Arial" w:cs="Arial" w:eastAsia="Arial" w:hAnsi="Arial"/>
                  <w:sz w:val="17"/>
                  <w:szCs w:val="17"/>
                  <w:color w:val="0000EE"/>
                </w:rPr>
                <w:t>Sarbanes–Oxley Act of 2002</w:t>
              </w:r>
            </w:hyperlink>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820" w:type="dxa"/>
            <w:vAlign w:val="bottom"/>
            <w:gridSpan w:val="2"/>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1640" w:type="dxa"/>
            <w:vAlign w:val="bottom"/>
            <w:gridSpan w:val="1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5"/>
        </w:trPr>
        <w:tc>
          <w:tcPr>
            <w:tcW w:w="820" w:type="dxa"/>
            <w:vAlign w:val="bottom"/>
            <w:gridSpan w:val="2"/>
          </w:tcPr>
          <w:p>
            <w:pPr>
              <w:spacing w:after="0"/>
              <w:rPr>
                <w:sz w:val="20"/>
                <w:szCs w:val="20"/>
                <w:color w:val="auto"/>
              </w:rPr>
            </w:pPr>
            <w:r>
              <w:rPr>
                <w:rFonts w:ascii="Arial" w:cs="Arial" w:eastAsia="Arial" w:hAnsi="Arial"/>
                <w:sz w:val="17"/>
                <w:szCs w:val="17"/>
                <w:color w:val="auto"/>
              </w:rPr>
              <w:t>101.INS</w:t>
            </w:r>
          </w:p>
        </w:tc>
        <w:tc>
          <w:tcPr>
            <w:tcW w:w="3620" w:type="dxa"/>
            <w:vAlign w:val="bottom"/>
            <w:gridSpan w:val="18"/>
          </w:tcPr>
          <w:p>
            <w:pPr>
              <w:spacing w:after="0"/>
              <w:rPr>
                <w:sz w:val="20"/>
                <w:szCs w:val="20"/>
                <w:color w:val="auto"/>
              </w:rPr>
            </w:pPr>
            <w:r>
              <w:rPr>
                <w:rFonts w:ascii="Arial" w:cs="Arial" w:eastAsia="Arial" w:hAnsi="Arial"/>
                <w:sz w:val="17"/>
                <w:szCs w:val="17"/>
                <w:color w:val="auto"/>
              </w:rPr>
              <w:t>Inline XBRL Instance Document - the instance</w:t>
            </w:r>
          </w:p>
        </w:tc>
        <w:tc>
          <w:tcPr>
            <w:tcW w:w="120" w:type="dxa"/>
            <w:vAlign w:val="bottom"/>
          </w:tcPr>
          <w:p>
            <w:pPr>
              <w:spacing w:after="0"/>
              <w:rPr>
                <w:sz w:val="24"/>
                <w:szCs w:val="24"/>
                <w:color w:val="auto"/>
              </w:rPr>
            </w:pPr>
          </w:p>
        </w:tc>
        <w:tc>
          <w:tcPr>
            <w:tcW w:w="1000" w:type="dxa"/>
            <w:vAlign w:val="bottom"/>
            <w:gridSpan w:val="5"/>
          </w:tcPr>
          <w:p>
            <w:pPr>
              <w:jc w:val="center"/>
              <w:ind w:right="720"/>
              <w:spacing w:after="0"/>
              <w:rPr>
                <w:sz w:val="20"/>
                <w:szCs w:val="20"/>
                <w:color w:val="auto"/>
              </w:rPr>
            </w:pPr>
            <w:r>
              <w:rPr>
                <w:rFonts w:ascii="Arial" w:cs="Arial" w:eastAsia="Arial" w:hAnsi="Arial"/>
                <w:sz w:val="17"/>
                <w:szCs w:val="17"/>
                <w:color w:val="auto"/>
              </w:rPr>
              <w:t>X</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5"/>
        </w:trPr>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20" w:type="dxa"/>
            <w:vAlign w:val="bottom"/>
            <w:gridSpan w:val="18"/>
          </w:tcPr>
          <w:p>
            <w:pPr>
              <w:spacing w:after="0"/>
              <w:rPr>
                <w:sz w:val="20"/>
                <w:szCs w:val="20"/>
                <w:color w:val="auto"/>
              </w:rPr>
            </w:pPr>
            <w:r>
              <w:rPr>
                <w:rFonts w:ascii="Arial" w:cs="Arial" w:eastAsia="Arial" w:hAnsi="Arial"/>
                <w:sz w:val="17"/>
                <w:szCs w:val="17"/>
                <w:color w:val="auto"/>
                <w:w w:val="96"/>
              </w:rPr>
              <w:t>document does not appear in the Interactive Data</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20" w:type="dxa"/>
            <w:vAlign w:val="bottom"/>
            <w:gridSpan w:val="18"/>
          </w:tcPr>
          <w:p>
            <w:pPr>
              <w:spacing w:after="0"/>
              <w:rPr>
                <w:sz w:val="20"/>
                <w:szCs w:val="20"/>
                <w:color w:val="auto"/>
              </w:rPr>
            </w:pPr>
            <w:r>
              <w:rPr>
                <w:rFonts w:ascii="Arial" w:cs="Arial" w:eastAsia="Arial" w:hAnsi="Arial"/>
                <w:sz w:val="17"/>
                <w:szCs w:val="17"/>
                <w:color w:val="auto"/>
                <w:w w:val="98"/>
              </w:rPr>
              <w:t>File because its XBRL tags are embedded within</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20" w:type="dxa"/>
            <w:vAlign w:val="bottom"/>
            <w:gridSpan w:val="18"/>
          </w:tcPr>
          <w:p>
            <w:pPr>
              <w:spacing w:after="0"/>
              <w:rPr>
                <w:sz w:val="20"/>
                <w:szCs w:val="20"/>
                <w:color w:val="auto"/>
              </w:rPr>
            </w:pPr>
            <w:r>
              <w:rPr>
                <w:rFonts w:ascii="Arial" w:cs="Arial" w:eastAsia="Arial" w:hAnsi="Arial"/>
                <w:sz w:val="17"/>
                <w:szCs w:val="17"/>
                <w:color w:val="auto"/>
              </w:rPr>
              <w:t>the Inline XBRL document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09"/>
        </w:trPr>
        <w:tc>
          <w:tcPr>
            <w:tcW w:w="820" w:type="dxa"/>
            <w:vAlign w:val="bottom"/>
            <w:gridSpan w:val="2"/>
          </w:tcPr>
          <w:p>
            <w:pPr>
              <w:spacing w:after="0"/>
              <w:rPr>
                <w:sz w:val="20"/>
                <w:szCs w:val="20"/>
                <w:color w:val="auto"/>
              </w:rPr>
            </w:pPr>
            <w:r>
              <w:rPr>
                <w:rFonts w:ascii="Arial" w:cs="Arial" w:eastAsia="Arial" w:hAnsi="Arial"/>
                <w:sz w:val="17"/>
                <w:szCs w:val="17"/>
                <w:color w:val="auto"/>
              </w:rPr>
              <w:t>101.SCH</w:t>
            </w:r>
          </w:p>
        </w:tc>
        <w:tc>
          <w:tcPr>
            <w:tcW w:w="3620" w:type="dxa"/>
            <w:vAlign w:val="bottom"/>
            <w:gridSpan w:val="18"/>
          </w:tcPr>
          <w:p>
            <w:pPr>
              <w:spacing w:after="0"/>
              <w:rPr>
                <w:sz w:val="20"/>
                <w:szCs w:val="20"/>
                <w:color w:val="auto"/>
              </w:rPr>
            </w:pPr>
            <w:r>
              <w:rPr>
                <w:rFonts w:ascii="Arial" w:cs="Arial" w:eastAsia="Arial" w:hAnsi="Arial"/>
                <w:sz w:val="17"/>
                <w:szCs w:val="17"/>
                <w:color w:val="auto"/>
              </w:rPr>
              <w:t>XBRL Taxonomy Extension Schema Document</w:t>
            </w:r>
          </w:p>
        </w:tc>
        <w:tc>
          <w:tcPr>
            <w:tcW w:w="120" w:type="dxa"/>
            <w:vAlign w:val="bottom"/>
          </w:tcPr>
          <w:p>
            <w:pPr>
              <w:spacing w:after="0"/>
              <w:rPr>
                <w:sz w:val="24"/>
                <w:szCs w:val="24"/>
                <w:color w:val="auto"/>
              </w:rPr>
            </w:pPr>
          </w:p>
        </w:tc>
        <w:tc>
          <w:tcPr>
            <w:tcW w:w="1000" w:type="dxa"/>
            <w:vAlign w:val="bottom"/>
            <w:gridSpan w:val="5"/>
          </w:tcPr>
          <w:p>
            <w:pPr>
              <w:jc w:val="center"/>
              <w:ind w:right="720"/>
              <w:spacing w:after="0"/>
              <w:rPr>
                <w:sz w:val="20"/>
                <w:szCs w:val="20"/>
                <w:color w:val="auto"/>
              </w:rPr>
            </w:pPr>
            <w:r>
              <w:rPr>
                <w:rFonts w:ascii="Arial" w:cs="Arial" w:eastAsia="Arial" w:hAnsi="Arial"/>
                <w:sz w:val="17"/>
                <w:szCs w:val="17"/>
                <w:color w:val="auto"/>
              </w:rPr>
              <w:t>X</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8"/>
        </w:trPr>
        <w:tc>
          <w:tcPr>
            <w:tcW w:w="820" w:type="dxa"/>
            <w:vAlign w:val="bottom"/>
            <w:gridSpan w:val="2"/>
          </w:tcPr>
          <w:p>
            <w:pPr>
              <w:spacing w:after="0"/>
              <w:rPr>
                <w:sz w:val="20"/>
                <w:szCs w:val="20"/>
                <w:color w:val="auto"/>
              </w:rPr>
            </w:pPr>
            <w:r>
              <w:rPr>
                <w:rFonts w:ascii="Arial" w:cs="Arial" w:eastAsia="Arial" w:hAnsi="Arial"/>
                <w:sz w:val="17"/>
                <w:szCs w:val="17"/>
                <w:color w:val="auto"/>
              </w:rPr>
              <w:t>101.CAL</w:t>
            </w:r>
          </w:p>
        </w:tc>
        <w:tc>
          <w:tcPr>
            <w:tcW w:w="3620" w:type="dxa"/>
            <w:vAlign w:val="bottom"/>
            <w:gridSpan w:val="18"/>
          </w:tcPr>
          <w:p>
            <w:pPr>
              <w:spacing w:after="0"/>
              <w:rPr>
                <w:sz w:val="20"/>
                <w:szCs w:val="20"/>
                <w:color w:val="auto"/>
              </w:rPr>
            </w:pPr>
            <w:r>
              <w:rPr>
                <w:rFonts w:ascii="Arial" w:cs="Arial" w:eastAsia="Arial" w:hAnsi="Arial"/>
                <w:sz w:val="17"/>
                <w:szCs w:val="17"/>
                <w:color w:val="auto"/>
                <w:w w:val="97"/>
              </w:rPr>
              <w:t>XBRL Taxonomy Extension Calculation Linkbase</w:t>
            </w:r>
          </w:p>
        </w:tc>
        <w:tc>
          <w:tcPr>
            <w:tcW w:w="120" w:type="dxa"/>
            <w:vAlign w:val="bottom"/>
          </w:tcPr>
          <w:p>
            <w:pPr>
              <w:spacing w:after="0"/>
              <w:rPr>
                <w:sz w:val="24"/>
                <w:szCs w:val="24"/>
                <w:color w:val="auto"/>
              </w:rPr>
            </w:pPr>
          </w:p>
        </w:tc>
        <w:tc>
          <w:tcPr>
            <w:tcW w:w="1000" w:type="dxa"/>
            <w:vAlign w:val="bottom"/>
            <w:gridSpan w:val="5"/>
          </w:tcPr>
          <w:p>
            <w:pPr>
              <w:jc w:val="center"/>
              <w:ind w:right="720"/>
              <w:spacing w:after="0"/>
              <w:rPr>
                <w:sz w:val="20"/>
                <w:szCs w:val="20"/>
                <w:color w:val="auto"/>
              </w:rPr>
            </w:pPr>
            <w:r>
              <w:rPr>
                <w:rFonts w:ascii="Arial" w:cs="Arial" w:eastAsia="Arial" w:hAnsi="Arial"/>
                <w:sz w:val="17"/>
                <w:szCs w:val="17"/>
                <w:color w:val="auto"/>
              </w:rPr>
              <w:t>X</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20" w:type="dxa"/>
            <w:vAlign w:val="bottom"/>
            <w:gridSpan w:val="18"/>
          </w:tcPr>
          <w:p>
            <w:pPr>
              <w:spacing w:after="0"/>
              <w:rPr>
                <w:sz w:val="20"/>
                <w:szCs w:val="20"/>
                <w:color w:val="auto"/>
              </w:rPr>
            </w:pPr>
            <w:r>
              <w:rPr>
                <w:rFonts w:ascii="Arial" w:cs="Arial" w:eastAsia="Arial" w:hAnsi="Arial"/>
                <w:sz w:val="17"/>
                <w:szCs w:val="17"/>
                <w:color w:val="auto"/>
              </w:rPr>
              <w:t>Document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98"/>
        </w:trPr>
        <w:tc>
          <w:tcPr>
            <w:tcW w:w="820" w:type="dxa"/>
            <w:vAlign w:val="bottom"/>
            <w:gridSpan w:val="2"/>
          </w:tcPr>
          <w:p>
            <w:pPr>
              <w:spacing w:after="0"/>
              <w:rPr>
                <w:sz w:val="20"/>
                <w:szCs w:val="20"/>
                <w:color w:val="auto"/>
              </w:rPr>
            </w:pPr>
            <w:r>
              <w:rPr>
                <w:rFonts w:ascii="Arial" w:cs="Arial" w:eastAsia="Arial" w:hAnsi="Arial"/>
                <w:sz w:val="17"/>
                <w:szCs w:val="17"/>
                <w:color w:val="auto"/>
              </w:rPr>
              <w:t>101.DEF</w:t>
            </w:r>
          </w:p>
        </w:tc>
        <w:tc>
          <w:tcPr>
            <w:tcW w:w="3620" w:type="dxa"/>
            <w:vAlign w:val="bottom"/>
            <w:gridSpan w:val="18"/>
          </w:tcPr>
          <w:p>
            <w:pPr>
              <w:spacing w:after="0"/>
              <w:rPr>
                <w:sz w:val="20"/>
                <w:szCs w:val="20"/>
                <w:color w:val="auto"/>
              </w:rPr>
            </w:pPr>
            <w:r>
              <w:rPr>
                <w:rFonts w:ascii="Arial" w:cs="Arial" w:eastAsia="Arial" w:hAnsi="Arial"/>
                <w:sz w:val="17"/>
                <w:szCs w:val="17"/>
                <w:color w:val="auto"/>
              </w:rPr>
              <w:t>XBRL Taxonomy Extension Definition Linkbase</w:t>
            </w:r>
          </w:p>
        </w:tc>
        <w:tc>
          <w:tcPr>
            <w:tcW w:w="120" w:type="dxa"/>
            <w:vAlign w:val="bottom"/>
          </w:tcPr>
          <w:p>
            <w:pPr>
              <w:spacing w:after="0"/>
              <w:rPr>
                <w:sz w:val="24"/>
                <w:szCs w:val="24"/>
                <w:color w:val="auto"/>
              </w:rPr>
            </w:pPr>
          </w:p>
        </w:tc>
        <w:tc>
          <w:tcPr>
            <w:tcW w:w="1000" w:type="dxa"/>
            <w:vAlign w:val="bottom"/>
            <w:gridSpan w:val="5"/>
          </w:tcPr>
          <w:p>
            <w:pPr>
              <w:jc w:val="center"/>
              <w:ind w:right="720"/>
              <w:spacing w:after="0"/>
              <w:rPr>
                <w:sz w:val="20"/>
                <w:szCs w:val="20"/>
                <w:color w:val="auto"/>
              </w:rPr>
            </w:pPr>
            <w:r>
              <w:rPr>
                <w:rFonts w:ascii="Arial" w:cs="Arial" w:eastAsia="Arial" w:hAnsi="Arial"/>
                <w:sz w:val="17"/>
                <w:szCs w:val="17"/>
                <w:color w:val="auto"/>
              </w:rPr>
              <w:t>X</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20" w:type="dxa"/>
            <w:vAlign w:val="bottom"/>
            <w:gridSpan w:val="18"/>
          </w:tcPr>
          <w:p>
            <w:pPr>
              <w:spacing w:after="0"/>
              <w:rPr>
                <w:sz w:val="20"/>
                <w:szCs w:val="20"/>
                <w:color w:val="auto"/>
              </w:rPr>
            </w:pPr>
            <w:r>
              <w:rPr>
                <w:rFonts w:ascii="Arial" w:cs="Arial" w:eastAsia="Arial" w:hAnsi="Arial"/>
                <w:sz w:val="17"/>
                <w:szCs w:val="17"/>
                <w:color w:val="auto"/>
              </w:rPr>
              <w:t>Document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98"/>
        </w:trPr>
        <w:tc>
          <w:tcPr>
            <w:tcW w:w="820" w:type="dxa"/>
            <w:vAlign w:val="bottom"/>
            <w:gridSpan w:val="2"/>
          </w:tcPr>
          <w:p>
            <w:pPr>
              <w:spacing w:after="0"/>
              <w:rPr>
                <w:sz w:val="20"/>
                <w:szCs w:val="20"/>
                <w:color w:val="auto"/>
              </w:rPr>
            </w:pPr>
            <w:r>
              <w:rPr>
                <w:rFonts w:ascii="Arial" w:cs="Arial" w:eastAsia="Arial" w:hAnsi="Arial"/>
                <w:sz w:val="17"/>
                <w:szCs w:val="17"/>
                <w:color w:val="auto"/>
              </w:rPr>
              <w:t>101.LAB</w:t>
            </w:r>
          </w:p>
        </w:tc>
        <w:tc>
          <w:tcPr>
            <w:tcW w:w="3620" w:type="dxa"/>
            <w:vAlign w:val="bottom"/>
            <w:gridSpan w:val="18"/>
          </w:tcPr>
          <w:p>
            <w:pPr>
              <w:spacing w:after="0"/>
              <w:rPr>
                <w:sz w:val="20"/>
                <w:szCs w:val="20"/>
                <w:color w:val="auto"/>
              </w:rPr>
            </w:pPr>
            <w:r>
              <w:rPr>
                <w:rFonts w:ascii="Arial" w:cs="Arial" w:eastAsia="Arial" w:hAnsi="Arial"/>
                <w:sz w:val="17"/>
                <w:szCs w:val="17"/>
                <w:color w:val="auto"/>
              </w:rPr>
              <w:t>XBRL Taxonomy Extension Label Linkbase</w:t>
            </w:r>
          </w:p>
        </w:tc>
        <w:tc>
          <w:tcPr>
            <w:tcW w:w="120" w:type="dxa"/>
            <w:vAlign w:val="bottom"/>
          </w:tcPr>
          <w:p>
            <w:pPr>
              <w:spacing w:after="0"/>
              <w:rPr>
                <w:sz w:val="24"/>
                <w:szCs w:val="24"/>
                <w:color w:val="auto"/>
              </w:rPr>
            </w:pPr>
          </w:p>
        </w:tc>
        <w:tc>
          <w:tcPr>
            <w:tcW w:w="1000" w:type="dxa"/>
            <w:vAlign w:val="bottom"/>
            <w:gridSpan w:val="5"/>
          </w:tcPr>
          <w:p>
            <w:pPr>
              <w:jc w:val="center"/>
              <w:ind w:right="720"/>
              <w:spacing w:after="0"/>
              <w:rPr>
                <w:sz w:val="20"/>
                <w:szCs w:val="20"/>
                <w:color w:val="auto"/>
              </w:rPr>
            </w:pPr>
            <w:r>
              <w:rPr>
                <w:rFonts w:ascii="Arial" w:cs="Arial" w:eastAsia="Arial" w:hAnsi="Arial"/>
                <w:sz w:val="17"/>
                <w:szCs w:val="17"/>
                <w:color w:val="auto"/>
              </w:rPr>
              <w:t>X</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20" w:type="dxa"/>
            <w:vAlign w:val="bottom"/>
            <w:gridSpan w:val="18"/>
          </w:tcPr>
          <w:p>
            <w:pPr>
              <w:spacing w:after="0"/>
              <w:rPr>
                <w:sz w:val="20"/>
                <w:szCs w:val="20"/>
                <w:color w:val="auto"/>
              </w:rPr>
            </w:pPr>
            <w:r>
              <w:rPr>
                <w:rFonts w:ascii="Arial" w:cs="Arial" w:eastAsia="Arial" w:hAnsi="Arial"/>
                <w:sz w:val="17"/>
                <w:szCs w:val="17"/>
                <w:color w:val="auto"/>
              </w:rPr>
              <w:t>Document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98"/>
        </w:trPr>
        <w:tc>
          <w:tcPr>
            <w:tcW w:w="820" w:type="dxa"/>
            <w:vAlign w:val="bottom"/>
            <w:gridSpan w:val="2"/>
          </w:tcPr>
          <w:p>
            <w:pPr>
              <w:spacing w:after="0"/>
              <w:rPr>
                <w:sz w:val="20"/>
                <w:szCs w:val="20"/>
                <w:color w:val="auto"/>
              </w:rPr>
            </w:pPr>
            <w:r>
              <w:rPr>
                <w:rFonts w:ascii="Arial" w:cs="Arial" w:eastAsia="Arial" w:hAnsi="Arial"/>
                <w:sz w:val="17"/>
                <w:szCs w:val="17"/>
                <w:color w:val="auto"/>
              </w:rPr>
              <w:t>101.PRE</w:t>
            </w:r>
          </w:p>
        </w:tc>
        <w:tc>
          <w:tcPr>
            <w:tcW w:w="3620" w:type="dxa"/>
            <w:vAlign w:val="bottom"/>
            <w:gridSpan w:val="18"/>
          </w:tcPr>
          <w:p>
            <w:pPr>
              <w:spacing w:after="0"/>
              <w:rPr>
                <w:sz w:val="20"/>
                <w:szCs w:val="20"/>
                <w:color w:val="auto"/>
              </w:rPr>
            </w:pPr>
            <w:r>
              <w:rPr>
                <w:rFonts w:ascii="Arial" w:cs="Arial" w:eastAsia="Arial" w:hAnsi="Arial"/>
                <w:sz w:val="17"/>
                <w:szCs w:val="17"/>
                <w:color w:val="auto"/>
              </w:rPr>
              <w:t>XBRL Taxonomy Extension Presentation</w:t>
            </w:r>
          </w:p>
        </w:tc>
        <w:tc>
          <w:tcPr>
            <w:tcW w:w="120" w:type="dxa"/>
            <w:vAlign w:val="bottom"/>
          </w:tcPr>
          <w:p>
            <w:pPr>
              <w:spacing w:after="0"/>
              <w:rPr>
                <w:sz w:val="24"/>
                <w:szCs w:val="24"/>
                <w:color w:val="auto"/>
              </w:rPr>
            </w:pPr>
          </w:p>
        </w:tc>
        <w:tc>
          <w:tcPr>
            <w:tcW w:w="1000" w:type="dxa"/>
            <w:vAlign w:val="bottom"/>
            <w:gridSpan w:val="5"/>
          </w:tcPr>
          <w:p>
            <w:pPr>
              <w:jc w:val="center"/>
              <w:ind w:right="720"/>
              <w:spacing w:after="0"/>
              <w:rPr>
                <w:sz w:val="20"/>
                <w:szCs w:val="20"/>
                <w:color w:val="auto"/>
              </w:rPr>
            </w:pPr>
            <w:r>
              <w:rPr>
                <w:rFonts w:ascii="Arial" w:cs="Arial" w:eastAsia="Arial" w:hAnsi="Arial"/>
                <w:sz w:val="17"/>
                <w:szCs w:val="17"/>
                <w:color w:val="auto"/>
              </w:rPr>
              <w:t>X</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20" w:type="dxa"/>
            <w:vAlign w:val="bottom"/>
            <w:gridSpan w:val="18"/>
          </w:tcPr>
          <w:p>
            <w:pPr>
              <w:spacing w:after="0"/>
              <w:rPr>
                <w:sz w:val="20"/>
                <w:szCs w:val="20"/>
                <w:color w:val="auto"/>
              </w:rPr>
            </w:pPr>
            <w:r>
              <w:rPr>
                <w:rFonts w:ascii="Arial" w:cs="Arial" w:eastAsia="Arial" w:hAnsi="Arial"/>
                <w:sz w:val="17"/>
                <w:szCs w:val="17"/>
                <w:color w:val="auto"/>
              </w:rPr>
              <w:t>Linkbase Document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98"/>
        </w:trPr>
        <w:tc>
          <w:tcPr>
            <w:tcW w:w="440" w:type="dxa"/>
            <w:vAlign w:val="bottom"/>
          </w:tcPr>
          <w:p>
            <w:pPr>
              <w:spacing w:after="0"/>
              <w:rPr>
                <w:sz w:val="20"/>
                <w:szCs w:val="20"/>
                <w:color w:val="auto"/>
              </w:rPr>
            </w:pPr>
            <w:r>
              <w:rPr>
                <w:rFonts w:ascii="Arial" w:cs="Arial" w:eastAsia="Arial" w:hAnsi="Arial"/>
                <w:sz w:val="17"/>
                <w:szCs w:val="17"/>
                <w:color w:val="auto"/>
              </w:rPr>
              <w:t>104</w:t>
            </w:r>
          </w:p>
        </w:tc>
        <w:tc>
          <w:tcPr>
            <w:tcW w:w="380" w:type="dxa"/>
            <w:vAlign w:val="bottom"/>
          </w:tcPr>
          <w:p>
            <w:pPr>
              <w:spacing w:after="0"/>
              <w:rPr>
                <w:sz w:val="24"/>
                <w:szCs w:val="24"/>
                <w:color w:val="auto"/>
              </w:rPr>
            </w:pPr>
          </w:p>
        </w:tc>
        <w:tc>
          <w:tcPr>
            <w:tcW w:w="3620" w:type="dxa"/>
            <w:vAlign w:val="bottom"/>
            <w:gridSpan w:val="18"/>
          </w:tcPr>
          <w:p>
            <w:pPr>
              <w:spacing w:after="0"/>
              <w:rPr>
                <w:sz w:val="20"/>
                <w:szCs w:val="20"/>
                <w:color w:val="auto"/>
              </w:rPr>
            </w:pPr>
            <w:r>
              <w:rPr>
                <w:rFonts w:ascii="Arial" w:cs="Arial" w:eastAsia="Arial" w:hAnsi="Arial"/>
                <w:sz w:val="17"/>
                <w:szCs w:val="17"/>
                <w:color w:val="auto"/>
                <w:w w:val="96"/>
              </w:rPr>
              <w:t>Cover Page Interactive Data File - the cover page</w:t>
            </w:r>
          </w:p>
        </w:tc>
        <w:tc>
          <w:tcPr>
            <w:tcW w:w="120" w:type="dxa"/>
            <w:vAlign w:val="bottom"/>
          </w:tcPr>
          <w:p>
            <w:pPr>
              <w:spacing w:after="0"/>
              <w:rPr>
                <w:sz w:val="24"/>
                <w:szCs w:val="24"/>
                <w:color w:val="auto"/>
              </w:rPr>
            </w:pPr>
          </w:p>
        </w:tc>
        <w:tc>
          <w:tcPr>
            <w:tcW w:w="1000" w:type="dxa"/>
            <w:vAlign w:val="bottom"/>
            <w:gridSpan w:val="5"/>
          </w:tcPr>
          <w:p>
            <w:pPr>
              <w:jc w:val="center"/>
              <w:ind w:right="720"/>
              <w:spacing w:after="0"/>
              <w:rPr>
                <w:sz w:val="20"/>
                <w:szCs w:val="20"/>
                <w:color w:val="auto"/>
              </w:rPr>
            </w:pPr>
            <w:r>
              <w:rPr>
                <w:rFonts w:ascii="Arial" w:cs="Arial" w:eastAsia="Arial" w:hAnsi="Arial"/>
                <w:sz w:val="17"/>
                <w:szCs w:val="17"/>
                <w:color w:val="auto"/>
              </w:rPr>
              <w:t>X</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5"/>
        </w:trPr>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20" w:type="dxa"/>
            <w:vAlign w:val="bottom"/>
            <w:gridSpan w:val="18"/>
          </w:tcPr>
          <w:p>
            <w:pPr>
              <w:spacing w:after="0"/>
              <w:rPr>
                <w:sz w:val="20"/>
                <w:szCs w:val="20"/>
                <w:color w:val="auto"/>
              </w:rPr>
            </w:pPr>
            <w:r>
              <w:rPr>
                <w:rFonts w:ascii="Arial" w:cs="Arial" w:eastAsia="Arial" w:hAnsi="Arial"/>
                <w:sz w:val="17"/>
                <w:szCs w:val="17"/>
                <w:color w:val="auto"/>
              </w:rPr>
              <w:t>interactive data file does not appear in the</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20" w:type="dxa"/>
            <w:vAlign w:val="bottom"/>
            <w:gridSpan w:val="18"/>
          </w:tcPr>
          <w:p>
            <w:pPr>
              <w:spacing w:after="0"/>
              <w:rPr>
                <w:sz w:val="20"/>
                <w:szCs w:val="20"/>
                <w:color w:val="auto"/>
              </w:rPr>
            </w:pPr>
            <w:r>
              <w:rPr>
                <w:rFonts w:ascii="Arial" w:cs="Arial" w:eastAsia="Arial" w:hAnsi="Arial"/>
                <w:sz w:val="17"/>
                <w:szCs w:val="17"/>
                <w:color w:val="auto"/>
              </w:rPr>
              <w:t>Interactive Data File because its XBRL tags are</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20" w:type="dxa"/>
            <w:vAlign w:val="bottom"/>
            <w:gridSpan w:val="18"/>
          </w:tcPr>
          <w:p>
            <w:pPr>
              <w:spacing w:after="0"/>
              <w:rPr>
                <w:sz w:val="20"/>
                <w:szCs w:val="20"/>
                <w:color w:val="auto"/>
              </w:rPr>
            </w:pPr>
            <w:r>
              <w:rPr>
                <w:rFonts w:ascii="Arial" w:cs="Arial" w:eastAsia="Arial" w:hAnsi="Arial"/>
                <w:sz w:val="17"/>
                <w:szCs w:val="17"/>
                <w:color w:val="auto"/>
              </w:rPr>
              <w:t>embedded within the Inline XBRL Document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65405</wp:posOffset>
            </wp:positionV>
            <wp:extent cx="1413510"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1413510" cy="16510"/>
                    </a:xfrm>
                    <a:prstGeom prst="rect">
                      <a:avLst/>
                    </a:prstGeom>
                    <a:noFill/>
                  </pic:spPr>
                </pic:pic>
              </a:graphicData>
            </a:graphic>
          </wp:anchor>
        </w:drawing>
      </w:r>
    </w:p>
    <w:p>
      <w:pPr>
        <w:spacing w:after="0" w:line="173" w:lineRule="exact"/>
        <w:rPr>
          <w:sz w:val="20"/>
          <w:szCs w:val="20"/>
          <w:color w:val="auto"/>
        </w:rPr>
      </w:pPr>
    </w:p>
    <w:p>
      <w:pPr>
        <w:ind w:left="360" w:right="119" w:hanging="314"/>
        <w:spacing w:after="0" w:line="308"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Pursuant to Item 601(b)(32)(ii) of Regulation S-K (17 C.F.R. § 229.601(b)(32)(ii)), this certification is deemed furnished, not filed, for purposes of section 18 of the Exchange Act, nor is it otherwise subject to liability under that</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50" w:name="page51"/>
    <w:bookmarkEnd w:id="50"/>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60" w:right="299"/>
        <w:spacing w:after="0" w:line="276" w:lineRule="auto"/>
        <w:rPr>
          <w:sz w:val="20"/>
          <w:szCs w:val="20"/>
          <w:color w:val="auto"/>
        </w:rPr>
      </w:pPr>
      <w:r>
        <w:rPr>
          <w:rFonts w:ascii="Arial" w:cs="Arial" w:eastAsia="Arial" w:hAnsi="Arial"/>
          <w:sz w:val="17"/>
          <w:szCs w:val="17"/>
          <w:color w:val="auto"/>
        </w:rPr>
        <w:t>section. It will not be deemed to be incorporated by reference into any filing under the Securities Act or the Exchange Act, except if the registrant specifically incorporates it by reference.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18" w:lineRule="exact"/>
        <w:rPr>
          <w:sz w:val="20"/>
          <w:szCs w:val="20"/>
          <w:color w:val="auto"/>
        </w:rPr>
      </w:pPr>
    </w:p>
    <w:p>
      <w:pPr>
        <w:ind w:left="40" w:right="179"/>
        <w:spacing w:after="0" w:line="27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4"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El Pollo Loco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2912745</wp:posOffset>
            </wp:positionH>
            <wp:positionV relativeFrom="paragraph">
              <wp:posOffset>38100</wp:posOffset>
            </wp:positionV>
            <wp:extent cx="27781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2778125" cy="8255"/>
                    </a:xfrm>
                    <a:prstGeom prst="rect">
                      <a:avLst/>
                    </a:prstGeom>
                    <a:noFill/>
                  </pic:spPr>
                </pic:pic>
              </a:graphicData>
            </a:graphic>
          </wp:anchor>
        </w:drawing>
      </w:r>
    </w:p>
    <w:p>
      <w:pPr>
        <w:spacing w:after="0" w:line="40"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(Registrant)</w:t>
      </w:r>
    </w:p>
    <w:p>
      <w:pPr>
        <w:spacing w:after="0" w:line="291" w:lineRule="exact"/>
        <w:rPr>
          <w:sz w:val="20"/>
          <w:szCs w:val="20"/>
          <w:color w:val="auto"/>
        </w:rPr>
      </w:pPr>
    </w:p>
    <w:p>
      <w:pPr>
        <w:ind w:left="100"/>
        <w:spacing w:after="0"/>
        <w:tabs>
          <w:tab w:leader="none" w:pos="4620" w:val="left"/>
        </w:tabs>
        <w:rPr>
          <w:sz w:val="20"/>
          <w:szCs w:val="20"/>
          <w:color w:val="auto"/>
        </w:rPr>
      </w:pPr>
      <w:r>
        <w:rPr>
          <w:rFonts w:ascii="Arial" w:cs="Arial" w:eastAsia="Arial" w:hAnsi="Arial"/>
          <w:sz w:val="17"/>
          <w:szCs w:val="17"/>
          <w:color w:val="auto"/>
        </w:rPr>
        <w:t>Date: November 5, 2021</w:t>
      </w:r>
      <w:r>
        <w:rPr>
          <w:sz w:val="20"/>
          <w:szCs w:val="20"/>
          <w:color w:val="auto"/>
        </w:rPr>
        <w:tab/>
      </w:r>
      <w:r>
        <w:rPr>
          <w:rFonts w:ascii="Arial" w:cs="Arial" w:eastAsia="Arial" w:hAnsi="Arial"/>
          <w:sz w:val="15"/>
          <w:szCs w:val="15"/>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2912745</wp:posOffset>
            </wp:positionH>
            <wp:positionV relativeFrom="paragraph">
              <wp:posOffset>38100</wp:posOffset>
            </wp:positionV>
            <wp:extent cx="27781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2778125" cy="8255"/>
                    </a:xfrm>
                    <a:prstGeom prst="rect">
                      <a:avLst/>
                    </a:prstGeom>
                    <a:noFill/>
                  </pic:spPr>
                </pic:pic>
              </a:graphicData>
            </a:graphic>
          </wp:anchor>
        </w:drawing>
      </w:r>
    </w:p>
    <w:p>
      <w:pPr>
        <w:spacing w:after="0" w:line="40"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Laurance Roberts</w:t>
      </w:r>
    </w:p>
    <w:p>
      <w:pPr>
        <w:spacing w:after="0" w:line="48"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Interim Chief Executive Officer and Chief Financial Officer</w:t>
      </w:r>
    </w:p>
    <w:p>
      <w:pPr>
        <w:spacing w:after="0" w:line="59" w:lineRule="exact"/>
        <w:rPr>
          <w:sz w:val="20"/>
          <w:szCs w:val="20"/>
          <w:color w:val="auto"/>
        </w:rPr>
      </w:pPr>
    </w:p>
    <w:p>
      <w:pPr>
        <w:ind w:left="4680"/>
        <w:spacing w:after="0"/>
        <w:rPr>
          <w:sz w:val="20"/>
          <w:szCs w:val="20"/>
          <w:color w:val="auto"/>
        </w:rPr>
      </w:pPr>
      <w:r>
        <w:rPr>
          <w:rFonts w:ascii="Arial" w:cs="Arial" w:eastAsia="Arial" w:hAnsi="Arial"/>
          <w:sz w:val="17"/>
          <w:szCs w:val="17"/>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338455</wp:posOffset>
            </wp:positionV>
            <wp:extent cx="5661025" cy="241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51" w:name="page52"/>
    <w:bookmarkEnd w:id="51"/>
    <w:p>
      <w:pPr>
        <w:jc w:val="right"/>
        <w:spacing w:after="0"/>
        <w:rPr>
          <w:sz w:val="20"/>
          <w:szCs w:val="20"/>
          <w:color w:val="auto"/>
        </w:rPr>
      </w:pPr>
      <w:r>
        <w:rPr>
          <w:rFonts w:ascii="Arial" w:cs="Arial" w:eastAsia="Arial" w:hAnsi="Arial"/>
          <w:sz w:val="17"/>
          <w:szCs w:val="17"/>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 Laurance Roberts, certify that:</w:t>
      </w:r>
    </w:p>
    <w:p>
      <w:pPr>
        <w:spacing w:after="0" w:line="252" w:lineRule="exact"/>
        <w:rPr>
          <w:sz w:val="20"/>
          <w:szCs w:val="20"/>
          <w:color w:val="auto"/>
        </w:rPr>
      </w:pPr>
    </w:p>
    <w:p>
      <w:pPr>
        <w:ind w:left="180" w:hanging="179"/>
        <w:spacing w:after="0"/>
        <w:tabs>
          <w:tab w:leader="none" w:pos="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El Pollo Loco Holdings, Inc.;</w:t>
      </w:r>
    </w:p>
    <w:p>
      <w:pPr>
        <w:spacing w:after="0" w:line="252" w:lineRule="exact"/>
        <w:rPr>
          <w:rFonts w:ascii="Arial" w:cs="Arial" w:eastAsia="Arial" w:hAnsi="Arial"/>
          <w:sz w:val="17"/>
          <w:szCs w:val="17"/>
          <w:color w:val="auto"/>
        </w:rPr>
      </w:pPr>
    </w:p>
    <w:p>
      <w:pPr>
        <w:ind w:right="140" w:firstLine="1"/>
        <w:spacing w:after="0" w:line="310" w:lineRule="auto"/>
        <w:tabs>
          <w:tab w:leader="none" w:pos="171"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Arial" w:cs="Arial" w:eastAsia="Arial" w:hAnsi="Arial"/>
          <w:sz w:val="17"/>
          <w:szCs w:val="17"/>
          <w:color w:val="auto"/>
        </w:rPr>
      </w:pPr>
    </w:p>
    <w:p>
      <w:pPr>
        <w:ind w:right="120" w:firstLine="1"/>
        <w:spacing w:after="0" w:line="398" w:lineRule="auto"/>
        <w:tabs>
          <w:tab w:leader="none" w:pos="171"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5"/>
          <w:szCs w:val="15"/>
          <w:color w:val="auto"/>
        </w:rPr>
      </w:pPr>
    </w:p>
    <w:p>
      <w:pPr>
        <w:ind w:right="20" w:firstLine="1"/>
        <w:spacing w:after="0" w:line="338" w:lineRule="auto"/>
        <w:tabs>
          <w:tab w:leader="none" w:pos="171"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5"/>
          <w:szCs w:val="15"/>
          <w:color w:val="auto"/>
        </w:rPr>
      </w:pPr>
      <w:r>
        <w:rPr>
          <w:rFonts w:ascii="Arial" w:cs="Arial" w:eastAsia="Arial" w:hAnsi="Arial"/>
          <w:sz w:val="17"/>
          <w:szCs w:val="17"/>
          <w:color w:val="auto"/>
        </w:rPr>
        <w:t>13a-15(f) and 15d-15(f)) for the registrant and have:</w:t>
      </w:r>
    </w:p>
    <w:p>
      <w:pPr>
        <w:spacing w:after="0" w:line="150" w:lineRule="exact"/>
        <w:rPr>
          <w:sz w:val="20"/>
          <w:szCs w:val="20"/>
          <w:color w:val="auto"/>
        </w:rPr>
      </w:pPr>
    </w:p>
    <w:p>
      <w:pPr>
        <w:ind w:right="100" w:firstLine="1"/>
        <w:spacing w:after="0" w:line="310" w:lineRule="auto"/>
        <w:tabs>
          <w:tab w:leader="none" w:pos="232"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7"/>
          <w:szCs w:val="17"/>
          <w:color w:val="auto"/>
        </w:rPr>
      </w:pPr>
    </w:p>
    <w:p>
      <w:pPr>
        <w:ind w:firstLine="1"/>
        <w:spacing w:after="0" w:line="310" w:lineRule="auto"/>
        <w:tabs>
          <w:tab w:leader="none" w:pos="241"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7"/>
          <w:szCs w:val="17"/>
          <w:color w:val="auto"/>
        </w:rPr>
      </w:pPr>
    </w:p>
    <w:p>
      <w:pPr>
        <w:jc w:val="both"/>
        <w:ind w:right="220" w:firstLine="1"/>
        <w:spacing w:after="0" w:line="310" w:lineRule="auto"/>
        <w:tabs>
          <w:tab w:leader="none" w:pos="232" w:val="left"/>
        </w:tabs>
        <w:numPr>
          <w:ilvl w:val="0"/>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7"/>
          <w:szCs w:val="17"/>
          <w:color w:val="auto"/>
        </w:rPr>
      </w:pPr>
    </w:p>
    <w:p>
      <w:pPr>
        <w:ind w:right="20" w:firstLine="1"/>
        <w:spacing w:after="0" w:line="306" w:lineRule="auto"/>
        <w:tabs>
          <w:tab w:leader="none" w:pos="241"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(as defined in Exchange Act Rules 13a– 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sz w:val="20"/>
          <w:szCs w:val="20"/>
          <w:color w:val="auto"/>
        </w:rPr>
      </w:pPr>
    </w:p>
    <w:p>
      <w:pPr>
        <w:ind w:right="120" w:firstLine="1"/>
        <w:spacing w:after="0" w:line="310" w:lineRule="auto"/>
        <w:tabs>
          <w:tab w:leader="none" w:pos="171"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4" w:lineRule="exact"/>
        <w:rPr>
          <w:sz w:val="20"/>
          <w:szCs w:val="20"/>
          <w:color w:val="auto"/>
        </w:rPr>
      </w:pPr>
    </w:p>
    <w:p>
      <w:pPr>
        <w:ind w:right="180" w:firstLine="1"/>
        <w:spacing w:after="0" w:line="358" w:lineRule="auto"/>
        <w:tabs>
          <w:tab w:leader="none" w:pos="232" w:val="left"/>
        </w:tabs>
        <w:numPr>
          <w:ilvl w:val="0"/>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6"/>
          <w:szCs w:val="16"/>
          <w:color w:val="auto"/>
        </w:rPr>
      </w:pPr>
    </w:p>
    <w:p>
      <w:pPr>
        <w:ind w:right="440" w:firstLine="1"/>
        <w:spacing w:after="0" w:line="323" w:lineRule="auto"/>
        <w:tabs>
          <w:tab w:leader="none" w:pos="241"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Date: November 5, 2021</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17"/>
          <w:szCs w:val="17"/>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59696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5969635" cy="8255"/>
                    </a:xfrm>
                    <a:prstGeom prst="rect">
                      <a:avLst/>
                    </a:prstGeom>
                    <a:noFill/>
                  </pic:spPr>
                </pic:pic>
              </a:graphicData>
            </a:graphic>
          </wp:anchor>
        </w:drawing>
      </w:r>
    </w:p>
    <w:p>
      <w:pPr>
        <w:spacing w:after="0" w:line="79" w:lineRule="exact"/>
        <w:rPr>
          <w:sz w:val="20"/>
          <w:szCs w:val="20"/>
          <w:color w:val="auto"/>
        </w:rPr>
      </w:pPr>
    </w:p>
    <w:p>
      <w:pPr>
        <w:ind w:left="60"/>
        <w:spacing w:after="0"/>
        <w:rPr>
          <w:sz w:val="20"/>
          <w:szCs w:val="20"/>
          <w:color w:val="auto"/>
        </w:rPr>
      </w:pPr>
      <w:r>
        <w:rPr>
          <w:rFonts w:ascii="Arial" w:cs="Arial" w:eastAsia="Arial" w:hAnsi="Arial"/>
          <w:sz w:val="17"/>
          <w:szCs w:val="17"/>
          <w:color w:val="auto"/>
        </w:rPr>
        <w:t>Laurance Roberts</w:t>
      </w:r>
    </w:p>
    <w:p>
      <w:pPr>
        <w:spacing w:after="0" w:line="20"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Interim Chief Executive Officer and Chief Financial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599440</wp:posOffset>
            </wp:positionV>
            <wp:extent cx="5969635" cy="241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5969635" cy="24130"/>
                    </a:xfrm>
                    <a:prstGeom prst="rect">
                      <a:avLst/>
                    </a:prstGeom>
                    <a:noFill/>
                  </pic:spPr>
                </pic:pic>
              </a:graphicData>
            </a:graphic>
          </wp:anchor>
        </w:drawing>
      </w:r>
    </w:p>
    <w:p>
      <w:pPr>
        <w:sectPr>
          <w:pgSz w:w="11900" w:h="16838" w:orient="portrait"/>
          <w:cols w:equalWidth="0" w:num="1">
            <w:col w:w="9400"/>
          </w:cols>
          <w:pgMar w:left="1240" w:top="392" w:right="1259" w:bottom="1440" w:gutter="0" w:footer="0" w:header="0"/>
        </w:sectPr>
      </w:pPr>
    </w:p>
    <w:bookmarkStart w:id="52" w:name="page53"/>
    <w:bookmarkEnd w:id="52"/>
    <w:p>
      <w:pPr>
        <w:jc w:val="right"/>
        <w:spacing w:after="0"/>
        <w:rPr>
          <w:sz w:val="20"/>
          <w:szCs w:val="20"/>
          <w:color w:val="auto"/>
        </w:rPr>
      </w:pPr>
      <w:r>
        <w:rPr>
          <w:rFonts w:ascii="Arial" w:cs="Arial" w:eastAsia="Arial" w:hAnsi="Arial"/>
          <w:sz w:val="17"/>
          <w:szCs w:val="17"/>
          <w:b w:val="1"/>
          <w:bCs w:val="1"/>
          <w:color w:val="auto"/>
        </w:rPr>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w:t>
      </w:r>
    </w:p>
    <w:p>
      <w:pPr>
        <w:spacing w:after="0" w:line="252" w:lineRule="exact"/>
        <w:rPr>
          <w:sz w:val="20"/>
          <w:szCs w:val="20"/>
          <w:color w:val="auto"/>
        </w:rPr>
      </w:pPr>
    </w:p>
    <w:p>
      <w:pPr>
        <w:jc w:val="both"/>
        <w:ind w:right="400"/>
        <w:spacing w:after="0" w:line="306" w:lineRule="auto"/>
        <w:rPr>
          <w:sz w:val="20"/>
          <w:szCs w:val="20"/>
          <w:color w:val="auto"/>
        </w:rPr>
      </w:pPr>
      <w:r>
        <w:rPr>
          <w:rFonts w:ascii="Arial" w:cs="Arial" w:eastAsia="Arial" w:hAnsi="Arial"/>
          <w:sz w:val="17"/>
          <w:szCs w:val="17"/>
          <w:color w:val="auto"/>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Date: November 5, 2021</w:t>
      </w:r>
    </w:p>
    <w:p>
      <w:pPr>
        <w:spacing w:after="0" w:line="29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13970</wp:posOffset>
            </wp:positionV>
            <wp:extent cx="59372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5937250" cy="8255"/>
                    </a:xfrm>
                    <a:prstGeom prst="rect">
                      <a:avLst/>
                    </a:prstGeom>
                    <a:noFill/>
                  </pic:spPr>
                </pic:pic>
              </a:graphicData>
            </a:graphic>
          </wp:anchor>
        </w:drawing>
      </w:r>
    </w:p>
    <w:p>
      <w:pPr>
        <w:spacing w:after="0" w:line="104" w:lineRule="exact"/>
        <w:rPr>
          <w:sz w:val="20"/>
          <w:szCs w:val="20"/>
          <w:color w:val="auto"/>
        </w:rPr>
      </w:pPr>
    </w:p>
    <w:p>
      <w:pPr>
        <w:ind w:left="100"/>
        <w:spacing w:after="0"/>
        <w:rPr>
          <w:sz w:val="20"/>
          <w:szCs w:val="20"/>
          <w:color w:val="auto"/>
        </w:rPr>
      </w:pPr>
      <w:r>
        <w:rPr>
          <w:rFonts w:ascii="Arial" w:cs="Arial" w:eastAsia="Arial" w:hAnsi="Arial"/>
          <w:sz w:val="17"/>
          <w:szCs w:val="17"/>
          <w:color w:val="auto"/>
        </w:rPr>
        <w:t>Laurance Roberts</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Interim Chief Executive Officer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631825</wp:posOffset>
            </wp:positionV>
            <wp:extent cx="5969635" cy="241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5969635" cy="24130"/>
                    </a:xfrm>
                    <a:prstGeom prst="rect">
                      <a:avLst/>
                    </a:prstGeom>
                    <a:noFill/>
                  </pic:spPr>
                </pic:pic>
              </a:graphicData>
            </a:graphic>
          </wp:anchor>
        </w:drawing>
      </w:r>
    </w:p>
    <w:sectPr>
      <w:pgSz w:w="11900" w:h="16838" w:orient="portrait"/>
      <w:cols w:equalWidth="0" w:num="1">
        <w:col w:w="9400"/>
      </w:cols>
      <w:pgMar w:left="1240" w:top="392" w:right="1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0"/>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5"/>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64" Type="http://schemas.openxmlformats.org/officeDocument/2006/relationships/hyperlink" Target="https://www.sec.gov/Archives/edgar/data/1606366/000119312514332367/d779664dex31.htm" TargetMode="External"/><Relationship Id="rId65" Type="http://schemas.openxmlformats.org/officeDocument/2006/relationships/hyperlink" Target="https://www.sec.gov/Archives/edgar/data/1606366/000119312514332367/d779664dex32.htm" TargetMode="External"/><Relationship Id="rId66" Type="http://schemas.openxmlformats.org/officeDocument/2006/relationships/hyperlink" Target="https://www.sec.gov/Archives/edgar/data/1606366/000160636621000063/loco-20211011ex1012b0b17.htm" TargetMode="External"/><Relationship Id="rId67" Type="http://schemas.openxmlformats.org/officeDocument/2006/relationships/hyperlink" Target="https://www.sec.gov/Archives/edgar/data/1606366/000160636621000063/loco-20211011ex102937f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2021-11-05T14:33:49Z</dcterms:created>
  <dcterms:modified xsi:type="dcterms:W3CDTF">2021-11-05T14:33:49Z</dcterms:modified>
</cp:coreProperties>
</file>