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200" w:hanging="532"/>
        <w:spacing w:after="0" w:line="237" w:lineRule="auto"/>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July 1, 2015</w:t>
      </w:r>
    </w:p>
    <w:p>
      <w:pPr>
        <w:spacing w:after="0" w:line="15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540" w:right="200" w:hanging="532"/>
        <w:spacing w:after="0" w:line="256" w:lineRule="auto"/>
        <w:tabs>
          <w:tab w:leader="none" w:pos="5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2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128905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8"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EL POLLO LOCO HOLDINGS,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116205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7" w:lineRule="exact"/>
        <w:rPr>
          <w:sz w:val="24"/>
          <w:szCs w:val="24"/>
          <w:color w:val="auto"/>
        </w:rPr>
      </w:pPr>
    </w:p>
    <w:tbl>
      <w:tblPr>
        <w:tblLayout w:type="fixed"/>
        <w:tblInd w:w="760" w:type="dxa"/>
        <w:tblCellMar>
          <w:top w:w="0" w:type="dxa"/>
          <w:left w:w="0" w:type="dxa"/>
          <w:bottom w:w="0" w:type="dxa"/>
          <w:right w:w="0" w:type="dxa"/>
        </w:tblCellMar>
      </w:tblPr>
      <w:tr>
        <w:trPr>
          <w:trHeight w:val="212"/>
        </w:trPr>
        <w:tc>
          <w:tcPr>
            <w:tcW w:w="6680" w:type="dxa"/>
            <w:vAlign w:val="bottom"/>
          </w:tcPr>
          <w:p>
            <w:pPr>
              <w:jc w:val="center"/>
              <w:ind w:right="2499"/>
              <w:spacing w:after="0"/>
              <w:rPr>
                <w:sz w:val="20"/>
                <w:szCs w:val="20"/>
                <w:color w:val="auto"/>
              </w:rPr>
            </w:pPr>
            <w:r>
              <w:rPr>
                <w:rFonts w:ascii="Arial" w:cs="Arial" w:eastAsia="Arial" w:hAnsi="Arial"/>
                <w:sz w:val="18"/>
                <w:szCs w:val="18"/>
                <w:b w:val="1"/>
                <w:bCs w:val="1"/>
                <w:color w:val="auto"/>
                <w:w w:val="93"/>
              </w:rPr>
              <w:t>Delaware</w:t>
            </w:r>
          </w:p>
        </w:tc>
        <w:tc>
          <w:tcPr>
            <w:tcW w:w="2280" w:type="dxa"/>
            <w:vAlign w:val="bottom"/>
          </w:tcPr>
          <w:p>
            <w:pPr>
              <w:jc w:val="right"/>
              <w:ind w:right="579"/>
              <w:spacing w:after="0"/>
              <w:rPr>
                <w:sz w:val="20"/>
                <w:szCs w:val="20"/>
                <w:color w:val="auto"/>
              </w:rPr>
            </w:pPr>
            <w:r>
              <w:rPr>
                <w:rFonts w:ascii="Arial" w:cs="Arial" w:eastAsia="Arial" w:hAnsi="Arial"/>
                <w:sz w:val="18"/>
                <w:szCs w:val="18"/>
                <w:b w:val="1"/>
                <w:bCs w:val="1"/>
                <w:color w:val="auto"/>
              </w:rPr>
              <w:t>20-3563182</w:t>
            </w:r>
          </w:p>
        </w:tc>
      </w:tr>
      <w:tr>
        <w:trPr>
          <w:trHeight w:val="186"/>
        </w:trPr>
        <w:tc>
          <w:tcPr>
            <w:tcW w:w="6680" w:type="dxa"/>
            <w:vAlign w:val="bottom"/>
          </w:tcPr>
          <w:p>
            <w:pPr>
              <w:jc w:val="center"/>
              <w:ind w:right="249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27"/>
        </w:trPr>
        <w:tc>
          <w:tcPr>
            <w:tcW w:w="6680" w:type="dxa"/>
            <w:vAlign w:val="bottom"/>
          </w:tcPr>
          <w:p>
            <w:pPr>
              <w:jc w:val="center"/>
              <w:ind w:right="2499"/>
              <w:spacing w:after="0"/>
              <w:rPr>
                <w:sz w:val="20"/>
                <w:szCs w:val="20"/>
                <w:color w:val="auto"/>
              </w:rPr>
            </w:pPr>
            <w:r>
              <w:rPr>
                <w:rFonts w:ascii="Arial" w:cs="Arial" w:eastAsia="Arial" w:hAnsi="Arial"/>
                <w:sz w:val="18"/>
                <w:szCs w:val="18"/>
                <w:b w:val="1"/>
                <w:bCs w:val="1"/>
                <w:color w:val="auto"/>
                <w:w w:val="92"/>
              </w:rPr>
              <w:t>3535 Harbor Blvd., Suite 100, Costa Mesa, California</w:t>
            </w:r>
          </w:p>
        </w:tc>
        <w:tc>
          <w:tcPr>
            <w:tcW w:w="2280" w:type="dxa"/>
            <w:vAlign w:val="bottom"/>
          </w:tcPr>
          <w:p>
            <w:pPr>
              <w:jc w:val="right"/>
              <w:ind w:right="799"/>
              <w:spacing w:after="0"/>
              <w:rPr>
                <w:sz w:val="20"/>
                <w:szCs w:val="20"/>
                <w:color w:val="auto"/>
              </w:rPr>
            </w:pPr>
            <w:r>
              <w:rPr>
                <w:rFonts w:ascii="Arial" w:cs="Arial" w:eastAsia="Arial" w:hAnsi="Arial"/>
                <w:sz w:val="18"/>
                <w:szCs w:val="18"/>
                <w:b w:val="1"/>
                <w:bCs w:val="1"/>
                <w:color w:val="auto"/>
              </w:rPr>
              <w:t>92626</w:t>
            </w:r>
          </w:p>
        </w:tc>
      </w:tr>
      <w:tr>
        <w:trPr>
          <w:trHeight w:val="186"/>
        </w:trPr>
        <w:tc>
          <w:tcPr>
            <w:tcW w:w="6680" w:type="dxa"/>
            <w:vAlign w:val="bottom"/>
          </w:tcPr>
          <w:p>
            <w:pPr>
              <w:jc w:val="center"/>
              <w:ind w:right="24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jc w:val="center"/>
              <w:ind w:left="19"/>
              <w:spacing w:after="0"/>
              <w:rPr>
                <w:sz w:val="20"/>
                <w:szCs w:val="20"/>
                <w:color w:val="auto"/>
              </w:rPr>
            </w:pPr>
            <w:r>
              <w:rPr>
                <w:rFonts w:ascii="Arial" w:cs="Arial" w:eastAsia="Arial" w:hAnsi="Arial"/>
                <w:sz w:val="14"/>
                <w:szCs w:val="14"/>
                <w:b w:val="1"/>
                <w:bCs w:val="1"/>
                <w:color w:val="auto"/>
                <w:w w:val="95"/>
              </w:rPr>
              <w:t>(Zip Code)</w:t>
            </w:r>
          </w:p>
        </w:tc>
      </w:tr>
      <w:tr>
        <w:trPr>
          <w:trHeight w:val="327"/>
        </w:trPr>
        <w:tc>
          <w:tcPr>
            <w:tcW w:w="6680" w:type="dxa"/>
            <w:vAlign w:val="bottom"/>
          </w:tcPr>
          <w:p>
            <w:pPr>
              <w:jc w:val="right"/>
              <w:ind w:right="1079"/>
              <w:spacing w:after="0"/>
              <w:rPr>
                <w:sz w:val="20"/>
                <w:szCs w:val="20"/>
                <w:color w:val="auto"/>
              </w:rPr>
            </w:pPr>
            <w:r>
              <w:rPr>
                <w:rFonts w:ascii="Arial" w:cs="Arial" w:eastAsia="Arial" w:hAnsi="Arial"/>
                <w:sz w:val="18"/>
                <w:szCs w:val="18"/>
                <w:b w:val="1"/>
                <w:bCs w:val="1"/>
                <w:color w:val="auto"/>
              </w:rPr>
              <w:t>(714) 599-5000</w:t>
            </w:r>
          </w:p>
        </w:tc>
        <w:tc>
          <w:tcPr>
            <w:tcW w:w="2280" w:type="dxa"/>
            <w:vAlign w:val="bottom"/>
          </w:tcPr>
          <w:p>
            <w:pPr>
              <w:spacing w:after="0"/>
              <w:rPr>
                <w:sz w:val="24"/>
                <w:szCs w:val="24"/>
                <w:color w:val="auto"/>
              </w:rPr>
            </w:pPr>
          </w:p>
        </w:tc>
      </w:tr>
      <w:tr>
        <w:trPr>
          <w:trHeight w:val="186"/>
        </w:trPr>
        <w:tc>
          <w:tcPr>
            <w:tcW w:w="6680" w:type="dxa"/>
            <w:vAlign w:val="bottom"/>
          </w:tcPr>
          <w:p>
            <w:pPr>
              <w:jc w:val="center"/>
              <w:ind w:left="31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280" w:type="dxa"/>
            <w:vAlign w:val="bottom"/>
          </w:tcPr>
          <w:p>
            <w:pPr>
              <w:spacing w:after="0"/>
              <w:rPr>
                <w:sz w:val="16"/>
                <w:szCs w:val="16"/>
                <w:color w:val="auto"/>
              </w:rPr>
            </w:pPr>
          </w:p>
        </w:tc>
      </w:tr>
    </w:tbl>
    <w:p>
      <w:pPr>
        <w:spacing w:after="0" w:line="97"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4" w:lineRule="exact"/>
        <w:rPr>
          <w:sz w:val="24"/>
          <w:szCs w:val="24"/>
          <w:color w:val="auto"/>
        </w:rPr>
      </w:pPr>
    </w:p>
    <w:p>
      <w:pPr>
        <w:ind w:right="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116" w:lineRule="exact"/>
        <w:rPr>
          <w:sz w:val="24"/>
          <w:szCs w:val="24"/>
          <w:color w:val="auto"/>
        </w:rPr>
      </w:pPr>
    </w:p>
    <w:p>
      <w:pPr>
        <w:ind w:right="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116"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240"/>
          </w:cols>
          <w:pgMar w:left="240" w:top="355" w:right="419" w:bottom="1440" w:gutter="0" w:footer="0" w:header="0"/>
        </w:sectPr>
      </w:pP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3" w:lineRule="exact"/>
        <w:rPr>
          <w:sz w:val="24"/>
          <w:szCs w:val="24"/>
          <w:color w:val="auto"/>
        </w:rPr>
      </w:pPr>
    </w:p>
    <w:p>
      <w:pPr>
        <w:sectPr>
          <w:pgSz w:w="11900" w:h="16838" w:orient="portrait"/>
          <w:cols w:equalWidth="0" w:num="4">
            <w:col w:w="1620" w:space="480"/>
            <w:col w:w="5620" w:space="720"/>
            <w:col w:w="1860" w:space="720"/>
            <w:col w:w="220"/>
          </w:cols>
          <w:pgMar w:left="240" w:top="355" w:right="41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70" w:lineRule="exact"/>
        <w:rPr>
          <w:sz w:val="24"/>
          <w:szCs w:val="24"/>
          <w:color w:val="auto"/>
        </w:rPr>
      </w:pPr>
    </w:p>
    <w:p>
      <w:pPr>
        <w:sectPr>
          <w:pgSz w:w="11900" w:h="16838" w:orient="portrait"/>
          <w:cols w:equalWidth="0" w:num="5">
            <w:col w:w="1540" w:space="560"/>
            <w:col w:w="160" w:space="100"/>
            <w:col w:w="5360" w:space="720"/>
            <w:col w:w="1980" w:space="600"/>
            <w:col w:w="220"/>
          </w:cols>
          <w:pgMar w:left="240" w:top="355" w:right="419" w:bottom="1440" w:gutter="0" w:footer="0" w:header="0"/>
          <w:type w:val="continuous"/>
        </w:sectPr>
      </w:pPr>
    </w:p>
    <w:p>
      <w:pPr>
        <w:spacing w:after="0" w:line="33" w:lineRule="exact"/>
        <w:rPr>
          <w:sz w:val="24"/>
          <w:szCs w:val="24"/>
          <w:color w:val="auto"/>
        </w:rPr>
      </w:pPr>
    </w:p>
    <w:p>
      <w:pPr>
        <w:ind w:left="520"/>
        <w:spacing w:after="0"/>
        <w:tabs>
          <w:tab w:leader="none" w:pos="88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o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156" w:lineRule="exact"/>
        <w:rPr>
          <w:sz w:val="24"/>
          <w:szCs w:val="24"/>
          <w:color w:val="auto"/>
        </w:rPr>
      </w:pPr>
    </w:p>
    <w:p>
      <w:pPr>
        <w:sectPr>
          <w:pgSz w:w="11900" w:h="16838" w:orient="portrait"/>
          <w:cols w:equalWidth="0" w:num="3">
            <w:col w:w="9320" w:space="180"/>
            <w:col w:w="160" w:space="100"/>
            <w:col w:w="1480"/>
          </w:cols>
          <w:pgMar w:left="240" w:top="355" w:right="419" w:bottom="1440" w:gutter="0" w:footer="0" w:header="0"/>
          <w:type w:val="continuous"/>
        </w:sectPr>
      </w:pPr>
    </w:p>
    <w:p>
      <w:pPr>
        <w:ind w:left="520"/>
        <w:spacing w:after="0"/>
        <w:rPr>
          <w:sz w:val="20"/>
          <w:szCs w:val="20"/>
          <w:color w:val="auto"/>
        </w:rPr>
      </w:pPr>
      <w:r>
        <w:rPr>
          <w:rFonts w:ascii="Arial" w:cs="Arial" w:eastAsia="Arial" w:hAnsi="Arial"/>
          <w:sz w:val="16"/>
          <w:szCs w:val="16"/>
          <w:color w:val="auto"/>
        </w:rPr>
        <w:t>As of August 6, 2015, there were 38,263,873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308610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55"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1"/>
              </w:rPr>
              <w:t>Table of Contents</w:t>
            </w:r>
          </w:p>
        </w:tc>
        <w:tc>
          <w:tcPr>
            <w:tcW w:w="9920" w:type="dxa"/>
            <w:vAlign w:val="bottom"/>
            <w:gridSpan w:val="18"/>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Page</w:t>
            </w:r>
          </w:p>
        </w:tc>
        <w:tc>
          <w:tcPr>
            <w:tcW w:w="80" w:type="dxa"/>
            <w:vAlign w:val="bottom"/>
          </w:tcPr>
          <w:p>
            <w:pPr>
              <w:spacing w:after="0"/>
              <w:rPr>
                <w:sz w:val="14"/>
                <w:szCs w:val="14"/>
                <w:color w:val="auto"/>
              </w:rPr>
            </w:pPr>
          </w:p>
        </w:tc>
      </w:tr>
      <w:tr>
        <w:trPr>
          <w:trHeight w:val="183"/>
        </w:trPr>
        <w:tc>
          <w:tcPr>
            <w:tcW w:w="11020" w:type="dxa"/>
            <w:vAlign w:val="bottom"/>
            <w:gridSpan w:val="21"/>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3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3</w:t>
            </w:r>
          </w:p>
        </w:tc>
      </w:tr>
      <w:tr>
        <w:trPr>
          <w:trHeight w:val="210"/>
        </w:trPr>
        <w:tc>
          <w:tcPr>
            <w:tcW w:w="21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w:t>
              </w:r>
            </w:hyperlink>
          </w:p>
        </w:tc>
        <w:tc>
          <w:tcPr>
            <w:tcW w:w="860" w:type="dxa"/>
            <w:vAlign w:val="bottom"/>
            <w:tcBorders>
              <w:top w:val="single" w:sz="8" w:color="0000EE"/>
            </w:tcBorders>
            <w:gridSpan w:val="5"/>
          </w:tcPr>
          <w:p>
            <w:pPr>
              <w:spacing w:after="0"/>
              <w:rPr>
                <w:sz w:val="18"/>
                <w:szCs w:val="18"/>
                <w:color w:val="auto"/>
              </w:rPr>
            </w:pPr>
          </w:p>
        </w:tc>
        <w:tc>
          <w:tcPr>
            <w:tcW w:w="8040" w:type="dxa"/>
            <w:vAlign w:val="bottom"/>
            <w:gridSpan w:val="8"/>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38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(Unaudited)</w:t>
              </w:r>
            </w:hyperlink>
          </w:p>
        </w:tc>
        <w:tc>
          <w:tcPr>
            <w:tcW w:w="7160" w:type="dxa"/>
            <w:vAlign w:val="bottom"/>
            <w:gridSpan w:val="7"/>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110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(Unaudited)</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10"/>
        </w:trPr>
        <w:tc>
          <w:tcPr>
            <w:tcW w:w="46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w:t>
              </w:r>
            </w:hyperlink>
          </w:p>
        </w:tc>
        <w:tc>
          <w:tcPr>
            <w:tcW w:w="6380" w:type="dxa"/>
            <w:vAlign w:val="bottom"/>
            <w:gridSpan w:val="5"/>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49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6100" w:type="dxa"/>
            <w:vAlign w:val="bottom"/>
            <w:gridSpan w:val="4"/>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11020" w:type="dxa"/>
            <w:vAlign w:val="bottom"/>
            <w:gridSpan w:val="2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498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8"/>
                <w:szCs w:val="18"/>
                <w:color w:val="auto"/>
              </w:rPr>
            </w:pPr>
          </w:p>
        </w:tc>
        <w:tc>
          <w:tcPr>
            <w:tcW w:w="39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0"/>
        </w:trPr>
        <w:tc>
          <w:tcPr>
            <w:tcW w:w="24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4. Controls and Procedures.</w:t>
              </w:r>
            </w:hyperlink>
          </w:p>
        </w:tc>
        <w:tc>
          <w:tcPr>
            <w:tcW w:w="8620" w:type="dxa"/>
            <w:vAlign w:val="bottom"/>
            <w:gridSpan w:val="11"/>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268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29">
              <w:r>
                <w:rPr>
                  <w:rFonts w:ascii="Arial" w:cs="Arial" w:eastAsia="Arial" w:hAnsi="Arial"/>
                  <w:sz w:val="18"/>
                  <w:szCs w:val="18"/>
                  <w:color w:val="0000EE"/>
                  <w:w w:val="96"/>
                </w:rPr>
                <w:t>PART II—OTHER INFORMATION</w:t>
              </w:r>
            </w:hyperlink>
          </w:p>
        </w:tc>
        <w:tc>
          <w:tcPr>
            <w:tcW w:w="8340" w:type="dxa"/>
            <w:vAlign w:val="bottom"/>
            <w:gridSpan w:val="10"/>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1102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 Legal Proceedings.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1940" w:type="dxa"/>
            <w:vAlign w:val="bottom"/>
            <w:tcBorders>
              <w:top w:val="single" w:sz="8" w:color="0000EE"/>
            </w:tcBorders>
            <w:gridSpan w:val="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1A. Risk Factors.</w:t>
              </w:r>
            </w:hyperlink>
          </w:p>
        </w:tc>
        <w:tc>
          <w:tcPr>
            <w:tcW w:w="9080" w:type="dxa"/>
            <w:vAlign w:val="bottom"/>
            <w:gridSpan w:val="14"/>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10"/>
        </w:trPr>
        <w:tc>
          <w:tcPr>
            <w:tcW w:w="49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Item 2. Unregistered Sales of Equity Securities and Use of Proceeds.</w:t>
              </w:r>
            </w:hyperlink>
          </w:p>
        </w:tc>
        <w:tc>
          <w:tcPr>
            <w:tcW w:w="6060" w:type="dxa"/>
            <w:vAlign w:val="bottom"/>
            <w:gridSpan w:val="3"/>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540" w:type="dxa"/>
            <w:vAlign w:val="bottom"/>
            <w:tcBorders>
              <w:bottom w:val="single" w:sz="8" w:color="0000EE"/>
            </w:tcBorders>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Item 3.</w:t>
              </w:r>
            </w:hyperlink>
          </w:p>
        </w:tc>
        <w:tc>
          <w:tcPr>
            <w:tcW w:w="2400" w:type="dxa"/>
            <w:vAlign w:val="bottom"/>
            <w:tcBorders>
              <w:bottom w:val="single" w:sz="8" w:color="0000EE"/>
            </w:tcBorders>
            <w:gridSpan w:val="11"/>
          </w:tcPr>
          <w:p>
            <w:pPr>
              <w:ind w:left="20"/>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Defaults Upon Senior Securities.</w:t>
              </w:r>
            </w:hyperlink>
          </w:p>
        </w:tc>
        <w:tc>
          <w:tcPr>
            <w:tcW w:w="8080" w:type="dxa"/>
            <w:vAlign w:val="bottom"/>
            <w:gridSpan w:val="9"/>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540" w:type="dxa"/>
            <w:vAlign w:val="bottom"/>
            <w:tcBorders>
              <w:bottom w:val="single" w:sz="8" w:color="0000EE"/>
            </w:tcBorders>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Item 4.</w:t>
              </w:r>
            </w:hyperlink>
          </w:p>
        </w:tc>
        <w:tc>
          <w:tcPr>
            <w:tcW w:w="1840" w:type="dxa"/>
            <w:vAlign w:val="bottom"/>
            <w:tcBorders>
              <w:bottom w:val="single" w:sz="8" w:color="0000EE"/>
            </w:tcBorders>
            <w:gridSpan w:val="8"/>
          </w:tcPr>
          <w:p>
            <w:pPr>
              <w:ind w:left="20"/>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Mine Safety Disclosures.</w:t>
              </w:r>
            </w:hyperlink>
          </w:p>
        </w:tc>
        <w:tc>
          <w:tcPr>
            <w:tcW w:w="8640" w:type="dxa"/>
            <w:vAlign w:val="bottom"/>
            <w:gridSpan w:val="12"/>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540" w:type="dxa"/>
            <w:vAlign w:val="bottom"/>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Item 5.</w:t>
              </w:r>
            </w:hyperlink>
          </w:p>
        </w:tc>
        <w:tc>
          <w:tcPr>
            <w:tcW w:w="10480" w:type="dxa"/>
            <w:vAlign w:val="bottom"/>
            <w:gridSpan w:val="20"/>
          </w:tcPr>
          <w:p>
            <w:pPr>
              <w:ind w:left="20"/>
              <w:spacing w:after="0"/>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540" w:type="dxa"/>
            <w:vAlign w:val="bottom"/>
            <w:tcBorders>
              <w:top w:val="single" w:sz="8" w:color="0000EE"/>
            </w:tcBorders>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Item 6.</w:t>
              </w:r>
            </w:hyperlink>
          </w:p>
        </w:tc>
        <w:tc>
          <w:tcPr>
            <w:tcW w:w="1380" w:type="dxa"/>
            <w:vAlign w:val="bottom"/>
            <w:tcBorders>
              <w:top w:val="single" w:sz="8" w:color="0000EE"/>
            </w:tcBorders>
            <w:gridSpan w:val="5"/>
          </w:tcPr>
          <w:p>
            <w:pPr>
              <w:ind w:left="20"/>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9100" w:type="dxa"/>
            <w:vAlign w:val="bottom"/>
            <w:gridSpan w:val="15"/>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1200" w:type="dxa"/>
            <w:vAlign w:val="bottom"/>
            <w:tcBorders>
              <w:top w:val="single" w:sz="8" w:color="0000EE"/>
            </w:tcBorders>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9820" w:type="dxa"/>
            <w:vAlign w:val="bottom"/>
            <w:gridSpan w:val="17"/>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4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July 1,</w:t>
            </w:r>
          </w:p>
        </w:tc>
        <w:tc>
          <w:tcPr>
            <w:tcW w:w="20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36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Restricted cash</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Accounts and other receivables, net</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Inventories</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Income tax receivable</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6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19,360</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38,237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43,983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owned, net</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85,825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Property held under capital leases, net</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Notes receivables, net of current portion</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Goodwill</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248,674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248,674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Domestic trademarks</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61,888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6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6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443,323</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455,306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Current portion of obligations under capital leases</w:t>
            </w:r>
          </w:p>
        </w:tc>
        <w:tc>
          <w:tcPr>
            <w:tcW w:w="10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Accrued salaries and vacation</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6,190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Accrued insurance</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Accrued interest</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Accrued advertising</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 and current liabilities</w:t>
            </w:r>
          </w:p>
        </w:tc>
        <w:tc>
          <w:tcPr>
            <w:tcW w:w="6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11,925</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30,389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Revolver loan</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135,000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liabilities, net</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liabilities</w:t>
            </w:r>
          </w:p>
        </w:tc>
        <w:tc>
          <w:tcPr>
            <w:tcW w:w="6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47,105</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6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214,424</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244,906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Commitments, contingencies and subsequent events</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w w:val="99"/>
              </w:rPr>
              <w:t>Preferred stock, $0.01 par value, 100,000,000 shares authorized; none issued or outstanding</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value—200,000,000 shares authorized; 38,263,873</w:t>
            </w: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37,420,450 shares issued and outstanding</w:t>
            </w:r>
          </w:p>
        </w:tc>
        <w:tc>
          <w:tcPr>
            <w:tcW w:w="6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363,935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359,465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(135,418)</w:t>
            </w: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(149,439)</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6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228,899</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6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443,323</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455,306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5"/>
          </w:tcPr>
          <w:p>
            <w:pPr>
              <w:jc w:val="right"/>
              <w:ind w:right="551"/>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ind w:left="220"/>
              <w:spacing w:after="0"/>
              <w:rPr>
                <w:sz w:val="20"/>
                <w:szCs w:val="20"/>
                <w:color w:val="auto"/>
              </w:rPr>
            </w:pPr>
            <w:r>
              <w:rPr>
                <w:rFonts w:ascii="Arial" w:cs="Arial" w:eastAsia="Arial" w:hAnsi="Arial"/>
                <w:sz w:val="14"/>
                <w:szCs w:val="14"/>
                <w:b w:val="1"/>
                <w:bCs w:val="1"/>
                <w:color w:val="auto"/>
              </w:rPr>
              <w:t>Twenty-Six Weeks Ended</w:t>
            </w:r>
          </w:p>
        </w:tc>
      </w:tr>
      <w:tr>
        <w:trPr>
          <w:trHeight w:val="133"/>
        </w:trPr>
        <w:tc>
          <w:tcPr>
            <w:tcW w:w="5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right"/>
              <w:ind w:right="700"/>
              <w:spacing w:after="0" w:line="133" w:lineRule="exact"/>
              <w:rPr>
                <w:sz w:val="20"/>
                <w:szCs w:val="20"/>
                <w:color w:val="auto"/>
              </w:rPr>
            </w:pPr>
            <w:r>
              <w:rPr>
                <w:rFonts w:ascii="Arial" w:cs="Arial" w:eastAsia="Arial" w:hAnsi="Arial"/>
                <w:sz w:val="14"/>
                <w:szCs w:val="14"/>
                <w:b w:val="1"/>
                <w:bCs w:val="1"/>
                <w:color w:val="auto"/>
              </w:rPr>
              <w:t>July 1,</w:t>
            </w: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31"/>
              <w:spacing w:after="0" w:line="133" w:lineRule="exact"/>
              <w:rPr>
                <w:sz w:val="20"/>
                <w:szCs w:val="20"/>
                <w:color w:val="auto"/>
              </w:rPr>
            </w:pPr>
            <w:r>
              <w:rPr>
                <w:rFonts w:ascii="Arial" w:cs="Arial" w:eastAsia="Arial" w:hAnsi="Arial"/>
                <w:sz w:val="14"/>
                <w:szCs w:val="14"/>
                <w:b w:val="1"/>
                <w:bCs w:val="1"/>
                <w:color w:val="auto"/>
              </w:rPr>
              <w:t>June 25,</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500"/>
              <w:spacing w:after="0" w:line="133" w:lineRule="exact"/>
              <w:rPr>
                <w:sz w:val="20"/>
                <w:szCs w:val="20"/>
                <w:color w:val="auto"/>
              </w:rPr>
            </w:pPr>
            <w:r>
              <w:rPr>
                <w:rFonts w:ascii="Arial" w:cs="Arial" w:eastAsia="Arial" w:hAnsi="Arial"/>
                <w:sz w:val="14"/>
                <w:szCs w:val="14"/>
                <w:b w:val="1"/>
                <w:bCs w:val="1"/>
                <w:color w:val="auto"/>
              </w:rPr>
              <w:t>July 1,</w:t>
            </w: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11"/>
              <w:spacing w:after="0" w:line="133" w:lineRule="exact"/>
              <w:rPr>
                <w:sz w:val="20"/>
                <w:szCs w:val="20"/>
                <w:color w:val="auto"/>
              </w:rPr>
            </w:pPr>
            <w:r>
              <w:rPr>
                <w:rFonts w:ascii="Arial" w:cs="Arial" w:eastAsia="Arial" w:hAnsi="Arial"/>
                <w:sz w:val="14"/>
                <w:szCs w:val="14"/>
                <w:b w:val="1"/>
                <w:bCs w:val="1"/>
                <w:color w:val="auto"/>
              </w:rPr>
              <w:t>June 25,</w:t>
            </w:r>
          </w:p>
        </w:tc>
        <w:tc>
          <w:tcPr>
            <w:tcW w:w="120" w:type="dxa"/>
            <w:vAlign w:val="bottom"/>
          </w:tcPr>
          <w:p>
            <w:pPr>
              <w:spacing w:after="0"/>
              <w:rPr>
                <w:sz w:val="11"/>
                <w:szCs w:val="11"/>
                <w:color w:val="auto"/>
              </w:rPr>
            </w:pPr>
          </w:p>
        </w:tc>
      </w:tr>
      <w:tr>
        <w:trPr>
          <w:trHeight w:val="171"/>
        </w:trPr>
        <w:tc>
          <w:tcPr>
            <w:tcW w:w="5580" w:type="dxa"/>
            <w:vAlign w:val="bottom"/>
            <w:tcBorders>
              <w:bottom w:val="single" w:sz="8" w:color="CFF0FC"/>
            </w:tcBorders>
          </w:tcPr>
          <w:p>
            <w:pPr>
              <w:spacing w:after="0"/>
              <w:rPr>
                <w:sz w:val="14"/>
                <w:szCs w:val="14"/>
                <w:color w:val="auto"/>
              </w:rPr>
            </w:pPr>
          </w:p>
        </w:tc>
        <w:tc>
          <w:tcPr>
            <w:tcW w:w="5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4"/>
                <w:szCs w:val="14"/>
                <w:color w:val="auto"/>
              </w:rPr>
            </w:pPr>
          </w:p>
        </w:tc>
      </w:tr>
      <w:tr>
        <w:trPr>
          <w:trHeight w:val="237"/>
        </w:trPr>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5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Company-operated restaurant revenue</w:t>
            </w:r>
          </w:p>
        </w:tc>
        <w:tc>
          <w:tcPr>
            <w:tcW w:w="8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83,575</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81,358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168,308</w:t>
            </w:r>
          </w:p>
        </w:tc>
        <w:tc>
          <w:tcPr>
            <w:tcW w:w="2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157,571</w:t>
            </w:r>
          </w:p>
        </w:tc>
        <w:tc>
          <w:tcPr>
            <w:tcW w:w="12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Franchise revenue</w:t>
            </w:r>
          </w:p>
        </w:tc>
        <w:tc>
          <w:tcPr>
            <w:tcW w:w="5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5,546</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11,572</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10,760</w:t>
            </w:r>
          </w:p>
        </w:tc>
        <w:tc>
          <w:tcPr>
            <w:tcW w:w="120" w:type="dxa"/>
            <w:vAlign w:val="bottom"/>
            <w:shd w:val="clear" w:color="auto" w:fill="CFF0FC"/>
          </w:tcPr>
          <w:p>
            <w:pPr>
              <w:spacing w:after="0"/>
              <w:rPr>
                <w:sz w:val="19"/>
                <w:szCs w:val="19"/>
                <w:color w:val="auto"/>
              </w:rPr>
            </w:pPr>
          </w:p>
        </w:tc>
      </w:tr>
      <w:tr>
        <w:trPr>
          <w:trHeight w:val="223"/>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revenue</w:t>
            </w:r>
          </w:p>
        </w:tc>
        <w:tc>
          <w:tcPr>
            <w:tcW w:w="5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89,454</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86,904</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179,880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168,331</w:t>
            </w:r>
          </w:p>
        </w:tc>
        <w:tc>
          <w:tcPr>
            <w:tcW w:w="120" w:type="dxa"/>
            <w:vAlign w:val="bottom"/>
            <w:tcBorders>
              <w:bottom w:val="single" w:sz="8" w:color="CFF0FC"/>
            </w:tcBorders>
          </w:tcPr>
          <w:p>
            <w:pPr>
              <w:spacing w:after="0"/>
              <w:rPr>
                <w:sz w:val="19"/>
                <w:szCs w:val="19"/>
                <w:color w:val="auto"/>
              </w:rPr>
            </w:pP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operations</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Food and paper cost</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27,055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54,178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49,953</w:t>
            </w:r>
          </w:p>
        </w:tc>
        <w:tc>
          <w:tcPr>
            <w:tcW w:w="12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Labor and related expenses</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42,671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39,415</w:t>
            </w:r>
          </w:p>
        </w:tc>
        <w:tc>
          <w:tcPr>
            <w:tcW w:w="12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Occupancy and other operating expenses</w:t>
            </w:r>
          </w:p>
        </w:tc>
        <w:tc>
          <w:tcPr>
            <w:tcW w:w="5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17,388</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16,945</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34,524</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32,989</w:t>
            </w:r>
          </w:p>
        </w:tc>
        <w:tc>
          <w:tcPr>
            <w:tcW w:w="120" w:type="dxa"/>
            <w:vAlign w:val="bottom"/>
            <w:tcBorders>
              <w:bottom w:val="single" w:sz="8" w:color="CFF0FC"/>
            </w:tcBorders>
          </w:tcPr>
          <w:p>
            <w:pPr>
              <w:spacing w:after="0"/>
              <w:rPr>
                <w:sz w:val="19"/>
                <w:szCs w:val="19"/>
                <w:color w:val="auto"/>
              </w:rPr>
            </w:pP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Company restaurant expenses</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65,532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62,977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131,373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122,357</w:t>
            </w:r>
          </w:p>
        </w:tc>
        <w:tc>
          <w:tcPr>
            <w:tcW w:w="12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6,405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6,835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13,890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13,465</w:t>
            </w:r>
          </w:p>
        </w:tc>
        <w:tc>
          <w:tcPr>
            <w:tcW w:w="12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Franchise expenses</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w:t>
            </w:r>
          </w:p>
        </w:tc>
        <w:tc>
          <w:tcPr>
            <w:tcW w:w="12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5,347</w:t>
            </w:r>
          </w:p>
        </w:tc>
        <w:tc>
          <w:tcPr>
            <w:tcW w:w="12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Loss on disposal of assets</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Asset impairment and close-store reserves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r>
      <w:tr>
        <w:trPr>
          <w:trHeight w:val="223"/>
        </w:trPr>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expenses</w:t>
            </w:r>
          </w:p>
        </w:tc>
        <w:tc>
          <w:tcPr>
            <w:tcW w:w="5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75,872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74,062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153,331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143,979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13,582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12,842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26,549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24,352</w:t>
            </w:r>
          </w:p>
        </w:tc>
        <w:tc>
          <w:tcPr>
            <w:tcW w:w="12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11,326</w:t>
            </w:r>
          </w:p>
        </w:tc>
        <w:tc>
          <w:tcPr>
            <w:tcW w:w="12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Expenses related to selling shareholders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Income tax receivable agreement expense</w:t>
            </w:r>
          </w:p>
        </w:tc>
        <w:tc>
          <w:tcPr>
            <w:tcW w:w="5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12,292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7,139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23,797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13,026</w:t>
            </w:r>
          </w:p>
        </w:tc>
        <w:tc>
          <w:tcPr>
            <w:tcW w:w="12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9,776</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120" w:type="dxa"/>
            <w:vAlign w:val="bottom"/>
            <w:shd w:val="clear" w:color="auto" w:fill="CFF0FC"/>
          </w:tcPr>
          <w:p>
            <w:pPr>
              <w:spacing w:after="0"/>
              <w:rPr>
                <w:sz w:val="19"/>
                <w:szCs w:val="19"/>
                <w:color w:val="auto"/>
              </w:rPr>
            </w:pPr>
          </w:p>
        </w:tc>
      </w:tr>
      <w:tr>
        <w:trPr>
          <w:trHeight w:val="263"/>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income</w:t>
            </w:r>
          </w:p>
        </w:tc>
        <w:tc>
          <w:tcPr>
            <w:tcW w:w="5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7,230</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6,569</w:t>
            </w: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14,021</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12,039</w:t>
            </w:r>
          </w:p>
        </w:tc>
        <w:tc>
          <w:tcPr>
            <w:tcW w:w="120" w:type="dxa"/>
            <w:vAlign w:val="bottom"/>
            <w:tcBorders>
              <w:bottom w:val="single" w:sz="8" w:color="CFF0FC"/>
            </w:tcBorders>
          </w:tcPr>
          <w:p>
            <w:pPr>
              <w:spacing w:after="0"/>
              <w:rPr>
                <w:sz w:val="22"/>
                <w:szCs w:val="22"/>
                <w:color w:val="auto"/>
              </w:rPr>
            </w:pPr>
          </w:p>
        </w:tc>
      </w:tr>
      <w:tr>
        <w:trPr>
          <w:trHeight w:val="224"/>
        </w:trPr>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per share</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Basic</w:t>
            </w:r>
          </w:p>
        </w:tc>
        <w:tc>
          <w:tcPr>
            <w:tcW w:w="8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0.19</w:t>
            </w:r>
          </w:p>
        </w:tc>
        <w:tc>
          <w:tcPr>
            <w:tcW w:w="1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0.37</w:t>
            </w:r>
          </w:p>
        </w:tc>
        <w:tc>
          <w:tcPr>
            <w:tcW w:w="220" w:type="dxa"/>
            <w:vAlign w:val="bottom"/>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r>
      <w:tr>
        <w:trPr>
          <w:trHeight w:val="243"/>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88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FF0FC"/>
          </w:tcPr>
          <w:p>
            <w:pPr>
              <w:spacing w:after="0"/>
              <w:rPr>
                <w:sz w:val="21"/>
                <w:szCs w:val="2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b w:val="1"/>
                <w:bCs w:val="1"/>
                <w:color w:val="auto"/>
                <w:w w:val="97"/>
              </w:rPr>
              <w:t>Weighted-average shares used in computing net income per share</w:t>
            </w: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37,812,767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28,715,485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37,618,756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28,714,053</w:t>
            </w:r>
          </w:p>
        </w:tc>
        <w:tc>
          <w:tcPr>
            <w:tcW w:w="12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Diluted</w:t>
            </w:r>
          </w:p>
        </w:tc>
        <w:tc>
          <w:tcPr>
            <w:tcW w:w="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39,085,206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30,372,281</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39,002,974</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30,595,565</w:t>
            </w:r>
          </w:p>
        </w:tc>
        <w:tc>
          <w:tcPr>
            <w:tcW w:w="12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Twenty-Six Weeks Ended</w:t>
            </w:r>
          </w:p>
        </w:tc>
      </w:tr>
      <w:tr>
        <w:trPr>
          <w:trHeight w:val="156"/>
        </w:trPr>
        <w:tc>
          <w:tcPr>
            <w:tcW w:w="84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right"/>
              <w:ind w:right="600"/>
              <w:spacing w:after="0" w:line="155" w:lineRule="exact"/>
              <w:rPr>
                <w:sz w:val="20"/>
                <w:szCs w:val="20"/>
                <w:color w:val="auto"/>
              </w:rPr>
            </w:pPr>
            <w:r>
              <w:rPr>
                <w:rFonts w:ascii="Arial" w:cs="Arial" w:eastAsia="Arial" w:hAnsi="Arial"/>
                <w:sz w:val="14"/>
                <w:szCs w:val="14"/>
                <w:b w:val="1"/>
                <w:bCs w:val="1"/>
                <w:color w:val="auto"/>
                <w:w w:val="94"/>
              </w:rPr>
              <w:t>July 1, 2015</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w w:val="98"/>
              </w:rPr>
              <w:t>June 25, 2014</w:t>
            </w:r>
          </w:p>
        </w:tc>
        <w:tc>
          <w:tcPr>
            <w:tcW w:w="120" w:type="dxa"/>
            <w:vAlign w:val="bottom"/>
          </w:tcPr>
          <w:p>
            <w:pPr>
              <w:spacing w:after="0"/>
              <w:rPr>
                <w:sz w:val="13"/>
                <w:szCs w:val="13"/>
                <w:color w:val="auto"/>
              </w:rPr>
            </w:pPr>
          </w:p>
        </w:tc>
      </w:tr>
      <w:tr>
        <w:trPr>
          <w:trHeight w:val="223"/>
        </w:trPr>
        <w:tc>
          <w:tcPr>
            <w:tcW w:w="8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14,021</w:t>
            </w:r>
          </w:p>
        </w:tc>
        <w:tc>
          <w:tcPr>
            <w:tcW w:w="460" w:type="dxa"/>
            <w:vAlign w:val="bottom"/>
          </w:tcPr>
          <w:p>
            <w:pPr>
              <w:spacing w:after="0"/>
              <w:rPr>
                <w:sz w:val="19"/>
                <w:szCs w:val="19"/>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12,039</w:t>
            </w:r>
          </w:p>
        </w:tc>
        <w:tc>
          <w:tcPr>
            <w:tcW w:w="120" w:type="dxa"/>
            <w:vAlign w:val="bottom"/>
          </w:tcPr>
          <w:p>
            <w:pPr>
              <w:spacing w:after="0"/>
              <w:rPr>
                <w:sz w:val="19"/>
                <w:szCs w:val="19"/>
                <w:color w:val="auto"/>
              </w:rPr>
            </w:pPr>
          </w:p>
        </w:tc>
      </w:tr>
      <w:tr>
        <w:trPr>
          <w:trHeight w:val="215"/>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flows provided by operating</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8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6,346</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5,347</w:t>
            </w:r>
          </w:p>
        </w:tc>
        <w:tc>
          <w:tcPr>
            <w:tcW w:w="12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Interest accretion</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Income tax receivable agreement expense</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Loss on disposal of assets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Impairment of property and equipment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Close-store reserve</w:t>
            </w:r>
          </w:p>
        </w:tc>
        <w:tc>
          <w:tcPr>
            <w:tcW w:w="120" w:type="dxa"/>
            <w:vAlign w:val="bottom"/>
          </w:tcPr>
          <w:p>
            <w:pPr>
              <w:spacing w:after="0"/>
              <w:rPr>
                <w:sz w:val="19"/>
                <w:szCs w:val="19"/>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Amortization of favorable and unfavorable leases, net</w:t>
            </w:r>
          </w:p>
        </w:tc>
        <w:tc>
          <w:tcPr>
            <w:tcW w:w="120" w:type="dxa"/>
            <w:vAlign w:val="bottom"/>
          </w:tcPr>
          <w:p>
            <w:pPr>
              <w:spacing w:after="0"/>
              <w:rPr>
                <w:sz w:val="19"/>
                <w:szCs w:val="19"/>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9,775</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and other receivables, net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FF0FC"/>
          </w:tcPr>
          <w:p>
            <w:pPr>
              <w:spacing w:after="0"/>
              <w:rPr>
                <w:sz w:val="19"/>
                <w:szCs w:val="19"/>
                <w:color w:val="auto"/>
              </w:rPr>
            </w:pPr>
          </w:p>
        </w:tc>
      </w:tr>
      <w:tr>
        <w:trPr>
          <w:trHeight w:val="230"/>
        </w:trPr>
        <w:tc>
          <w:tcPr>
            <w:tcW w:w="842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30"/>
        </w:trPr>
        <w:tc>
          <w:tcPr>
            <w:tcW w:w="8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(1,095)</w:t>
            </w:r>
          </w:p>
        </w:tc>
      </w:tr>
      <w:tr>
        <w:trPr>
          <w:trHeight w:val="230"/>
        </w:trPr>
        <w:tc>
          <w:tcPr>
            <w:tcW w:w="8420" w:type="dxa"/>
            <w:vAlign w:val="bottom"/>
          </w:tcPr>
          <w:p>
            <w:pPr>
              <w:ind w:left="260"/>
              <w:spacing w:after="0"/>
              <w:rPr>
                <w:sz w:val="20"/>
                <w:szCs w:val="20"/>
                <w:color w:val="auto"/>
              </w:rPr>
            </w:pPr>
            <w:r>
              <w:rPr>
                <w:rFonts w:ascii="Arial" w:cs="Arial" w:eastAsia="Arial" w:hAnsi="Arial"/>
                <w:sz w:val="18"/>
                <w:szCs w:val="18"/>
                <w:color w:val="auto"/>
              </w:rPr>
              <w:t>Income taxes receivable</w:t>
            </w:r>
          </w:p>
        </w:tc>
        <w:tc>
          <w:tcPr>
            <w:tcW w:w="120" w:type="dxa"/>
            <w:vAlign w:val="bottom"/>
          </w:tcPr>
          <w:p>
            <w:pPr>
              <w:spacing w:after="0"/>
              <w:rPr>
                <w:sz w:val="19"/>
                <w:szCs w:val="19"/>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r>
      <w:tr>
        <w:trPr>
          <w:trHeight w:val="230"/>
        </w:trPr>
        <w:tc>
          <w:tcPr>
            <w:tcW w:w="8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FF0FC"/>
          </w:tcPr>
          <w:p>
            <w:pPr>
              <w:spacing w:after="0"/>
              <w:rPr>
                <w:sz w:val="19"/>
                <w:szCs w:val="19"/>
                <w:color w:val="auto"/>
              </w:rPr>
            </w:pPr>
          </w:p>
        </w:tc>
      </w:tr>
      <w:tr>
        <w:trPr>
          <w:trHeight w:val="230"/>
        </w:trPr>
        <w:tc>
          <w:tcPr>
            <w:tcW w:w="84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19"/>
                <w:szCs w:val="19"/>
                <w:color w:val="auto"/>
              </w:rPr>
            </w:pPr>
          </w:p>
        </w:tc>
      </w:tr>
      <w:tr>
        <w:trPr>
          <w:trHeight w:val="230"/>
        </w:trPr>
        <w:tc>
          <w:tcPr>
            <w:tcW w:w="8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salaries and vacation</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(1,814)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(622)</w:t>
            </w:r>
          </w:p>
        </w:tc>
      </w:tr>
      <w:tr>
        <w:trPr>
          <w:trHeight w:val="230"/>
        </w:trPr>
        <w:tc>
          <w:tcPr>
            <w:tcW w:w="8420" w:type="dxa"/>
            <w:vAlign w:val="bottom"/>
          </w:tcPr>
          <w:p>
            <w:pPr>
              <w:ind w:left="260"/>
              <w:spacing w:after="0"/>
              <w:rPr>
                <w:sz w:val="20"/>
                <w:szCs w:val="20"/>
                <w:color w:val="auto"/>
              </w:rPr>
            </w:pPr>
            <w:r>
              <w:rPr>
                <w:rFonts w:ascii="Arial" w:cs="Arial" w:eastAsia="Arial" w:hAnsi="Arial"/>
                <w:sz w:val="18"/>
                <w:szCs w:val="18"/>
                <w:color w:val="auto"/>
              </w:rPr>
              <w:t>Accrued insurance</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757</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19"/>
                <w:szCs w:val="19"/>
                <w:color w:val="auto"/>
              </w:rPr>
            </w:pPr>
          </w:p>
        </w:tc>
      </w:tr>
      <w:tr>
        <w:trPr>
          <w:trHeight w:val="230"/>
        </w:trPr>
        <w:tc>
          <w:tcPr>
            <w:tcW w:w="8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accrued expenses and liabilities</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(1,146)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flows provided by operating activities</w:t>
            </w: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29,817</w:t>
            </w:r>
          </w:p>
        </w:tc>
        <w:tc>
          <w:tcPr>
            <w:tcW w:w="4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21,591</w:t>
            </w:r>
          </w:p>
        </w:tc>
        <w:tc>
          <w:tcPr>
            <w:tcW w:w="120" w:type="dxa"/>
            <w:vAlign w:val="bottom"/>
            <w:tcBorders>
              <w:bottom w:val="single" w:sz="8" w:color="CFF0FC"/>
            </w:tcBorders>
          </w:tcPr>
          <w:p>
            <w:pPr>
              <w:spacing w:after="0"/>
              <w:rPr>
                <w:sz w:val="19"/>
                <w:szCs w:val="19"/>
                <w:color w:val="auto"/>
              </w:rPr>
            </w:pPr>
          </w:p>
        </w:tc>
      </w:tr>
      <w:tr>
        <w:trPr>
          <w:trHeight w:val="223"/>
        </w:trPr>
        <w:tc>
          <w:tcPr>
            <w:tcW w:w="8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tcPr>
          <w:p>
            <w:pPr>
              <w:spacing w:after="0"/>
              <w:rPr>
                <w:sz w:val="19"/>
                <w:szCs w:val="19"/>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(8,869)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(10,391)</w:t>
            </w:r>
          </w:p>
        </w:tc>
      </w:tr>
      <w:tr>
        <w:trPr>
          <w:trHeight w:val="223"/>
        </w:trPr>
        <w:tc>
          <w:tcPr>
            <w:tcW w:w="8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flows used in investing activities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(8,869)</w:t>
            </w:r>
          </w:p>
        </w:tc>
        <w:tc>
          <w:tcPr>
            <w:tcW w:w="4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Payments on senior secured loan</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(950)</w:t>
            </w: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4,069</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Payments on revolver</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(30,000)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Payment of obligations under capital leases</w:t>
            </w:r>
          </w:p>
        </w:tc>
        <w:tc>
          <w:tcPr>
            <w:tcW w:w="120" w:type="dxa"/>
            <w:vAlign w:val="bottom"/>
          </w:tcPr>
          <w:p>
            <w:pPr>
              <w:spacing w:after="0"/>
              <w:rPr>
                <w:sz w:val="19"/>
                <w:szCs w:val="19"/>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r>
      <w:tr>
        <w:trPr>
          <w:trHeight w:val="223"/>
        </w:trPr>
        <w:tc>
          <w:tcPr>
            <w:tcW w:w="8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flows used in financing activities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(26,033)</w:t>
            </w:r>
          </w:p>
        </w:tc>
        <w:tc>
          <w:tcPr>
            <w:tcW w:w="4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b w:val="1"/>
                <w:bCs w:val="1"/>
                <w:color w:val="auto"/>
              </w:rPr>
              <w:t>(Decrease) Increase in cash and cash equivalents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(5,085)</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10,119</w:t>
            </w:r>
          </w:p>
        </w:tc>
        <w:tc>
          <w:tcPr>
            <w:tcW w:w="12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beginning of period</w:t>
            </w: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11,499</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17,015</w:t>
            </w:r>
          </w:p>
        </w:tc>
        <w:tc>
          <w:tcPr>
            <w:tcW w:w="12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6,414</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27,134</w:t>
            </w:r>
          </w:p>
        </w:tc>
        <w:tc>
          <w:tcPr>
            <w:tcW w:w="12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260" w:type="dxa"/>
            <w:vAlign w:val="bottom"/>
          </w:tcPr>
          <w:p>
            <w:pPr>
              <w:spacing w:after="0"/>
              <w:rPr>
                <w:sz w:val="14"/>
                <w:szCs w:val="14"/>
                <w:color w:val="auto"/>
              </w:rPr>
            </w:pPr>
          </w:p>
        </w:tc>
        <w:tc>
          <w:tcPr>
            <w:tcW w:w="3180" w:type="dxa"/>
            <w:vAlign w:val="bottom"/>
            <w:gridSpan w:val="5"/>
          </w:tcPr>
          <w:p>
            <w:pPr>
              <w:ind w:left="62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56"/>
        </w:trPr>
        <w:tc>
          <w:tcPr>
            <w:tcW w:w="7980" w:type="dxa"/>
            <w:vAlign w:val="bottom"/>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July 1, 2015</w:t>
            </w: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June 25, 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during the period for interest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1,923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color w:val="auto"/>
              </w:rPr>
              <w:t>Cash paid during the period for income taxes, net</w:t>
            </w: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FF0FC"/>
            </w:tcBorders>
            <w:vMerge w:val="continue"/>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Unpaid purchases of property and equipment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color w:val="auto"/>
              </w:rPr>
              <w:t>Cashless stock option exercise</w:t>
            </w: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vMerge w:val="continue"/>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ind w:right="378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Overview</w:t>
      </w:r>
    </w:p>
    <w:p>
      <w:pPr>
        <w:ind w:right="120"/>
        <w:spacing w:after="0" w:line="259" w:lineRule="auto"/>
        <w:rPr>
          <w:sz w:val="20"/>
          <w:szCs w:val="20"/>
          <w:color w:val="auto"/>
        </w:rPr>
      </w:pPr>
      <w:r>
        <w:rPr>
          <w:rFonts w:ascii="Arial" w:cs="Arial" w:eastAsia="Arial" w:hAnsi="Arial"/>
          <w:sz w:val="18"/>
          <w:szCs w:val="18"/>
          <w:color w:val="auto"/>
        </w:rPr>
        <w:t>El Pollo Loco Holdings, Inc. (“Holdings”) is a Delaware corporation headquartered in Costa Mesa, California. Holdings and its direct and indirect subsidiaries are collectively known as “we,” “us” or the “Company.” Our activities are conducted principally through our indirect wholly-owned subsidiary, El Pollo Loco, Inc. (“EPL”), which develops, franchises, licenses, and operates quick-service restaurants under the name El Pollo Loco® and operates under one operating segment. At July 1, 2015, we operated 174 and franchised 244 El Pollo Loco restaurants.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In the opinion of management, the accompanying unaudited condensed consolidated financial statements reflect all adjustments consisting of normal recurring adjustments necessary for a fair presentation of its financial position and results of operations and cash flows for the periods presented. Interim results of operations are not necessarily indicative of the results that may be achieved for the full year. The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31, 2014.</w:t>
      </w:r>
    </w:p>
    <w:p>
      <w:pPr>
        <w:spacing w:after="0" w:line="17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uses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2014, which was a 53-week year, ended on December 31, 2014. Fiscal 2015, which is a 52-week year, will end on December 30, 2015. Because fiscal 2014 is a 53-week year, both revenues and expenses, and other financial and operational figures, may be on an elevated scale compared with 52-week periods both before and after.</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April 22, 2014, Chicken Acquisition Corp. (“CAC”), which was a predecessor of Holdings, as well as its wholly owned subsidiary, Chicken Subsidiary Corp (“CSC”) and CSC’s wholly owned subsidiary, the former El Pollo Loco Holdings, Inc. (“Old Holdings”) entered into the following reorganization transactions: (i) Old Holdings merged with and into CSC with CSC continuing as the surviving corporation; (ii) CSC merged with and into CAC with CAC continuing as the surviving corporation and (iii) CAC renamed itself El Pollo Loco Holdings, Inc.</w:t>
      </w:r>
    </w:p>
    <w:p>
      <w:pPr>
        <w:spacing w:after="0" w:line="18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Holdings has no material assets or operations. Holdings and Holdings’ direct subsidiary, EPL Intermediate, Inc. (“Intermediate”), guarantee EPL’s 2014 Revolver (see Note 4) on a full and unconditional basis and Intermediate has no subsidiaries other than EPL. EPL is a separate and distinct legal entity, and has no obligation to make funds available to Intermediate EPL and Intermediate may pay dividends to Intermediate and to Holdings, respectively.</w:t>
      </w:r>
    </w:p>
    <w:p>
      <w:pPr>
        <w:spacing w:after="0" w:line="14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Under the 2014 Revolver, Holdings may not make certain payments such as cash dividends, except that it may, inter alia, (i) pay up to $1 million per year to repurchase or redeem qualified equity interests of Holdings held by past or present officers, directors, or employees (or their estates) of the Company upon death, disability, or termination of employment, (ii) pay under its income tax receivable agreement (the “TRA”), and, (iii) so long as no default or event of default has occurred and is continuing, (a) 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 million in other restricted payments per year, and (d) make other restricted payments, provided that such payments would not cause, in each case, on a pro forma basis, (x) its lease-adjusted consolidated leverage ratio to equal or exceed 4.25 times and (y) its consolidated fixed charge coverage ratio to be less than 1.75 times.</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July 14, 2014, we amended our certificate of incorporation to increase our authorized share count to 200,000,000 shares of common stock, par value $0.01 per share, and split our stock 8.56381:1. On July 24, 2014, we amended and restated our certificate of incorporation to, among other things, increase our authorized share count to 300,000,000 shares of stock, including 200,000,000 shares of common stock and 100,000,000 shares of preferred stock, each par value $0.01 per share. On July 30, 2014, we completed our initial public offering of 8,214,286 shares of common stock at a price to the public of $15.00 per share (the “IPO”), including 1,071,429 shares sold to the underwriters pursuant to their option to purchase additional shares. After underwriting discounts, commissions, and fees and expenses of IPO offering and distribution, as set forth in our registration statement for the IPO on Form 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jc w:val="both"/>
        <w:ind w:right="180"/>
        <w:spacing w:after="0" w:line="264" w:lineRule="auto"/>
        <w:rPr>
          <w:sz w:val="20"/>
          <w:szCs w:val="20"/>
          <w:color w:val="auto"/>
        </w:rPr>
      </w:pPr>
      <w:r>
        <w:rPr>
          <w:rFonts w:ascii="Arial" w:cs="Arial" w:eastAsia="Arial" w:hAnsi="Arial"/>
          <w:sz w:val="18"/>
          <w:szCs w:val="18"/>
          <w:color w:val="auto"/>
        </w:rPr>
        <w:t>1, we received net IPO proceeds of approximately $112.3 million. We used these proceeds primarily to repay in whole a $100 million second lien term loan (the “Second Lien Term Loan”). All share and per-share data herein have been adjusted to reflect the 8.56381 for 1 common stock split effected on July 14, 2014 as though it had occurred prior to the earliest data presented.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Holdings and its wholly owned subsidiaries. All intercompany balances and transactions have been eliminated in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 reported. Actual results could materially differ from those estimates. The Company’s significant estimates include estimates for impairment of goodwill, intangible assets and property and equipment, insurance reserves, lease termination liabilities, stock-based compensation, income tax receivable agreement liability, and income tax valuation allowances.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highly-liquid instruments with a maturity of three months or less at the date of purchase to be cash equivalents.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restricted cash represents cash collateral to one commercial bank for Company credit cards.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Certain comparative prior year amounts in the condensed consolidated financial statements and accompanying notes have been reclassified to conform to the current year presentation. These reclassifications have no effect on previously-reported working capital, net income, earnings per share, stockholder’s equity, or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principal liquidity requirements are to service our debt and to meet capital expenditure needs. At July 1, 2015, the Company’s total debt (including capital lease liabilities) was $135.7 million. The Company’s ability to make payments on its indebtedness and to fund planned capital expenditures depends on available cash and on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available cash of $6.4 million at July 1, 2015, and available borrowings under the 2014 Revolver (which availability was approximately $58.0 million at July 1, 2015) will be adequate to meet the Company’s liquidity needs for the next 12 months.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July 2015, the FASB issued Accounting Standards Update (ASU) No. 2015-11, "Simplifying the Measurement of Inventory." ASU No. 2015-11 requires inventory that is recorded using the first-in, first-out method to be measured at the lower of cost or net realizable value. ASU No. 2015-11 will be effective retrospectively for the Company for the quarter ending December 31, 2017, with early adoption permitted. The adoption of this guidance is not expected to have a significant impact on the Company's consolidated financial statements.</w:t>
      </w:r>
    </w:p>
    <w:p>
      <w:pPr>
        <w:spacing w:after="0" w:line="7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April 2015, the FASB issued ASU No. 2015-03, Simplifying the Presentation of Debt Issuance Costs. To simplify presentation of debt issuance costs, the standard requires that debt issuance costs be presented in the balance sheet as a direct deduction from the carrying amount of debt liability, consistent with debt discounts or premiums. The recognition and measurement guidance for debt issuance costs would not be affected by the amendments in this</w:t>
      </w:r>
    </w:p>
    <w:p>
      <w:pPr>
        <w:ind w:right="300"/>
        <w:spacing w:after="0" w:line="255" w:lineRule="auto"/>
        <w:rPr>
          <w:sz w:val="20"/>
          <w:szCs w:val="20"/>
          <w:color w:val="auto"/>
        </w:rPr>
      </w:pPr>
      <w:r>
        <w:rPr>
          <w:rFonts w:ascii="Arial" w:cs="Arial" w:eastAsia="Arial" w:hAnsi="Arial"/>
          <w:sz w:val="18"/>
          <w:szCs w:val="18"/>
          <w:color w:val="auto"/>
        </w:rPr>
        <w:t>Update. ASU 2015-03 applies to all entities and is effective for annual reporting periods beginning after December 15, 2015, with early adoption permitted. The standard is to be applied retrospectively. The Company does not expect that the adoption of this standard will have a material effect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 w:name="page9"/>
    <w:bookmarkEnd w:id="8"/>
    <w:p>
      <w:pPr>
        <w:ind w:right="60"/>
        <w:spacing w:after="0" w:line="255" w:lineRule="auto"/>
        <w:rPr>
          <w:sz w:val="20"/>
          <w:szCs w:val="20"/>
          <w:color w:val="auto"/>
        </w:rPr>
      </w:pPr>
      <w:r>
        <w:rPr>
          <w:rFonts w:ascii="Arial" w:cs="Arial" w:eastAsia="Arial" w:hAnsi="Arial"/>
          <w:sz w:val="18"/>
          <w:szCs w:val="18"/>
          <w:color w:val="auto"/>
        </w:rPr>
        <w:t>In May 2014, the FASB issued ASU No. 2014-09, "Revenue from Contracts with Customers (Topic 606)." ASU No. 2014-09 clarifies the principles for recognizing revenue when an entity either enters into a contract with customers to transfer goods or services or enters into a contract for the transfer of non-financial assets. The original standard was effective retrospectively for the Company for the quarter ending December 31, 2017; however in July 2015, the FASB approved a one-year deferral of the standard. The new standard will become effective retrospectively for the Company for the quarter ending December 31, 2018, with early adoption permitted, but not before the original effective date. The Company does not expect that the adoption of this standard will have a material effect on its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evaluated subsequent events that have occurred after July 1, 2015, and determined that there were no other events or transactions occurring during this reporting period that require recognition or disclosure in the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Cash and cash equivalents are maintained at financial institutions and, at times, balances may exceed federally-insured limits. The Company has never experienced any losses related to these balances.</w:t>
      </w:r>
    </w:p>
    <w:p>
      <w:pPr>
        <w:spacing w:after="0" w:line="17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 had two suppliers for which amounts due at July 1, 2015 totaled 32% and 4% of the Company’s accounts payable. As of December 31, 2014, the Company had two different suppliers for which amounts totaled 6% and 5% of the Company’s accounts payable. For the thirteen weeks ended July 1, 2015 and June 25, 2014, purchases from the Company’s two largest suppliers totaled 37% and 3% of the Company’s purchases. For the twenty-six weeks ended July 1, 2015 and June 25, 2014, purchases from the Company’s two largest suppliers totaled 37% and 4% and 36% and3%, respectively, of the Company’s purchases. Company-operated and franchised restaurants in the greater Los Angeles area generated, in the aggregate, approximately 68% and 70% of total revenue for both the thirteen and twenty-six weeks ended July 1, 2015, and June 25, 2014.</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 Lived Intangible Assets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indefinite lived intangible assets consist of trademarks. Goodwill represents the excess of cost over fair value of net identified assets acquired in business combinations accounted for under the purchase method. The Company does not amortize its goodwill and indefinite lived intangible assets. Goodwill resulted from the acquisition of certain franchise locations.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Upon the sale of a restaurant, we decrement goodwill. The amount of goodwill included in the cost basis of the asset sold is determined based on the relative fair value of the portion of the reporting unit disposed compared to the fair value of the reporting unit retained.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 performs annual impairment tests for goodwill during the fourth fiscal quarter of each year, or more frequently if impairment indicators arise.</w:t>
      </w:r>
    </w:p>
    <w:p>
      <w:pPr>
        <w:spacing w:after="0" w:line="2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reviews goodwill for impairment utilizing either a qualitative assessment or a two-step process. If the Company decides that it is appropriate to perform a qualitative assessment and concludes that the fair value of a reporting unit more likely than not exceeds its carrying value, no further evaluation is necessary. If the Company performs the two-step process, the first step of the goodwill impairment test is used to identify potential impairment by comparing the fair value of a reporting unit with its carrying amount, including goodwill. If the fair value of a reporting unit exceeds its carrying amount, goodwill of the reporting unit is considered not impaired and the second step of the impairment test is unnecessary. If the carrying amount of a reporting unit exceeds its fair value, the second step is performed to measure the amount of impairment by comparing the carrying amount of the goodwill to a determination of the implied value of the goodwill. If the carrying amount of goodwill is greater than the implied value, an impairment charge is recognized for the difference.</w:t>
      </w:r>
    </w:p>
    <w:p>
      <w:pPr>
        <w:spacing w:after="0" w:line="16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Company performs annual impairment tests for indefinite 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16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assumptions used in the estimate of fair value are generally consistent with the past performance of the Company’s reporting unit and are also consistent with the projections and assumptions that are used in current operating plans. These assumptions are subject to change as a result of changing economic and competitive conditions.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9" w:name="page10"/>
    <w:bookmarkEnd w:id="9"/>
    <w:p>
      <w:pPr>
        <w:ind w:right="440"/>
        <w:spacing w:after="0" w:line="277" w:lineRule="auto"/>
        <w:rPr>
          <w:sz w:val="20"/>
          <w:szCs w:val="20"/>
          <w:color w:val="auto"/>
        </w:rPr>
      </w:pPr>
      <w:r>
        <w:rPr>
          <w:rFonts w:ascii="Arial" w:cs="Arial" w:eastAsia="Arial" w:hAnsi="Arial"/>
          <w:sz w:val="18"/>
          <w:szCs w:val="18"/>
          <w:color w:val="auto"/>
        </w:rPr>
        <w:t>The Company did not identify any indicators of potential impairment during the thirteen and twenty-six weeks ended July 1, 2015, and therefore did not perform any impairment review, nor did the Company record any impairment.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to reserve the portion of deferred tax assets which are not expect to be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its filing positions for all open tax years in all U.S. federal and state jurisdictions where the Company is required to file.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our results of operations, financial position, and cash flows.</w:t>
      </w:r>
    </w:p>
    <w:p>
      <w:pPr>
        <w:spacing w:after="0" w:line="1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The Company had no accrual for interest or penalties at July 1, 2015, or at December 31, 2014, and did not recognize interest or penalties during the twenty-six weeks ended July 1, 2015, or June 25, 2014, since there were no material unrecognized tax benefits. Management believes no material changes to the amount of unrecognized tax benefits will occur within the next twelve months.</w:t>
      </w:r>
    </w:p>
    <w:p>
      <w:pPr>
        <w:spacing w:after="0" w:line="187"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On July 30, 2014, the Company entered into the Income Tax Receivable Agreement (the TRA). The TRA calls for the Company to pay to its pre-IPO stockholders 85% of the savings in cash that the Company realizes in its taxes as a result of utilizing its net operating losses and other tax attributes attributable to preceding periods.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costs and related accumulated depreciation and amortization of major classes of property are as follows (in thousands):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4"/>
              </w:rPr>
              <w:t>July 1, 2015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55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12,323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4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97,238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92,834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Other property and equipment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51,807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4,366</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165,734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(79,909)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(75,310)</w:t>
            </w: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85,825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82,090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$3.2 million and $2.8 million and $6.3 million and $5.3 million for the thirteen and twenty-six weeks ended July 1, 2015, and</w:t>
      </w:r>
    </w:p>
    <w:p>
      <w:pPr>
        <w:spacing w:after="0" w:line="3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June 25, 2014, respectively. The gross value of assets under capital leases for buildings and improvements was $1,559,200 and $1,800,800 at July 1, 2015 and December 31, 2014, respectively. Accumulated depreciation for assets under capital leases was $1,451,000 and $1,673,000 for the periods ended July 1, 2015 and December 31, 2014, respectively. For the thirteen weeks ended July 1, 2015, capital expenditures totaled $6.5 million, including $2.3 million for restaurant remodeling and $2.9 million for new restaurant expenditures. For the twenty-six weeks ended July 1 2015, capital expenditures totaled $8.9 million, including $3.5 million for restaurant remodeling and $3.1 million for new restaurant expenditures.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STOCK-BASED COMPENSATION</w:t>
      </w:r>
    </w:p>
    <w:p>
      <w:pPr>
        <w:spacing w:after="0" w:line="12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At July 1, 2015, options to purchase 2,206,599 shares of common stock were outstanding, including 1,548,844 vested and 657,755 unvested. Unvested options vest over time, or upon our achieving annual financial goals. However, upon a change in control, the board may accelerate vesting. At July 1, 2015, 1,739,367 premium options remained outstanding. For the thirteen and twenty-six weeks ended July 1, 2015, there were exercises of stock options for 825,187 and 844,907 shares, respectively. For the twenty-six weeks ended June 25, 2014, there was one exercise of stock options for 739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At July 1, 2015 there were 6,666 restricted shares outstanding. Restricted shares vest over time.</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July 1, 2015, we had total unrecognized compensation expense of $1.0 million, related to unvested stock options and restricted shares, which we expect to recognize over a weighted-average period of 2.3 years.</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Total stock-based compensation expense was $146,000 and $443,000 for the thirteen and twenty-six weeks ended July 1, 2015, and was $168,000 and $337,000 for the thirteen and twenty-six weeks ended June 25, 2014,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CREDIT AGREEMENTS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December 11, 2014, the Company refinanced its debt, with EPL, Intermediate, and Holdings entering into a credit agreement with Bank of America, N.A., as administrative agent, swingline lender, and letter of credit issuer, the lenders party thereto, and the other parties thereto, which provides for a $200 million five-year senior secured revolving facility (the “2014 Revolver”). The 2014 Revolver includes a sub limit of $15 million for letters of credit and a sub limit of $15 million for swingline loans. At July 1, 2015, $7.0 million of letters of credit were outstanding and $58.0 million was available to borrow under the revolving line of credit. The 2014 Revolver will mature on or about December 11, 2019.</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to 1.50%. The margin was initially set at 2.00% for LIBOR loans and at 1.00% for base rate loans until the delivery of financial statements and a compliance certificate for the first quarter of 2015. The interest rate range was 1.93% to 2.11% and 1.93% to 2.62% for the thirteen and twenty-six weeks ended July 1, 2015, respectively.</w:t>
      </w:r>
    </w:p>
    <w:p>
      <w:pPr>
        <w:spacing w:after="0" w:line="17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The Company was in compliance with all such covenants at July 1, 2015. See Note 1 for restrictions on the payment of dividends under the 2014 Revolver.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Costs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Transaction costs of $1.5 million were incurred in connection with the December 11, 2014 refinancing and were capitalized and are included in other assets in the accompanying condensed consolidated balance sheets and the related amortization is reflected as a component of interest expense, net, in the accompanying condensed consolidated statements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There are no required principal payments prior to maturity for the 2014 Revolver. During the twenty-six weeks ended July 1, 2015, the Company elected to pay down $30.0 million of outstanding borrowing on our 2014 Revolver, primarily from our cash flow from operations and available cash.</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5. OTHER ACCRUED EXPENSES AND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and current liabilities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July 1, 2015</w:t>
            </w: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sales and property taxes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2,876</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Income tax receivable agreement payable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Gift card liability</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accrued expenses and current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11,925</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OTHER NONCURRENT LIABILITIES</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72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80" w:type="dxa"/>
            <w:vAlign w:val="bottom"/>
            <w:gridSpan w:val="2"/>
          </w:tcPr>
          <w:p>
            <w:pPr>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July 1,</w:t>
            </w:r>
          </w:p>
        </w:tc>
        <w:tc>
          <w:tcPr>
            <w:tcW w:w="10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5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TRA payable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37,689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2,805</w:t>
            </w: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gridSpan w:val="2"/>
          </w:tcPr>
          <w:p>
            <w:pPr>
              <w:ind w:left="1720"/>
              <w:spacing w:after="0"/>
              <w:rPr>
                <w:sz w:val="20"/>
                <w:szCs w:val="20"/>
                <w:color w:val="auto"/>
              </w:rPr>
            </w:pPr>
            <w:r>
              <w:rPr>
                <w:rFonts w:ascii="Arial" w:cs="Arial" w:eastAsia="Arial" w:hAnsi="Arial"/>
                <w:sz w:val="18"/>
                <w:szCs w:val="18"/>
                <w:color w:val="auto"/>
              </w:rPr>
              <w:t>Total other noncurrent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47,105</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776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ind w:right="160"/>
        <w:spacing w:after="0" w:line="271" w:lineRule="auto"/>
        <w:rPr>
          <w:sz w:val="20"/>
          <w:szCs w:val="20"/>
          <w:color w:val="auto"/>
        </w:rPr>
      </w:pPr>
      <w:r>
        <w:rPr>
          <w:rFonts w:ascii="Arial" w:cs="Arial" w:eastAsia="Arial" w:hAnsi="Arial"/>
          <w:sz w:val="17"/>
          <w:szCs w:val="17"/>
          <w:color w:val="auto"/>
        </w:rPr>
        <w:t>On or about February 24, 2014, a former employee filed a class action in the Superior Court of the State of California, County of Orange, against EPL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While the Company is vigorously defending against this action, including its class certification, the ultimate outcome of the case is presently not determinable as it is in a preliminary phase. Thus, the Company cannot at this time determine the likelihood of an adverse judgment nor a likely range of damages in the event of an adverse judgment. Any settlement of or judgment with a negative outcome arising from, this lawsuit could have a material adverse effect.</w:t>
      </w:r>
    </w:p>
    <w:p>
      <w:pPr>
        <w:spacing w:after="0" w:line="1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is also involved in various other claims and legal actions that arise in the ordinary course of business. The Company does not believe that the ultimate resolution of these other actions will have a material adverse effect on the Company’s financial position, results of operations, liquidity, or capital resources. A significant increase in the number of claims, or an increase in amounts owing under successful claims, could materially and adversely affect the Company’s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Commitments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into 2017 with an estimated Company obligation totaling $16.9 million as of July 1,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July 1, 2015, the Company’s total estimated commitment to purchase chicken was $21.4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Lease Obligations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assigning the Company’s interest in obligations under real estate leases in connection with the sale of Company-operated restaurants to some of the Company’s franchisees, the Company is contingently liable on four lease agreements. These leases have various terms, the latest of which expires in 2022. As of July 1, 2015, the potential amount of undiscounted payments the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2" w:name="page13"/>
    <w:bookmarkEnd w:id="12"/>
    <w:p>
      <w:pPr>
        <w:ind w:right="40"/>
        <w:spacing w:after="0" w:line="297" w:lineRule="auto"/>
        <w:rPr>
          <w:sz w:val="20"/>
          <w:szCs w:val="20"/>
          <w:color w:val="auto"/>
        </w:rPr>
      </w:pPr>
      <w:r>
        <w:rPr>
          <w:rFonts w:ascii="Arial" w:cs="Arial" w:eastAsia="Arial" w:hAnsi="Arial"/>
          <w:sz w:val="16"/>
          <w:szCs w:val="16"/>
          <w:color w:val="auto"/>
        </w:rPr>
        <w:t>Company could be required to make in the event of non-payment by the primary lessee was $1,501,000. The present value of these potential payments discounted at the Company’s estimated pre-tax cost of debt at July 1, 2015 was $1,377,000.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Accordingly, no liability has been recorded in the Company’s condensed consolidated financial statements related to these contingent liabilities.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Company has employment agreements with four of the officers of the Company on an at will basis. These agreements provide for minimum salary levels, possible annual adjustments for cost-of-living changes, and incentive bonuses that are payable under certain business conditions.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entered into indemnification agreements with each of its current directors and executive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executive officers.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INCOME PER SHARE</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Basic net income per share is calculated using the weighted-average number of shares of common stock outstanding during the thirteen and twenty-six weeks ended July 1, 2015, and June 25, 2014. Diluted net income per share is calculated using the weighted-average number of shares of common stock outstanding and potentially dilutive during the period, using the treasury stock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Below are basic and diluted net income per share data for the periods indicated, which are in thousands except for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8"/>
          </w:tcPr>
          <w:p>
            <w:pPr>
              <w:ind w:left="100"/>
              <w:spacing w:after="0"/>
              <w:rPr>
                <w:sz w:val="20"/>
                <w:szCs w:val="20"/>
                <w:color w:val="auto"/>
              </w:rPr>
            </w:pPr>
            <w:r>
              <w:rPr>
                <w:rFonts w:ascii="Arial" w:cs="Arial" w:eastAsia="Arial" w:hAnsi="Arial"/>
                <w:sz w:val="14"/>
                <w:szCs w:val="14"/>
                <w:b w:val="1"/>
                <w:bCs w:val="1"/>
                <w:color w:val="auto"/>
              </w:rPr>
              <w:t>Thirteen Weeks Ended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6"/>
          </w:tcPr>
          <w:p>
            <w:pPr>
              <w:jc w:val="right"/>
              <w:ind w:right="196"/>
              <w:spacing w:after="0"/>
              <w:rPr>
                <w:sz w:val="20"/>
                <w:szCs w:val="20"/>
                <w:color w:val="auto"/>
              </w:rPr>
            </w:pPr>
            <w:r>
              <w:rPr>
                <w:rFonts w:ascii="Arial" w:cs="Arial" w:eastAsia="Arial" w:hAnsi="Arial"/>
                <w:sz w:val="14"/>
                <w:szCs w:val="14"/>
                <w:b w:val="1"/>
                <w:bCs w:val="1"/>
                <w:color w:val="auto"/>
                <w:w w:val="98"/>
              </w:rPr>
              <w:t>Twenty-Six Weeks Ended</w:t>
            </w:r>
          </w:p>
        </w:tc>
        <w:tc>
          <w:tcPr>
            <w:tcW w:w="1740" w:type="dxa"/>
            <w:vAlign w:val="bottom"/>
          </w:tcPr>
          <w:p>
            <w:pPr>
              <w:spacing w:after="0"/>
              <w:rPr>
                <w:sz w:val="14"/>
                <w:szCs w:val="14"/>
                <w:color w:val="auto"/>
              </w:rPr>
            </w:pPr>
          </w:p>
        </w:tc>
      </w:tr>
      <w:tr>
        <w:trPr>
          <w:trHeight w:val="133"/>
        </w:trPr>
        <w:tc>
          <w:tcPr>
            <w:tcW w:w="17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ind w:left="20"/>
              <w:spacing w:after="0" w:line="133" w:lineRule="exact"/>
              <w:rPr>
                <w:sz w:val="20"/>
                <w:szCs w:val="20"/>
                <w:color w:val="auto"/>
              </w:rPr>
            </w:pPr>
            <w:r>
              <w:rPr>
                <w:rFonts w:ascii="Arial" w:cs="Arial" w:eastAsia="Arial" w:hAnsi="Arial"/>
                <w:sz w:val="14"/>
                <w:szCs w:val="14"/>
                <w:b w:val="1"/>
                <w:bCs w:val="1"/>
                <w:color w:val="auto"/>
              </w:rPr>
              <w:t>July 1,</w:t>
            </w: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19"/>
              <w:spacing w:after="0" w:line="133" w:lineRule="exact"/>
              <w:rPr>
                <w:sz w:val="20"/>
                <w:szCs w:val="20"/>
                <w:color w:val="auto"/>
              </w:rPr>
            </w:pPr>
            <w:r>
              <w:rPr>
                <w:rFonts w:ascii="Arial" w:cs="Arial" w:eastAsia="Arial" w:hAnsi="Arial"/>
                <w:sz w:val="14"/>
                <w:szCs w:val="14"/>
                <w:b w:val="1"/>
                <w:bCs w:val="1"/>
                <w:color w:val="auto"/>
                <w:w w:val="99"/>
              </w:rPr>
              <w:t>June 25,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tcPr>
          <w:p>
            <w:pPr>
              <w:ind w:left="160"/>
              <w:spacing w:after="0" w:line="133" w:lineRule="exact"/>
              <w:rPr>
                <w:sz w:val="20"/>
                <w:szCs w:val="20"/>
                <w:color w:val="auto"/>
              </w:rPr>
            </w:pPr>
            <w:r>
              <w:rPr>
                <w:rFonts w:ascii="Arial" w:cs="Arial" w:eastAsia="Arial" w:hAnsi="Arial"/>
                <w:sz w:val="14"/>
                <w:szCs w:val="14"/>
                <w:b w:val="1"/>
                <w:bCs w:val="1"/>
                <w:color w:val="auto"/>
              </w:rPr>
              <w:t>July 1,</w:t>
            </w: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96"/>
              <w:spacing w:after="0" w:line="133" w:lineRule="exact"/>
              <w:rPr>
                <w:sz w:val="20"/>
                <w:szCs w:val="20"/>
                <w:color w:val="auto"/>
              </w:rPr>
            </w:pPr>
            <w:r>
              <w:rPr>
                <w:rFonts w:ascii="Arial" w:cs="Arial" w:eastAsia="Arial" w:hAnsi="Arial"/>
                <w:sz w:val="14"/>
                <w:szCs w:val="14"/>
                <w:b w:val="1"/>
                <w:bCs w:val="1"/>
                <w:color w:val="auto"/>
                <w:w w:val="92"/>
              </w:rPr>
              <w:t>June 25,</w:t>
            </w:r>
          </w:p>
        </w:tc>
        <w:tc>
          <w:tcPr>
            <w:tcW w:w="1740" w:type="dxa"/>
            <w:vAlign w:val="bottom"/>
          </w:tcPr>
          <w:p>
            <w:pPr>
              <w:spacing w:after="0"/>
              <w:rPr>
                <w:sz w:val="11"/>
                <w:szCs w:val="11"/>
                <w:color w:val="auto"/>
              </w:rPr>
            </w:pPr>
          </w:p>
        </w:tc>
      </w:tr>
      <w:tr>
        <w:trPr>
          <w:trHeight w:val="171"/>
        </w:trPr>
        <w:tc>
          <w:tcPr>
            <w:tcW w:w="1720" w:type="dxa"/>
            <w:vAlign w:val="bottom"/>
          </w:tcPr>
          <w:p>
            <w:pPr>
              <w:spacing w:after="0"/>
              <w:rPr>
                <w:sz w:val="14"/>
                <w:szCs w:val="14"/>
                <w:color w:val="auto"/>
              </w:rPr>
            </w:pPr>
          </w:p>
        </w:tc>
        <w:tc>
          <w:tcPr>
            <w:tcW w:w="37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22"/>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2014</w:t>
            </w:r>
          </w:p>
        </w:tc>
        <w:tc>
          <w:tcPr>
            <w:tcW w:w="1740" w:type="dxa"/>
            <w:vAlign w:val="bottom"/>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8"/>
                <w:szCs w:val="18"/>
                <w:color w:val="auto"/>
              </w:rPr>
              <w:t>7,230</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6,569</w:t>
            </w:r>
          </w:p>
        </w:tc>
        <w:tc>
          <w:tcPr>
            <w:tcW w:w="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14,021</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12,039</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Weighted-average shares outstanding—basic</w:t>
            </w:r>
          </w:p>
        </w:tc>
        <w:tc>
          <w:tcPr>
            <w:tcW w:w="100" w:type="dxa"/>
            <w:vAlign w:val="bottom"/>
          </w:tcPr>
          <w:p>
            <w:pPr>
              <w:spacing w:after="0"/>
              <w:rPr>
                <w:sz w:val="19"/>
                <w:szCs w:val="19"/>
                <w:color w:val="auto"/>
              </w:rPr>
            </w:pPr>
          </w:p>
        </w:tc>
        <w:tc>
          <w:tcPr>
            <w:tcW w:w="900" w:type="dxa"/>
            <w:vAlign w:val="bottom"/>
            <w:gridSpan w:val="2"/>
          </w:tcPr>
          <w:p>
            <w:pPr>
              <w:jc w:val="right"/>
              <w:ind w:right="2"/>
              <w:spacing w:after="0"/>
              <w:rPr>
                <w:sz w:val="20"/>
                <w:szCs w:val="20"/>
                <w:color w:val="auto"/>
              </w:rPr>
            </w:pPr>
            <w:r>
              <w:rPr>
                <w:rFonts w:ascii="Arial" w:cs="Arial" w:eastAsia="Arial" w:hAnsi="Arial"/>
                <w:sz w:val="18"/>
                <w:szCs w:val="18"/>
                <w:color w:val="auto"/>
                <w:w w:val="88"/>
              </w:rPr>
              <w:t>37,812,767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8"/>
              </w:rPr>
              <w:t>28,715,485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37,618,756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28,714,053</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w w:val="98"/>
              </w:rPr>
              <w:t>Weighted-average shares outstanding—diluted</w:t>
            </w: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ind w:right="2"/>
              <w:spacing w:after="0"/>
              <w:rPr>
                <w:sz w:val="20"/>
                <w:szCs w:val="20"/>
                <w:color w:val="auto"/>
              </w:rPr>
            </w:pPr>
            <w:r>
              <w:rPr>
                <w:rFonts w:ascii="Arial" w:cs="Arial" w:eastAsia="Arial" w:hAnsi="Arial"/>
                <w:sz w:val="18"/>
                <w:szCs w:val="18"/>
                <w:color w:val="auto"/>
                <w:w w:val="88"/>
              </w:rPr>
              <w:t>39,085,206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30,372,281</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39,002,974</w:t>
            </w:r>
          </w:p>
        </w:tc>
        <w:tc>
          <w:tcPr>
            <w:tcW w:w="20" w:type="dxa"/>
            <w:vAlign w:val="bottom"/>
            <w:tcBorders>
              <w:bottom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30,595,565</w:t>
            </w:r>
          </w:p>
        </w:tc>
        <w:tc>
          <w:tcPr>
            <w:tcW w:w="1740" w:type="dxa"/>
            <w:vAlign w:val="bottom"/>
          </w:tcPr>
          <w:p>
            <w:pPr>
              <w:spacing w:after="0"/>
              <w:rPr>
                <w:sz w:val="19"/>
                <w:szCs w:val="19"/>
                <w:color w:val="auto"/>
              </w:rPr>
            </w:pPr>
          </w:p>
        </w:tc>
      </w:tr>
      <w:tr>
        <w:trPr>
          <w:trHeight w:val="223"/>
        </w:trPr>
        <w:tc>
          <w:tcPr>
            <w:tcW w:w="5420" w:type="dxa"/>
            <w:vAlign w:val="bottom"/>
            <w:gridSpan w:val="2"/>
          </w:tcPr>
          <w:p>
            <w:pPr>
              <w:ind w:left="1720"/>
              <w:spacing w:after="0"/>
              <w:rPr>
                <w:sz w:val="20"/>
                <w:szCs w:val="20"/>
                <w:color w:val="auto"/>
              </w:rPr>
            </w:pPr>
            <w:r>
              <w:rPr>
                <w:rFonts w:ascii="Arial" w:cs="Arial" w:eastAsia="Arial" w:hAnsi="Arial"/>
                <w:sz w:val="18"/>
                <w:szCs w:val="18"/>
                <w:color w:val="auto"/>
              </w:rPr>
              <w:t>Net income per share—basic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
              <w:spacing w:after="0"/>
              <w:rPr>
                <w:sz w:val="20"/>
                <w:szCs w:val="20"/>
                <w:color w:val="auto"/>
              </w:rPr>
            </w:pPr>
            <w:r>
              <w:rPr>
                <w:rFonts w:ascii="Arial" w:cs="Arial" w:eastAsia="Arial" w:hAnsi="Arial"/>
                <w:sz w:val="18"/>
                <w:szCs w:val="18"/>
                <w:color w:val="auto"/>
              </w:rPr>
              <w:t>0.19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0.42</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share—diluted</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shd w:val="clear" w:color="auto" w:fill="CFF0FC"/>
          </w:tcPr>
          <w:p>
            <w:pPr>
              <w:jc w:val="right"/>
              <w:ind w:right="2"/>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20" w:type="dxa"/>
            <w:vAlign w:val="bottom"/>
            <w:tcBorders>
              <w:bottom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740" w:type="dxa"/>
            <w:vAlign w:val="bottom"/>
          </w:tcPr>
          <w:p>
            <w:pPr>
              <w:spacing w:after="0"/>
              <w:rPr>
                <w:sz w:val="19"/>
                <w:szCs w:val="19"/>
                <w:color w:val="auto"/>
              </w:rPr>
            </w:pPr>
          </w:p>
        </w:tc>
      </w:tr>
      <w:tr>
        <w:trPr>
          <w:trHeight w:val="209"/>
        </w:trPr>
        <w:tc>
          <w:tcPr>
            <w:tcW w:w="5420" w:type="dxa"/>
            <w:vAlign w:val="bottom"/>
            <w:gridSpan w:val="2"/>
          </w:tcPr>
          <w:p>
            <w:pPr>
              <w:ind w:left="1720"/>
              <w:spacing w:after="0"/>
              <w:rPr>
                <w:sz w:val="20"/>
                <w:szCs w:val="20"/>
                <w:color w:val="auto"/>
              </w:rPr>
            </w:pPr>
            <w:r>
              <w:rPr>
                <w:rFonts w:ascii="Arial" w:cs="Arial" w:eastAsia="Arial" w:hAnsi="Arial"/>
                <w:sz w:val="18"/>
                <w:szCs w:val="18"/>
                <w:color w:val="auto"/>
                <w:w w:val="98"/>
              </w:rPr>
              <w:t>Anti-dilutive securities not considered in diluted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5420" w:type="dxa"/>
            <w:vAlign w:val="bottom"/>
            <w:gridSpan w:val="2"/>
          </w:tcPr>
          <w:p>
            <w:pPr>
              <w:ind w:left="1720"/>
              <w:spacing w:after="0"/>
              <w:rPr>
                <w:sz w:val="20"/>
                <w:szCs w:val="20"/>
                <w:color w:val="auto"/>
              </w:rPr>
            </w:pPr>
            <w:r>
              <w:rPr>
                <w:rFonts w:ascii="Arial" w:cs="Arial" w:eastAsia="Arial" w:hAnsi="Arial"/>
                <w:sz w:val="18"/>
                <w:szCs w:val="18"/>
                <w:color w:val="auto"/>
              </w:rPr>
              <w:t>EPS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calculation</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123,106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123,106</w:t>
            </w:r>
          </w:p>
        </w:tc>
        <w:tc>
          <w:tcPr>
            <w:tcW w:w="1740" w:type="dxa"/>
            <w:vAlign w:val="bottom"/>
          </w:tcPr>
          <w:p>
            <w:pPr>
              <w:spacing w:after="0"/>
              <w:rPr>
                <w:sz w:val="20"/>
                <w:szCs w:val="20"/>
                <w:color w:val="auto"/>
              </w:rPr>
            </w:pPr>
          </w:p>
        </w:tc>
      </w:tr>
      <w:tr>
        <w:trPr>
          <w:trHeight w:val="426"/>
        </w:trPr>
        <w:tc>
          <w:tcPr>
            <w:tcW w:w="5420" w:type="dxa"/>
            <w:vAlign w:val="bottom"/>
            <w:gridSpan w:val="2"/>
          </w:tcPr>
          <w:p>
            <w:pPr>
              <w:spacing w:after="0"/>
              <w:rPr>
                <w:sz w:val="20"/>
                <w:szCs w:val="20"/>
                <w:color w:val="auto"/>
              </w:rPr>
            </w:pPr>
            <w:r>
              <w:rPr>
                <w:rFonts w:ascii="Arial" w:cs="Arial" w:eastAsia="Arial" w:hAnsi="Arial"/>
                <w:sz w:val="18"/>
                <w:szCs w:val="18"/>
                <w:color w:val="auto"/>
              </w:rPr>
              <w:t>Below is a reconciliation of basic and diluted share counts.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46"/>
        </w:trPr>
        <w:tc>
          <w:tcPr>
            <w:tcW w:w="17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w w:val="93"/>
              </w:rPr>
              <w:t>Thirteen Weeks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6"/>
          </w:tcPr>
          <w:p>
            <w:pPr>
              <w:ind w:left="140"/>
              <w:spacing w:after="0"/>
              <w:rPr>
                <w:sz w:val="20"/>
                <w:szCs w:val="20"/>
                <w:color w:val="auto"/>
              </w:rPr>
            </w:pPr>
            <w:r>
              <w:rPr>
                <w:rFonts w:ascii="Arial" w:cs="Arial" w:eastAsia="Arial" w:hAnsi="Arial"/>
                <w:sz w:val="14"/>
                <w:szCs w:val="14"/>
                <w:b w:val="1"/>
                <w:bCs w:val="1"/>
                <w:color w:val="auto"/>
              </w:rPr>
              <w:t>Twenty-Six Weeks Ended</w:t>
            </w:r>
          </w:p>
        </w:tc>
        <w:tc>
          <w:tcPr>
            <w:tcW w:w="1740" w:type="dxa"/>
            <w:vAlign w:val="bottom"/>
          </w:tcPr>
          <w:p>
            <w:pPr>
              <w:spacing w:after="0"/>
              <w:rPr>
                <w:sz w:val="24"/>
                <w:szCs w:val="24"/>
                <w:color w:val="auto"/>
              </w:rPr>
            </w:pPr>
          </w:p>
        </w:tc>
      </w:tr>
      <w:tr>
        <w:trPr>
          <w:trHeight w:val="133"/>
        </w:trPr>
        <w:tc>
          <w:tcPr>
            <w:tcW w:w="17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Borders>
              <w:top w:val="single" w:sz="8" w:color="auto"/>
            </w:tcBorders>
            <w:gridSpan w:val="3"/>
          </w:tcPr>
          <w:p>
            <w:pPr>
              <w:ind w:left="240"/>
              <w:spacing w:after="0" w:line="133" w:lineRule="exact"/>
              <w:rPr>
                <w:sz w:val="20"/>
                <w:szCs w:val="20"/>
                <w:color w:val="auto"/>
              </w:rPr>
            </w:pPr>
            <w:r>
              <w:rPr>
                <w:rFonts w:ascii="Arial" w:cs="Arial" w:eastAsia="Arial" w:hAnsi="Arial"/>
                <w:sz w:val="14"/>
                <w:szCs w:val="14"/>
                <w:b w:val="1"/>
                <w:bCs w:val="1"/>
                <w:color w:val="auto"/>
              </w:rPr>
              <w:t>July 1,</w:t>
            </w: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ind w:left="180"/>
              <w:spacing w:after="0" w:line="133" w:lineRule="exact"/>
              <w:rPr>
                <w:sz w:val="20"/>
                <w:szCs w:val="20"/>
                <w:color w:val="auto"/>
              </w:rPr>
            </w:pPr>
            <w:r>
              <w:rPr>
                <w:rFonts w:ascii="Arial" w:cs="Arial" w:eastAsia="Arial" w:hAnsi="Arial"/>
                <w:sz w:val="14"/>
                <w:szCs w:val="14"/>
                <w:b w:val="1"/>
                <w:bCs w:val="1"/>
                <w:color w:val="auto"/>
              </w:rPr>
              <w:t>June 25,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tcPr>
          <w:p>
            <w:pPr>
              <w:ind w:left="220"/>
              <w:spacing w:after="0" w:line="133" w:lineRule="exact"/>
              <w:rPr>
                <w:sz w:val="20"/>
                <w:szCs w:val="20"/>
                <w:color w:val="auto"/>
              </w:rPr>
            </w:pPr>
            <w:r>
              <w:rPr>
                <w:rFonts w:ascii="Arial" w:cs="Arial" w:eastAsia="Arial" w:hAnsi="Arial"/>
                <w:sz w:val="14"/>
                <w:szCs w:val="14"/>
                <w:b w:val="1"/>
                <w:bCs w:val="1"/>
                <w:color w:val="auto"/>
              </w:rPr>
              <w:t>July 1,</w:t>
            </w: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56"/>
              <w:spacing w:after="0" w:line="133" w:lineRule="exact"/>
              <w:rPr>
                <w:sz w:val="20"/>
                <w:szCs w:val="20"/>
                <w:color w:val="auto"/>
              </w:rPr>
            </w:pPr>
            <w:r>
              <w:rPr>
                <w:rFonts w:ascii="Arial" w:cs="Arial" w:eastAsia="Arial" w:hAnsi="Arial"/>
                <w:sz w:val="14"/>
                <w:szCs w:val="14"/>
                <w:b w:val="1"/>
                <w:bCs w:val="1"/>
                <w:color w:val="auto"/>
                <w:w w:val="92"/>
              </w:rPr>
              <w:t>June 25,</w:t>
            </w:r>
          </w:p>
        </w:tc>
        <w:tc>
          <w:tcPr>
            <w:tcW w:w="1740" w:type="dxa"/>
            <w:vAlign w:val="bottom"/>
          </w:tcPr>
          <w:p>
            <w:pPr>
              <w:spacing w:after="0"/>
              <w:rPr>
                <w:sz w:val="11"/>
                <w:szCs w:val="11"/>
                <w:color w:val="auto"/>
              </w:rPr>
            </w:pPr>
          </w:p>
        </w:tc>
      </w:tr>
      <w:tr>
        <w:trPr>
          <w:trHeight w:val="171"/>
        </w:trPr>
        <w:tc>
          <w:tcPr>
            <w:tcW w:w="17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right"/>
              <w:ind w:right="237"/>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2014</w:t>
            </w:r>
          </w:p>
        </w:tc>
        <w:tc>
          <w:tcPr>
            <w:tcW w:w="1740" w:type="dxa"/>
            <w:vAlign w:val="bottom"/>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outstanding—basic</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5"/>
              </w:rPr>
              <w:t>37,812,767</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5"/>
              </w:rPr>
              <w:t>28,715,485</w:t>
            </w: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37,618,756</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28,714,053</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w w:val="91"/>
              </w:rPr>
              <w:t>Dilutive effect of stock options and restricted shares</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1,272,439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1,656,796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1,384,218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1,881,512</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Weighted-average shares outstanding—diluted</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5"/>
              </w:rPr>
              <w:t>39,085,206</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5"/>
              </w:rPr>
              <w:t>30,372,281</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39,002,974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30,595,565</w:t>
            </w: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858"/>
        </w:trPr>
        <w:tc>
          <w:tcPr>
            <w:tcW w:w="17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542"/>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Trimaran Pollo Partners, L.L.C. (“LLC”), owns approximately 43.8% of the Company’s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certificate of incorporation or by-laws, and the Company’s winding up and dissolution. So long as LLC maintains at least 40% ownership,</w:t>
      </w:r>
    </w:p>
    <w:p>
      <w:pPr>
        <w:spacing w:after="0" w:line="2"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member of the board of directors may be removed at any time without cause by affirmative vote of a majority of the Company’s common stock, and</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stockholders representing 40% or greater ownership may cause special stockholder meetings to be called.</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18, 2005, the Company entered into a Monitoring and Management Services Agreement (the “Agreement”) with Trimaran Fund Management, L.L.C. (“Fund Management”), an affiliate of Trimaran and of certain directors, which provided for annual fees of $500,000 and reasonable expenses. This Agreement was amended on December 26, 2007 to add an affiliate of Freeman Spogli, Freeman Spogli &amp; Co. V, L.P., as a party sharing in the fees payable under the Agreement. During the thirteen and twenty-six weeks ended June 25, 2014, $134,000 and $ 292,000, respectively, was paid pursuant to this Agreement. This amount was included in general and administrative expenses in the accompanying condensed consolidated statements of operations. The Agreement terminated as of the Company’s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discussion and analysis should be read in conjunction with Item 1 above and with the financial statements contained in our annual report on Form 10-K for the year ended December 31, 2014. This discussion and analysis contains forward-looking statements that involve risks, uncertainties and assumptions. Outcomes may differ materially from our expectations. For more information, we direct you to the sections “Risk Factors” and “Forward-Looking Statements” in our annual report. We make no guarantees regarding outcomes, and assume no obligations to update the forward-looking statements herein, except pursuant to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El Pollo Loco is a differentiated and growing restaurant concept that specializes in fire-grilling citrus-marinated chicken in front of our customers, operating in the limited service restaurant (“LSR”) segment. We believe that we offer the quality of food and dining experience typical of fast casual restaurants while providing the speed, convenience, and value typical of traditional quick service restaurants (“QSRs”), a combination that we call “QSR+” and that provides a value-oriented fast casual dining experience. Our distinctive menu features our signature product—citrus-marinated fire-grilled chicken—and a variety of Mexican-inspired entrees that we create from our chicken. We offer our customers healthier alternatives to traditional food on the go, served by our engaging team members in a colorful, bright, and contemporary restaurant environment. We serve individual and family-sized chicken meals, a variety of Mexican-inspired entrees, sides, and, throughout the year, on a limited-time basis, alternative proteins like shrimp, carnitas, and beef. Our entrees include favorites such as our Poblano Avocado Burrito, Under 500 Calorie Mango Grilled Tostada, Ultimate Pollo Bowl, Baja Shrimp Tacos, and Chicken, Bacon &amp; Guacamole Stuffed Quesadilla. Our freshly-prepared salsas and dressings are prepared daily, allowing our customers to create their favorite flavor profiles to enhance their culinary experience. Our distinctive menu with healthier alternatives appeals to consumers across a wide variety of socio-economic backgrounds and drives our balanced day-part mix.</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 and Outlook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plan to continue to expand our business, drive restaurant sales growth, and enhance our competitive positioning, by executing on the following strategies:</w:t>
      </w:r>
    </w:p>
    <w:p>
      <w:pPr>
        <w:spacing w:after="0" w:line="140" w:lineRule="exact"/>
        <w:rPr>
          <w:sz w:val="20"/>
          <w:szCs w:val="20"/>
          <w:color w:val="auto"/>
        </w:rPr>
      </w:pPr>
    </w:p>
    <w:p>
      <w:pPr>
        <w:ind w:left="520" w:hanging="253"/>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restaurant base;</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our comparable restaurant sales;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enhance operations and leverage our infrastructure.</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 of July 1, 2015, we had 418 locations in five states. In fiscal 2014, we opened eleven new company-operated and five new franchised restaurants across Arizona, California, Nevada, and Texas. For the quarter ended July 1, 2015, we opened one new company-operated restaurant in Texas and one franchised restaurant in California. Year to date, we have opened two new company-operated restaurants in Texas and one franchised restaurant in California. For the remainder of 2015, we intend to open fourteen new company-operated and seven new franchised restaurants in Arizona, California, Nevada, and Texas. Over the long term, we plan to grow the number of El Pollo Loco restaurants by 8% to 10% annually. To increase comparable restaurant sales, we plan to increase customer frequency, attract new customers, and improve per-person spend. We believe that we are well-positioned for future growth, with a developed corporate infrastructure capable of supporting a future restaurant base that is greater than our existing one. Additionally, we believe that we have an opportunity to optimize costs and enhance our profitability as we benefit from economies of scale. These growth rates are not guaranteed.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and Trends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System-wide, for the quarter and year-to-date periods ended July 1, 2015, comparable restaurant sales increased 1.3% and 3.1%, respectively. For company-operated restaurants, comparable restaurant sales decreased 0.5% and increased 1.5%, respectively. For franchised restaurants, comparable restaurant sales increased 2.6% and 4.4%, respectively. For company-operated restaurants, the quarter’s 0.5% decrease was due to a 3.9% decrease in traffic, partially offset by a 3.4% increase in average check size.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restaurant counts at the end of each of the last three fiscal years and the twenty-six weeks ended July 1, 2015, are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Twenty-Six</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Weeks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Fiscal Year Ended</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400" w:type="dxa"/>
            <w:vAlign w:val="bottom"/>
          </w:tcPr>
          <w:p>
            <w:pPr>
              <w:spacing w:after="0"/>
              <w:rPr>
                <w:sz w:val="11"/>
                <w:szCs w:val="11"/>
                <w:color w:val="auto"/>
              </w:rPr>
            </w:pP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1"/>
              </w:rPr>
              <w:t>July 1,</w:t>
            </w:r>
          </w:p>
        </w:tc>
        <w:tc>
          <w:tcPr>
            <w:tcW w:w="180" w:type="dxa"/>
            <w:vAlign w:val="bottom"/>
          </w:tcPr>
          <w:p>
            <w:pPr>
              <w:spacing w:after="0"/>
              <w:rPr>
                <w:sz w:val="11"/>
                <w:szCs w:val="11"/>
                <w:color w:val="auto"/>
              </w:rPr>
            </w:pPr>
          </w:p>
        </w:tc>
        <w:tc>
          <w:tcPr>
            <w:tcW w:w="1040" w:type="dxa"/>
            <w:vAlign w:val="bottom"/>
            <w:tcBorders>
              <w:top w:val="single" w:sz="8" w:color="auto"/>
            </w:tcBorders>
            <w:vMerge w:val="restart"/>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ind w:right="31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Company-operated restaurant activity:</w:t>
            </w:r>
          </w:p>
        </w:tc>
        <w:tc>
          <w:tcPr>
            <w:tcW w:w="1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Beginning of period</w:t>
            </w:r>
          </w:p>
        </w:tc>
        <w:tc>
          <w:tcPr>
            <w:tcW w:w="1040" w:type="dxa"/>
            <w:vAlign w:val="bottom"/>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Openings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Restaurant sale to franchisee</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Closures</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13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tcPr>
          <w:p>
            <w:pPr>
              <w:ind w:left="240"/>
              <w:spacing w:after="0"/>
              <w:rPr>
                <w:sz w:val="20"/>
                <w:szCs w:val="20"/>
                <w:color w:val="auto"/>
              </w:rPr>
            </w:pPr>
            <w:r>
              <w:rPr>
                <w:rFonts w:ascii="Arial" w:cs="Arial" w:eastAsia="Arial" w:hAnsi="Arial"/>
                <w:sz w:val="18"/>
                <w:szCs w:val="18"/>
                <w:color w:val="auto"/>
              </w:rPr>
              <w:t>Restaurants at end of period</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Franchised restaurant activity:</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Beginning of period</w:t>
            </w:r>
          </w:p>
        </w:tc>
        <w:tc>
          <w:tcPr>
            <w:tcW w:w="1040" w:type="dxa"/>
            <w:vAlign w:val="bottom"/>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Openings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Restaurant sale to franchisee</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Closures</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13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400" w:type="dxa"/>
            <w:vAlign w:val="bottom"/>
          </w:tcPr>
          <w:p>
            <w:pPr>
              <w:ind w:left="240"/>
              <w:spacing w:after="0"/>
              <w:rPr>
                <w:sz w:val="20"/>
                <w:szCs w:val="20"/>
                <w:color w:val="auto"/>
              </w:rPr>
            </w:pPr>
            <w:r>
              <w:rPr>
                <w:rFonts w:ascii="Arial" w:cs="Arial" w:eastAsia="Arial" w:hAnsi="Arial"/>
                <w:sz w:val="18"/>
                <w:szCs w:val="18"/>
                <w:color w:val="auto"/>
              </w:rPr>
              <w:t>Restaurants at end of period</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System-wide restaurant activity:</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Beginning of period</w:t>
            </w:r>
          </w:p>
        </w:tc>
        <w:tc>
          <w:tcPr>
            <w:tcW w:w="1040" w:type="dxa"/>
            <w:vAlign w:val="bottom"/>
          </w:tcPr>
          <w:p>
            <w:pPr>
              <w:jc w:val="right"/>
              <w:spacing w:after="0"/>
              <w:rPr>
                <w:sz w:val="20"/>
                <w:szCs w:val="20"/>
                <w:color w:val="auto"/>
              </w:rPr>
            </w:pPr>
            <w:r>
              <w:rPr>
                <w:rFonts w:ascii="Arial" w:cs="Arial" w:eastAsia="Arial" w:hAnsi="Arial"/>
                <w:sz w:val="18"/>
                <w:szCs w:val="18"/>
                <w:color w:val="auto"/>
              </w:rPr>
              <w:t>415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Openings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Closures</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Restaurants at end of period</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Remodeling</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and our franchisees commenced our remodeling program in 2011 and, as of July 1, 2015, together we had remodeled 99 company-operated and 144 franchised restaurants, or 243 system-wide, over 50% of our restaurant system. Remodeling is a use of cash and has implications for our net property and depreciation line items on our condensed consolidated balance sheets and statements of operations, among others. The cost of our restaurant remodels varies depending on the scope of work required, but on average the investment is $270,000 per restaurant. We believe that our remodeling program will result in higher restaurant revenue and a strengthened brand.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Refinancing</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December 2014, we refinanced a $15 million first lien revolving credit facility (the “2013 Revolver”) and a $190 million first lien term loan facility (the “2013 First Lien Term Loan”) by entering into the 2014 Revolver (the “2014 Refinancing”). The 2014 Revolver carries a longer maturity and a lower interest rate than the indebtedness that it replaced. Following the completion of the 2014 Refinancing, our interest expense declined by approximately $6 million on an annualized basis.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The preparation of our condensed consolidated financial statements in accordance with GAAP requires us to make estimates and judgments that affect our reported amounts of assets, liabilities, revenue, and expenses, and related disclosure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Accounting policies are an integral part of our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For a summary of our critical accounting policies and a discussion of our use of estimates, see “Critical Accounting Policies and Use of Estimates” in Item 7, “Management’s Discussion and Analysis of Financial Condition and Results of Operations” in our annual report on Form 10-K for the year ended December 31, 2014 &amp; Note 2, “Summary of Significant Accounting Policies,” to Item 8, “Financial Statements and Supplementary Data,” in our annual report.. For a summary of our significant accounting policies and a discussion of our use of estimates, see also Note 1 to Item 1 above.</w:t>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There have been no material changes to our critical accounting policies or uses of estimates since our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July 2015, the FASB issued Accounting Standards Update (ASU) No. 2015-11, "Simplifying the Measurement of Inventory." ASU No. 2015-11 requires inventory that is recorded using the first-in, first-out method to be measured at the lower of cost or net realizable value. ASU No. 2015-11 will be effective retrospectively for the Company for the quarter ending December 31, 2017, with early adoption permitted. The adoption of this guidance is not expected to have a significant impact on the Company's consolidated financial statements.</w:t>
      </w:r>
    </w:p>
    <w:p>
      <w:pPr>
        <w:spacing w:after="0" w:line="7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April 2015, the FASB issued ASU No. 2015-03, Simplifying the Presentation of Debt Issuance Costs. To simplify presentation of debt issuance costs, the standard requires that debt issuance costs be presented in the balance sheet as a direct deduction from the carrying amount of debt liability, consistent with debt discounts or premiums. The recognition and measurement guidance for debt issuance costs would not be affected by the amendments in this</w:t>
      </w:r>
    </w:p>
    <w:p>
      <w:pPr>
        <w:ind w:right="220"/>
        <w:spacing w:after="0" w:line="255" w:lineRule="auto"/>
        <w:rPr>
          <w:sz w:val="20"/>
          <w:szCs w:val="20"/>
          <w:color w:val="auto"/>
        </w:rPr>
      </w:pPr>
      <w:r>
        <w:rPr>
          <w:rFonts w:ascii="Arial" w:cs="Arial" w:eastAsia="Arial" w:hAnsi="Arial"/>
          <w:sz w:val="18"/>
          <w:szCs w:val="18"/>
          <w:color w:val="auto"/>
        </w:rPr>
        <w:t>Update. ASU 2015-03 applies to all entities and is effective for annual reporting periods beginning after December 15, 2015, with early adoption permitted. The standard is to be applied retrospectively. The Company does not expect that the adoption of this standard will have a material effect on its consolidated financial statements.</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2014, the FASB issued ASU No. 2014-09, "Revenue from Contracts with Customers (Topic 606)." ASU No. 2014-09 clarifies the principles for recognizing revenue when an entity either enters into a contract with customers to transfer goods or services or enters into a contract for the transfer of non-financial assets. The original standard was effective retrospectively for the Company for the quarter ending December 31, 2017; however in July 2015, the FASB approved a one-year deferral of the standard. The new standard will become effective retrospectively for the Company for the quarter ending December 31, 2018, with early adoption permitted, but not before the original effective date. The Company does not expect that the adoption of this standard will have a material effect on its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presently qualify as an “emerging growth company” (“EGC”) under section 2(a) of the Securities Act, pursuant to the Jumpstart Our Business Startups Act of 2012 (the “JOBS Act”). An EGC has reduced public company reporting, accounting, and corporate governance requirements. We may take advantage of some of these benefits. In addition, the JOBS Act provides that an EGC can take advantage of an extended transition period for complying with new or revised accounting standards, delaying the adoption of these accounting standards until they would apply to private companies. We have irrevocably elected not to avail ourselves of this exemption and, therefore, we will be subject to the same new or revised accounting standards as other public companies that are not EGCs.</w:t>
      </w:r>
    </w:p>
    <w:p>
      <w:pPr>
        <w:spacing w:after="0" w:line="193"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We will cease to be an EGC following the earliest of (i) five years after our IPO, (ii) $1.0 billion in annual revenue, (iii) $700.0 million in common stock market capitalization held by non-affiliates, or (iv) $1.0 billion in non-convertible debt security issuance on a three-year rolling basis. Please refer to our annual report on Form 10-K, for more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revenue is derived from two primary sources: company-operated restaurant revenue and franchise revenue, the latter of which is comprised primarily of franchise royalties and, to a lesser extent, franchise fees and sublease rental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Occupancy Costs and Other Operating Expenses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Expenses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Franchise expenses are primarily comprised of rent expenses incurred on properties leased by us and then sublet to franchisees, and expenses incurred in support of franchisee information technology systems.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primarily consist of the depreciation of property and equipment, including leasehold improvements and equipment.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Disposal of Assets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Loss on disposal of assets includes the loss on disposal of assets related to retirements and replacement or write-off of leasehold improvements or equipment.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Close-Store Reserves</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review long-lived assets such as property, equipment, and intangibles on a unit-by-unit basis for impairment when events or circumstances indicate a carrying value of the assets that may not be recoverable, and record an impairment charge when appropriate. Closure costs include non-cash restaurant charges such as up-front expensing of unpaid rent remaining on the life of a lease.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net, consists primarily of interest on our outstanding debt. Debt issuance costs are amortized at cost over the life of the related debt.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consists of federal and state taxes on our income.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To evaluate the performance of our business, we utilize a variety of financial and performance measures. These key measures include company-operated restaurant revenue, comparable restaurant sales, company-operated average unit volumes, restaurant contribution, restaurant contribution margin, new restaurant openings, EBITDA, and Adjusted EBITDA.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that period, the number of open restaurants, and comparable restaurant sales.</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 -operated restaurant revenue and comparable restaurant sales may fluctuate.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Comparable restaurant sales reflect year-over-year sales changes for comparable company-operated, franchised, and system-wide restaurants. A restaurant enters our comparable restaurant base the first full week after it has operated for fifteen months. At July 1, 2015 and June 25, 2014, there were 396 and 391 such restaurants, 159 and 163 company-operated and 237 and 228 franchised, respectively. Comparable restaurant sales indicate the performance of existing restaurants, since new restaurants are excluded.</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Average Unit Volumes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measure company-operated average unit volumes (“AUVs”) on both a weekly and an annual basis. Weekly AUVs consist of comparable restaurant sales over a seven-day period from Thursday to Wednesday. Annual AUVs are calculated using the 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Restaurant contribution and restaurant contribution margin are neither required by, nor presented in accordance with, GAAP. Restaurant contribution is defined as company-operated restaurant revenue less company restaurant expenses. Restaurant contribution margin is defined as restaurant contribution as a percentage of net company-operated restaurant revenue. 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as substitutes for analysis of our results as reported under GAAP. Management believes that restaurant contribution and restaurant contribution margin are important tools for investors, because they are widely-used metrics within the restaurant industry to evaluate restaurant-level productivity, efficiency, and performance.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restaurant contribution and restaurant contribution margin to company-operated restaurant revenue is provided below:</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7"/>
              </w:rPr>
              <w:t>Thirteen Weeks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3"/>
              </w:rPr>
              <w:t>Twenty-Six Weeks Ended</w:t>
            </w:r>
          </w:p>
        </w:tc>
        <w:tc>
          <w:tcPr>
            <w:tcW w:w="0" w:type="dxa"/>
            <w:vAlign w:val="bottom"/>
          </w:tcPr>
          <w:p>
            <w:pPr>
              <w:spacing w:after="0"/>
              <w:rPr>
                <w:sz w:val="1"/>
                <w:szCs w:val="1"/>
                <w:color w:val="auto"/>
              </w:rPr>
            </w:pPr>
          </w:p>
        </w:tc>
      </w:tr>
      <w:tr>
        <w:trPr>
          <w:trHeight w:val="133"/>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w:t>
            </w:r>
          </w:p>
        </w:tc>
        <w:tc>
          <w:tcPr>
            <w:tcW w:w="420" w:type="dxa"/>
            <w:vAlign w:val="bottom"/>
          </w:tcPr>
          <w:p>
            <w:pPr>
              <w:spacing w:after="0"/>
              <w:rPr>
                <w:sz w:val="11"/>
                <w:szCs w:val="11"/>
                <w:color w:val="auto"/>
              </w:rPr>
            </w:pPr>
          </w:p>
        </w:tc>
        <w:tc>
          <w:tcPr>
            <w:tcW w:w="1000" w:type="dxa"/>
            <w:vAlign w:val="bottom"/>
            <w:tcBorders>
              <w:top w:val="single" w:sz="8" w:color="auto"/>
            </w:tcBorders>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4"/>
              </w:rPr>
              <w:t>July 1, 2015</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76"/>
              <w:spacing w:after="0" w:line="133" w:lineRule="exact"/>
              <w:rPr>
                <w:sz w:val="20"/>
                <w:szCs w:val="20"/>
                <w:color w:val="auto"/>
              </w:rPr>
            </w:pPr>
            <w:r>
              <w:rPr>
                <w:rFonts w:ascii="Arial" w:cs="Arial" w:eastAsia="Arial" w:hAnsi="Arial"/>
                <w:sz w:val="14"/>
                <w:szCs w:val="14"/>
                <w:b w:val="1"/>
                <w:bCs w:val="1"/>
                <w:color w:val="auto"/>
                <w:w w:val="92"/>
              </w:rPr>
              <w:t>June 25,</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Borders>
              <w:top w:val="single" w:sz="8" w:color="auto"/>
            </w:tcBorders>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4"/>
              </w:rPr>
              <w:t>July 1, 2015</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76"/>
              <w:spacing w:after="0" w:line="133" w:lineRule="exact"/>
              <w:rPr>
                <w:sz w:val="20"/>
                <w:szCs w:val="20"/>
                <w:color w:val="auto"/>
              </w:rPr>
            </w:pPr>
            <w:r>
              <w:rPr>
                <w:rFonts w:ascii="Arial" w:cs="Arial" w:eastAsia="Arial" w:hAnsi="Arial"/>
                <w:sz w:val="14"/>
                <w:szCs w:val="14"/>
                <w:b w:val="1"/>
                <w:bCs w:val="1"/>
                <w:color w:val="auto"/>
                <w:w w:val="92"/>
              </w:rPr>
              <w:t>June 25,</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Company-operated restaurant revenue</w:t>
            </w:r>
          </w:p>
        </w:tc>
        <w:tc>
          <w:tcPr>
            <w:tcW w:w="4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83,575</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81,358</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168,308</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157,571</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Company restaurant expenses</w:t>
            </w:r>
          </w:p>
        </w:tc>
        <w:tc>
          <w:tcPr>
            <w:tcW w:w="4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65,532</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62,977</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131,373</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122,357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Restaurant contribution</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18,043</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18,381</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36,935</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Restaurant contribution margin (%)</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Restaurant Openings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ten to sixteen weeks. When we enter new markets, we may be exposed to start-up times and restaurant contribution margins that are longer and lower than reflected in our average historical experience.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EBITDA represents net income before interest expense, provision for income taxes, depreciation, and amortization. Adjusted EBITDA represents net income before interest expense, provision for income taxes, depreciation, amortization, and items that we do not consider representative of our on-going operating performance, as identified in the reconciliation table below.</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6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2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as benchmarks to compare our performance to that of our competitors.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following table sets forth reconciliations of EBITDA and Adjusted EBITDA to our net income:</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192"/>
              <w:spacing w:after="0"/>
              <w:rPr>
                <w:sz w:val="20"/>
                <w:szCs w:val="20"/>
                <w:color w:val="auto"/>
              </w:rPr>
            </w:pPr>
            <w:r>
              <w:rPr>
                <w:rFonts w:ascii="Arial" w:cs="Arial" w:eastAsia="Arial" w:hAnsi="Arial"/>
                <w:sz w:val="14"/>
                <w:szCs w:val="14"/>
                <w:b w:val="1"/>
                <w:bCs w:val="1"/>
                <w:color w:val="auto"/>
                <w:w w:val="95"/>
              </w:rPr>
              <w:t>Thirteen Weeks Ended</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w w:val="92"/>
              </w:rPr>
              <w:t>Twenty-Six Weeks Ended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440" w:type="dxa"/>
            <w:vAlign w:val="bottom"/>
          </w:tcPr>
          <w:p>
            <w:pPr>
              <w:spacing w:after="0"/>
              <w:rPr>
                <w:sz w:val="11"/>
                <w:szCs w:val="1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July 1, 2015</w:t>
            </w:r>
          </w:p>
        </w:tc>
        <w:tc>
          <w:tcPr>
            <w:tcW w:w="10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152"/>
              <w:spacing w:after="0" w:line="133" w:lineRule="exact"/>
              <w:rPr>
                <w:sz w:val="20"/>
                <w:szCs w:val="20"/>
                <w:color w:val="auto"/>
              </w:rPr>
            </w:pPr>
            <w:r>
              <w:rPr>
                <w:rFonts w:ascii="Arial" w:cs="Arial" w:eastAsia="Arial" w:hAnsi="Arial"/>
                <w:sz w:val="14"/>
                <w:szCs w:val="14"/>
                <w:b w:val="1"/>
                <w:bCs w:val="1"/>
                <w:color w:val="auto"/>
                <w:w w:val="92"/>
              </w:rPr>
              <w:t>June 25,</w:t>
            </w:r>
          </w:p>
        </w:tc>
        <w:tc>
          <w:tcPr>
            <w:tcW w:w="140" w:type="dxa"/>
            <w:vAlign w:val="bottom"/>
          </w:tcPr>
          <w:p>
            <w:pPr>
              <w:spacing w:after="0"/>
              <w:rPr>
                <w:sz w:val="11"/>
                <w:szCs w:val="11"/>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July 1, 2015</w:t>
            </w:r>
          </w:p>
        </w:tc>
        <w:tc>
          <w:tcPr>
            <w:tcW w:w="160" w:type="dxa"/>
            <w:vAlign w:val="bottom"/>
            <w:vMerge w:val="restart"/>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June 25, 2014</w:t>
            </w:r>
          </w:p>
        </w:tc>
        <w:tc>
          <w:tcPr>
            <w:tcW w:w="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600" w:type="dxa"/>
            <w:vAlign w:val="bottom"/>
            <w:tcBorders>
              <w:bottom w:val="single" w:sz="8" w:color="CFF0FC"/>
            </w:tcBorders>
            <w:vMerge w:val="continue"/>
          </w:tcPr>
          <w:p>
            <w:pPr>
              <w:spacing w:after="0"/>
              <w:rPr>
                <w:sz w:val="14"/>
                <w:szCs w:val="14"/>
                <w:color w:val="auto"/>
              </w:rPr>
            </w:pPr>
          </w:p>
        </w:tc>
        <w:tc>
          <w:tcPr>
            <w:tcW w:w="44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7,230</w:t>
            </w:r>
          </w:p>
        </w:tc>
        <w:tc>
          <w:tcPr>
            <w:tcW w:w="1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6,569</w:t>
            </w:r>
          </w:p>
        </w:tc>
        <w:tc>
          <w:tcPr>
            <w:tcW w:w="140" w:type="dxa"/>
            <w:vAlign w:val="bottom"/>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14,021</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12,039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Non-GAAP adjustments:</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5,062</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140" w:type="dxa"/>
            <w:vAlign w:val="bottom"/>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9,776</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Interest expense, net</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5,703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2,225</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2,752</w:t>
            </w:r>
          </w:p>
        </w:tc>
        <w:tc>
          <w:tcPr>
            <w:tcW w:w="140" w:type="dxa"/>
            <w:vAlign w:val="bottom"/>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6,346</w:t>
            </w:r>
          </w:p>
        </w:tc>
        <w:tc>
          <w:tcPr>
            <w:tcW w:w="16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16,506</w:t>
            </w:r>
          </w:p>
        </w:tc>
        <w:tc>
          <w:tcPr>
            <w:tcW w:w="100" w:type="dxa"/>
            <w:vAlign w:val="bottom"/>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15,594</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32,368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29,699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r>
              <w:rPr>
                <w:rFonts w:ascii="Arial" w:cs="Arial" w:eastAsia="Arial" w:hAnsi="Arial"/>
                <w:sz w:val="15"/>
                <w:szCs w:val="15"/>
                <w:color w:val="auto"/>
              </w:rPr>
              <w:t>(a)</w:t>
            </w:r>
          </w:p>
        </w:tc>
        <w:tc>
          <w:tcPr>
            <w:tcW w:w="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Management fees</w:t>
            </w:r>
            <w:r>
              <w:rPr>
                <w:rFonts w:ascii="Arial" w:cs="Arial" w:eastAsia="Arial" w:hAnsi="Arial"/>
                <w:sz w:val="15"/>
                <w:szCs w:val="15"/>
                <w:color w:val="auto"/>
              </w:rPr>
              <w:t>(b)</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Loss on disposal of assets</w:t>
            </w:r>
            <w:r>
              <w:rPr>
                <w:rFonts w:ascii="Arial" w:cs="Arial" w:eastAsia="Arial" w:hAnsi="Arial"/>
                <w:sz w:val="15"/>
                <w:szCs w:val="15"/>
                <w:color w:val="auto"/>
              </w:rPr>
              <w:t>(c)</w:t>
            </w:r>
          </w:p>
        </w:tc>
        <w:tc>
          <w:tcPr>
            <w:tcW w:w="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Impairment and closures</w:t>
            </w:r>
            <w:r>
              <w:rPr>
                <w:rFonts w:ascii="Arial" w:cs="Arial" w:eastAsia="Arial" w:hAnsi="Arial"/>
                <w:sz w:val="15"/>
                <w:szCs w:val="15"/>
                <w:color w:val="auto"/>
              </w:rPr>
              <w:t>(d)</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Expenses related to selling shareholders</w:t>
            </w:r>
            <w:r>
              <w:rPr>
                <w:rFonts w:ascii="Arial" w:cs="Arial" w:eastAsia="Arial" w:hAnsi="Arial"/>
                <w:sz w:val="15"/>
                <w:szCs w:val="15"/>
                <w:color w:val="auto"/>
              </w:rPr>
              <w:t>(e)</w:t>
            </w:r>
          </w:p>
        </w:tc>
        <w:tc>
          <w:tcPr>
            <w:tcW w:w="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Income tax receivable agreement expense</w:t>
            </w:r>
            <w:r>
              <w:rPr>
                <w:rFonts w:ascii="Arial" w:cs="Arial" w:eastAsia="Arial" w:hAnsi="Arial"/>
                <w:sz w:val="15"/>
                <w:szCs w:val="15"/>
                <w:color w:val="auto"/>
              </w:rPr>
              <w:t>(f)</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477</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Pre-opening costs</w:t>
            </w:r>
            <w:r>
              <w:rPr>
                <w:rFonts w:ascii="Arial" w:cs="Arial" w:eastAsia="Arial" w:hAnsi="Arial"/>
                <w:sz w:val="15"/>
                <w:szCs w:val="15"/>
                <w:color w:val="auto"/>
              </w:rPr>
              <w:t>(g)</w:t>
            </w:r>
          </w:p>
        </w:tc>
        <w:tc>
          <w:tcPr>
            <w:tcW w:w="44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16,987</w:t>
            </w:r>
          </w:p>
        </w:tc>
        <w:tc>
          <w:tcPr>
            <w:tcW w:w="100" w:type="dxa"/>
            <w:vAlign w:val="bottom"/>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16,554</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33,584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31,423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non-cash, stock-based compensation.</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management fees and other out-of-pocket costs paid to affiliates of Trimaran and Freeman Spogli up through our IPO.</w:t>
      </w:r>
    </w:p>
    <w:p>
      <w:pPr>
        <w:spacing w:after="0" w:line="117" w:lineRule="exact"/>
        <w:rPr>
          <w:rFonts w:ascii="Arial" w:cs="Arial" w:eastAsia="Arial" w:hAnsi="Arial"/>
          <w:sz w:val="18"/>
          <w:szCs w:val="18"/>
          <w:color w:val="auto"/>
        </w:rPr>
      </w:pPr>
    </w:p>
    <w:p>
      <w:pPr>
        <w:ind w:left="540" w:right="380" w:hanging="532"/>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costs related to impairment of long-lived assets and closing restaurants.</w:t>
      </w:r>
    </w:p>
    <w:p>
      <w:pPr>
        <w:spacing w:after="0" w:line="117" w:lineRule="exact"/>
        <w:rPr>
          <w:rFonts w:ascii="Arial" w:cs="Arial" w:eastAsia="Arial" w:hAnsi="Arial"/>
          <w:sz w:val="18"/>
          <w:szCs w:val="18"/>
          <w:color w:val="auto"/>
        </w:rPr>
      </w:pPr>
    </w:p>
    <w:p>
      <w:pPr>
        <w:ind w:left="540" w:right="760" w:hanging="532"/>
        <w:spacing w:after="0" w:line="286"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second quarter of 2015, LLC, our largest shareholder, which was at that time our majority shareholder, and which possesses under our stockholders agreement registration rights for which we bear the costs, sold 5.4 million shares of common stock in a block trade to various investors. As a result of this transaction, the company incurred various professional fees and expenses.</w:t>
      </w:r>
    </w:p>
    <w:p>
      <w:pPr>
        <w:spacing w:after="0" w:line="57" w:lineRule="exact"/>
        <w:rPr>
          <w:rFonts w:ascii="Arial" w:cs="Arial" w:eastAsia="Arial" w:hAnsi="Arial"/>
          <w:sz w:val="17"/>
          <w:szCs w:val="17"/>
          <w:color w:val="auto"/>
        </w:rPr>
      </w:pPr>
    </w:p>
    <w:p>
      <w:pPr>
        <w:ind w:left="540" w:right="120" w:hanging="532"/>
        <w:spacing w:after="0" w:line="259"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 For the thirteen and twenty-six weeks ended July 1, 2015, income tax receivable agreement expense consisted of the amortization of interest expense related to our total expected TRA payments.</w:t>
      </w:r>
    </w:p>
    <w:p>
      <w:pPr>
        <w:spacing w:after="0" w:line="78" w:lineRule="exact"/>
        <w:rPr>
          <w:rFonts w:ascii="Arial" w:cs="Arial" w:eastAsia="Arial" w:hAnsi="Arial"/>
          <w:sz w:val="18"/>
          <w:szCs w:val="18"/>
          <w:color w:val="auto"/>
        </w:rPr>
      </w:pPr>
    </w:p>
    <w:p>
      <w:pPr>
        <w:ind w:left="540" w:hanging="532"/>
        <w:spacing w:after="0" w:line="279"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 w:name="page22"/>
    <w:bookmarkEnd w:id="21"/>
    <w:p>
      <w:pPr>
        <w:ind w:left="40"/>
        <w:spacing w:after="0"/>
        <w:rPr>
          <w:sz w:val="20"/>
          <w:szCs w:val="20"/>
          <w:color w:val="auto"/>
        </w:rPr>
      </w:pPr>
      <w:r>
        <w:rPr>
          <w:rFonts w:ascii="Arial" w:cs="Arial" w:eastAsia="Arial" w:hAnsi="Arial"/>
          <w:sz w:val="18"/>
          <w:szCs w:val="18"/>
          <w:b w:val="1"/>
          <w:bCs w:val="1"/>
          <w:color w:val="auto"/>
        </w:rPr>
        <w:t>Comparison of Results of Operations for the Thirteen and Twenty-Six Weeks Ended July 1, 2015 and June 25, 2014</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operating results for the thirteen weeks ended July 1, 2015, and June 25, 2014, in absolute terms, and expressed as percentages of total revenue, with the exception of cost of operations and company restaurant expenses, which are expressed as a percentage of company-operated restaurant revenue, are compared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Thirteen Weeks Ended</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9"/>
              </w:rPr>
              <w:t>July 1, 2015</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0"/>
              </w:rPr>
              <w:t>June 25, 2014</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3"/>
          </w:tcPr>
          <w:p>
            <w:pPr>
              <w:jc w:val="center"/>
              <w:ind w:left="372"/>
              <w:spacing w:after="0" w:line="133" w:lineRule="exact"/>
              <w:rPr>
                <w:sz w:val="20"/>
                <w:szCs w:val="20"/>
                <w:color w:val="auto"/>
              </w:rPr>
            </w:pPr>
            <w:r>
              <w:rPr>
                <w:rFonts w:ascii="Arial" w:cs="Arial" w:eastAsia="Arial" w:hAnsi="Arial"/>
                <w:sz w:val="14"/>
                <w:szCs w:val="14"/>
                <w:b w:val="1"/>
                <w:bCs w:val="1"/>
                <w:color w:val="auto"/>
                <w:w w:val="89"/>
              </w:rPr>
              <w:t>Increase /</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7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392"/>
              <w:spacing w:after="0"/>
              <w:rPr>
                <w:sz w:val="20"/>
                <w:szCs w:val="20"/>
                <w:color w:val="auto"/>
              </w:rPr>
            </w:pPr>
            <w:r>
              <w:rPr>
                <w:rFonts w:ascii="Arial" w:cs="Arial" w:eastAsia="Arial" w:hAnsi="Arial"/>
                <w:sz w:val="14"/>
                <w:szCs w:val="14"/>
                <w:b w:val="1"/>
                <w:bCs w:val="1"/>
                <w:color w:val="auto"/>
                <w:w w:val="89"/>
              </w:rPr>
              <w:t>(Decrease)</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w w:val="93"/>
              </w:rPr>
              <w:t>,000)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 ,000)</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 ,000)</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CFF0FC"/>
            </w:tcBorders>
            <w:shd w:val="clear" w:color="auto" w:fill="000000"/>
          </w:tcPr>
          <w:p>
            <w:pPr>
              <w:spacing w:after="0" w:line="20" w:lineRule="exact"/>
              <w:rPr>
                <w:sz w:val="1"/>
                <w:szCs w:val="1"/>
                <w:color w:val="auto"/>
              </w:rPr>
            </w:pPr>
          </w:p>
        </w:tc>
        <w:tc>
          <w:tcPr>
            <w:tcW w:w="2100" w:type="dxa"/>
            <w:vAlign w:val="bottom"/>
            <w:tcBorders>
              <w:bottom w:val="single" w:sz="8" w:color="CFF0FC"/>
            </w:tcBorders>
          </w:tcPr>
          <w:p>
            <w:pPr>
              <w:spacing w:after="0" w:line="20" w:lineRule="exact"/>
              <w:rPr>
                <w:sz w:val="1"/>
                <w:szCs w:val="1"/>
                <w:color w:val="auto"/>
              </w:rPr>
            </w:pPr>
          </w:p>
        </w:tc>
        <w:tc>
          <w:tcPr>
            <w:tcW w:w="76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Company-operated restaurant revenue</w:t>
            </w: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83,575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81,358</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2,217</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Franchise revenue</w:t>
            </w:r>
          </w:p>
        </w:tc>
        <w:tc>
          <w:tcPr>
            <w:tcW w:w="7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5,546</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revenue</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89,454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86,904</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2,550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Cost of operations</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Food and paper costs</w:t>
            </w:r>
            <w:r>
              <w:rPr>
                <w:rFonts w:ascii="Arial" w:cs="Arial" w:eastAsia="Arial" w:hAnsi="Arial"/>
                <w:sz w:val="15"/>
                <w:szCs w:val="15"/>
                <w:color w:val="auto"/>
              </w:rPr>
              <w:t>(1)</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27,055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25,930</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Labor and related expenses</w:t>
            </w:r>
            <w:r>
              <w:rPr>
                <w:rFonts w:ascii="Arial" w:cs="Arial" w:eastAsia="Arial" w:hAnsi="Arial"/>
                <w:sz w:val="15"/>
                <w:szCs w:val="15"/>
                <w:color w:val="auto"/>
              </w:rPr>
              <w:t>(1)</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21,089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20,102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Occupancy and other operating expenses</w:t>
            </w:r>
            <w:r>
              <w:rPr>
                <w:rFonts w:ascii="Arial" w:cs="Arial" w:eastAsia="Arial" w:hAnsi="Arial"/>
                <w:sz w:val="15"/>
                <w:szCs w:val="15"/>
                <w:color w:val="auto"/>
              </w:rPr>
              <w:t>(1)</w:t>
            </w:r>
          </w:p>
        </w:tc>
        <w:tc>
          <w:tcPr>
            <w:tcW w:w="7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17,388</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16,945</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Company restaurant expenses</w:t>
            </w:r>
            <w:r>
              <w:rPr>
                <w:rFonts w:ascii="Arial" w:cs="Arial" w:eastAsia="Arial" w:hAnsi="Arial"/>
                <w:sz w:val="15"/>
                <w:szCs w:val="15"/>
                <w:b w:val="1"/>
                <w:bCs w:val="1"/>
                <w:color w:val="auto"/>
              </w:rPr>
              <w:t>(1)</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4"/>
              </w:rPr>
              <w:t>65,532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62,977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77.4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2,555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6,835</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(430)</w:t>
            </w:r>
          </w:p>
        </w:tc>
        <w:tc>
          <w:tcPr>
            <w:tcW w:w="2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Franchise expenses</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2,752</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Loss on disposal of assets</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 impairment and close-store reserves</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(190)</w:t>
            </w:r>
          </w:p>
        </w:tc>
        <w:tc>
          <w:tcPr>
            <w:tcW w:w="3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(530)</w:t>
            </w:r>
          </w:p>
        </w:tc>
        <w:tc>
          <w:tcPr>
            <w:tcW w:w="2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Total expenses</w:t>
            </w:r>
          </w:p>
        </w:tc>
        <w:tc>
          <w:tcPr>
            <w:tcW w:w="76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75,872</w:t>
            </w:r>
          </w:p>
        </w:tc>
        <w:tc>
          <w:tcPr>
            <w:tcW w:w="2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74,062</w:t>
            </w:r>
          </w:p>
        </w:tc>
        <w:tc>
          <w:tcPr>
            <w:tcW w:w="2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85.2</w:t>
            </w:r>
          </w:p>
        </w:tc>
        <w:tc>
          <w:tcPr>
            <w:tcW w:w="2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1,810</w:t>
            </w:r>
          </w:p>
        </w:tc>
        <w:tc>
          <w:tcPr>
            <w:tcW w:w="2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Income from operations</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13,582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12,842</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5,703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(4,689)</w:t>
            </w:r>
          </w:p>
        </w:tc>
        <w:tc>
          <w:tcPr>
            <w:tcW w:w="2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Expenses related to selling shareholders</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Income tax receivable agreement expense</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7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12,292</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7,139</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5,153</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72.2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7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5,062</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4,492</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7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6"/>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7,230</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6,569</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7.6</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661</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40" w:right="100" w:hanging="532"/>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2" w:name="page23"/>
    <w:bookmarkEnd w:id="22"/>
    <w:p>
      <w:pPr>
        <w:ind w:right="180"/>
        <w:spacing w:after="0" w:line="264" w:lineRule="auto"/>
        <w:rPr>
          <w:sz w:val="20"/>
          <w:szCs w:val="20"/>
          <w:color w:val="auto"/>
        </w:rPr>
      </w:pPr>
      <w:r>
        <w:rPr>
          <w:rFonts w:ascii="Arial" w:cs="Arial" w:eastAsia="Arial" w:hAnsi="Arial"/>
          <w:sz w:val="18"/>
          <w:szCs w:val="18"/>
          <w:color w:val="auto"/>
        </w:rPr>
        <w:t>Our operating results for the twenty-six weeks ended July 1, 2015, and June 25, 2014, in absolute terms, and expressed as percentages of total revenue, with the exception of cost of operations and company restaurant expenses, which are expressed as a percentage of company-operated restaurant revenue, are compared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w w:val="97"/>
              </w:rPr>
              <w:t>Twenty-Six Weeks Ended</w:t>
            </w: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4"/>
              </w:rPr>
              <w:t>July 1, 2015</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gridSpan w:val="3"/>
            <w:vMerge w:val="restart"/>
          </w:tcPr>
          <w:p>
            <w:pPr>
              <w:jc w:val="right"/>
              <w:ind w:right="471"/>
              <w:spacing w:after="0"/>
              <w:rPr>
                <w:sz w:val="20"/>
                <w:szCs w:val="20"/>
                <w:color w:val="auto"/>
              </w:rPr>
            </w:pPr>
            <w:r>
              <w:rPr>
                <w:rFonts w:ascii="Arial" w:cs="Arial" w:eastAsia="Arial" w:hAnsi="Arial"/>
                <w:sz w:val="14"/>
                <w:szCs w:val="14"/>
                <w:b w:val="1"/>
                <w:bCs w:val="1"/>
                <w:color w:val="auto"/>
              </w:rPr>
              <w:t>June 25, 2014</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3"/>
          </w:tcPr>
          <w:p>
            <w:pPr>
              <w:jc w:val="center"/>
              <w:ind w:left="172"/>
              <w:spacing w:after="0" w:line="133" w:lineRule="exact"/>
              <w:rPr>
                <w:sz w:val="20"/>
                <w:szCs w:val="20"/>
                <w:color w:val="auto"/>
              </w:rPr>
            </w:pPr>
            <w:r>
              <w:rPr>
                <w:rFonts w:ascii="Arial" w:cs="Arial" w:eastAsia="Arial" w:hAnsi="Arial"/>
                <w:sz w:val="14"/>
                <w:szCs w:val="14"/>
                <w:b w:val="1"/>
                <w:bCs w:val="1"/>
                <w:color w:val="auto"/>
                <w:w w:val="89"/>
              </w:rPr>
              <w:t>Increase /</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192"/>
              <w:spacing w:after="0"/>
              <w:rPr>
                <w:sz w:val="20"/>
                <w:szCs w:val="20"/>
                <w:color w:val="auto"/>
              </w:rPr>
            </w:pPr>
            <w:r>
              <w:rPr>
                <w:rFonts w:ascii="Arial" w:cs="Arial" w:eastAsia="Arial" w:hAnsi="Arial"/>
                <w:sz w:val="14"/>
                <w:szCs w:val="14"/>
                <w:b w:val="1"/>
                <w:bCs w:val="1"/>
                <w:color w:val="auto"/>
                <w:w w:val="89"/>
              </w:rPr>
              <w:t>(Decrease)</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 ,000)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99"/>
              </w:rPr>
              <w:t>($ ,000)</w:t>
            </w:r>
          </w:p>
        </w:tc>
        <w:tc>
          <w:tcPr>
            <w:tcW w:w="220" w:type="dxa"/>
            <w:vAlign w:val="bottom"/>
          </w:tcPr>
          <w:p>
            <w:pPr>
              <w:spacing w:after="0"/>
              <w:rPr>
                <w:sz w:val="12"/>
                <w:szCs w:val="12"/>
                <w:color w:val="auto"/>
              </w:rPr>
            </w:pPr>
          </w:p>
        </w:tc>
        <w:tc>
          <w:tcPr>
            <w:tcW w:w="86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93"/>
              </w:rPr>
              <w:t>,000)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CFF0FC"/>
            </w:tcBorders>
            <w:shd w:val="clear" w:color="auto" w:fill="000000"/>
          </w:tcPr>
          <w:p>
            <w:pPr>
              <w:spacing w:after="0" w:line="20" w:lineRule="exact"/>
              <w:rPr>
                <w:sz w:val="1"/>
                <w:szCs w:val="1"/>
                <w:color w:val="auto"/>
              </w:rPr>
            </w:pPr>
          </w:p>
        </w:tc>
        <w:tc>
          <w:tcPr>
            <w:tcW w:w="32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Company-operated restaurant 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168,308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157,571</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10,737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Franchise revenue</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11,572</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10,760</w:t>
            </w:r>
          </w:p>
        </w:tc>
        <w:tc>
          <w:tcPr>
            <w:tcW w:w="2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179,880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168,331</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11,549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Cost of operations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Food and paper costs</w:t>
            </w:r>
            <w:r>
              <w:rPr>
                <w:rFonts w:ascii="Arial" w:cs="Arial" w:eastAsia="Arial" w:hAnsi="Arial"/>
                <w:sz w:val="15"/>
                <w:szCs w:val="15"/>
                <w:color w:val="auto"/>
              </w:rPr>
              <w:t>(1)</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54,178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49,953</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Labor and related expenses</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42,671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39,415</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3,256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Occupancy and other operating expenses</w:t>
            </w:r>
            <w:r>
              <w:rPr>
                <w:rFonts w:ascii="Arial" w:cs="Arial" w:eastAsia="Arial" w:hAnsi="Arial"/>
                <w:sz w:val="15"/>
                <w:szCs w:val="15"/>
                <w:color w:val="auto"/>
              </w:rPr>
              <w:t>(1)</w:t>
            </w: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34,524</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32,989</w:t>
            </w:r>
          </w:p>
        </w:tc>
        <w:tc>
          <w:tcPr>
            <w:tcW w:w="2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Company restaurant expenses</w:t>
            </w:r>
            <w:r>
              <w:rPr>
                <w:rFonts w:ascii="Arial" w:cs="Arial" w:eastAsia="Arial" w:hAnsi="Arial"/>
                <w:sz w:val="15"/>
                <w:szCs w:val="15"/>
                <w:b w:val="1"/>
                <w:bCs w:val="1"/>
                <w:color w:val="auto"/>
              </w:rPr>
              <w:t>(1)</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131,373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122,357</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77.7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9,016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13,465</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Franchise expenses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1,926</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5,347</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Loss on disposal of assets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 impairment and close-store reserves</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(532)</w:t>
            </w: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153,331</w:t>
            </w:r>
          </w:p>
        </w:tc>
        <w:tc>
          <w:tcPr>
            <w:tcW w:w="2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143,979</w:t>
            </w:r>
          </w:p>
        </w:tc>
        <w:tc>
          <w:tcPr>
            <w:tcW w:w="22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85.5</w:t>
            </w:r>
          </w:p>
        </w:tc>
        <w:tc>
          <w:tcPr>
            <w:tcW w:w="2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9,352</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26,549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24,352</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2,197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11,326</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(9,101)</w:t>
            </w:r>
          </w:p>
        </w:tc>
        <w:tc>
          <w:tcPr>
            <w:tcW w:w="2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Expenses related to selling shareholders</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Income tax receivable agreement expense</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23,797</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13,026</w:t>
            </w: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10,771</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9,776</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2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14,021</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12,039</w:t>
            </w:r>
          </w:p>
        </w:tc>
        <w:tc>
          <w:tcPr>
            <w:tcW w:w="2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7.2</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6"/>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1,982</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100" w:hanging="532"/>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quarter, company-operated restaurant revenue increased $2.2 million, or 2.7%, from the comparable period in the prior year. The growth in company-operated restaurant sales was due to $4.5 million of additional non-comparable restaurant sales primarily from eleven new restaurants opened in fiscal 2014 and two new restaurants opened during the twenty-six weeks ended July 1, 2015. These increases were partially offset by $1.9 million of lost sales from six units sold to a franchisee and one unit closed in fiscal 2014 and a company-operated comparable restaurant sales decrease of $0.4 million, a decline of 0.5%. The reduction in company-operated comparable restaurant sales was due to a decrease in traffic of 3.9% year-over-year, partially offset by an increase in average check size of 3.4%.</w:t>
      </w:r>
    </w:p>
    <w:p>
      <w:pPr>
        <w:spacing w:after="0" w:line="85"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Year-to-date, company-operated restaurant revenue increased $10.7 million, or 6.8%, from the comparable period in the prior year. The growth in company-operated restaurant sales was due to $12.1 million of additional non-comparable restaurant sales primarily from eleven new restaurants opened in fiscal 2014 and two new restaurants opened during the twenty-six weeks ended July 1, 2015. Company-operated comparable restaurant sales grew $2.3 million, or 1.5%. The growth in company-operated comparable restaurant sales was due to an increase in average check size of 3.4%, partially offset by a decrease in traffic of 1.9% year-over-year. These increases were partially offset by $3.7 million of lost sales from six units sold to a franchisee and one unit closed in fiscal 2014.</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Revenue</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the quarter, franchise revenue increased $0.3 million, or 6.0%, from the comparable period in the prior year. This increase was due to a $0.3 million increase in royalties from franchised comparable restaurant sales growth of 2.6%, the six units sold to a franchisee in 2014, from five new franchise-operated restaurants opened in fiscal 2014 and $0.3 million in higher franchise renewal fees. This increase was partially offset by $0.3 million in lost franchise sublease income as a result of franchisees establishing direct lease agreements with their landlords in fiscal 2014.</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3" w:name="page24"/>
    <w:bookmarkEnd w:id="23"/>
    <w:p>
      <w:pPr>
        <w:spacing w:after="0" w:line="279" w:lineRule="auto"/>
        <w:rPr>
          <w:sz w:val="20"/>
          <w:szCs w:val="20"/>
          <w:color w:val="auto"/>
        </w:rPr>
      </w:pPr>
      <w:r>
        <w:rPr>
          <w:rFonts w:ascii="Arial" w:cs="Arial" w:eastAsia="Arial" w:hAnsi="Arial"/>
          <w:sz w:val="17"/>
          <w:szCs w:val="17"/>
          <w:color w:val="auto"/>
        </w:rPr>
        <w:t>Year-to-date, franchise revenue increased $0.8 million, or 7.5%, from the comparable period in the prior year. This increase was due to a $0.8 million increase in royalties from franchised comparable restaurant sales growth of 4.4%, the six units sold to a franchisee in 2014, from five new franchise-operated restaurants opened in fiscal 2014 and $0.5 million in higher franchise renewal fees. This increase was partially offset by $0.5 million in lost franchise sublease income as a result of franchisees establishing direct lease agreements with their landlords in fiscal 2014.</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For the quarter, food and paper costs increased $1.1 million, or 4.3%, from the comparable period in the prior year, due to a $1.3 million increase in food costs and a $0.2 million decrease in paper costs. Year-to-date, food and paper costs increased $4.2 million, or 8.5%, from the comparable period in the prior year, due to a $4.1 million increase in food costs and a $0.1 million increase in paper costs. These increases were due primarily to higher revenue and to higher commodity costs, with the exception of paper costs for the quarter. Paper costs for the quarter decreased primarily due to lower commodity costs, partially offset by higher revenue.</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 the quarter, food and paper costs as a percentage of company-operated restaurant revenue were 32.4%, from 31.9% in the comparable period of the prior year. Year-to-date, food and paper costs as a percentage of company-operated restaurant revenue were 32.2%, from 31.7% in the comparable period of the prior year. The increases were due primarily to increased food costs associated with our featured promotions with carne asada and shrimp and higher commodity costs, but was partially offset by increases in average check size, due primarily to menu price increases in the third and fourth quarters of 2014 and in the first quarter of 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the quarter, payroll and benefit expenses increased $1.0 million, or 4.9%, from the comparable period in the prior year. Year-to-date, payroll and benefit expenses increased $3.3 million, or 8.3%, from the comparable period in the prior year. These increases were due primarily to increased labor costs resulting from additional labor needs arising from the opening of eleven new restaurants in fiscal 2014 and two new restaurant during the twenty-six weeks ended July 1, 2015, and higher worker’s compensation and medical insurance due to higher claims activity.</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For the quarter, payroll and benefit expenses as a percentage of company-operated restaurant revenue were 25.2%, from 24.7% in the comparable period in the prior year. Year-to-date, payroll and benefit expenses as a percentage of company-operated restaurant revenue were 25.4%, from 25.0% in the comparable period in the prior year. These increases were due primarily to higher worker’s compensation and medical insurance claims activity.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and Other Operating Expenses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the quarter, occupancy and other operating expenses increased $0.4 million, or 2.6%, from the comparable period of the prior year. Year-to-date, occupancy and other operating expenses increased $1.5 million, or 4.7%, from the comparable period of the prior year. These increases for the quarter and year-to-date, were due primarily to (i) $0.2 million and $0.5 million, respective increase in occupancy costs, due primarily to increased rent, as a result of new restaurants opened in fiscal 2014 and the twenty-six weeks ended July 1, 2015, (ii) $0.1 million and $0.6 million respective increases in advertising costs, due primarily to higher sales and to additional advertising contributions in the Houston market in the first quarter of 2015 and (iii) $0.1 million and $0.4 million respective increase in credit card fees, due primarily to higher credit card receipts.</w:t>
      </w:r>
    </w:p>
    <w:p>
      <w:pPr>
        <w:spacing w:after="0" w:line="178"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Occupancy and other operating expenses as a percentage of company-operated restaurant revenue were 20.8% for the current and prior year quarters. For the quarter, the stability of occupancy and other operating expenses as a percentage of company-operated restaurant revenue resulted primarily from lower utility rates, offset by the higher credit card fees noted above. Year-to-date, occupancy and other operating expenses as a percentage of company-operated restaurant revenue were 20.5%, from 20.9% in the comparable period of the prior year. This decrease was primarily due to higher total revenue and the relatively fixed nature of occupancy costs and lower utility rates..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the quarter, general and administrative expenses decreased $0.4 million, or 6.3%, from the comparable period in the prior year. This decrease was due primarily to (i) a $0.4 million capitalization of internal costs related to site selection and construction activities and (ii) a $0.2 million decrease in payroll expense, due primarily to a reduction in the accrual for the expected payments related to the Company’s annual bonus program, partially offset by (iii) a $0.2 million increase in stock option and associated payroll tax expenses. Year-to-date, general and administrative expenses increased $0.4 million, or 3.2%, from the comparable period in the prior year. This increase was due primarily to (i) a $0.5 million increase in payroll expense, due primarily to an increase in corporate employees and to higher medical costs, due primarily to higher medical claims activity, partially offset by the annual bonus adjustment mentioned above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4" w:name="page25"/>
    <w:bookmarkEnd w:id="24"/>
    <w:p>
      <w:pPr>
        <w:ind w:right="260"/>
        <w:spacing w:after="0" w:line="277" w:lineRule="auto"/>
        <w:rPr>
          <w:sz w:val="20"/>
          <w:szCs w:val="20"/>
          <w:color w:val="auto"/>
        </w:rPr>
      </w:pPr>
      <w:r>
        <w:rPr>
          <w:rFonts w:ascii="Arial" w:cs="Arial" w:eastAsia="Arial" w:hAnsi="Arial"/>
          <w:sz w:val="18"/>
          <w:szCs w:val="18"/>
          <w:color w:val="auto"/>
        </w:rPr>
        <w:t>and (ii) a $0.3 million increase in stock option and associated payroll tax expenses. These year-to-date increases were partially offset by (iii) a $0.4 million capitalization of internal costs related to site selection and construction activities.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quarter, general and administrative expenses as a percentage of total revenue were 7.2%, from 7.9% in the comparable period of the prior year. Year-to-date, general and administrative expenses as a percentage of total revenue were 7.7%, from 8.0% in the comparable period of the prior year. These decreases were due primarily to the capitalization of internal development costs, noted above, and increased total revenue, partially offset by the increased costs noted above.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quarter, interest expense, net, decreased $4.7 million from the comparable period of the prior year. Year-to-date, interest expense, net, decreased $9.1 million from the comparable period of the prior year. These decreases were due primarily to (i) the payoff of the Second Lien Term Loan with IPO proceeds in fiscal 2014, (ii) the 2014 Refinancing, which reduced the interest rates on our debt, and (iii) $30.0 million of pre-payments on the 2014 Revolver in the twenty-six weeks ended July 1,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For the quarter and year-to-date, we recorded income tax receivable agreement expense of $0.2 million and $0.5 million, respectively, for the amortization of interest expense related to our total expected TRA payments.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related to selling shareholders</w:t>
      </w:r>
    </w:p>
    <w:p>
      <w:pPr>
        <w:spacing w:after="0" w:line="11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the second quarter of 2015, LLC, our largest shareholder, which was at that time our majority shareholder, and which possesses under our stockholders agreement registration rights for which we bear the costs sold 5.4 million shares of common stock in a block trade to various investors. As a result of this transaction, we incurred $0.1 million in professional fees.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quarter and year-to-date, we recorded income tax provisions of $5.1 million and $9.8 million, respectively, reflecting an estimated effective tax rate of 41% for both periods. For the quarter and year-to-date, of the comparable periods of the prior year, we recorded provisions for income taxes of $0.6 million and $1.0 million, respectively, related primarily to the effect of changes in our deferred taxes and the related effect of maintaining a full valuation allowance against certain of our deferred tax assets as of June 25, 2014. During the quarter ended September 24, 2014, after evaluating all of the positive and negative evidence, including our continued profitability and the reduction in interest expense resulting from the 2013 Refinancing and from our completed IPO and the resultant payoff of the Second Lien Term Loan, we concluded that it was more likely than not that our net deferred tax assets would be recovered, and we released our valuation allowance.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primary sources of liquidity and capital resources have been cash provided from operations, cash and cash equivalents, and our secured revolving credit facility. Our primary requirements for liquidity and capital are new restaurants, existing restaurant capital investments (remodels and maintenance), interest payments on our debt, lease obligations, and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for them. Our restaurants do not require significant inventories or receivables. We believe that these sources of liquidity and capital are sufficient to finance our continued operations and expansion plans for at least the next 12 months.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On July 30, 2014, we closed our IPO, the majority of the proceeds of which were used to repay our Second Lien Term Loan.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December 2014, we refinanced the 2013 Revolver and the 2013 First Lien Term Loan by entering into the 2014 Revolver, which carries a longer maturity and a lower interest rate than the indebtedness that it replaced.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following table presents summary cash flow information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2900" w:type="dxa"/>
            <w:vAlign w:val="bottom"/>
            <w:vMerge w:val="restart"/>
          </w:tcPr>
          <w:p>
            <w:pPr>
              <w:spacing w:after="0"/>
              <w:rPr>
                <w:sz w:val="14"/>
                <w:szCs w:val="14"/>
                <w:color w:val="auto"/>
              </w:rPr>
            </w:pPr>
          </w:p>
        </w:tc>
        <w:tc>
          <w:tcPr>
            <w:tcW w:w="2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Twenty-Six Weeks Ended</w:t>
            </w:r>
          </w:p>
        </w:tc>
        <w:tc>
          <w:tcPr>
            <w:tcW w:w="1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Borders>
              <w:bottom w:val="single" w:sz="8" w:color="auto"/>
            </w:tcBorders>
            <w:vMerge w:val="continue"/>
          </w:tcPr>
          <w:p>
            <w:pPr>
              <w:spacing w:after="0"/>
              <w:rPr>
                <w:sz w:val="14"/>
                <w:szCs w:val="14"/>
                <w:color w:val="auto"/>
              </w:rPr>
            </w:pPr>
          </w:p>
        </w:tc>
        <w:tc>
          <w:tcPr>
            <w:tcW w:w="290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2"/>
          </w:tcPr>
          <w:p>
            <w:pPr>
              <w:jc w:val="right"/>
              <w:ind w:right="940"/>
              <w:spacing w:after="0" w:line="142" w:lineRule="exact"/>
              <w:rPr>
                <w:sz w:val="20"/>
                <w:szCs w:val="20"/>
                <w:color w:val="auto"/>
              </w:rPr>
            </w:pPr>
            <w:r>
              <w:rPr>
                <w:rFonts w:ascii="Arial" w:cs="Arial" w:eastAsia="Arial" w:hAnsi="Arial"/>
                <w:sz w:val="14"/>
                <w:szCs w:val="14"/>
                <w:b w:val="1"/>
                <w:bCs w:val="1"/>
                <w:color w:val="auto"/>
              </w:rPr>
              <w:t>July 1, 2015</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tcPr>
          <w:p>
            <w:pPr>
              <w:jc w:val="right"/>
              <w:ind w:right="614"/>
              <w:spacing w:after="0" w:line="142" w:lineRule="exact"/>
              <w:rPr>
                <w:sz w:val="20"/>
                <w:szCs w:val="20"/>
                <w:color w:val="auto"/>
              </w:rPr>
            </w:pPr>
            <w:r>
              <w:rPr>
                <w:rFonts w:ascii="Arial" w:cs="Arial" w:eastAsia="Arial" w:hAnsi="Arial"/>
                <w:sz w:val="14"/>
                <w:szCs w:val="14"/>
                <w:b w:val="1"/>
                <w:bCs w:val="1"/>
                <w:color w:val="auto"/>
                <w:w w:val="94"/>
              </w:rPr>
              <w:t>June 25, 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provided (used) by</w:t>
            </w:r>
          </w:p>
        </w:tc>
        <w:tc>
          <w:tcPr>
            <w:tcW w:w="216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ind w:left="260"/>
              <w:spacing w:after="0"/>
              <w:rPr>
                <w:sz w:val="20"/>
                <w:szCs w:val="20"/>
                <w:color w:val="auto"/>
              </w:rPr>
            </w:pPr>
            <w:r>
              <w:rPr>
                <w:rFonts w:ascii="Arial" w:cs="Arial" w:eastAsia="Arial" w:hAnsi="Arial"/>
                <w:sz w:val="18"/>
                <w:szCs w:val="18"/>
                <w:color w:val="auto"/>
              </w:rPr>
              <w:t>Operating activities</w:t>
            </w:r>
          </w:p>
        </w:tc>
        <w:tc>
          <w:tcPr>
            <w:tcW w:w="256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29,817</w:t>
            </w:r>
          </w:p>
        </w:tc>
        <w:tc>
          <w:tcPr>
            <w:tcW w:w="200" w:type="dxa"/>
            <w:vAlign w:val="bottom"/>
          </w:tcPr>
          <w:p>
            <w:pPr>
              <w:spacing w:after="0"/>
              <w:rPr>
                <w:sz w:val="19"/>
                <w:szCs w:val="19"/>
                <w:color w:val="auto"/>
              </w:rPr>
            </w:pPr>
          </w:p>
        </w:tc>
        <w:tc>
          <w:tcPr>
            <w:tcW w:w="78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21,591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2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(8,869)</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30"/>
        </w:trPr>
        <w:tc>
          <w:tcPr>
            <w:tcW w:w="4380" w:type="dxa"/>
            <w:vAlign w:val="bottom"/>
            <w:gridSpan w:val="2"/>
          </w:tcPr>
          <w:p>
            <w:pPr>
              <w:ind w:left="260"/>
              <w:spacing w:after="0"/>
              <w:rPr>
                <w:sz w:val="20"/>
                <w:szCs w:val="20"/>
                <w:color w:val="auto"/>
              </w:rPr>
            </w:pPr>
            <w:r>
              <w:rPr>
                <w:rFonts w:ascii="Arial" w:cs="Arial" w:eastAsia="Arial" w:hAnsi="Arial"/>
                <w:sz w:val="18"/>
                <w:szCs w:val="18"/>
                <w:color w:val="auto"/>
              </w:rPr>
              <w:t>Financing activities</w:t>
            </w:r>
          </w:p>
        </w:tc>
        <w:tc>
          <w:tcPr>
            <w:tcW w:w="2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(26,033)</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(decrease) increase in cash</w:t>
            </w:r>
          </w:p>
        </w:tc>
        <w:tc>
          <w:tcPr>
            <w:tcW w:w="216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twenty-six weeks ended July 1, 2015, net cash provided by operating activities increased by $8.2 million from the comparable period of the prior year. This was due primarily to lower interest payments, resulting primarily from lower interest rates and lower debt balances, increased revenue, resulting primarily from additional sales contribution from eleven new restaurants opened in fiscal 2014 and two new restaurants opened during the twenty-six weeks ended July 1, 2015 and from changes in deferred taxes.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For the twenty-six weeks ended July 1, 2015, net cash used by investing activities decreased by $1.5 million from the comparable period of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was due primarily to timing of capital expenditures related to new restaurants and to the remodeling of existing restaurants.</w:t>
      </w:r>
    </w:p>
    <w:p>
      <w:pPr>
        <w:spacing w:after="0" w:line="211" w:lineRule="exact"/>
        <w:rPr>
          <w:sz w:val="20"/>
          <w:szCs w:val="20"/>
          <w:color w:val="auto"/>
        </w:rPr>
      </w:pPr>
    </w:p>
    <w:p>
      <w:pPr>
        <w:jc w:val="both"/>
        <w:ind w:right="520"/>
        <w:spacing w:after="0" w:line="342" w:lineRule="auto"/>
        <w:rPr>
          <w:sz w:val="20"/>
          <w:szCs w:val="20"/>
          <w:color w:val="auto"/>
        </w:rPr>
      </w:pPr>
      <w:r>
        <w:rPr>
          <w:rFonts w:ascii="Arial" w:cs="Arial" w:eastAsia="Arial" w:hAnsi="Arial"/>
          <w:sz w:val="16"/>
          <w:szCs w:val="16"/>
          <w:color w:val="auto"/>
        </w:rPr>
        <w:t>For the year ending December 30, 2015, we expect to incur capital expenditures of approximately $36 million, consisting of $23 million related to new restaurants, $6 million related to the remodeling of existing restaurants, and $7 million related to maintenance and other corporate capital expenditures.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For the twenty-six weeks ended July 1, 2015, net cash used by financing activities increased by $25.0 million from the comparable period of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was due primarily to the pre-payment of $30.0 million on the 2014 Revolver during the twenty-six weeks ended July 1, 2015.</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Other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Agreement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11, 2014, we refinanced our debt, with EPL, Intermediate, and Holdings entering into a credit agreement with Bank of America, N.A., as administrative agent, swingline lender, and letter of credit issuer, the lenders party thereto, and the other parties thereto, which provides for the 2014 Revolver. The 2014 Revolver includes a sub limit of $15 million for letters of credit and a sub limit of $15 million for swingline loans. At July 1, 2015, $7.0 million of letters of credit were outstanding and $58.0 million was available to borrow under the revolving line of credit. The 2014 Revolver will mature on or about December 11, 2019.</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to 1.50%. The margin was initially set at 2.00% for LIBOR loans and at 1.00% for base rate loans until the delivery of financial statements and a compliance certificate for the first quarter of 2015.The interest rate range was 1.93% to 2.11% and 1.93% to 2.63% for the thirteen and twenty-six weeks ended July 1, 2015, respectively.</w:t>
      </w:r>
    </w:p>
    <w:p>
      <w:pPr>
        <w:spacing w:after="0" w:line="17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We were in compliance with all such covenants at July 1, 2015.</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ind w:right="160"/>
        <w:spacing w:after="0" w:line="288" w:lineRule="auto"/>
        <w:rPr>
          <w:sz w:val="20"/>
          <w:szCs w:val="20"/>
          <w:color w:val="auto"/>
        </w:rPr>
      </w:pPr>
      <w:r>
        <w:rPr>
          <w:rFonts w:ascii="Arial" w:cs="Arial" w:eastAsia="Arial" w:hAnsi="Arial"/>
          <w:sz w:val="16"/>
          <w:szCs w:val="16"/>
          <w:color w:val="auto"/>
        </w:rPr>
        <w:t>Under the 2014 Revolver, Holdings may not make certain payments such as cash dividends, except that it may, inter alia, (i) pay up to $1 million per year to repurchase or redeem qualified equity interests of Holdings held by past or present officers, directors, or employees (or their estates) of the Company upon death, disability, or termination of employment, (ii) pay under the TRA, and, (iii) so long as no default or event of default has occurred and is continuing,</w:t>
      </w:r>
    </w:p>
    <w:p>
      <w:pPr>
        <w:ind w:firstLine="8"/>
        <w:spacing w:after="0" w:line="281" w:lineRule="auto"/>
        <w:tabs>
          <w:tab w:leader="none" w:pos="245"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 million in other restricted payments per year, and (d) make other restricted payments, provided that such payments would not cause, in each case, on a pro forma basis, (x) its lease-adjusted consolidated leverage ratio to equal or exceed 4.25 times and</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its consolidated fixed charge coverage ratio to be less than 1.75 times.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Arrangements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connection with our credit agreements, we entered into two interest rate caps with Wells Fargo Bank, N.A. The first interest rate cap is for a notional amount of $30 million, with a cap rate of 3.00% based on 1 month USD LIBOR, terminating on December 1, 2015. The second interest rate cap is for a notional amount of $120 million, with a cap rate of 3.00% based on 1 month USD LIBOR, terminating on December 1, 2016. As of July 1, 2015 and December 31, 2014, the amounts included in other assets in our condensed consolidated balance sheets, related to this interest rate cap, were not material to our financial position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entered into new chicken purchasing contracts in the first quarter of 2015 with twelve-month terms resulting in an estimated commitment to purchase chicken of $21.4 million at July 1, 2015.</w:t>
      </w:r>
    </w:p>
    <w:p>
      <w:pPr>
        <w:spacing w:after="0" w:line="17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With the exception noted above, our contractual commitments outstanding on July 1, 2015, have not changed materially since our annual report on Form 10-K for the year ended December 31, 2014. These relate to future (i) debt payments, including expected interest expense, calculated based on current interest rates, (ii) restaurant operating lease payments, (iii) income tax receivable agreement payments, and (iv) purchasing commitments for chicken and beverage.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and Other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July 1, 2015, we were using $7.0 million of borrowing capacity on the 2014 Revolver for letters of credit in support of our insurance programs.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We are exposed to market risk from changes in the interest rate on our debt, which bears interest at USD LIBOR plus a margin between 1.75% and 2.50%. As of July 1, 2015, we had outstanding borrowings of $135.0 million and another $7.0 million of letters of credit in support of our insurance programs. A 1.00% increase in the effective interest rate applied to these borrowings would result in a pre-tax interest expense increase of $1.4 million on an annualized basis.</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manage our interest rate risk through normal operating and financing activities and, when determined appropriate, through the use of derivative financial instruments.</w:t>
      </w:r>
    </w:p>
    <w:p>
      <w:pPr>
        <w:spacing w:after="0" w:line="17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To mitigate exposure to fluctuations in interest rates, we entered into two interest rate caps as discussed above under “Management’s Discussion and Analysis of Financial Condition and Results of Operations—Liquidity and Capital Resources—Debt and Other Obligations—Hedging Arrangements.”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Since July 1, 2014, the State of California (where most of our restaurants are located) has had a minimum wage of $9.00 per hour. From January 1, 2008, to June 30, 2014, it had been $8.00 per hour. It is scheduled to rise to $10.00 per hour on January 1, 2016. On June 10, 2015, the Council of the City of Los Angeles passed an ordinance, which on June 13, 2015, was approved by the mayor, raising the minimum wage on the following schedule: (i) from July 1, 2016, $10.50, (ii) from July 1, 2017, $12.00, (iii) from July 1, 2018, $13.25, (iv) from July 1, 2019, $14.25, (v) from July 1, 2020, $15.00, and (vi) from July 1, 2022, indexed to inflation. On July 21, 2015, the Board of Supervisors of the County of Los Angeles voted to direct counsel to prepare an ordinance that would establish a countywide minimum wage covering unincorporated areas of the county following the same. In general, we have been able to</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ind w:right="800"/>
        <w:spacing w:after="0" w:line="277" w:lineRule="auto"/>
        <w:rPr>
          <w:sz w:val="20"/>
          <w:szCs w:val="20"/>
          <w:color w:val="auto"/>
        </w:rPr>
      </w:pPr>
      <w:r>
        <w:rPr>
          <w:rFonts w:ascii="Arial" w:cs="Arial" w:eastAsia="Arial" w:hAnsi="Arial"/>
          <w:sz w:val="18"/>
          <w:szCs w:val="18"/>
          <w:color w:val="auto"/>
        </w:rPr>
        <w:t>substantially offset cost increases resulting from inflation by increasing menu prices, managing menu mix, improving productivity, or making other adjustments. We may or may not be able to offset cost increases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a rapidly-fluctuating commodities market,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management establishes and maintains disclosure controls and procedures (as defined in Exchange Act Rules 13a–15(e) and 15d–15(e)) to ensure that the information we disclose under the Exchange Act is properly and timely reported. We provide this information to our chief executive and chief financial officers as appropriate to allow for timely decisions.</w:t>
      </w:r>
    </w:p>
    <w:p>
      <w:pPr>
        <w:spacing w:after="0" w:line="18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Our controls and procedures are based on assumptions. Additionally, even effective controls and procedures only provide reasonable assurance of achieving their objectives. Accordingly, we cannot guarantee that our controls and procedures will succeed or be adhered to in all circumstances.</w:t>
      </w:r>
    </w:p>
    <w:p>
      <w:pPr>
        <w:spacing w:after="0" w:line="14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have evaluated our disclosure controls and procedures, with the participation, and under the supervision, of our management, including our chief executive and chief financial officers. Based on this evaluation, our chief executive and chief financial officers have concluded that our disclosure controls and procedures were effective as of the end of the period covered by this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 change in our internal control over financial reporting (as defined in Exchange Act Rules 13a–15(f) and 15d–15(f)) occurred during the period covered by this report that has affected or is reasonably likely to affect materially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or about February 24, 2014, a former employee filed a class action in the Superior Court of the State of California, County of Orange, against EPL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While we are vigorously defending against this action, including its class certification, the ultimate outcome of the case is presently not determinable as it is in a preliminary phase. Thus, we cannot at this time determine the likelihood of an adverse judgment nor a likely range of damages in the event of an adverse judgment. Any settlement of, or judgment with a negative outcome arising from, this lawsuit could have a material adverse effect.</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also involved in various other claims and legal actions that arise in the ordinary course of business. We do not believe that the ultimate resolution of these other actions will have a material adverse effect on our financial position, results of operations, liquidity, or capital resources. A significant increase in the number of claims, or an increase in amounts owing under successful claims, could materially and adversely affect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31, 2014, except for the risk factors that follow, which are revised and restated in their entirety.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or our franchisees face labor shortages or increased labor costs, our results of operations and growth could be adversely affected.</w:t>
      </w:r>
    </w:p>
    <w:p>
      <w:pPr>
        <w:spacing w:after="0" w:line="237"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Labor is a primary component in the cost of operating our company-operated and franchised restaurants. If we or our franchisees face labor shortages or increased labor costs, because of increased competition for employees, higher employee-turnover rates, unionization of restaurant workers, or increases in federal, state, or local minimum wages or in other employee benefits costs (including costs associated with health insurance coverage or workers’ compensation insurance), our and our franchisees’ operating expenses could increase, and our growth could be adversely affected.</w:t>
      </w:r>
    </w:p>
    <w:p>
      <w:pPr>
        <w:spacing w:after="0" w:line="15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have a substantial number of hourly employees who are paid wage rates at or based on the applicable federal, state, or local minimum wage, and increases in the minimum wage will increase our labor costs and the labor costs of our franchisees. Since July 1, 2014, the State of California (where most of our restaurants are located) has had a minimum wage of $9.00 per hour. From January 1, 2008, to June 30, 2014, it had been $8.00 per hour. It is scheduled to rise to $10.00 per hour on January 1, 2016. The federal minimum wage has been $7.25 per hour since July 24, 2009.</w:t>
      </w:r>
    </w:p>
    <w:p>
      <w:pPr>
        <w:spacing w:after="0" w:line="17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On June 10, 2015, the Council of the City of Los Angeles passed an ordinance, which on June 13, 2015, was approved by the mayor, raising the minimum wage on the following schedule: (i) from July 1, 2016, $10.50, (ii) from July 1, 2017, $12.00, (iii) from July 1, 2018, $13.25, (iv) from July 1, 2019, $14.25,</w:t>
      </w:r>
    </w:p>
    <w:p>
      <w:pPr>
        <w:ind w:right="100" w:firstLine="8"/>
        <w:spacing w:after="0" w:line="252"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from July 1, 2020, $15.00, and (vi) from July 1, 2022, indexed to inflation. On July 21, 2015, the Board of Supervisors of the County of Los Angeles voted to direct counsel to prepare an ordinance that would establish a countywide minimum wage covering unincorporated areas of the county following the same schedule. Other cities in the County of Los Angeles may follow. In 2014, approximately 80% of our revenue came from company-operated and franchised restaurants in the greater Los Angeles area, including 21% from the City of Los Angeles, 29% from other incorporated cities in the County of Los Angeles, and 5% from unincorporated areas of the County of Los Angeles. Those restaurants that are not directly covered by these ordinances may be covered by future ordinances, may face competitive or political pressures to match these wage levels, or may suffer from any regional economic distress caused by these ordinances.</w:t>
      </w:r>
    </w:p>
    <w:p>
      <w:pPr>
        <w:spacing w:after="0" w:line="19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Federally-mandated, state-mandated, or locally-mandated minimum wages may be further raised in the future. We may be unable to increase our menu prices in order to pass future increased labor costs on to our customers, in which case our margins would be negatively affected. Also, reduced margins of franchisees could make it more difficult to sell franchises. And if menu prices were increased by us and our franchisees to cover increased labor costs, the higher prices could adversely affect sales and thereby reduce our margins and the royalties that we receive from franchisees.</w:t>
      </w:r>
    </w:p>
    <w:p>
      <w:pPr>
        <w:spacing w:after="0" w:line="17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addition, our success depends in part upon our and our franchisees’ ability to attract, motivate, and retain a sufficient number of well-qualified restaurant operators, management personnel, and other employees. Qualified individuals needed to fill these positions can be in short supply in some geographic areas. In addition, limited service restaurants have traditionally experienced relatively high</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ind w:right="20"/>
        <w:spacing w:after="0" w:line="297" w:lineRule="auto"/>
        <w:rPr>
          <w:sz w:val="20"/>
          <w:szCs w:val="20"/>
          <w:color w:val="auto"/>
        </w:rPr>
      </w:pPr>
      <w:r>
        <w:rPr>
          <w:rFonts w:ascii="Arial" w:cs="Arial" w:eastAsia="Arial" w:hAnsi="Arial"/>
          <w:sz w:val="16"/>
          <w:szCs w:val="16"/>
          <w:color w:val="auto"/>
        </w:rPr>
        <w:t>employee turnover rates. Although we have not yet experienced any significant problems in recruiting or retaining employees, our and our franchisees’ inability to recruit and retain qualified individuals could delay planned openings of new restaurants or result in higher employee turnover in existing restaurants, which could increase our and our franchisees’ labor costs and have a material adverse effect on our business, financial condition, results of operations, and cash flows. If we or our franchisees are unable to recruit and retain sufficiently qualified individuals, our business and our growth could be adversely affected. Competition for qualified employees could require us or our franchisees to pay higher wages, which could also result in higher labor costs.</w:t>
      </w:r>
    </w:p>
    <w:p>
      <w:pPr>
        <w:spacing w:after="0" w:line="15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the ownership of our common stock continues to be highly concentrated, it may prevent you and other minority stockholders from influencing significant corporate decisions and may result in conflicts of interest.</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Trimaran Pollo Partners, L.L.C. (“LLC”), owns approximately 43.8% of our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our assets, decisions affecting our capital structure, amendments to our certificate of incorporation or our by-laws, and our winding up and dissolution. So long as LLC maintains at least 40% ownership, (i) any member of the board of directors may be removed at any time without cause by affirmative vote of a majority of our common stock, and (ii) stockholders representing 40% or greater ownership may cause special stockholder meetings to be called.</w:t>
      </w:r>
    </w:p>
    <w:p>
      <w:pPr>
        <w:spacing w:after="0" w:line="18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This concentration of ownership may delay, deter, or prevent acts that would be favored by our other stockholders. The interests of Trimaran and Freeman Spogli may not always coincide with our interests or the interests of our other stockholders. This concentration of ownership may also have the effect of delaying, deterring, or preventing a change in control of us. Also, Trimaran and Freeman Spogli may seek to cause us to take courses of action that, in their judgments, could enhance their investments in us, but that might involve risks to our other stockholders or adversely affect us or our other stockholders. As a result, the market price of our common stock could decline, or stockholders might not receive a premium over the then-current market price of our common stock upon a change in control. In addition, this concentration of ownership may adversely affect the trading price of our common stock, because investors may perceive disadvantages in owning shares of a company with significant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not yet subject to all of the corporate governance rules of the NASDAQ Global Select Market (the “NASDAQ”).</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(Formerly: As a controlled company, we are not subject to all of the corporate governance rules of the NASDAQ Global Select Market (the “NASDAQ”).)</w:t>
      </w:r>
    </w:p>
    <w:p>
      <w:pPr>
        <w:spacing w:after="0" w:line="23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At the time of our initial public offering, we were majority-owned by LLC, classifying us as a controlled company under NASDAQ rules. NASDAQ rules exempt controlled companies from rules that require (i) the majority of the members of their boards of directors to be independent and (ii) compensation committees, and nominating and corporate governance committees, to be comprised entirely of independent directors.</w:t>
      </w:r>
    </w:p>
    <w:p>
      <w:pPr>
        <w:spacing w:after="0" w:line="16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May 19, 2015, LLC sold enough stock to drop below 50% but remain above 40% ownership of our common stock. Accordingly, we are no longer a controlled company under NASDAQ rules. A company that has ceased to be a controlled company is permitted to phase in its independent nomination and compensation committees and majority independent board on the same schedule as if the Company were newlylisted in conjunction with their initial public offerings. Accordingly, (i) at the time of the sale, one member of each committee was required to be independent, (ii) within 90 days of the sale (i.e., by August 17, 2015), a majority of each committee is required to be independent, (iii) within one year of the sale (i.e., by May 19, 2016), all committee members must be independent, and (iv) within one year of the sale, a majority of our board must be independent.</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controlled company status did not modify the independence requirements for our audit committee, and we comply with the requirements of the Sarbanes– Oxley Act of 2002 and the NASDAQ by having an audit committee comprised entirely of independent directors.</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Currently, three of our directors are independent. All audit committee members are independent. Two of three compensation committee members are independent. One of three nominating and corporate governance committee members are independent.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During our phase-in period, we may not have the majority-independent board and the fully independent committees contemplated by the NASDAQ rules.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you may not receive the benefits to corporate governance that these would bestow.</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could be negatively affected by sales of substantial amounts of our common stock in the public markets.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ind w:right="200"/>
        <w:spacing w:after="0" w:line="259" w:lineRule="auto"/>
        <w:rPr>
          <w:sz w:val="20"/>
          <w:szCs w:val="20"/>
          <w:color w:val="auto"/>
        </w:rPr>
      </w:pPr>
      <w:r>
        <w:rPr>
          <w:rFonts w:ascii="Arial" w:cs="Arial" w:eastAsia="Arial" w:hAnsi="Arial"/>
          <w:sz w:val="18"/>
          <w:szCs w:val="18"/>
          <w:color w:val="auto"/>
        </w:rPr>
        <w:t>The market price of our common stock could decline as a result of sales of a large number of shares of our common stock in the market, and the perception that these sales could occur could also depress the market price of our common stock or impede our ability to raise equity capital. No lock-up agreements presently are in effect. LLC presently owns approximately 43.8% of our outstanding common stock, and could sell stock publicly either if the stock were registered or if the exemption requirements of Rule 144 were satisfied.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our stockholders agreement, LLC and, in certain instances, Freeman Spogli, may require us to file registration statements under the Securities Act at our expense, covering resales of our common stock held by them or LLC or piggyback on a registration statement in certain circumstances. Any such sales, or the prospect of any such sales, could materially impact the market price of our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Number</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9400" w:type="dxa"/>
            <w:vAlign w:val="bottom"/>
          </w:tcPr>
          <w:p>
            <w:pPr>
              <w:spacing w:after="0"/>
              <w:rPr>
                <w:sz w:val="14"/>
                <w:szCs w:val="14"/>
                <w:color w:val="auto"/>
              </w:rPr>
            </w:pPr>
          </w:p>
        </w:tc>
      </w:tr>
      <w:tr>
        <w:trPr>
          <w:trHeight w:val="331"/>
        </w:trPr>
        <w:tc>
          <w:tcPr>
            <w:tcW w:w="48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Certification of Principal Executive Officer under section 302 of the Sarbanes–Oxley Act of 2002</w:t>
            </w: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Certification of Principal Financial Officer under section 302 of the Sarbanes–Oxley Act of 2002</w:t>
            </w:r>
          </w:p>
        </w:tc>
      </w:tr>
      <w:tr>
        <w:trPr>
          <w:trHeight w:val="323"/>
        </w:trPr>
        <w:tc>
          <w:tcPr>
            <w:tcW w:w="48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1"/>
              </w:rPr>
              <w:t>Certification of Chief Executive Officer and Chief Financial Officer under 18 U.S.C. section 1350, adopted by section 906 of the Sarbanes–</w:t>
            </w: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Oxley Act of 2002</w:t>
            </w:r>
          </w:p>
        </w:tc>
      </w:tr>
      <w:tr>
        <w:trPr>
          <w:trHeight w:val="338"/>
        </w:trPr>
        <w:tc>
          <w:tcPr>
            <w:tcW w:w="8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XBRL Instance Document</w:t>
            </w:r>
          </w:p>
        </w:tc>
      </w:tr>
      <w:tr>
        <w:trPr>
          <w:trHeight w:val="338"/>
        </w:trPr>
        <w:tc>
          <w:tcPr>
            <w:tcW w:w="8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8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8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8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8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07" w:lineRule="exact"/>
        <w:rPr>
          <w:sz w:val="20"/>
          <w:szCs w:val="20"/>
          <w:color w:val="auto"/>
        </w:rPr>
      </w:pPr>
    </w:p>
    <w:p>
      <w:pPr>
        <w:ind w:left="540" w:hanging="532"/>
        <w:spacing w:after="0" w:line="286"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 Pollo Loco Holdings, Inc.</w:t>
            </w:r>
          </w:p>
        </w:tc>
      </w:tr>
      <w:tr>
        <w:trPr>
          <w:trHeight w:val="224"/>
        </w:trPr>
        <w:tc>
          <w:tcPr>
            <w:tcW w:w="63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45"/>
        </w:trPr>
        <w:tc>
          <w:tcPr>
            <w:tcW w:w="6320" w:type="dxa"/>
            <w:vAlign w:val="bottom"/>
          </w:tcPr>
          <w:p>
            <w:pPr>
              <w:spacing w:after="0"/>
              <w:rPr>
                <w:sz w:val="20"/>
                <w:szCs w:val="20"/>
                <w:color w:val="auto"/>
              </w:rPr>
            </w:pPr>
            <w:r>
              <w:rPr>
                <w:rFonts w:ascii="Arial" w:cs="Arial" w:eastAsia="Arial" w:hAnsi="Arial"/>
                <w:sz w:val="18"/>
                <w:szCs w:val="18"/>
                <w:color w:val="auto"/>
              </w:rPr>
              <w:t>August 14, 2015</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J. Sather</w:t>
            </w:r>
          </w:p>
        </w:tc>
      </w:tr>
      <w:tr>
        <w:trPr>
          <w:trHeight w:val="195"/>
        </w:trPr>
        <w:tc>
          <w:tcPr>
            <w:tcW w:w="6320" w:type="dxa"/>
            <w:vAlign w:val="bottom"/>
          </w:tcPr>
          <w:p>
            <w:pPr>
              <w:ind w:left="540"/>
              <w:spacing w:after="0" w:line="195" w:lineRule="exact"/>
              <w:rPr>
                <w:sz w:val="20"/>
                <w:szCs w:val="20"/>
                <w:color w:val="auto"/>
              </w:rPr>
            </w:pPr>
            <w:r>
              <w:rPr>
                <w:rFonts w:ascii="Arial" w:cs="Arial" w:eastAsia="Arial" w:hAnsi="Arial"/>
                <w:sz w:val="18"/>
                <w:szCs w:val="18"/>
                <w:color w:val="auto"/>
              </w:rPr>
              <w:t>Date</w:t>
            </w: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Stephen J. Sather</w:t>
            </w:r>
          </w:p>
        </w:tc>
      </w:tr>
      <w:tr>
        <w:trPr>
          <w:trHeight w:val="230"/>
        </w:trPr>
        <w:tc>
          <w:tcPr>
            <w:tcW w:w="63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59"/>
        </w:trPr>
        <w:tc>
          <w:tcPr>
            <w:tcW w:w="6320" w:type="dxa"/>
            <w:vAlign w:val="bottom"/>
          </w:tcPr>
          <w:p>
            <w:pPr>
              <w:spacing w:after="0"/>
              <w:rPr>
                <w:sz w:val="20"/>
                <w:szCs w:val="20"/>
                <w:color w:val="auto"/>
              </w:rPr>
            </w:pPr>
            <w:r>
              <w:rPr>
                <w:rFonts w:ascii="Arial" w:cs="Arial" w:eastAsia="Arial" w:hAnsi="Arial"/>
                <w:sz w:val="18"/>
                <w:szCs w:val="18"/>
                <w:color w:val="auto"/>
              </w:rPr>
              <w:t>August 14, 2015</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Laurance Roberts</w:t>
            </w:r>
          </w:p>
        </w:tc>
      </w:tr>
      <w:tr>
        <w:trPr>
          <w:trHeight w:val="195"/>
        </w:trPr>
        <w:tc>
          <w:tcPr>
            <w:tcW w:w="6320" w:type="dxa"/>
            <w:vAlign w:val="bottom"/>
          </w:tcPr>
          <w:p>
            <w:pPr>
              <w:ind w:left="540"/>
              <w:spacing w:after="0" w:line="195" w:lineRule="exact"/>
              <w:rPr>
                <w:sz w:val="20"/>
                <w:szCs w:val="20"/>
                <w:color w:val="auto"/>
              </w:rPr>
            </w:pPr>
            <w:r>
              <w:rPr>
                <w:rFonts w:ascii="Arial" w:cs="Arial" w:eastAsia="Arial" w:hAnsi="Arial"/>
                <w:sz w:val="18"/>
                <w:szCs w:val="18"/>
                <w:color w:val="auto"/>
              </w:rPr>
              <w:t>Date</w:t>
            </w: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Laurance Roberts</w:t>
            </w:r>
          </w:p>
        </w:tc>
      </w:tr>
      <w:tr>
        <w:trPr>
          <w:trHeight w:val="230"/>
        </w:trPr>
        <w:tc>
          <w:tcPr>
            <w:tcW w:w="63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J. Sather,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77"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[reserved] for the registrant and have:</w:t>
      </w:r>
    </w:p>
    <w:p>
      <w:pPr>
        <w:spacing w:after="0" w:line="170" w:lineRule="exact"/>
        <w:rPr>
          <w:sz w:val="20"/>
          <w:szCs w:val="20"/>
          <w:color w:val="auto"/>
        </w:rPr>
      </w:pPr>
    </w:p>
    <w:p>
      <w:pPr>
        <w:jc w:val="both"/>
        <w:ind w:right="120" w:firstLine="8"/>
        <w:spacing w:after="0" w:line="264" w:lineRule="auto"/>
        <w:tabs>
          <w:tab w:leader="none" w:pos="2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20" w:firstLine="8"/>
        <w:spacing w:after="0" w:line="277" w:lineRule="auto"/>
        <w:tabs>
          <w:tab w:leader="none" w:pos="2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Stephen J. Sather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Laurance Roberts,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77"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[reserved] for the registrant and have:</w:t>
      </w:r>
    </w:p>
    <w:p>
      <w:pPr>
        <w:spacing w:after="0" w:line="170" w:lineRule="exact"/>
        <w:rPr>
          <w:sz w:val="20"/>
          <w:szCs w:val="20"/>
          <w:color w:val="auto"/>
        </w:rPr>
      </w:pPr>
    </w:p>
    <w:p>
      <w:pPr>
        <w:jc w:val="both"/>
        <w:ind w:right="120" w:firstLine="8"/>
        <w:spacing w:after="0" w:line="264" w:lineRule="auto"/>
        <w:tabs>
          <w:tab w:leader="none" w:pos="2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20" w:firstLine="8"/>
        <w:spacing w:after="0" w:line="277"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Laurance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Stephen J. Sather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Laurance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7"/>
    </w:lvl>
  </w:abstractNum>
  <w:abstractNum w:abstractNumId="4">
    <w:nsid w:val="3352255A"/>
    <w:multiLevelType w:val="hybridMultilevel"/>
    <w:lvl w:ilvl="0">
      <w:lvlJc w:val="left"/>
      <w:lvlText w:val="(%1)"/>
      <w:numFmt w:val="lowerRoman"/>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25"/>
    </w:lvl>
  </w:abstractNum>
  <w:abstractNum w:abstractNumId="11">
    <w:nsid w:val="4E6AFB66"/>
    <w:multiLevelType w:val="hybridMultilevel"/>
    <w:lvl w:ilvl="0">
      <w:lvlJc w:val="left"/>
      <w:lvlText w:val="(%1)"/>
      <w:numFmt w:val="lowerRoman"/>
      <w:start w:val="5"/>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5"/>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5"/>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2019-12-29T16:18:09Z</dcterms:created>
  <dcterms:modified xsi:type="dcterms:W3CDTF">2019-12-29T16:18:09Z</dcterms:modified>
</cp:coreProperties>
</file>