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2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September 28, 2016</w:t>
      </w:r>
    </w:p>
    <w:p>
      <w:pPr>
        <w:spacing w:after="0" w:line="11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2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EL POLLO LOCO HOLDINGS,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760" w:type="dxa"/>
        <w:tblCellMar>
          <w:top w:w="0" w:type="dxa"/>
          <w:left w:w="0" w:type="dxa"/>
          <w:bottom w:w="0" w:type="dxa"/>
          <w:right w:w="0" w:type="dxa"/>
        </w:tblCellMar>
      </w:tblPr>
      <w:tr>
        <w:trPr>
          <w:trHeight w:val="212"/>
        </w:trPr>
        <w:tc>
          <w:tcPr>
            <w:tcW w:w="6680" w:type="dxa"/>
            <w:vAlign w:val="bottom"/>
          </w:tcPr>
          <w:p>
            <w:pPr>
              <w:jc w:val="center"/>
              <w:ind w:right="2500"/>
              <w:spacing w:after="0"/>
              <w:rPr>
                <w:sz w:val="20"/>
                <w:szCs w:val="20"/>
                <w:color w:val="auto"/>
              </w:rPr>
            </w:pPr>
            <w:r>
              <w:rPr>
                <w:rFonts w:ascii="Arial" w:cs="Arial" w:eastAsia="Arial" w:hAnsi="Arial"/>
                <w:sz w:val="18"/>
                <w:szCs w:val="18"/>
                <w:b w:val="1"/>
                <w:bCs w:val="1"/>
                <w:color w:val="auto"/>
                <w:w w:val="93"/>
              </w:rPr>
              <w:t>Delaware</w:t>
            </w:r>
          </w:p>
        </w:tc>
        <w:tc>
          <w:tcPr>
            <w:tcW w:w="2280" w:type="dxa"/>
            <w:vAlign w:val="bottom"/>
          </w:tcPr>
          <w:p>
            <w:pPr>
              <w:jc w:val="right"/>
              <w:ind w:right="579"/>
              <w:spacing w:after="0"/>
              <w:rPr>
                <w:sz w:val="20"/>
                <w:szCs w:val="20"/>
                <w:color w:val="auto"/>
              </w:rPr>
            </w:pPr>
            <w:r>
              <w:rPr>
                <w:rFonts w:ascii="Arial" w:cs="Arial" w:eastAsia="Arial" w:hAnsi="Arial"/>
                <w:sz w:val="18"/>
                <w:szCs w:val="18"/>
                <w:b w:val="1"/>
                <w:bCs w:val="1"/>
                <w:color w:val="auto"/>
              </w:rPr>
              <w:t>20-3563182</w:t>
            </w:r>
          </w:p>
        </w:tc>
      </w:tr>
      <w:tr>
        <w:trPr>
          <w:trHeight w:val="186"/>
        </w:trPr>
        <w:tc>
          <w:tcPr>
            <w:tcW w:w="6680" w:type="dxa"/>
            <w:vAlign w:val="bottom"/>
          </w:tcPr>
          <w:p>
            <w:pPr>
              <w:jc w:val="center"/>
              <w:ind w:right="250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00"/>
        </w:trPr>
        <w:tc>
          <w:tcPr>
            <w:tcW w:w="6680" w:type="dxa"/>
            <w:vAlign w:val="bottom"/>
          </w:tcPr>
          <w:p>
            <w:pPr>
              <w:jc w:val="center"/>
              <w:ind w:right="2500"/>
              <w:spacing w:after="0"/>
              <w:rPr>
                <w:sz w:val="20"/>
                <w:szCs w:val="20"/>
                <w:color w:val="auto"/>
              </w:rPr>
            </w:pPr>
            <w:r>
              <w:rPr>
                <w:rFonts w:ascii="Arial" w:cs="Arial" w:eastAsia="Arial" w:hAnsi="Arial"/>
                <w:sz w:val="18"/>
                <w:szCs w:val="18"/>
                <w:b w:val="1"/>
                <w:bCs w:val="1"/>
                <w:color w:val="auto"/>
                <w:w w:val="92"/>
              </w:rPr>
              <w:t>3535 Harbor Blvd., Suite 100, Costa Mesa, California</w:t>
            </w:r>
          </w:p>
        </w:tc>
        <w:tc>
          <w:tcPr>
            <w:tcW w:w="2280" w:type="dxa"/>
            <w:vAlign w:val="bottom"/>
          </w:tcPr>
          <w:p>
            <w:pPr>
              <w:jc w:val="right"/>
              <w:ind w:right="799"/>
              <w:spacing w:after="0"/>
              <w:rPr>
                <w:sz w:val="20"/>
                <w:szCs w:val="20"/>
                <w:color w:val="auto"/>
              </w:rPr>
            </w:pPr>
            <w:r>
              <w:rPr>
                <w:rFonts w:ascii="Arial" w:cs="Arial" w:eastAsia="Arial" w:hAnsi="Arial"/>
                <w:sz w:val="18"/>
                <w:szCs w:val="18"/>
                <w:b w:val="1"/>
                <w:bCs w:val="1"/>
                <w:color w:val="auto"/>
              </w:rPr>
              <w:t>92626</w:t>
            </w:r>
          </w:p>
        </w:tc>
      </w:tr>
      <w:tr>
        <w:trPr>
          <w:trHeight w:val="186"/>
        </w:trPr>
        <w:tc>
          <w:tcPr>
            <w:tcW w:w="6680" w:type="dxa"/>
            <w:vAlign w:val="bottom"/>
          </w:tcPr>
          <w:p>
            <w:pPr>
              <w:jc w:val="center"/>
              <w:ind w:right="25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jc w:val="center"/>
              <w:ind w:left="19"/>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6680" w:type="dxa"/>
            <w:vAlign w:val="bottom"/>
          </w:tcPr>
          <w:p>
            <w:pPr>
              <w:jc w:val="center"/>
              <w:ind w:left="3160"/>
              <w:spacing w:after="0"/>
              <w:rPr>
                <w:sz w:val="20"/>
                <w:szCs w:val="20"/>
                <w:color w:val="auto"/>
              </w:rPr>
            </w:pPr>
            <w:r>
              <w:rPr>
                <w:rFonts w:ascii="Arial" w:cs="Arial" w:eastAsia="Arial" w:hAnsi="Arial"/>
                <w:sz w:val="18"/>
                <w:szCs w:val="18"/>
                <w:b w:val="1"/>
                <w:bCs w:val="1"/>
                <w:color w:val="auto"/>
                <w:w w:val="90"/>
              </w:rPr>
              <w:t>(714) 599-5000</w:t>
            </w:r>
          </w:p>
        </w:tc>
        <w:tc>
          <w:tcPr>
            <w:tcW w:w="2280" w:type="dxa"/>
            <w:vAlign w:val="bottom"/>
          </w:tcPr>
          <w:p>
            <w:pPr>
              <w:spacing w:after="0"/>
              <w:rPr>
                <w:sz w:val="24"/>
                <w:szCs w:val="24"/>
                <w:color w:val="auto"/>
              </w:rPr>
            </w:pPr>
          </w:p>
        </w:tc>
      </w:tr>
      <w:tr>
        <w:trPr>
          <w:trHeight w:val="186"/>
        </w:trPr>
        <w:tc>
          <w:tcPr>
            <w:tcW w:w="6680" w:type="dxa"/>
            <w:vAlign w:val="bottom"/>
          </w:tcPr>
          <w:p>
            <w:pPr>
              <w:jc w:val="center"/>
              <w:ind w:left="31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280" w:type="dxa"/>
            <w:vAlign w:val="bottom"/>
          </w:tcPr>
          <w:p>
            <w:pPr>
              <w:spacing w:after="0"/>
              <w:rPr>
                <w:sz w:val="16"/>
                <w:szCs w:val="16"/>
                <w:color w:val="auto"/>
              </w:rPr>
            </w:pPr>
          </w:p>
        </w:tc>
      </w:tr>
      <w:tr>
        <w:trPr>
          <w:trHeight w:val="235"/>
        </w:trPr>
        <w:tc>
          <w:tcPr>
            <w:tcW w:w="6680" w:type="dxa"/>
            <w:vAlign w:val="bottom"/>
          </w:tcPr>
          <w:p>
            <w:pPr>
              <w:jc w:val="center"/>
              <w:ind w:left="3160"/>
              <w:spacing w:after="0"/>
              <w:rPr>
                <w:sz w:val="20"/>
                <w:szCs w:val="20"/>
                <w:color w:val="auto"/>
              </w:rPr>
            </w:pPr>
            <w:r>
              <w:rPr>
                <w:rFonts w:ascii="Arial" w:cs="Arial" w:eastAsia="Arial" w:hAnsi="Arial"/>
                <w:sz w:val="14"/>
                <w:szCs w:val="14"/>
                <w:b w:val="1"/>
                <w:bCs w:val="1"/>
                <w:color w:val="auto"/>
                <w:w w:val="99"/>
              </w:rPr>
              <w:t>N/A</w:t>
            </w:r>
          </w:p>
        </w:tc>
        <w:tc>
          <w:tcPr>
            <w:tcW w:w="2280" w:type="dxa"/>
            <w:vAlign w:val="bottom"/>
          </w:tcPr>
          <w:p>
            <w:pPr>
              <w:spacing w:after="0"/>
              <w:rPr>
                <w:sz w:val="20"/>
                <w:szCs w:val="20"/>
                <w:color w:val="auto"/>
              </w:rPr>
            </w:pPr>
          </w:p>
        </w:tc>
      </w:tr>
    </w:tbl>
    <w:p>
      <w:pPr>
        <w:jc w:val="center"/>
        <w:ind w:right="-1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ind w:right="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right="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240"/>
          </w:cols>
          <w:pgMar w:left="240" w:top="355" w:right="419" w:bottom="1440" w:gutter="0" w:footer="0" w:header="0"/>
        </w:sectPr>
      </w:pPr>
    </w:p>
    <w:p>
      <w:pPr>
        <w:spacing w:after="0" w:line="11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1620" w:space="480"/>
            <w:col w:w="5620" w:space="720"/>
            <w:col w:w="1860" w:space="720"/>
            <w:col w:w="220"/>
          </w:cols>
          <w:pgMar w:left="240" w:top="355" w:right="41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540" w:space="560"/>
            <w:col w:w="160" w:space="40"/>
            <w:col w:w="5420" w:space="720"/>
            <w:col w:w="1980" w:space="600"/>
            <w:col w:w="220"/>
          </w:cols>
          <w:pgMar w:left="240" w:top="355" w:right="419" w:bottom="1440" w:gutter="0" w:footer="0" w:header="0"/>
          <w:type w:val="continuous"/>
        </w:sectPr>
      </w:pPr>
    </w:p>
    <w:p>
      <w:pPr>
        <w:spacing w:after="0" w:line="3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line="17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129" w:lineRule="exact"/>
        <w:rPr>
          <w:sz w:val="24"/>
          <w:szCs w:val="24"/>
          <w:color w:val="auto"/>
        </w:rPr>
      </w:pPr>
    </w:p>
    <w:p>
      <w:pPr>
        <w:sectPr>
          <w:pgSz w:w="11900" w:h="16838" w:orient="portrait"/>
          <w:cols w:equalWidth="0" w:num="4">
            <w:col w:w="8700" w:space="180"/>
            <w:col w:w="520" w:space="180"/>
            <w:col w:w="160" w:space="80"/>
            <w:col w:w="1420"/>
          </w:cols>
          <w:pgMar w:left="240" w:top="355" w:right="41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As of October 24, 2016, there were 38,473,772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505460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55"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Table of Contents</w:t>
            </w:r>
          </w:p>
        </w:tc>
        <w:tc>
          <w:tcPr>
            <w:tcW w:w="9920" w:type="dxa"/>
            <w:vAlign w:val="bottom"/>
            <w:gridSpan w:val="18"/>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c>
          <w:tcPr>
            <w:tcW w:w="80" w:type="dxa"/>
            <w:vAlign w:val="bottom"/>
          </w:tcPr>
          <w:p>
            <w:pPr>
              <w:spacing w:after="0"/>
              <w:rPr>
                <w:sz w:val="14"/>
                <w:szCs w:val="14"/>
                <w:color w:val="auto"/>
              </w:rPr>
            </w:pPr>
          </w:p>
        </w:tc>
      </w:tr>
      <w:tr>
        <w:trPr>
          <w:trHeight w:val="183"/>
        </w:trPr>
        <w:tc>
          <w:tcPr>
            <w:tcW w:w="11020" w:type="dxa"/>
            <w:vAlign w:val="bottom"/>
            <w:gridSpan w:val="21"/>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3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3</w:t>
            </w:r>
          </w:p>
        </w:tc>
      </w:tr>
      <w:tr>
        <w:trPr>
          <w:trHeight w:val="210"/>
        </w:trPr>
        <w:tc>
          <w:tcPr>
            <w:tcW w:w="21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w:t>
              </w:r>
            </w:hyperlink>
          </w:p>
        </w:tc>
        <w:tc>
          <w:tcPr>
            <w:tcW w:w="860" w:type="dxa"/>
            <w:vAlign w:val="bottom"/>
            <w:tcBorders>
              <w:top w:val="single" w:sz="8" w:color="0000EE"/>
            </w:tcBorders>
            <w:gridSpan w:val="5"/>
          </w:tcPr>
          <w:p>
            <w:pPr>
              <w:spacing w:after="0"/>
              <w:rPr>
                <w:sz w:val="18"/>
                <w:szCs w:val="18"/>
                <w:color w:val="auto"/>
              </w:rPr>
            </w:pPr>
          </w:p>
        </w:tc>
        <w:tc>
          <w:tcPr>
            <w:tcW w:w="8040" w:type="dxa"/>
            <w:vAlign w:val="bottom"/>
            <w:gridSpan w:val="8"/>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38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(Unaudited)</w:t>
              </w:r>
            </w:hyperlink>
          </w:p>
        </w:tc>
        <w:tc>
          <w:tcPr>
            <w:tcW w:w="7160" w:type="dxa"/>
            <w:vAlign w:val="bottom"/>
            <w:gridSpan w:val="7"/>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110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(Unaudited)</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10"/>
        </w:trPr>
        <w:tc>
          <w:tcPr>
            <w:tcW w:w="46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w:t>
              </w:r>
            </w:hyperlink>
          </w:p>
        </w:tc>
        <w:tc>
          <w:tcPr>
            <w:tcW w:w="6380" w:type="dxa"/>
            <w:vAlign w:val="bottom"/>
            <w:gridSpan w:val="5"/>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49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6100" w:type="dxa"/>
            <w:vAlign w:val="bottom"/>
            <w:gridSpan w:val="4"/>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11020" w:type="dxa"/>
            <w:vAlign w:val="bottom"/>
            <w:gridSpan w:val="2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2. Management’s Discussion and Analysis of Financial Condition and Results of Operations.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49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8"/>
                <w:szCs w:val="18"/>
                <w:color w:val="auto"/>
              </w:rPr>
            </w:pPr>
          </w:p>
        </w:tc>
        <w:tc>
          <w:tcPr>
            <w:tcW w:w="39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24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4. Controls and Procedures.</w:t>
              </w:r>
            </w:hyperlink>
          </w:p>
        </w:tc>
        <w:tc>
          <w:tcPr>
            <w:tcW w:w="8620" w:type="dxa"/>
            <w:vAlign w:val="bottom"/>
            <w:gridSpan w:val="11"/>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268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PART II—OTHER INFORMATION</w:t>
              </w:r>
            </w:hyperlink>
          </w:p>
        </w:tc>
        <w:tc>
          <w:tcPr>
            <w:tcW w:w="8340" w:type="dxa"/>
            <w:vAlign w:val="bottom"/>
            <w:gridSpan w:val="10"/>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1102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 Legal Proceedings.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1940" w:type="dxa"/>
            <w:vAlign w:val="bottom"/>
            <w:tcBorders>
              <w:top w:val="single" w:sz="8" w:color="0000EE"/>
            </w:tcBorders>
            <w:gridSpan w:val="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1A. Risk Factors.</w:t>
              </w:r>
            </w:hyperlink>
          </w:p>
        </w:tc>
        <w:tc>
          <w:tcPr>
            <w:tcW w:w="9080" w:type="dxa"/>
            <w:vAlign w:val="bottom"/>
            <w:gridSpan w:val="14"/>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10"/>
        </w:trPr>
        <w:tc>
          <w:tcPr>
            <w:tcW w:w="49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Item 2. Unregistered Sales of Equity Securities and Use of Proceeds.</w:t>
              </w:r>
            </w:hyperlink>
          </w:p>
        </w:tc>
        <w:tc>
          <w:tcPr>
            <w:tcW w:w="6060" w:type="dxa"/>
            <w:vAlign w:val="bottom"/>
            <w:gridSpan w:val="3"/>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3.</w:t>
              </w:r>
            </w:hyperlink>
          </w:p>
        </w:tc>
        <w:tc>
          <w:tcPr>
            <w:tcW w:w="2400" w:type="dxa"/>
            <w:vAlign w:val="bottom"/>
            <w:tcBorders>
              <w:bottom w:val="single" w:sz="8" w:color="0000EE"/>
            </w:tcBorders>
            <w:gridSpan w:val="11"/>
          </w:tcPr>
          <w:p>
            <w:pPr>
              <w:ind w:left="20"/>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Defaults Upon Senior Securities.</w:t>
              </w:r>
            </w:hyperlink>
          </w:p>
        </w:tc>
        <w:tc>
          <w:tcPr>
            <w:tcW w:w="8080" w:type="dxa"/>
            <w:vAlign w:val="bottom"/>
            <w:gridSpan w:val="9"/>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4.</w:t>
              </w:r>
            </w:hyperlink>
          </w:p>
        </w:tc>
        <w:tc>
          <w:tcPr>
            <w:tcW w:w="1840" w:type="dxa"/>
            <w:vAlign w:val="bottom"/>
            <w:tcBorders>
              <w:bottom w:val="single" w:sz="8" w:color="0000EE"/>
            </w:tcBorders>
            <w:gridSpan w:val="8"/>
          </w:tcPr>
          <w:p>
            <w:pPr>
              <w:ind w:left="20"/>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Mine Safety Disclosures.</w:t>
              </w:r>
            </w:hyperlink>
          </w:p>
        </w:tc>
        <w:tc>
          <w:tcPr>
            <w:tcW w:w="8640" w:type="dxa"/>
            <w:vAlign w:val="bottom"/>
            <w:gridSpan w:val="12"/>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540" w:type="dxa"/>
            <w:vAlign w:val="bottom"/>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5.</w:t>
              </w:r>
            </w:hyperlink>
          </w:p>
        </w:tc>
        <w:tc>
          <w:tcPr>
            <w:tcW w:w="10480" w:type="dxa"/>
            <w:vAlign w:val="bottom"/>
            <w:gridSpan w:val="20"/>
          </w:tcPr>
          <w:p>
            <w:pPr>
              <w:ind w:left="20"/>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540" w:type="dxa"/>
            <w:vAlign w:val="bottom"/>
            <w:tcBorders>
              <w:top w:val="single" w:sz="8" w:color="0000EE"/>
            </w:tcBorders>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6.</w:t>
              </w:r>
            </w:hyperlink>
          </w:p>
        </w:tc>
        <w:tc>
          <w:tcPr>
            <w:tcW w:w="1380" w:type="dxa"/>
            <w:vAlign w:val="bottom"/>
            <w:tcBorders>
              <w:top w:val="single" w:sz="8" w:color="0000EE"/>
            </w:tcBorders>
            <w:gridSpan w:val="5"/>
          </w:tcPr>
          <w:p>
            <w:pPr>
              <w:ind w:left="20"/>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9100" w:type="dxa"/>
            <w:vAlign w:val="bottom"/>
            <w:gridSpan w:val="15"/>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1200" w:type="dxa"/>
            <w:vAlign w:val="bottom"/>
            <w:tcBorders>
              <w:top w:val="single" w:sz="8" w:color="0000EE"/>
            </w:tcBorders>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9820" w:type="dxa"/>
            <w:vAlign w:val="bottom"/>
            <w:gridSpan w:val="17"/>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3"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28,</w:t>
            </w:r>
          </w:p>
        </w:tc>
        <w:tc>
          <w:tcPr>
            <w:tcW w:w="24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71"/>
        </w:trPr>
        <w:tc>
          <w:tcPr>
            <w:tcW w:w="5080" w:type="dxa"/>
            <w:vAlign w:val="bottom"/>
            <w:tcBorders>
              <w:bottom w:val="single" w:sz="8" w:color="CFF0FC"/>
            </w:tcBorders>
          </w:tcPr>
          <w:p>
            <w:pPr>
              <w:spacing w:after="0"/>
              <w:rPr>
                <w:sz w:val="14"/>
                <w:szCs w:val="14"/>
                <w:color w:val="auto"/>
              </w:rPr>
            </w:pPr>
          </w:p>
        </w:tc>
        <w:tc>
          <w:tcPr>
            <w:tcW w:w="27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2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9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Restricted cash</w:t>
            </w: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Accounts and other receivables, net</w:t>
            </w:r>
          </w:p>
        </w:tc>
        <w:tc>
          <w:tcPr>
            <w:tcW w:w="2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Inventories</w:t>
            </w: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1,834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2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tax assets</w:t>
            </w:r>
          </w:p>
        </w:tc>
        <w:tc>
          <w:tcPr>
            <w:tcW w:w="27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10,032</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assets</w:t>
            </w:r>
          </w:p>
        </w:tc>
        <w:tc>
          <w:tcPr>
            <w:tcW w:w="2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30,441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Property and equipment owned, net</w:t>
            </w: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117,259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Property held under capital leases, net</w:t>
            </w:r>
          </w:p>
        </w:tc>
        <w:tc>
          <w:tcPr>
            <w:tcW w:w="2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Goodwill</w:t>
            </w: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248,674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248,674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Trademarks</w:t>
            </w:r>
          </w:p>
        </w:tc>
        <w:tc>
          <w:tcPr>
            <w:tcW w:w="2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61,888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7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7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467,213</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461,028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2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Current portion of obligations under capital leases</w:t>
            </w:r>
          </w:p>
        </w:tc>
        <w:tc>
          <w:tcPr>
            <w:tcW w:w="29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Accrued salaries and vacation</w:t>
            </w: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9,231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Accrued insurance</w:t>
            </w:r>
          </w:p>
        </w:tc>
        <w:tc>
          <w:tcPr>
            <w:tcW w:w="2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Accrued income taxes payable</w:t>
            </w: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2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Accrued advertising</w:t>
            </w: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 and current liabilities</w:t>
            </w:r>
          </w:p>
        </w:tc>
        <w:tc>
          <w:tcPr>
            <w:tcW w:w="2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13,903</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38,074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39,579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Revolver loan</w:t>
            </w:r>
          </w:p>
        </w:tc>
        <w:tc>
          <w:tcPr>
            <w:tcW w:w="2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107,000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Deferred taxes, net of current portion</w:t>
            </w:r>
          </w:p>
        </w:tc>
        <w:tc>
          <w:tcPr>
            <w:tcW w:w="2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Other intangible liabilities, net</w:t>
            </w: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2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48,039</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27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203,268</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w:t>
            </w:r>
          </w:p>
        </w:tc>
        <w:tc>
          <w:tcPr>
            <w:tcW w:w="2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w w:val="89"/>
              </w:rPr>
              <w:t>Preferred stock, $0.01 par value, 100,000,000 shares authorized; none</w:t>
            </w:r>
          </w:p>
        </w:tc>
        <w:tc>
          <w:tcPr>
            <w:tcW w:w="2960" w:type="dxa"/>
            <w:vAlign w:val="bottom"/>
            <w:gridSpan w:val="2"/>
            <w:shd w:val="clear" w:color="auto" w:fill="CFF0FC"/>
          </w:tcPr>
          <w:p>
            <w:pPr>
              <w:jc w:val="right"/>
              <w:ind w:right="2170"/>
              <w:spacing w:after="0"/>
              <w:rPr>
                <w:sz w:val="20"/>
                <w:szCs w:val="20"/>
                <w:color w:val="auto"/>
              </w:rPr>
            </w:pPr>
            <w:r>
              <w:rPr>
                <w:rFonts w:ascii="Arial" w:cs="Arial" w:eastAsia="Arial" w:hAnsi="Arial"/>
                <w:sz w:val="18"/>
                <w:szCs w:val="18"/>
                <w:color w:val="auto"/>
                <w:w w:val="93"/>
              </w:rPr>
              <w:t>issued or</w:t>
            </w: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w:t>
            </w:r>
          </w:p>
        </w:tc>
        <w:tc>
          <w:tcPr>
            <w:tcW w:w="2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8040" w:type="dxa"/>
            <w:vAlign w:val="bottom"/>
            <w:gridSpan w:val="3"/>
          </w:tcPr>
          <w:p>
            <w:pPr>
              <w:spacing w:after="0"/>
              <w:rPr>
                <w:sz w:val="20"/>
                <w:szCs w:val="20"/>
                <w:color w:val="auto"/>
              </w:rPr>
            </w:pPr>
            <w:r>
              <w:rPr>
                <w:rFonts w:ascii="Arial" w:cs="Arial" w:eastAsia="Arial" w:hAnsi="Arial"/>
                <w:sz w:val="18"/>
                <w:szCs w:val="18"/>
                <w:color w:val="auto"/>
              </w:rPr>
              <w:t>Common stock, $0.01 par value—200,000,000 shares authorized; 38,473,772</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and 38,284,435 shares issued and outstanding</w:t>
            </w: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paid-in-capital</w:t>
            </w:r>
          </w:p>
        </w:tc>
        <w:tc>
          <w:tcPr>
            <w:tcW w:w="2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371,024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369,635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Accumulated deficit</w:t>
            </w: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(107,464)</w:t>
            </w:r>
          </w:p>
        </w:tc>
        <w:tc>
          <w:tcPr>
            <w:tcW w:w="24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(125,385)</w:t>
            </w: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stockholders' equity</w:t>
            </w:r>
          </w:p>
        </w:tc>
        <w:tc>
          <w:tcPr>
            <w:tcW w:w="27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263,945</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244,633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7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467,213</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Thirty-Nine Weeks Ended</w:t>
            </w:r>
          </w:p>
        </w:tc>
      </w:tr>
      <w:tr>
        <w:trPr>
          <w:trHeight w:val="133"/>
        </w:trPr>
        <w:tc>
          <w:tcPr>
            <w:tcW w:w="5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w w:val="89"/>
              </w:rPr>
              <w:t>September 28,</w:t>
            </w: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1"/>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w w:val="89"/>
              </w:rPr>
              <w:t>September 28,</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1"/>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1"/>
                <w:szCs w:val="11"/>
                <w:color w:val="auto"/>
              </w:rPr>
            </w:pPr>
          </w:p>
        </w:tc>
      </w:tr>
      <w:tr>
        <w:trPr>
          <w:trHeight w:val="171"/>
        </w:trPr>
        <w:tc>
          <w:tcPr>
            <w:tcW w:w="566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237"/>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6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Company-operated restaurant revenue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89,738</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82,986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268,984</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251,295</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Franchise revenue</w:t>
            </w:r>
          </w:p>
        </w:tc>
        <w:tc>
          <w:tcPr>
            <w:tcW w:w="6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6,078</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5,884</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18,660</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17,456</w:t>
            </w:r>
          </w:p>
        </w:tc>
        <w:tc>
          <w:tcPr>
            <w:tcW w:w="100" w:type="dxa"/>
            <w:vAlign w:val="bottom"/>
            <w:shd w:val="clear" w:color="auto" w:fill="CFF0FC"/>
          </w:tcPr>
          <w:p>
            <w:pPr>
              <w:spacing w:after="0"/>
              <w:rPr>
                <w:sz w:val="19"/>
                <w:szCs w:val="19"/>
                <w:color w:val="auto"/>
              </w:rPr>
            </w:pPr>
          </w:p>
        </w:tc>
      </w:tr>
      <w:tr>
        <w:trPr>
          <w:trHeight w:val="22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revenue</w:t>
            </w:r>
          </w:p>
        </w:tc>
        <w:tc>
          <w:tcPr>
            <w:tcW w:w="6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95,816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88,870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287,644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268,751</w:t>
            </w:r>
          </w:p>
        </w:tc>
        <w:tc>
          <w:tcPr>
            <w:tcW w:w="100" w:type="dxa"/>
            <w:vAlign w:val="bottom"/>
            <w:tcBorders>
              <w:bottom w:val="single" w:sz="8" w:color="CFF0FC"/>
            </w:tcBorders>
          </w:tcPr>
          <w:p>
            <w:pPr>
              <w:spacing w:after="0"/>
              <w:rPr>
                <w:sz w:val="19"/>
                <w:szCs w:val="19"/>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operations</w:t>
            </w: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Food and paper cost</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26,960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26,371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80,760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80,549</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Labor and related expenses</w:t>
            </w: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73,323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63,493</w:t>
            </w: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Occupancy and other operating expenses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20,071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18,207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58,401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52,732</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Gain on recovery of insurance proceeds, lost profit</w:t>
            </w: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Company restaurant expenses</w:t>
            </w: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70,984</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65,400</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211,982</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196,774</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20,206</w:t>
            </w: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Franchise expenses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9,624</w:t>
            </w: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Expenses related to fire loss</w:t>
            </w: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Loss (gain) on recovery of insurance proceeds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 and closed-store reserves</w:t>
            </w:r>
          </w:p>
        </w:tc>
        <w:tc>
          <w:tcPr>
            <w:tcW w:w="6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r>
      <w:tr>
        <w:trPr>
          <w:trHeight w:val="22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expenses</w:t>
            </w:r>
          </w:p>
        </w:tc>
        <w:tc>
          <w:tcPr>
            <w:tcW w:w="6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86,803</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76,343</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254,969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229,675</w:t>
            </w:r>
          </w:p>
        </w:tc>
        <w:tc>
          <w:tcPr>
            <w:tcW w:w="100" w:type="dxa"/>
            <w:vAlign w:val="bottom"/>
            <w:tcBorders>
              <w:bottom w:val="single" w:sz="8" w:color="CFF0FC"/>
            </w:tcBorders>
          </w:tcPr>
          <w:p>
            <w:pPr>
              <w:spacing w:after="0"/>
              <w:rPr>
                <w:sz w:val="19"/>
                <w:szCs w:val="19"/>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gain on disposition of restaurants</w:t>
            </w: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9,008</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12,527</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32,703</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39,076</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 of interest income</w:t>
            </w: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3,035</w:t>
            </w: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Expenses related to selling shareholders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Income tax receivable agreement expense</w:t>
            </w:r>
          </w:p>
        </w:tc>
        <w:tc>
          <w:tcPr>
            <w:tcW w:w="6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FF0FC"/>
          </w:tcPr>
          <w:p>
            <w:pPr>
              <w:spacing w:after="0"/>
              <w:rPr>
                <w:sz w:val="19"/>
                <w:szCs w:val="19"/>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8,041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11,171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34,969</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6,505</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11,930</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16,281</w:t>
            </w:r>
          </w:p>
        </w:tc>
        <w:tc>
          <w:tcPr>
            <w:tcW w:w="100" w:type="dxa"/>
            <w:vAlign w:val="bottom"/>
            <w:shd w:val="clear" w:color="auto" w:fill="CFF0FC"/>
          </w:tcPr>
          <w:p>
            <w:pPr>
              <w:spacing w:after="0"/>
              <w:rPr>
                <w:sz w:val="19"/>
                <w:szCs w:val="19"/>
                <w:color w:val="auto"/>
              </w:rPr>
            </w:pPr>
          </w:p>
        </w:tc>
      </w:tr>
      <w:tr>
        <w:trPr>
          <w:trHeight w:val="26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income</w:t>
            </w:r>
          </w:p>
        </w:tc>
        <w:tc>
          <w:tcPr>
            <w:tcW w:w="62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5,211</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17,921</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18,688</w:t>
            </w:r>
          </w:p>
        </w:tc>
        <w:tc>
          <w:tcPr>
            <w:tcW w:w="100" w:type="dxa"/>
            <w:vAlign w:val="bottom"/>
            <w:tcBorders>
              <w:bottom w:val="single" w:sz="8" w:color="CFF0FC"/>
            </w:tcBorders>
          </w:tcPr>
          <w:p>
            <w:pPr>
              <w:spacing w:after="0"/>
              <w:rPr>
                <w:sz w:val="22"/>
                <w:szCs w:val="22"/>
                <w:color w:val="auto"/>
              </w:rPr>
            </w:pPr>
          </w:p>
        </w:tc>
      </w:tr>
      <w:tr>
        <w:trPr>
          <w:trHeight w:val="224"/>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per share</w:t>
            </w: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8"/>
                <w:szCs w:val="18"/>
                <w:color w:val="auto"/>
              </w:rPr>
              <w:t>Basic</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r>
      <w:tr>
        <w:trPr>
          <w:trHeight w:val="24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FF0FC"/>
          </w:tcPr>
          <w:p>
            <w:pPr>
              <w:spacing w:after="0"/>
              <w:rPr>
                <w:sz w:val="21"/>
                <w:szCs w:val="21"/>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8"/>
                <w:szCs w:val="18"/>
                <w:b w:val="1"/>
                <w:bCs w:val="1"/>
                <w:color w:val="auto"/>
                <w:w w:val="99"/>
              </w:rPr>
              <w:t>Weighted-average shares used in computing net income per share</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38,415,189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38,275,317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38,331,400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37,837,610</w:t>
            </w: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39,083,577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39,107,241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39,020,127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39,044,388</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8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Thirty-Nine Weeks Ended</w:t>
            </w:r>
          </w:p>
        </w:tc>
      </w:tr>
      <w:tr>
        <w:trPr>
          <w:trHeight w:val="133"/>
        </w:trPr>
        <w:tc>
          <w:tcPr>
            <w:tcW w:w="78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2"/>
          </w:tcPr>
          <w:p>
            <w:pPr>
              <w:jc w:val="right"/>
              <w:ind w:right="640"/>
              <w:spacing w:after="0" w:line="133" w:lineRule="exact"/>
              <w:rPr>
                <w:sz w:val="20"/>
                <w:szCs w:val="20"/>
                <w:color w:val="auto"/>
              </w:rPr>
            </w:pPr>
            <w:r>
              <w:rPr>
                <w:rFonts w:ascii="Arial" w:cs="Arial" w:eastAsia="Arial" w:hAnsi="Arial"/>
                <w:sz w:val="14"/>
                <w:szCs w:val="14"/>
                <w:b w:val="1"/>
                <w:bCs w:val="1"/>
                <w:color w:val="auto"/>
              </w:rPr>
              <w:t>September 28,</w:t>
            </w:r>
          </w:p>
        </w:tc>
        <w:tc>
          <w:tcPr>
            <w:tcW w:w="2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ind w:right="291"/>
              <w:spacing w:after="0" w:line="13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1"/>
                <w:szCs w:val="11"/>
                <w:color w:val="auto"/>
              </w:rPr>
            </w:pPr>
          </w:p>
        </w:tc>
      </w:tr>
      <w:tr>
        <w:trPr>
          <w:trHeight w:val="171"/>
        </w:trPr>
        <w:tc>
          <w:tcPr>
            <w:tcW w:w="78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17,921</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18,688</w:t>
            </w:r>
          </w:p>
        </w:tc>
        <w:tc>
          <w:tcPr>
            <w:tcW w:w="100" w:type="dxa"/>
            <w:vAlign w:val="bottom"/>
          </w:tcPr>
          <w:p>
            <w:pPr>
              <w:spacing w:after="0"/>
              <w:rPr>
                <w:sz w:val="19"/>
                <w:szCs w:val="19"/>
                <w:color w:val="auto"/>
              </w:rPr>
            </w:pPr>
          </w:p>
        </w:tc>
      </w:tr>
      <w:tr>
        <w:trPr>
          <w:trHeight w:val="215"/>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flows provided by operating</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11,796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9,624</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Fire insurance proceeds for expenses paid and lost profit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Income tax receivable agreement expense</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Gain on sale of restaurant</w:t>
            </w:r>
          </w:p>
        </w:tc>
        <w:tc>
          <w:tcPr>
            <w:tcW w:w="2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Loss on disposal of assets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Gain on recovery of insurance proceeds for property, equipment and expenses</w:t>
            </w:r>
          </w:p>
        </w:tc>
        <w:tc>
          <w:tcPr>
            <w:tcW w:w="2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(741)</w:t>
            </w:r>
          </w:p>
        </w:tc>
        <w:tc>
          <w:tcPr>
            <w:tcW w:w="2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Gain on recovery of insurance proceeds for lost profits</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Impairment of property and equipment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Closed-store reserve</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favorable and unfavorable leases, net</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Excess income tax benefit related to share-based compensation plans</w:t>
            </w:r>
          </w:p>
        </w:tc>
        <w:tc>
          <w:tcPr>
            <w:tcW w:w="2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(5,700)</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 net</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10,581</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and other receivables, net</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(2,066)</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(292)</w:t>
            </w: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(770)</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5,670</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(6,269)</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salaries and vacation</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w:t>
            </w: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Accrued insurance</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accrued expenses and liabilities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(279)</w:t>
            </w:r>
          </w:p>
        </w:tc>
      </w:tr>
      <w:tr>
        <w:trPr>
          <w:trHeight w:val="223"/>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flows provided by operating activities</w:t>
            </w: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39,670</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43,421</w:t>
            </w:r>
          </w:p>
        </w:tc>
        <w:tc>
          <w:tcPr>
            <w:tcW w:w="100" w:type="dxa"/>
            <w:vAlign w:val="bottom"/>
            <w:tcBorders>
              <w:bottom w:val="single" w:sz="8" w:color="CFF0FC"/>
            </w:tcBorders>
          </w:tcPr>
          <w:p>
            <w:pPr>
              <w:spacing w:after="0"/>
              <w:rPr>
                <w:sz w:val="19"/>
                <w:szCs w:val="19"/>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Proceeds from sale of restaurant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Fire insurance proceeds for property and equipment</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(26,465)</w:t>
            </w:r>
          </w:p>
        </w:tc>
        <w:tc>
          <w:tcPr>
            <w:tcW w:w="2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(16,512)</w:t>
            </w:r>
          </w:p>
        </w:tc>
      </w:tr>
      <w:tr>
        <w:trPr>
          <w:trHeight w:val="22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flows used in investing activities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(24,257)</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Payments on revolver loan</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(16,000)</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(40,000)</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Proceeds from issuance of common stock, net of expenses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4,254</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Payment of obligations under capital leases</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w:t>
            </w:r>
          </w:p>
        </w:tc>
      </w:tr>
      <w:tr>
        <w:trPr>
          <w:trHeight w:val="230"/>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Excess income tax benefit related to share-based compensation plans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Borders>
              <w:bottom w:val="single" w:sz="8" w:color="CFF0FC"/>
            </w:tcBorders>
          </w:tcPr>
          <w:p>
            <w:pPr>
              <w:spacing w:after="0"/>
              <w:rPr>
                <w:sz w:val="19"/>
                <w:szCs w:val="19"/>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used in financing activities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(30,201)</w:t>
            </w:r>
          </w:p>
        </w:tc>
        <w:tc>
          <w:tcPr>
            <w:tcW w:w="100" w:type="dxa"/>
            <w:vAlign w:val="bottom"/>
            <w:shd w:val="clear" w:color="auto" w:fill="CFF0FC"/>
          </w:tcPr>
          <w:p>
            <w:pPr>
              <w:spacing w:after="0"/>
              <w:rPr>
                <w:sz w:val="19"/>
                <w:szCs w:val="19"/>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(3,292)</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beginning of period</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11,499</w:t>
            </w:r>
          </w:p>
        </w:tc>
        <w:tc>
          <w:tcPr>
            <w:tcW w:w="100" w:type="dxa"/>
            <w:vAlign w:val="bottom"/>
            <w:shd w:val="clear" w:color="auto" w:fill="CFF0FC"/>
          </w:tcPr>
          <w:p>
            <w:pPr>
              <w:spacing w:after="0"/>
              <w:rPr>
                <w:sz w:val="19"/>
                <w:szCs w:val="19"/>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6,529</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8,207</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80" w:type="dxa"/>
            <w:vAlign w:val="bottom"/>
            <w:gridSpan w:val="5"/>
          </w:tcPr>
          <w:p>
            <w:pPr>
              <w:ind w:left="72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3"/>
        </w:trPr>
        <w:tc>
          <w:tcPr>
            <w:tcW w:w="78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22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2"/>
          </w:tcPr>
          <w:p>
            <w:pPr>
              <w:ind w:left="140"/>
              <w:spacing w:after="0" w:line="133" w:lineRule="exact"/>
              <w:rPr>
                <w:sz w:val="20"/>
                <w:szCs w:val="20"/>
                <w:color w:val="auto"/>
              </w:rPr>
            </w:pPr>
            <w:r>
              <w:rPr>
                <w:rFonts w:ascii="Arial" w:cs="Arial" w:eastAsia="Arial" w:hAnsi="Arial"/>
                <w:sz w:val="14"/>
                <w:szCs w:val="14"/>
                <w:b w:val="1"/>
                <w:bCs w:val="1"/>
                <w:color w:val="auto"/>
              </w:rPr>
              <w:t>September 28,</w:t>
            </w:r>
          </w:p>
        </w:tc>
        <w:tc>
          <w:tcPr>
            <w:tcW w:w="2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ind w:right="296"/>
              <w:spacing w:after="0" w:line="13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820" w:type="dxa"/>
            <w:vAlign w:val="bottom"/>
            <w:tcBorders>
              <w:bottom w:val="single" w:sz="8" w:color="CFF0FC"/>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during the period for interest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Cash paid during the period for income taxes</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Unpaid purchases of property and equipment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4,599</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Cashless stock option exercise</w:t>
            </w:r>
          </w:p>
        </w:tc>
        <w:tc>
          <w:tcPr>
            <w:tcW w:w="2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ind w:right="376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Overview</w:t>
      </w:r>
    </w:p>
    <w:p>
      <w:pPr>
        <w:ind w:right="100"/>
        <w:spacing w:after="0" w:line="279" w:lineRule="auto"/>
        <w:rPr>
          <w:sz w:val="20"/>
          <w:szCs w:val="20"/>
          <w:color w:val="auto"/>
        </w:rPr>
      </w:pPr>
      <w:r>
        <w:rPr>
          <w:rFonts w:ascii="Arial" w:cs="Arial" w:eastAsia="Arial" w:hAnsi="Arial"/>
          <w:sz w:val="17"/>
          <w:szCs w:val="17"/>
          <w:color w:val="auto"/>
        </w:rPr>
        <w:t>El Pollo Loco Holdings, Inc. (“Holdings”) is a Delaware corporation headquartered in Costa Mesa, California. Holdings and its direct and indirect subsidiaries are collectively known as “we,” “us” or the “Company.” Our activities are conducted principally through our indirect wholly-owned subsidiary, El Pollo Loco, Inc. (“EPL”), which develops, franchises, licenses, and operates quick-service restaurants under the name El Pollo Loco® and operates under one operating segment. At September 28, 2016, we operated 193 and franchised 253 El Pollo Loco restaurants.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presentation of its financial position and results of operations and cash flows for the periods presented. Interim results of operations are not necessarily indicative of the results that may be achieved for the full year. The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30, 2015.</w:t>
      </w:r>
    </w:p>
    <w:p>
      <w:pPr>
        <w:spacing w:after="0" w:line="16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2015 and 2016 are both 52-week years, ending on December 30, 2015 and December 28, 2016, respectively. Revenues, expenses, and other financial and operational figures may be elevated in a 53-week year.</w:t>
      </w:r>
    </w:p>
    <w:p>
      <w:pPr>
        <w:spacing w:after="0" w:line="15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Holdings has no material assets or operations. Holdings and Holdings’ direct subsidiary, EPL Intermediate, Inc. (“Intermediate”), guarantee EPL’s 2014 Revolver (see Note 4)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 million per year to repurchase or redeem qualified equity interests of Holdings held by past or present officers, directors, or employees (or their estates) of the Company upon death, disability, or termination of employment, (ii) pay under its income tax receivable agreement (the “TRA”), and, (iii) so long as no default or event of default has occurred and is continuing, (a) 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Holdings and its wholly owned subsidiaries. All intercompany balances and transactions have been eliminated in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 reported. Actual results could materially differ from those estimates. The Company’s significant estimates include estimates for impairment of goodwill, intangible assets and property and equipment, insurance reserves, lease termination liabilities, closed store reserves, stock-based compensation, income tax receivable agreement liability, and income tax valuation allowances.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highly-liquid instruments with a maturity of three months or less at the date of purchase to be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restricted cash represents cash collateral to one commercial bank for Company credit cards.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Company’s principal liquidity requirements are to service our debt and to meet capital expenditure needs. At September 28, 2016, the Company’s total debt (including capital lease liabilities) was $107.5 million. The Company’s ability to make payments on its indebtedness and to fund planned capital expenditures depends on available cash and on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$6.5 million at September 28, 2016, and available borrowings under the 2014 Revolver (which availability was approximately $85.8 million at September 28, 2016) will be adequate to meet the Company’s liquidity needs for the next 12 months.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Recovery of Insurance Proceeds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November 2015, one of the Company’s restaurants incurred damage resulting from a fire. During the thirty-nine weeks ended September 28, 2016, we incurred costs directly related to the fire of $48,000, disposed of an additional $87,000 of assets and recognized gains of $741,000, related to the reimbursement of property and equipment and expenses incurred and $502,000 related to the reimbursement of lost profits. The reimbursement of lost profits is included in the accompanying consolidated statement of operations, for the thirteen and thirty-nine weeks ended September 28, 2016, as a reduction of Company restaurant expenses. The Company received from the insurance company cash of $1,000,000 during the thirty-nine weeks ended September 28, 2016 and $354,000, net of a $10,000 insurance deductible, on October 5, 2016. The $354,000 is included in accounts and other receivables in the condensed consolidated balance sheet as of September 28, 2016. In 2015, the Company disposed of $111,000 of assets related to the fire. The restaurant was reopened for business on March 14, 2016.</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right="380"/>
        <w:spacing w:after="0" w:line="279" w:lineRule="auto"/>
        <w:rPr>
          <w:sz w:val="20"/>
          <w:szCs w:val="20"/>
          <w:color w:val="auto"/>
        </w:rPr>
      </w:pPr>
      <w:r>
        <w:rPr>
          <w:rFonts w:ascii="Arial" w:cs="Arial" w:eastAsia="Arial" w:hAnsi="Arial"/>
          <w:sz w:val="17"/>
          <w:szCs w:val="17"/>
          <w:color w:val="auto"/>
        </w:rPr>
        <w:t>In August 2016, the FASB issued ASU 2016-15, Classification of Certain Cash Receipts and Cash Payments. ASU 2016-15 addresses how certain cash receipts and cash payments are presented and classified in the statement of cash flows under Topic 230, Statement of Cash Flow, and other Topics. ASU 2016-15 is effective for financial statements issued for annual periods beginning after December 15, 2017, including interim periods within those annual periods. The Company is currently assessing the impact of this ASU on our consolidated financial statements.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2016, the FASB issued ASU No. 2016-12, Revenue from Contracts with Customers (Topic 606) – Narrow-Scope Improvements and Practical Expedients. This ASU is intended to clarify two aspects of Topic 606: first, assessing the collectability criterion, options for the presentation of sales and similar taxes, noncash consideration, transition contract modifications, transition contract completion and secondly, technical corrections. The amendments in this update are effective for financial statements issued for annual periods beginning after December 15, 2017, including interim periods within those annual periods, and early application is permitted, but no earlier than fiscal years beginning after December 16, 2016. The Company is currently assessing the impact of this ASU on our consolidated financial statements.</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April 2016, the FASB issued ASU No. 2016-10, Revenue from Contracts with Customers (Topic 606) – Identifying Performance Obligations and Licensing. This ASU is intended to clarify two aspects of Topic 606: identifying performance obligations and licensing implementation guidance. The amendments in this update are effective for financial statements issued for annual periods beginning after December 15, 2017, including interim periods within those annual periods, and early application is permitted, but no earlier than fiscal years beginning after December 16, 2016. The Company is currently assessing the impact of this ASU on our consolidated financial statements.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(“ASU 2016-09”), which is intended to simplify several aspects of the accounting for share-based payment transactions, including the income tax consequences, classification of awards as either equity or liabilities, and classification on the statement of cash flows. ASU 2016-09 is effective for annual periods beginning after December 15, 2016, and interim periods therein. Early application is permitted. The Company is currently assessing the impact of this ASU on our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8" w:name="page9"/>
    <w:bookmarkEnd w:id="8"/>
    <w:p>
      <w:pPr>
        <w:ind w:right="20"/>
        <w:spacing w:after="0" w:line="293" w:lineRule="auto"/>
        <w:rPr>
          <w:sz w:val="20"/>
          <w:szCs w:val="20"/>
          <w:color w:val="auto"/>
        </w:rPr>
      </w:pPr>
      <w:r>
        <w:rPr>
          <w:rFonts w:ascii="Arial" w:cs="Arial" w:eastAsia="Arial" w:hAnsi="Arial"/>
          <w:sz w:val="16"/>
          <w:szCs w:val="16"/>
          <w:color w:val="auto"/>
        </w:rPr>
        <w:t>In February 2016, the FASB issued ASU 2016-02, “Leases.”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Early adoption is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currently assessing the impact of this ASU on our consolidated financial statements.</w:t>
      </w:r>
    </w:p>
    <w:p>
      <w:pPr>
        <w:spacing w:after="0" w:line="16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January 2016, the FASB issued ASU 2016-01, "Financial Instruments – Overall: Recognition and Measurement of Financial Assets and Financial Liabilities." The pronouncement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These changes become effective for the Company's fiscal year beginning December 28, 2017 and interim periods within that fiscal year. The Company is currently assessing the impact of this ASU on our consolidated financial statements.</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November 2015, the FASB issued ASU No. 2015-17, “Income Taxes” which requires that deferred tax liabilities and assets be classified as noncurrent in a classified balance sheet. Prior to the issuance of the standard, deferred tax liabilities and assets were required to be separately classified into a current amount and a noncurrent amount in the balance sheet. The new accounting guidance represents a change in accounting principle and the standard is required to be adopted in annual periods beginning after December 15, 2016. After the adoption of this ASU all deferred tax assets and liabilities will be classified as noncurrent on the consolidated balance sheet.</w:t>
      </w:r>
    </w:p>
    <w:p>
      <w:pPr>
        <w:spacing w:after="0" w:line="18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July 2015, the FASB issued ASU No. 2015-11, “Inventory (Topic 330).” The pronouncement was issued to simplify the measurement of inventory and changes the measurement from lower of cost or market to lower of cost and net realizable value. This pronouncement is effective for reporting periods beginning after December 15, 2016. The adoption of ASU 2015-11 is not expected to have a significant impact on the Company’s consolidated financial position or results of operations.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(ASU 2014-09)”, which supersedes nearly all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five-step process to achieve this core principle and, in doing so, more judgment and estimates may be required within the revenue recognition process than are required under existing GAAP.</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revised revenue standard is effective for public entities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The Company is currently assessing the impact of this ASU on our consolidated financial statements.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August 2014, the FASB issued ASU No. 2014-15, Going Concern (“ASU 2014-15”). ASU 2014-15 provides GAAP guidance on management’s responsibility in evaluating whether there is substantial doubt about a company’s ability to continue as a going concern and about related footnote disclosures. For each reporting period, management will be required to evaluate whether there are conditions or events that raise substantial doubt about a company’s ability to continue as a going concern within one year from the date the financial statements are issued. The standard will be effective for annual periods ending after December 15, 2016, and interim periods within annual periods beginning after December 15, 2016. Early application is permitted for annual or interim reporting periods for which the financial statements have not previously been issued. Upon adoption the Company will use the guidance in ASU 2014-15 to assess going concern.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Subsequent to September 28, 2016, the Company opened 4 new restaurants and made a $3.0 million pre-payment on the 2014 Revolver. On October 3, 2016, the Company announced a two unit franchise development agreement with Listo Way Group LLC to develop El Pollo Loco restaurants in Lafayette, Louisiana. On October 5, 2016, the Company received $354,000 in insurance proceeds related to damage resulting from a fire at one of the Company’s restaurants. On November 1, 2016, the Company amended the letters of credit related to the 2014 Revolver, thereby increasing the outstanding amount to $8.0 million.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ind w:right="460"/>
        <w:spacing w:after="0" w:line="308" w:lineRule="auto"/>
        <w:rPr>
          <w:sz w:val="20"/>
          <w:szCs w:val="20"/>
          <w:color w:val="auto"/>
        </w:rPr>
      </w:pPr>
      <w:r>
        <w:rPr>
          <w:rFonts w:ascii="Arial" w:cs="Arial" w:eastAsia="Arial" w:hAnsi="Arial"/>
          <w:sz w:val="17"/>
          <w:szCs w:val="17"/>
          <w:color w:val="auto"/>
        </w:rPr>
        <w:t>The Company evaluated subsequent events that have occurred after September 28, 2016, and determined that there were no other events or transactions occurring during this reporting period that require recognition or disclosure in the condensed consolidated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Cash and cash equivalents are maintained at financial institutions and, at times, balances may exceed federally-insured limits. The Company has never experienced any losses related to these balances.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had no suppliers for which amounts due at September 28, 2016 totaled greater than 10% of the Company’s accounts payable. As of December 30, 2015, the Company had two different suppliers for which amounts totaled 12% and 11% of the Company’s accounts payable. Purchases from the Company’s largest supplier totaled 33% for the thirteen weeks ended September 28, 2016, and 37% for the thirteen weeks ended September 30, 2015, of the Company’s purchases. Purchases from the Company’s largest supplier totaled 33% for the thirty-nine weeks ended September 28, 2016, and 37% for the thirty-nine weeks ended September 30, 2015, of the Company’s purchases. Company-operated and franchised restaurants in the greater Los Angeles area generated, in the aggregate, approximately 75% and 79% of total revenue for both the thirteen and thirty-nine weeks ended September 28, 2016 and September 30, 2015,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 Lived Intangible Assets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indefinite lived intangible assets consist of trademarks. Goodwill represents the excess of cost over fair value of net identified assets acquired in business combinations accounted for under the purchase method. The Company does not amortize its goodwill and indefinite lived intangible assets. Goodwill resulted from historical acquisitions.</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Upon the sale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Company performs annual impairment tests for goodwill during the fourth fiscal quarter of each year, or more frequently if impairment indicators arise.</w:t>
      </w:r>
    </w:p>
    <w:p>
      <w:pPr>
        <w:spacing w:after="0" w:line="2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reviews goodwill for impairment utilizing either a qualitative assessment or a two-step process. If the Company decides that it is appropriate to perform a qualitative assessment and concludes that the fair value of a reporting unit more likely than not exceeds its carrying value, no further evaluation is necessary. If the Company performs the two-step process, the first step of the goodwill impairment test is used to identify potential impairment by comparing the fair value of a reporting unit with its carrying amount, including goodwill. If the fair value of a reporting unit exceeds its carrying amount, goodwill of the reporting unit is considered not impaired and the second step of the impairment test is unnecessary. If the carrying amount of a reporting unit exceeds its fair value, the second step is performed to measure the amount of impairment by comparing the carrying amount of the goodwill to a determination of the implied value of the goodwill. If the carrying amount of goodwill is greater than the implied value, an impairment charge is recognized for the difference.</w:t>
      </w:r>
    </w:p>
    <w:p>
      <w:pPr>
        <w:spacing w:after="0" w:line="16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Company performs annual impairment tests for indefinite 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166"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did not identify any indicators of potential impairment during the thirteen and thirty-nine weeks ended September 28, 2016, and therefore did not perform any impairment review, nor did the Company record any impairment.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reviews its long-lived assets for impairment on a restaurant-by-restaurant basis whenever events or changes in circumstances indicate that the carrying value of certain assets may not be recoverable. If the Company concludes that the carrying value of certain assets will not be recovered based on expected undiscounted future cash flows, an impairment write-down is recorded to reduce the assets to their estimated fair value. The fair value is measured on a nonrecurring basis using unobservable (Level 3)</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0" w:name="page11"/>
    <w:bookmarkEnd w:id="10"/>
    <w:p>
      <w:pPr>
        <w:ind w:right="100"/>
        <w:spacing w:after="0" w:line="286" w:lineRule="auto"/>
        <w:rPr>
          <w:sz w:val="20"/>
          <w:szCs w:val="20"/>
          <w:color w:val="auto"/>
        </w:rPr>
      </w:pPr>
      <w:r>
        <w:rPr>
          <w:rFonts w:ascii="Arial" w:cs="Arial" w:eastAsia="Arial" w:hAnsi="Arial"/>
          <w:sz w:val="17"/>
          <w:szCs w:val="17"/>
          <w:color w:val="auto"/>
        </w:rPr>
        <w:t>inputs. Based on the results of the analysis, the Company recorded a non-cash impairment charge of $2.4 million for the thirteen and thirty-nine weeks ended September 28, 2016, related to non-recoverable assets of two restaurants in Arizona and Texas. The Company continues to monitor the recoverability of the carrying value of the assets of several other restaurants, including new restaurants opened in 2015 in Texas.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to reserve the portion of deferred tax assets which are not expect to be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filing positions for all open tax years in all U.S. federal and state jurisdictions where the Company is required to file.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our results of operations, financial position, and cash flows.</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The Company had no accrual for interest or penalties at September 28, 2016 or at December 30, 2015, and did not recognize interest or penalties during the thirteen or thirty-nine weeks ended September 28, 2016 or September 30, 2015, since there were no material unrecognized tax benefits. Management believes no material changes to the amount of unrecognized tax benefits will occur within the next twelve months.</w:t>
      </w:r>
    </w:p>
    <w:p>
      <w:pPr>
        <w:spacing w:after="0" w:line="18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July 30, 2014, the Company entered into the TRA. The TRA calls for the Company to pay to its pre-IPO stockholders 85% of the savings in cash that the Company realizes in its taxes as a result of utilizing its net operating losses and other tax attributes attributable to preceding periods.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costs and related accumulated depreciation and amortization of major classes of property are as follows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28,</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30,</w:t>
            </w:r>
          </w:p>
        </w:tc>
      </w:tr>
      <w:tr>
        <w:trPr>
          <w:trHeight w:val="171"/>
        </w:trPr>
        <w:tc>
          <w:tcPr>
            <w:tcW w:w="54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12,323</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121,875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111,349</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 property and equipment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64,065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58,525</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211,066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186,914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(93,807)</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(84,493)</w:t>
            </w:r>
          </w:p>
        </w:tc>
      </w:tr>
      <w:tr>
        <w:trPr>
          <w:trHeight w:val="223"/>
        </w:trPr>
        <w:tc>
          <w:tcPr>
            <w:tcW w:w="54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117,259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102,421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Depreciation expense was $4.1 million and $3.3 million for the thirteen weeks ended September 28, 2016 and September 30, 2015, respectively, and $11.8 million and $9.6 million for the thirty-nine weeks ended September 28, 2016 and September 30, 2015, respectively. The gross value of assets under capital leases for buildings and improvements was $1.6 million at September 28, 2016 and December 30, 2015. Accumulated depreciation for assets under capital leases was $1.5 million as of September 28, 2016 and December 30, 2015. For the thirteen weeks ended September 28, 2016, capital expenditures totaled $12.1 million, including $0.1 million for restaurant remodeling and $10.8 million for new restaurant expenditures. For the thirty-nine weeks ended September 28, 2016, capital expenditures totaled $26.5 million, including $1.6 million for restaurant remodeling and $20.8 million for new restaurant expenditures. Capital expenditures for the quarter and year-to-date periods exclude unpaid purchases of property and equipment.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 STOCK-BASED COMPENSATION</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September 28, 2016, options to purchase 2,174,348 shares of common stock were outstanding, including 1,648,322 vested and 526,026 unvested. Unvested options vest over time, or upon our achieving annual financial goals. However, upon a change in control, the board may accelerate vesting. At September 28, 2016, 1,605,831 premium options remained outstanding. For the thirteen and thirty-nine weeks ended September 28, 2016, there were exercises of stock options for 32,386 and 147,726 shares, respectively. For the thirteen and thirty-nine weeks ended September 30, 2015, there were exercises of stock options for 18,340 and 863,247 shares, respectively. For the thirteen and thirty-nine weeks ended September 28, 2016, options were granted at the fair market value on the date of grant of 9,875 and 329,673, respectively. No options were granted in the thirteen and thirty-nine weeks ended September 30,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At September 28, 2016, there were 36,752 unvested restricted shares outstanding. Restricted shares vest over time.</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September 28, 2016, we had total unrecognized compensation expense of $1.8 million, related to unvested stock options and restricted shares, which we expect to recognize over a weighted-average period of 3.0 years.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Total stock-based compensation expense was $105,000 and $244,000 for the thirteen and thirty-nine weeks ended September 28, 2016 and $165,000 and $608,000 for the thirteen and thirty-nine weeks ended September 30, 2015,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CREDIT AGREEMENTS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December 11, 2014, the Company refinanced its debt, with EPL, Intermediate, and Holdings entering into a credit agreement with Bank of America, N.A., as administrative agent, swingline lender, and letter of credit issuer, the lenders party thereto, and the other parties thereto, which provides for a $200 million five-year senior secured revolving facility (the “2014 Revolver”). The 2014 Revolver includes a sub limit of $15 million for letters of credit and a sub limit of $15 million for swingline loans. At September 28, 2016, $7.2 million of letters of credit and $107 million of the revolving line of credit were outstanding. The amount available under the revolving line of credit was $85.8 million at September 28, 2016. The 2014 Revolver will mature on or about December 11, 2019.</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margin was initially set at 2.00% for LIBOR loans and at 1.00% for base rate loans until the delivery of financial statements and a compliance certificate for the first quarter of 2015. The interest rate range was 2.20% to 2.27% and 2.02% to 2.27% for the thirteen and thirty-nine weeks ended September 28, 2016, respectively.</w:t>
      </w:r>
    </w:p>
    <w:p>
      <w:pPr>
        <w:spacing w:after="0" w:line="17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The Company was in compliance with all such covenants at September 28, 2016. See Note 1 for restrictions on the payment of dividends under the 2014 Revolver.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There are no required principal payments prior to maturity for the 2014 Revolver. During the thirty-nine weeks ended September 28, 2016, the Company elected to pay down $16.0 million of outstanding borrowing on our 2014 Revolver, primarily from our cash flow from operations.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OTHER ACCRUED EXPENSES AND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September 28,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4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sales and property taxes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Income tax receivable agreement payable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4,197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Gift card liability</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accrued expenses and current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13,903</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16,126</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OTHER NONCURRENT LIABILITIES</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7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80" w:type="dxa"/>
            <w:vAlign w:val="bottom"/>
            <w:gridSpan w:val="2"/>
          </w:tcPr>
          <w:p>
            <w:pPr>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September 28,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4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7,765</w:t>
            </w:r>
          </w:p>
        </w:tc>
        <w:tc>
          <w:tcPr>
            <w:tcW w:w="200" w:type="dxa"/>
            <w:vAlign w:val="bottom"/>
            <w:gridSpan w:val="2"/>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Income tax receivable agreement payable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37,753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gridSpan w:val="2"/>
          </w:tcPr>
          <w:p>
            <w:pPr>
              <w:ind w:left="1720"/>
              <w:spacing w:after="0"/>
              <w:rPr>
                <w:sz w:val="20"/>
                <w:szCs w:val="20"/>
                <w:color w:val="auto"/>
              </w:rPr>
            </w:pPr>
            <w:r>
              <w:rPr>
                <w:rFonts w:ascii="Arial" w:cs="Arial" w:eastAsia="Arial" w:hAnsi="Arial"/>
                <w:sz w:val="18"/>
                <w:szCs w:val="18"/>
                <w:color w:val="auto"/>
              </w:rPr>
              <w:t>Total other noncurrent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48,039</w:t>
            </w:r>
          </w:p>
        </w:tc>
        <w:tc>
          <w:tcPr>
            <w:tcW w:w="20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43,367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right="776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ind w:right="20"/>
        <w:spacing w:after="0" w:line="272" w:lineRule="auto"/>
        <w:rPr>
          <w:sz w:val="20"/>
          <w:szCs w:val="20"/>
          <w:color w:val="auto"/>
        </w:rPr>
      </w:pPr>
      <w:r>
        <w:rPr>
          <w:rFonts w:ascii="Arial" w:cs="Arial" w:eastAsia="Arial" w:hAnsi="Arial"/>
          <w:sz w:val="17"/>
          <w:szCs w:val="17"/>
          <w:color w:val="auto"/>
        </w:rPr>
        <w:t>On or about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parties have executed a Stipulation of Class Settlement and Release which has been submitted for court approval. Purported class actions alleging wage and hour violations are commonly filed against California employers, and we fully expect to have to defend against similar lawsuits in the future.</w:t>
      </w:r>
    </w:p>
    <w:p>
      <w:pPr>
        <w:spacing w:after="0" w:line="178" w:lineRule="exact"/>
        <w:rPr>
          <w:sz w:val="20"/>
          <w:szCs w:val="20"/>
          <w:color w:val="auto"/>
        </w:rPr>
      </w:pPr>
    </w:p>
    <w:p>
      <w:pPr>
        <w:spacing w:after="0" w:line="267" w:lineRule="auto"/>
        <w:rPr>
          <w:sz w:val="20"/>
          <w:szCs w:val="20"/>
          <w:color w:val="auto"/>
        </w:rPr>
      </w:pPr>
      <w:r>
        <w:rPr>
          <w:rFonts w:ascii="Arial" w:cs="Arial" w:eastAsia="Arial" w:hAnsi="Arial"/>
          <w:sz w:val="17"/>
          <w:szCs w:val="17"/>
          <w:u w:val="single" w:color="auto"/>
          <w:color w:val="auto"/>
        </w:rPr>
        <w:t>Daniel Turocy, et al. v. El Pollo Loco Holdings, Inc., et al.</w:t>
      </w:r>
      <w:r>
        <w:rPr>
          <w:rFonts w:ascii="Arial" w:cs="Arial" w:eastAsia="Arial" w:hAnsi="Arial"/>
          <w:sz w:val="17"/>
          <w:szCs w:val="17"/>
          <w:color w:val="auto"/>
        </w:rPr>
        <w:t xml:space="preserve"> (Case No. 8:15-cv-01343) was filed in the United States District Court for the Central District of California on August 24, 2015, and </w:t>
      </w:r>
      <w:r>
        <w:rPr>
          <w:rFonts w:ascii="Arial" w:cs="Arial" w:eastAsia="Arial" w:hAnsi="Arial"/>
          <w:sz w:val="17"/>
          <w:szCs w:val="17"/>
          <w:u w:val="single" w:color="auto"/>
          <w:color w:val="auto"/>
        </w:rPr>
        <w:t>Ron Huston, et al. v. El Pollo Loco Holdings, Inc., et al.</w:t>
      </w:r>
      <w:r>
        <w:rPr>
          <w:rFonts w:ascii="Arial" w:cs="Arial" w:eastAsia="Arial" w:hAnsi="Arial"/>
          <w:sz w:val="17"/>
          <w:szCs w:val="17"/>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our menu, which resulted in a decrease in value-conscious store traffic.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 On July 25, 2016, the Court issued an order granting, without prejudice, Holdings’ Motion to Dismiss plaintiff’s complaint for failure to state a claim. Plaintiffs were granted leave to amend their complaint, and filed an amended complaint on August 22, 2016. Defendants intend to vigorously defend against the claims asserted.</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ind w:right="260"/>
        <w:spacing w:after="0" w:line="264" w:lineRule="auto"/>
        <w:rPr>
          <w:sz w:val="20"/>
          <w:szCs w:val="20"/>
          <w:color w:val="auto"/>
        </w:rPr>
      </w:pPr>
      <w:r>
        <w:rPr>
          <w:rFonts w:ascii="Arial" w:cs="Arial" w:eastAsia="Arial" w:hAnsi="Arial"/>
          <w:sz w:val="18"/>
          <w:szCs w:val="18"/>
          <w:color w:val="auto"/>
        </w:rPr>
        <w:t>In addition, on September 16, 2015, Holdings and certain of its officers and directors received an informal, non-public inquiry from the SEC requesting voluntary production of documents and information. All parties cooperated fully with the SEC's request. On July 15, 2016, Holdings was informed that the SEC was closing its inquiry as to all parties.</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On or about November 5, 2015, a purported Holdings shareholder filed a derivative complaint on behalf of Holdings in the Court of Chancery of the State of Delaware against certain Holdings officers, directors and Trimaran Pollo Partners, L.L.C.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8"/>
          <w:szCs w:val="18"/>
          <w:u w:val="single" w:color="auto"/>
          <w:color w:val="auto"/>
        </w:rPr>
        <w:t>Turocy v. El Pollo Loco Holdings, Inc., discussed above. A second purported Holdings shareholder filed a derivative complaint on or</w:t>
      </w:r>
      <w:r>
        <w:rPr>
          <w:rFonts w:ascii="Arial" w:cs="Arial" w:eastAsia="Arial" w:hAnsi="Arial"/>
          <w:sz w:val="18"/>
          <w:szCs w:val="18"/>
          <w:color w:val="auto"/>
        </w:rPr>
        <w:t xml:space="preserve"> </w:t>
      </w:r>
      <w:r>
        <w:rPr>
          <w:rFonts w:ascii="Arial" w:cs="Arial" w:eastAsia="Arial" w:hAnsi="Arial"/>
          <w:sz w:val="18"/>
          <w:szCs w:val="18"/>
          <w:u w:val="single" w:color="auto"/>
          <w:color w:val="auto"/>
        </w:rPr>
        <w:t>about September 23, 2016, allegedly on behalf of Holdings in the same venue naming the same defendants with substantially the same allegations arising from the same set of facts.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also involved in various other claims and legal actions that arise in the ordinary course of business. We do not believe that the ultimate resolution of these other actions will have a material adverse effect on our financial position, results of operations, liquidity, or capital resources. A significant increase in the number of claims, or an increase in amounts owing under successful claims, could materially and adversely affect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Commitments</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into 2017 with an estimated Company obligation totaling $9.7 million as of September 28,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September 28, 2016, the Company’s total estimated commitment to purchase chicken was $13.4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Lease Obligations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a result of assigning the Company’s interest in obligations under real estate leases in connection with the sale of company-operated restaurants to some of the Company’s franchisees, the Company is contingently liable on five lease agreements. These leases have various terms, the latest of which expires in 2036. As of September 28, 2016, the potential amount of undiscounted payments the Company could be required to make in the event of non-payment by the primary lessee was $3.3 million. The present value of these potential payments discounted at the Company’s estimated pre-tax cost of debt at September 28, 2016 was $2.8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Accordingly, no liability has been recorded in the Company’s condensed consolidated financial statements related to these contingent liabilities.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has employment agreements with four of the officers of the Company on an at will basis. These agreements provide for minimum salary levels, possible annual adjustments for cost-of-living changes, and incentive bonuses that are payable under certain business conditions.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entered into indemnification agreements with each of its current directors and executive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8. NET INCOME PER SHARE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Basic net income per share is calculated using the weighted-average number of shares of common stock outstanding during the thirteen and thirty-nine weeks ended September 28, 2016 and September 30, 2015. Diluted net income per share is calculated using the weighted-average number of shares of common stock outstanding and potentially dilutive during the period, using the treasury stock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net income per share data for the periods indicated, which are in thousands except for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4"/>
          </w:tcPr>
          <w:p>
            <w:pPr>
              <w:ind w:left="22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Thirty-Nine Weeks Ended</w:t>
            </w:r>
          </w:p>
        </w:tc>
      </w:tr>
      <w:tr>
        <w:trPr>
          <w:trHeight w:val="133"/>
        </w:trPr>
        <w:tc>
          <w:tcPr>
            <w:tcW w:w="17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Borders>
              <w:top w:val="single" w:sz="8" w:color="auto"/>
            </w:tcBorders>
            <w:gridSpan w:val="4"/>
          </w:tcPr>
          <w:p>
            <w:pPr>
              <w:ind w:left="20"/>
              <w:spacing w:after="0" w:line="133" w:lineRule="exact"/>
              <w:rPr>
                <w:sz w:val="20"/>
                <w:szCs w:val="20"/>
                <w:color w:val="auto"/>
              </w:rPr>
            </w:pPr>
            <w:r>
              <w:rPr>
                <w:rFonts w:ascii="Arial" w:cs="Arial" w:eastAsia="Arial" w:hAnsi="Arial"/>
                <w:sz w:val="14"/>
                <w:szCs w:val="14"/>
                <w:b w:val="1"/>
                <w:bCs w:val="1"/>
                <w:color w:val="auto"/>
              </w:rPr>
              <w:t>September 28,</w:t>
            </w:r>
          </w:p>
        </w:tc>
        <w:tc>
          <w:tcPr>
            <w:tcW w:w="9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w w:val="93"/>
              </w:rPr>
              <w:t>September 28,</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60" w:type="dxa"/>
            <w:vAlign w:val="bottom"/>
          </w:tcPr>
          <w:p>
            <w:pPr>
              <w:spacing w:after="0"/>
              <w:rPr>
                <w:sz w:val="11"/>
                <w:szCs w:val="11"/>
                <w:color w:val="auto"/>
              </w:rPr>
            </w:pPr>
          </w:p>
        </w:tc>
      </w:tr>
      <w:tr>
        <w:trPr>
          <w:trHeight w:val="171"/>
        </w:trPr>
        <w:tc>
          <w:tcPr>
            <w:tcW w:w="1720" w:type="dxa"/>
            <w:vAlign w:val="bottom"/>
          </w:tcPr>
          <w:p>
            <w:pPr>
              <w:spacing w:after="0"/>
              <w:rPr>
                <w:sz w:val="14"/>
                <w:szCs w:val="14"/>
                <w:color w:val="auto"/>
              </w:rPr>
            </w:pPr>
          </w:p>
        </w:tc>
        <w:tc>
          <w:tcPr>
            <w:tcW w:w="328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FF0FC"/>
            </w:tcBorders>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3"/>
          </w:tcPr>
          <w:p>
            <w:pPr>
              <w:ind w:left="3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5,211</w:t>
            </w:r>
          </w:p>
        </w:tc>
        <w:tc>
          <w:tcPr>
            <w:tcW w:w="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4,666</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17,921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18,688</w:t>
            </w:r>
          </w:p>
        </w:tc>
        <w:tc>
          <w:tcPr>
            <w:tcW w:w="6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15"/>
        </w:trPr>
        <w:tc>
          <w:tcPr>
            <w:tcW w:w="17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Weighted-average shares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outstanding—basic</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38,415,189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38,275,317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38,331,400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37,837,610</w:t>
            </w:r>
          </w:p>
        </w:tc>
        <w:tc>
          <w:tcPr>
            <w:tcW w:w="60" w:type="dxa"/>
            <w:vAlign w:val="bottom"/>
          </w:tcPr>
          <w:p>
            <w:pPr>
              <w:spacing w:after="0"/>
              <w:rPr>
                <w:sz w:val="20"/>
                <w:szCs w:val="20"/>
                <w:color w:val="auto"/>
              </w:rPr>
            </w:pPr>
          </w:p>
        </w:tc>
      </w:tr>
      <w:tr>
        <w:trPr>
          <w:trHeight w:val="215"/>
        </w:trPr>
        <w:tc>
          <w:tcPr>
            <w:tcW w:w="172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3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outstanding—diluted</w:t>
            </w:r>
          </w:p>
        </w:tc>
        <w:tc>
          <w:tcPr>
            <w:tcW w:w="34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39,083,577</w:t>
            </w:r>
          </w:p>
        </w:tc>
        <w:tc>
          <w:tcPr>
            <w:tcW w:w="1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39,107,241</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39,020,127</w:t>
            </w:r>
          </w:p>
        </w:tc>
        <w:tc>
          <w:tcPr>
            <w:tcW w:w="1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39,044,388</w:t>
            </w:r>
          </w:p>
        </w:tc>
        <w:tc>
          <w:tcPr>
            <w:tcW w:w="60" w:type="dxa"/>
            <w:vAlign w:val="bottom"/>
            <w:shd w:val="clear" w:color="auto" w:fill="CFF0FC"/>
          </w:tcPr>
          <w:p>
            <w:pPr>
              <w:spacing w:after="0"/>
              <w:rPr>
                <w:sz w:val="20"/>
                <w:szCs w:val="20"/>
                <w:color w:val="auto"/>
              </w:rPr>
            </w:pPr>
          </w:p>
        </w:tc>
      </w:tr>
      <w:tr>
        <w:trPr>
          <w:trHeight w:val="223"/>
        </w:trPr>
        <w:tc>
          <w:tcPr>
            <w:tcW w:w="5000" w:type="dxa"/>
            <w:vAlign w:val="bottom"/>
            <w:gridSpan w:val="2"/>
          </w:tcPr>
          <w:p>
            <w:pPr>
              <w:ind w:left="1720"/>
              <w:spacing w:after="0"/>
              <w:rPr>
                <w:sz w:val="20"/>
                <w:szCs w:val="20"/>
                <w:color w:val="auto"/>
              </w:rPr>
            </w:pPr>
            <w:r>
              <w:rPr>
                <w:rFonts w:ascii="Arial" w:cs="Arial" w:eastAsia="Arial" w:hAnsi="Arial"/>
                <w:sz w:val="18"/>
                <w:szCs w:val="18"/>
                <w:color w:val="auto"/>
              </w:rPr>
              <w:t>Net income per share—basic</w:t>
            </w:r>
          </w:p>
        </w:tc>
        <w:tc>
          <w:tcPr>
            <w:tcW w:w="34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0.47</w:t>
            </w:r>
          </w:p>
        </w:tc>
        <w:tc>
          <w:tcPr>
            <w:tcW w:w="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0.49</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share—diluted</w:t>
            </w:r>
          </w:p>
        </w:tc>
        <w:tc>
          <w:tcPr>
            <w:tcW w:w="44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60" w:type="dxa"/>
            <w:vAlign w:val="bottom"/>
            <w:shd w:val="clear" w:color="auto" w:fill="CFF0FC"/>
          </w:tcPr>
          <w:p>
            <w:pPr>
              <w:spacing w:after="0"/>
              <w:rPr>
                <w:sz w:val="19"/>
                <w:szCs w:val="19"/>
                <w:color w:val="auto"/>
              </w:rPr>
            </w:pPr>
          </w:p>
        </w:tc>
      </w:tr>
      <w:tr>
        <w:trPr>
          <w:trHeight w:val="209"/>
        </w:trPr>
        <w:tc>
          <w:tcPr>
            <w:tcW w:w="5000" w:type="dxa"/>
            <w:vAlign w:val="bottom"/>
            <w:gridSpan w:val="2"/>
          </w:tcPr>
          <w:p>
            <w:pPr>
              <w:ind w:left="1720"/>
              <w:spacing w:after="0"/>
              <w:rPr>
                <w:sz w:val="20"/>
                <w:szCs w:val="20"/>
                <w:color w:val="auto"/>
              </w:rPr>
            </w:pPr>
            <w:r>
              <w:rPr>
                <w:rFonts w:ascii="Arial" w:cs="Arial" w:eastAsia="Arial" w:hAnsi="Arial"/>
                <w:sz w:val="18"/>
                <w:szCs w:val="18"/>
                <w:color w:val="auto"/>
              </w:rPr>
              <w:t>Anti-dilutive securities not considered in</w:t>
            </w:r>
          </w:p>
        </w:tc>
        <w:tc>
          <w:tcPr>
            <w:tcW w:w="3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diluted EPS calculation</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451,325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451,325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426"/>
        </w:trPr>
        <w:tc>
          <w:tcPr>
            <w:tcW w:w="5000" w:type="dxa"/>
            <w:vAlign w:val="bottom"/>
            <w:gridSpan w:val="2"/>
          </w:tcPr>
          <w:p>
            <w:pPr>
              <w:spacing w:after="0"/>
              <w:rPr>
                <w:sz w:val="20"/>
                <w:szCs w:val="20"/>
                <w:color w:val="auto"/>
              </w:rPr>
            </w:pPr>
            <w:r>
              <w:rPr>
                <w:rFonts w:ascii="Arial" w:cs="Arial" w:eastAsia="Arial" w:hAnsi="Arial"/>
                <w:sz w:val="18"/>
                <w:szCs w:val="18"/>
                <w:color w:val="auto"/>
              </w:rPr>
              <w:t>Below is a reconciliation of basic and diluted share counts.</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17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4"/>
          </w:tcPr>
          <w:p>
            <w:pPr>
              <w:ind w:left="24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Thirty-Nine Weeks Ended</w:t>
            </w:r>
          </w:p>
        </w:tc>
      </w:tr>
      <w:tr>
        <w:trPr>
          <w:trHeight w:val="133"/>
        </w:trPr>
        <w:tc>
          <w:tcPr>
            <w:tcW w:w="17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Borders>
              <w:top w:val="single" w:sz="8" w:color="auto"/>
            </w:tcBorders>
            <w:gridSpan w:val="3"/>
          </w:tcPr>
          <w:p>
            <w:pPr>
              <w:ind w:left="20"/>
              <w:spacing w:after="0" w:line="133" w:lineRule="exact"/>
              <w:rPr>
                <w:sz w:val="20"/>
                <w:szCs w:val="20"/>
                <w:color w:val="auto"/>
              </w:rPr>
            </w:pPr>
            <w:r>
              <w:rPr>
                <w:rFonts w:ascii="Arial" w:cs="Arial" w:eastAsia="Arial" w:hAnsi="Arial"/>
                <w:sz w:val="14"/>
                <w:szCs w:val="14"/>
                <w:b w:val="1"/>
                <w:bCs w:val="1"/>
                <w:color w:val="auto"/>
              </w:rPr>
              <w:t>September 28,</w:t>
            </w:r>
          </w:p>
        </w:tc>
        <w:tc>
          <w:tcPr>
            <w:tcW w:w="9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w w:val="93"/>
              </w:rPr>
              <w:t>September 28,</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60" w:type="dxa"/>
            <w:vAlign w:val="bottom"/>
          </w:tcPr>
          <w:p>
            <w:pPr>
              <w:spacing w:after="0"/>
              <w:rPr>
                <w:sz w:val="11"/>
                <w:szCs w:val="11"/>
                <w:color w:val="auto"/>
              </w:rPr>
            </w:pPr>
          </w:p>
        </w:tc>
      </w:tr>
      <w:tr>
        <w:trPr>
          <w:trHeight w:val="171"/>
        </w:trPr>
        <w:tc>
          <w:tcPr>
            <w:tcW w:w="1720" w:type="dxa"/>
            <w:vAlign w:val="bottom"/>
          </w:tcPr>
          <w:p>
            <w:pPr>
              <w:spacing w:after="0"/>
              <w:rPr>
                <w:sz w:val="14"/>
                <w:szCs w:val="14"/>
                <w:color w:val="auto"/>
              </w:rPr>
            </w:pPr>
          </w:p>
        </w:tc>
        <w:tc>
          <w:tcPr>
            <w:tcW w:w="328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FF0FC"/>
            </w:tcBorders>
          </w:tcPr>
          <w:p>
            <w:pPr>
              <w:spacing w:after="0"/>
              <w:rPr>
                <w:sz w:val="14"/>
                <w:szCs w:val="14"/>
                <w:color w:val="auto"/>
              </w:rPr>
            </w:pPr>
          </w:p>
        </w:tc>
      </w:tr>
      <w:tr>
        <w:trPr>
          <w:trHeight w:val="209"/>
        </w:trPr>
        <w:tc>
          <w:tcPr>
            <w:tcW w:w="172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3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38,415,189</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38,275,317</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38,331,400</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37,837,610</w:t>
            </w:r>
          </w:p>
        </w:tc>
        <w:tc>
          <w:tcPr>
            <w:tcW w:w="60" w:type="dxa"/>
            <w:vAlign w:val="bottom"/>
            <w:shd w:val="clear" w:color="auto" w:fill="CFF0FC"/>
          </w:tcPr>
          <w:p>
            <w:pPr>
              <w:spacing w:after="0"/>
              <w:rPr>
                <w:sz w:val="20"/>
                <w:szCs w:val="20"/>
                <w:color w:val="auto"/>
              </w:rPr>
            </w:pPr>
          </w:p>
        </w:tc>
      </w:tr>
      <w:tr>
        <w:trPr>
          <w:trHeight w:val="215"/>
        </w:trPr>
        <w:tc>
          <w:tcPr>
            <w:tcW w:w="17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Dilutive effect of stock options and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32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restricted shares</w:t>
            </w:r>
          </w:p>
        </w:tc>
        <w:tc>
          <w:tcPr>
            <w:tcW w:w="3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668,388</w:t>
            </w:r>
          </w:p>
        </w:tc>
        <w:tc>
          <w:tcPr>
            <w:tcW w:w="1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831,924</w:t>
            </w: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688,727</w:t>
            </w:r>
          </w:p>
        </w:tc>
        <w:tc>
          <w:tcPr>
            <w:tcW w:w="1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1,206,778</w:t>
            </w:r>
          </w:p>
        </w:tc>
        <w:tc>
          <w:tcPr>
            <w:tcW w:w="60" w:type="dxa"/>
            <w:vAlign w:val="bottom"/>
            <w:tcBorders>
              <w:bottom w:val="single" w:sz="8" w:color="CFF0FC"/>
            </w:tcBorders>
          </w:tcPr>
          <w:p>
            <w:pPr>
              <w:spacing w:after="0"/>
              <w:rPr>
                <w:sz w:val="20"/>
                <w:szCs w:val="20"/>
                <w:color w:val="auto"/>
              </w:rPr>
            </w:pPr>
          </w:p>
        </w:tc>
      </w:tr>
      <w:tr>
        <w:trPr>
          <w:trHeight w:val="209"/>
        </w:trPr>
        <w:tc>
          <w:tcPr>
            <w:tcW w:w="172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32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39,083,577</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39,107,241</w:t>
            </w:r>
          </w:p>
        </w:tc>
        <w:tc>
          <w:tcPr>
            <w:tcW w:w="1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39,020,127</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39,044,388</w:t>
            </w:r>
          </w:p>
        </w:tc>
        <w:tc>
          <w:tcPr>
            <w:tcW w:w="60" w:type="dxa"/>
            <w:vAlign w:val="bottom"/>
            <w:tcBorders>
              <w:bottom w:val="single" w:sz="8" w:color="CFF0FC"/>
            </w:tcBorders>
            <w:shd w:val="clear" w:color="auto" w:fill="CFF0FC"/>
          </w:tcPr>
          <w:p>
            <w:pPr>
              <w:spacing w:after="0"/>
              <w:rPr>
                <w:sz w:val="20"/>
                <w:szCs w:val="20"/>
                <w:color w:val="auto"/>
              </w:rPr>
            </w:pPr>
          </w:p>
        </w:tc>
      </w:tr>
      <w:tr>
        <w:trPr>
          <w:trHeight w:val="20"/>
        </w:trPr>
        <w:tc>
          <w:tcPr>
            <w:tcW w:w="1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Trimaran Pollo Partners, L.L.C. (“LLC”), owns approximately 43.5%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certificate of incorporation or by-laws, and the Company’s winding up and dissolution. So long as LLC maintains at least 40% ownership,</w:t>
      </w:r>
    </w:p>
    <w:p>
      <w:pPr>
        <w:spacing w:after="0" w:line="2"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member of the board of directors may be removed at any time without cause by affirmative vote of a majority of the Company’s common stock, and</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stockholders representing 40% or greater ownership may cause special stockholder meetings to be called.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discussion and analysis should be read in conjunction with Item 1 above and with the financial statements contained in our annual report on Form 10-K for the year ended December 30, 2015. This discussion and analysis contains forward-looking statements that involve risks, uncertainties and assumptions. Outcomes may differ materially from our expectations. For more information, we direct you to the sections “Risk Factors” and “Forward-Looking Statements” in our annual report. We make no guarantees regarding outcomes, and assume no obligations to update the forward-looking statements herein, except pursuant to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El Pollo Loco is a differentiated and growing restaurant concept that specializes in fire-grilling citrus-marinated chicken and operates in the limited service restaurant (“LSR”) segment. We believe that we offer the quality of food and dining experience typical of fast casual restaurants while providing the speed, convenience, and value typical of traditional quick-service restaurants (“QSRs”), a combination that we call “QSR+” and that provides a value-oriented fast casual dining experience. Our distinctive menu features our signature product—citrus-marinated fire-grilled chicken—and a variety of Mexican-inspired entrees that we create from our chicken. We offer our customers healthier alternatives to traditional food on the go, served by our team members in a colorful, bright, and contemporary restaurant environment. We serve individual and family-sized chicken meals, a variety of Mexican-inspired entrees and sides, and, throughout the year, on a limited-time basis, additional proteins like shrimp, carnitas, and beef. Our entrees include favorites such as our Chicken Avocado Burrito, Under 500 Calorie entrees, Ultimate Pollo Bowl and Stuffed Chicken Avocado Quesadilla. Our salsas and dressings are prepared fresh daily, allowing our customers to create their favorite flavor profiles to enhance their culinary experience. Our distinctive menu with healthier alternatives appeals to consumers across a wide variety of socio-economic backgrounds and drives our balanced composition of sales throughout the day (our “day-part mix”), including at lunch and dinner.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 and Outlook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plan to continue to expand our business, drive restaurant sales growth, and enhance our competitive positioning, by executing on the following strategies:</w:t>
      </w:r>
    </w:p>
    <w:p>
      <w:pPr>
        <w:spacing w:after="0" w:line="140" w:lineRule="exact"/>
        <w:rPr>
          <w:sz w:val="20"/>
          <w:szCs w:val="20"/>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restaurant base;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our comparable restaurant sales;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 operations and leverage our infrastructure.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September 28, 2016, we had 446 locations in five states. In fiscal 2015, we opened fourteen new company-operated and five new franchised restaurants across Arizona, California, Nevada, and Texas. For the quarter ended September 28, 2016, we opened five new company-operated restaurants, in California, Texas and Nevada, and two franchised restaurants in Texas. In 2016, we intend to open 17 to 18 new company-operated and 11 to 12 new franchised restaurants in Arizona, California, Nevada, Utah and Texas. Over the long term, we plan to grow the number of El Pollo Loco restaurants by 8% to 10% annually. To increase comparable restaurant sales, we plan to increase customer frequency, attract new customers, and improve per-person spend. We believe that we are well-positioned for future growth, with a developed corporate infrastructure capable of supporting a future restaurant base that is greater than our existing one. Additionally, we believe that we have an opportunity to optimize costs and enhance our profitability as we benefit from economies of scale. These growth rates are not guaranteed.</w:t>
      </w:r>
    </w:p>
    <w:p>
      <w:pPr>
        <w:spacing w:after="0" w:line="1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October 3, 2016, the Company announced a two unit franchise development agreement with Listo Way Group LLC to develop El Pollo Loco restaurants in Lafayette, Louisiana.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and Trends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System-wide, for the quarter ended September 28, 2016, comparable restaurant sales increased 1.6%. For company-operated restaurants, comparable restaurant sales, for the quarter, increased by 1.4%. For company-operated restaurants, the quarter’s comparable restaurant sales consisted of a 1.4% increase in average check size and traffic comparable to the prior year. For franchised restaurants, comparable restaurant sales increased 1.8%.</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restaurant counts at the beginning and end of each of the last three fiscal years and the thirty-nine weeks ended September 28, 2016, were as follows.</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Thirty-Nine</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Weeks</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Fiscal Year Ended</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80" w:type="dxa"/>
            <w:vAlign w:val="bottom"/>
          </w:tcPr>
          <w:p>
            <w:pPr>
              <w:spacing w:after="0"/>
              <w:rPr>
                <w:sz w:val="11"/>
                <w:szCs w:val="11"/>
                <w:color w:val="auto"/>
              </w:rPr>
            </w:pPr>
          </w:p>
        </w:tc>
        <w:tc>
          <w:tcPr>
            <w:tcW w:w="10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9"/>
              </w:rPr>
              <w:t>September 28,</w:t>
            </w:r>
          </w:p>
        </w:tc>
        <w:tc>
          <w:tcPr>
            <w:tcW w:w="220" w:type="dxa"/>
            <w:vAlign w:val="bottom"/>
          </w:tcPr>
          <w:p>
            <w:pPr>
              <w:spacing w:after="0"/>
              <w:rPr>
                <w:sz w:val="11"/>
                <w:szCs w:val="11"/>
                <w:color w:val="auto"/>
              </w:rPr>
            </w:pPr>
          </w:p>
        </w:tc>
        <w:tc>
          <w:tcPr>
            <w:tcW w:w="1040" w:type="dxa"/>
            <w:vAlign w:val="bottom"/>
            <w:tcBorders>
              <w:top w:val="single" w:sz="8" w:color="auto"/>
            </w:tcBorders>
            <w:vMerge w:val="restart"/>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3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Company-operated restaurant activity:</w:t>
            </w: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102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Openings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Restaurant sale to franchisee</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Closures</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380" w:type="dxa"/>
            <w:vAlign w:val="bottom"/>
          </w:tcPr>
          <w:p>
            <w:pPr>
              <w:ind w:left="240"/>
              <w:spacing w:after="0"/>
              <w:rPr>
                <w:sz w:val="20"/>
                <w:szCs w:val="20"/>
                <w:color w:val="auto"/>
              </w:rPr>
            </w:pPr>
            <w:r>
              <w:rPr>
                <w:rFonts w:ascii="Arial" w:cs="Arial" w:eastAsia="Arial" w:hAnsi="Arial"/>
                <w:sz w:val="18"/>
                <w:szCs w:val="18"/>
                <w:color w:val="auto"/>
              </w:rPr>
              <w:t>Restaurants at end of period</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Franchised restaurant activity:</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102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Openings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Restaurant sale to franchisee</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Closures</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13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380" w:type="dxa"/>
            <w:vAlign w:val="bottom"/>
          </w:tcPr>
          <w:p>
            <w:pPr>
              <w:ind w:left="240"/>
              <w:spacing w:after="0"/>
              <w:rPr>
                <w:sz w:val="20"/>
                <w:szCs w:val="20"/>
                <w:color w:val="auto"/>
              </w:rPr>
            </w:pPr>
            <w:r>
              <w:rPr>
                <w:rFonts w:ascii="Arial" w:cs="Arial" w:eastAsia="Arial" w:hAnsi="Arial"/>
                <w:sz w:val="18"/>
                <w:szCs w:val="18"/>
                <w:color w:val="auto"/>
              </w:rPr>
              <w:t>Restaurants at end of period</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System-wide restaurant activity:</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1020" w:type="dxa"/>
            <w:vAlign w:val="bottom"/>
          </w:tcPr>
          <w:p>
            <w:pPr>
              <w:jc w:val="right"/>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Openings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Closures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Restaurants at end of period</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Remodeling</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and our franchisees commenced our remodeling program in 2011 and, as of September 28, 2016, together we had remodeled 106 company-operated and 183 franchised restaurants, or 289 system-wide, over 75% of our restaurant system. Remodeling is a use of cash and has implications for our net property and depreciation line items on our condensed consolidated balance sheets and statements of operations, among others. The cost of our restaurant remodels varies depending on the scope of work required, but on average the investment is $320,000 per restaurant. We believe that our remodeling program will result in higher restaurant revenue and a strengthened brand.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preparation of our condensed consolidated financial statements in accordance with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Operations” in our annual report on Form 10-K for the year ended December 30, 2015, and Note 2, “Summary of Significant Accounting Policies,” to Item 8, “Financial Statements and Supplementary Data,” in our annual report. For a summary of our significant accounting policies and a discussion of our use of estimates, see also Note 1 to Item 1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or uses of estimates since our annual report on Form 10-K.</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right="400"/>
        <w:spacing w:after="0" w:line="279" w:lineRule="auto"/>
        <w:rPr>
          <w:sz w:val="20"/>
          <w:szCs w:val="20"/>
          <w:color w:val="auto"/>
        </w:rPr>
      </w:pPr>
      <w:r>
        <w:rPr>
          <w:rFonts w:ascii="Arial" w:cs="Arial" w:eastAsia="Arial" w:hAnsi="Arial"/>
          <w:sz w:val="17"/>
          <w:szCs w:val="17"/>
          <w:color w:val="auto"/>
        </w:rPr>
        <w:t>In August 2016, the FASB issued ASU 2016-15, Classification of Certain Cash Receipts and Cash Payments. ASU 2016-15 addresses how certain cash receipts and cash payments are presented and classified in the statement of cash flows under Topic 230, Statement of Cash Flow, and other Topics. ASU 2016-15 is effective for financial statements issued for annual periods beginning after December 15, 2017, including interim periods within those annual periods. The Company is currently assessing the impact of this ASU on our consolidated financial statements.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May 2016, the FASB issued ASU No. 2016-12, Revenue from Contracts with Customers (Topic 606) – Narrow-Scope Improvements and Practical Expedients. This ASU is intended to clarify two aspects of Topic 606: first, assessing the collectability criterion, options for the presentation of sales and similar taxes, noncash consideration, transition contract modifications, transition contract completion and secondly, technical corrections. The amendments in this update are effective for financial statements issued for annual periods beginning after December 15, 2017, including interim periods within those annual periods, and early application is permitted, but no earlier than fiscal years beginning after December 16, 2016. The Company is currently assessing the impact of this ASU on our consolidated financial statements.</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April 2016, the FASB issued ASU No. 2016-10, Revenue from Contracts with Customers (Topic 606) – Identifying Performance Obligations and Licensing. This ASU is intended to clarify two aspects of Topic 606: identifying performance obligations and licensing implementation guidance. The amendments in this update are effective for financial statements issued for annual periods beginning after December 15, 2017, including interim periods within those annual periods, and early application is permitted, but no earlier than fiscal years beginning after December 16, 2016. The Company is currently assessing the impact of this ASU on our consolidated financial statements.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(“ASU 2016-09”), which is intended to simplify several aspects of the accounting for share-based payment transactions, including the income tax consequences, classification of awards as either equity or liabilities, and classification on the statement of cash flows. ASU 2016-09 is effective for annual periods beginning after December 15, 2016, and interim periods therein. Early application is permitted. The Company is currently assessing the impact of this ASU on our consolidated financial statements.</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February 2016, the FASB issued ASU 2016-02, “Leases.”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Early adoption is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currently assessing the impact of this ASU on our consolidated financial statements.</w:t>
      </w:r>
    </w:p>
    <w:p>
      <w:pPr>
        <w:spacing w:after="0" w:line="16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January 2016, the FASB issued ASU 2016-01, "Financial Instruments – Overall: Recognition and Measurement of Financial Assets and Financial Liabilities." The pronouncement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These changes become effective for the Company's fiscal year beginning December 28, 2017 and interim periods within that fiscal year. The Company is currently assessing the impact of this ASU on our consolidated financial statements.</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November 2015, the FASB issued ASU No. 2015-17, “Income Taxes” which requires that deferred tax liabilities and assets be classified as noncurrent in a classified balance sheet. Prior to the issuance of the standard, deferred tax liabilities and assets were required to be separately classified into a current amount and a noncurrent amount in the balance sheet. The new accounting guidance represents a change in accounting principle and the standard is required to be adopted in annual periods beginning after December 15, 2016. After the adoption of this ASU all deferred tax assets and liabilities will be classified as noncurrent on the consolidated balance sheet.</w:t>
      </w:r>
    </w:p>
    <w:p>
      <w:pPr>
        <w:spacing w:after="0" w:line="18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July 2015, the FASB issued ASU No. 2015-11, “Inventory (Topic 330).” The pronouncement was issued to simplify the measurement of inventory and changes the measurement from lower of cost or market to lower of cost and net realizable value. This pronouncement is effective for reporting periods beginning after December 15, 2016. The adoption of ASU 2015-11 is not expected to have a significant impact on the Company’s consolidated financial position or results of operations.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8" w:name="page19"/>
    <w:bookmarkEnd w:id="18"/>
    <w:p>
      <w:pPr>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(ASU 2014-09)”, which supersedes nearly all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five-step process to achieve this core principle and, in doing so, more judgment and estimates may be required within the revenue recognition process than are required under existing GAAP.</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revised revenue standard is effective for public entities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The Company is currently assessing the impact of this ASU on our consolidated financial statements.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August 2014, the FASB issued ASU No. 2014-15, Going Concern (“ASU 2014-15”). ASU 2014-15 provides GAAP guidance on management’s responsibility in evaluating whether there is substantial doubt about a company’s ability to continue as a going concern and about related footnote disclosures. For each reporting period, management will be required to evaluate whether there are conditions or events that raise substantial doubt about a company’s ability to continue as a going concern within one year from the date the financial statements are issued. The standard will be effective for annual periods ending after December 15, 2016, and interim periods within annual periods beginning after December 15, 2016. Early application is permitted for annual or interim reporting periods for which the financial statements have not previously been issued. Upon adoption the Company will use the guidance in ASU 2014-15 to assess going concern.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presently qualify as an “emerging growth company” (“EGC”) under section 2(a) of the Securities Act, pursuant to the Jumpstart Our Business Startups Act of 2012 (the “JOBS Act”). An EGC has reduced public company reporting, accounting, and corporate governance requirements. We may take advantage of some of these benefits. In addition, the JOBS Act provides that an EGC can take advantage of an extended transition period for complying with new or revised accounting standards, delaying the adoption of these accounting standards until they would apply to private companies. We have irrevocably elected not to avail ourselves of this exemption and, therefore, we will be subject to the same new or revised accounting standards as other public companies that are not EGCs.</w:t>
      </w:r>
    </w:p>
    <w:p>
      <w:pPr>
        <w:spacing w:after="0" w:line="193"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will cease to be an EGC following the earliest of (i) five years after our IPO, (ii) $1.0 billion in annual revenue, (iii) $700.0 million in common stock market capitalization held by non-affiliates, or (iv) $1.0 billion in non-convertible debt security issuance on a three-year rolling basis. Please refer to our annual report on Form 10-K for more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revenue is derived from two primary sources: company-operated restaurant revenue and franchise revenue, the latter of which is comprised primarily of franchise royalties and, to a lesser extent, franchise fees and sublease rental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and expenses incurred in support of franchisee information technology systems.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primarily consist of the depreciation of property and equipment, including leasehold improvements and equipment.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Loss on disposal of assets includes the loss on disposal of assets related to retirements and replacement or write-off of leasehold improvements or equipment.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We review long-lived assets such as property, equipment, and intangibles on a unit-by-unit basis for impairment when events or circumstances indicate a carrying value of the assets that may not be recoverable, and record an impairment charge when appropriate. Closure costs include non-cash restaurant charges such as up-front expensing the net present value of unpaid rent remaining on the life of a lease offset by assumed sublease income.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net, consists primarily of interest on our outstanding debt. Debt issuance costs are amortized at cost over the life of the related debt.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consists of federal and state taxes on our income.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To evaluate the performance of our business, we utilize a variety of financial and performance measures. These key measures include company-operated restaurant revenue, comparable restaurant sales, company-operated average unit volumes, restaurant contribution, restaurant contribution margin, new restaurant openings, EBITDA, and Adjusted EBITDA.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September 28, 2016 and September 30, 2015, there were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0" w:name="page21"/>
    <w:bookmarkEnd w:id="20"/>
    <w:p>
      <w:pPr>
        <w:ind w:right="440"/>
        <w:spacing w:after="0" w:line="277" w:lineRule="auto"/>
        <w:rPr>
          <w:sz w:val="20"/>
          <w:szCs w:val="20"/>
          <w:color w:val="auto"/>
        </w:rPr>
      </w:pPr>
      <w:r>
        <w:rPr>
          <w:rFonts w:ascii="Arial" w:cs="Arial" w:eastAsia="Arial" w:hAnsi="Arial"/>
          <w:sz w:val="18"/>
          <w:szCs w:val="18"/>
          <w:color w:val="auto"/>
        </w:rPr>
        <w:t>410 and 397 comparable restaurants, 170 and 160 company-operated and 240 and 237 franchised, respectively. Comparable restaurant sales indicate the performance of existing restaurants, since new restaurants are excluded.</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Average Unit Volumes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measure company-operated average unit volumes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Restaurant contribution and restaurant contribution margin are neither required by, nor presented in accordance with, GAAP. Restaurant contribution is defined as company-operated restaurant revenue less Company restaurant expenses. Restaurant contribution margin is defined as restaurant contribution as a percentage of net company-operated restaurant revenue. 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believes that restaurant contribution and restaurant contribution margin are important tools for investors, because they are widely-used metrics within the restaurant industry to evaluate restaurant-level productivity, efficiency, and performance.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Thirteen Weeks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3"/>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w:t>
            </w:r>
          </w:p>
        </w:tc>
        <w:tc>
          <w:tcPr>
            <w:tcW w:w="1020" w:type="dxa"/>
            <w:vAlign w:val="bottom"/>
          </w:tcPr>
          <w:p>
            <w:pPr>
              <w:spacing w:after="0"/>
              <w:rPr>
                <w:sz w:val="11"/>
                <w:szCs w:val="11"/>
                <w:color w:val="auto"/>
              </w:rPr>
            </w:pPr>
          </w:p>
        </w:tc>
        <w:tc>
          <w:tcPr>
            <w:tcW w:w="1260" w:type="dxa"/>
            <w:vAlign w:val="bottom"/>
            <w:tcBorders>
              <w:top w:val="single" w:sz="8" w:color="auto"/>
            </w:tcBorders>
            <w:gridSpan w:val="3"/>
          </w:tcPr>
          <w:p>
            <w:pPr>
              <w:jc w:val="right"/>
              <w:ind w:right="300"/>
              <w:spacing w:after="0" w:line="133" w:lineRule="exact"/>
              <w:rPr>
                <w:sz w:val="20"/>
                <w:szCs w:val="20"/>
                <w:color w:val="auto"/>
              </w:rPr>
            </w:pPr>
            <w:r>
              <w:rPr>
                <w:rFonts w:ascii="Arial" w:cs="Arial" w:eastAsia="Arial" w:hAnsi="Arial"/>
                <w:sz w:val="14"/>
                <w:szCs w:val="14"/>
                <w:b w:val="1"/>
                <w:bCs w:val="1"/>
                <w:color w:val="auto"/>
                <w:w w:val="98"/>
              </w:rPr>
              <w:t>September 28,</w:t>
            </w: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14"/>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Borders>
              <w:top w:val="single" w:sz="8" w:color="auto"/>
            </w:tcBorders>
            <w:gridSpan w:val="3"/>
          </w:tcPr>
          <w:p>
            <w:pPr>
              <w:jc w:val="right"/>
              <w:ind w:right="320"/>
              <w:spacing w:after="0" w:line="133" w:lineRule="exact"/>
              <w:rPr>
                <w:sz w:val="20"/>
                <w:szCs w:val="20"/>
                <w:color w:val="auto"/>
              </w:rPr>
            </w:pPr>
            <w:r>
              <w:rPr>
                <w:rFonts w:ascii="Arial" w:cs="Arial" w:eastAsia="Arial" w:hAnsi="Arial"/>
                <w:sz w:val="14"/>
                <w:szCs w:val="14"/>
                <w:b w:val="1"/>
                <w:bCs w:val="1"/>
                <w:color w:val="auto"/>
                <w:w w:val="96"/>
              </w:rPr>
              <w:t>September 28,</w:t>
            </w: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14"/>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20" w:type="dxa"/>
            <w:vAlign w:val="bottom"/>
            <w:tcBorders>
              <w:bottom w:val="single" w:sz="8" w:color="CFF0FC"/>
            </w:tcBorders>
            <w:vMerge w:val="continue"/>
          </w:tcPr>
          <w:p>
            <w:pPr>
              <w:spacing w:after="0"/>
              <w:rPr>
                <w:sz w:val="14"/>
                <w:szCs w:val="14"/>
                <w:color w:val="auto"/>
              </w:rPr>
            </w:pPr>
          </w:p>
        </w:tc>
        <w:tc>
          <w:tcPr>
            <w:tcW w:w="10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Company-operated restaurant revenue</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89,738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82,986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268,984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251,295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Company restaurant expenses</w:t>
            </w: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70,984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211,982</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196,774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Restaurant contribution</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57,002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54,521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Restaurant contribution margin (%)</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1" w:name="page22"/>
    <w:bookmarkEnd w:id="21"/>
    <w:p>
      <w:pPr>
        <w:spacing w:after="0" w:line="273" w:lineRule="auto"/>
        <w:rPr>
          <w:sz w:val="20"/>
          <w:szCs w:val="20"/>
          <w:color w:val="auto"/>
        </w:rPr>
      </w:pPr>
      <w:r>
        <w:rPr>
          <w:rFonts w:ascii="Arial" w:cs="Arial" w:eastAsia="Arial" w:hAnsi="Arial"/>
          <w:sz w:val="17"/>
          <w:szCs w:val="17"/>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as benchmarks to compare our performance to that of our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reconciliations of EBITDA and Adjusted EBITDA to our net income: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6"/>
          </w:tcPr>
          <w:p>
            <w:pPr>
              <w:ind w:left="14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3"/>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860" w:type="dxa"/>
            <w:vAlign w:val="bottom"/>
          </w:tcPr>
          <w:p>
            <w:pPr>
              <w:spacing w:after="0"/>
              <w:rPr>
                <w:sz w:val="11"/>
                <w:szCs w:val="11"/>
                <w:color w:val="auto"/>
              </w:rPr>
            </w:pPr>
          </w:p>
        </w:tc>
        <w:tc>
          <w:tcPr>
            <w:tcW w:w="1040" w:type="dxa"/>
            <w:vAlign w:val="bottom"/>
            <w:tcBorders>
              <w:top w:val="single" w:sz="8" w:color="auto"/>
            </w:tcBorders>
            <w:gridSpan w:val="2"/>
          </w:tcPr>
          <w:p>
            <w:pPr>
              <w:jc w:val="right"/>
              <w:ind w:right="12"/>
              <w:spacing w:after="0" w:line="133" w:lineRule="exact"/>
              <w:rPr>
                <w:sz w:val="20"/>
                <w:szCs w:val="20"/>
                <w:color w:val="auto"/>
              </w:rPr>
            </w:pPr>
            <w:r>
              <w:rPr>
                <w:rFonts w:ascii="Arial" w:cs="Arial" w:eastAsia="Arial" w:hAnsi="Arial"/>
                <w:sz w:val="14"/>
                <w:szCs w:val="14"/>
                <w:b w:val="1"/>
                <w:bCs w:val="1"/>
                <w:color w:val="auto"/>
                <w:w w:val="96"/>
              </w:rPr>
              <w:t>September 28,</w:t>
            </w: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11"/>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tcPr>
          <w:p>
            <w:pPr>
              <w:jc w:val="right"/>
              <w:ind w:right="240"/>
              <w:spacing w:after="0" w:line="133" w:lineRule="exact"/>
              <w:rPr>
                <w:sz w:val="20"/>
                <w:szCs w:val="20"/>
                <w:color w:val="auto"/>
              </w:rPr>
            </w:pPr>
            <w:r>
              <w:rPr>
                <w:rFonts w:ascii="Arial" w:cs="Arial" w:eastAsia="Arial" w:hAnsi="Arial"/>
                <w:sz w:val="14"/>
                <w:szCs w:val="14"/>
                <w:b w:val="1"/>
                <w:bCs w:val="1"/>
                <w:color w:val="auto"/>
                <w:w w:val="96"/>
              </w:rPr>
              <w:t>September 28,</w:t>
            </w: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11"/>
              <w:spacing w:after="0" w:line="133" w:lineRule="exact"/>
              <w:rPr>
                <w:sz w:val="20"/>
                <w:szCs w:val="20"/>
                <w:color w:val="auto"/>
              </w:rPr>
            </w:pPr>
            <w:r>
              <w:rPr>
                <w:rFonts w:ascii="Arial" w:cs="Arial" w:eastAsia="Arial" w:hAnsi="Arial"/>
                <w:sz w:val="14"/>
                <w:szCs w:val="14"/>
                <w:b w:val="1"/>
                <w:bCs w:val="1"/>
                <w:color w:val="auto"/>
                <w:w w:val="98"/>
              </w:rPr>
              <w:t>September 30,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60" w:type="dxa"/>
            <w:vAlign w:val="bottom"/>
            <w:tcBorders>
              <w:bottom w:val="single" w:sz="8" w:color="CFF0FC"/>
            </w:tcBorders>
            <w:vMerge w:val="continue"/>
          </w:tcPr>
          <w:p>
            <w:pPr>
              <w:spacing w:after="0"/>
              <w:rPr>
                <w:sz w:val="14"/>
                <w:szCs w:val="14"/>
                <w:color w:val="auto"/>
              </w:rPr>
            </w:pPr>
          </w:p>
        </w:tc>
        <w:tc>
          <w:tcPr>
            <w:tcW w:w="8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5,211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4,666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17,921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18,688</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Non-GAAP adjustments: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16,281</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Interest expense, net</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860" w:type="dxa"/>
            <w:vAlign w:val="bottom"/>
          </w:tcPr>
          <w:p>
            <w:pPr>
              <w:spacing w:after="0"/>
              <w:rPr>
                <w:sz w:val="19"/>
                <w:szCs w:val="19"/>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12,900</w:t>
            </w:r>
          </w:p>
        </w:tc>
        <w:tc>
          <w:tcPr>
            <w:tcW w:w="220" w:type="dxa"/>
            <w:vAlign w:val="bottom"/>
          </w:tcPr>
          <w:p>
            <w:pPr>
              <w:spacing w:after="0"/>
              <w:rPr>
                <w:sz w:val="19"/>
                <w:szCs w:val="19"/>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15,259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44,088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47,628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r>
              <w:rPr>
                <w:rFonts w:ascii="Arial" w:cs="Arial" w:eastAsia="Arial" w:hAnsi="Arial"/>
                <w:sz w:val="15"/>
                <w:szCs w:val="15"/>
                <w:color w:val="auto"/>
              </w:rPr>
              <w:t>(a)</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Loss on disposal of assets</w:t>
            </w:r>
            <w:r>
              <w:rPr>
                <w:rFonts w:ascii="Arial" w:cs="Arial" w:eastAsia="Arial" w:hAnsi="Arial"/>
                <w:sz w:val="15"/>
                <w:szCs w:val="15"/>
                <w:color w:val="auto"/>
              </w:rPr>
              <w:t>(b)(c)</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Expenses related to fire loss</w:t>
            </w:r>
            <w:r>
              <w:rPr>
                <w:rFonts w:ascii="Arial" w:cs="Arial" w:eastAsia="Arial" w:hAnsi="Arial"/>
                <w:sz w:val="15"/>
                <w:szCs w:val="15"/>
                <w:color w:val="auto"/>
              </w:rPr>
              <w:t>(c)</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Loss (gain) on recovery of insurance proceeds</w:t>
            </w:r>
            <w:r>
              <w:rPr>
                <w:rFonts w:ascii="Arial" w:cs="Arial" w:eastAsia="Arial" w:hAnsi="Arial"/>
                <w:sz w:val="15"/>
                <w:szCs w:val="15"/>
                <w:color w:val="auto"/>
              </w:rPr>
              <w:t>(c)</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 and closed-store reserves</w:t>
            </w:r>
            <w:r>
              <w:rPr>
                <w:rFonts w:ascii="Arial" w:cs="Arial" w:eastAsia="Arial" w:hAnsi="Arial"/>
                <w:sz w:val="15"/>
                <w:szCs w:val="15"/>
                <w:color w:val="auto"/>
              </w:rPr>
              <w:t>(d)</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Loss (gain) on disposition of restaurants</w:t>
            </w:r>
            <w:r>
              <w:rPr>
                <w:rFonts w:ascii="Arial" w:cs="Arial" w:eastAsia="Arial" w:hAnsi="Arial"/>
                <w:sz w:val="15"/>
                <w:szCs w:val="15"/>
                <w:color w:val="auto"/>
              </w:rPr>
              <w:t>(e)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Expenses related to selling shareholders</w:t>
            </w:r>
            <w:r>
              <w:rPr>
                <w:rFonts w:ascii="Arial" w:cs="Arial" w:eastAsia="Arial" w:hAnsi="Arial"/>
                <w:sz w:val="15"/>
                <w:szCs w:val="15"/>
                <w:color w:val="auto"/>
              </w:rPr>
              <w:t>(f)</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Income tax receivable agreement expense</w:t>
            </w:r>
            <w:r>
              <w:rPr>
                <w:rFonts w:ascii="Arial" w:cs="Arial" w:eastAsia="Arial" w:hAnsi="Arial"/>
                <w:sz w:val="15"/>
                <w:szCs w:val="15"/>
                <w:color w:val="auto"/>
              </w:rPr>
              <w:t>(g)</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Securities class action legal expense</w:t>
            </w:r>
            <w:r>
              <w:rPr>
                <w:rFonts w:ascii="Arial" w:cs="Arial" w:eastAsia="Arial" w:hAnsi="Arial"/>
                <w:sz w:val="15"/>
                <w:szCs w:val="15"/>
                <w:color w:val="auto"/>
              </w:rPr>
              <w:t>(h)</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Pre-opening costs</w:t>
            </w:r>
            <w:r>
              <w:rPr>
                <w:rFonts w:ascii="Arial" w:cs="Arial" w:eastAsia="Arial" w:hAnsi="Arial"/>
                <w:sz w:val="15"/>
                <w:szCs w:val="15"/>
                <w:color w:val="auto"/>
              </w:rPr>
              <w:t>(i)</w:t>
            </w:r>
          </w:p>
        </w:tc>
        <w:tc>
          <w:tcPr>
            <w:tcW w:w="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8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17,325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16,646</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51,272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50,230</w:t>
            </w:r>
          </w:p>
        </w:tc>
        <w:tc>
          <w:tcPr>
            <w:tcW w:w="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non-cash, stock-based compensation.</w:t>
      </w:r>
    </w:p>
    <w:p>
      <w:pPr>
        <w:spacing w:after="0" w:line="117" w:lineRule="exact"/>
        <w:rPr>
          <w:rFonts w:ascii="Arial" w:cs="Arial" w:eastAsia="Arial" w:hAnsi="Arial"/>
          <w:sz w:val="18"/>
          <w:szCs w:val="18"/>
          <w:color w:val="auto"/>
        </w:rPr>
      </w:pPr>
    </w:p>
    <w:p>
      <w:pPr>
        <w:ind w:left="520" w:right="420" w:hanging="512"/>
        <w:spacing w:after="0" w:line="27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left="512" w:right="40" w:hanging="512"/>
        <w:spacing w:after="0" w:line="272" w:lineRule="auto"/>
        <w:tabs>
          <w:tab w:leader="none" w:pos="512"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November 2015, one of the Company’s restaurants incurred damage resulting from a fire. During the thirty-nine weeks ended September 28, 2016, we incurred costs directly related to the fire of $48,000, disposed of an additional $87,000 of assets and recognized gains of $741,000, related to the reimbursement of property and equipment and expenses incurred and $502,000 related to the reimbursement of lost profits. The reimbursement of lost profits is included in the accompanying consolidated statement of operations, for the thirteen and thirty-nine weeks ended September 28, 2016, as a reduction of Company restaurant expenses. The Company received from the insurance company cash of $1,000,000 during the thirty-nine weeks ended September 28, 2016 and $354,000 on October 5, 2016. In 2015, the Company disposed of $111,000 of assets related to the fire. The restaurant was reopened for business on March 14, 2016.</w:t>
      </w:r>
    </w:p>
    <w:p>
      <w:pPr>
        <w:spacing w:after="0" w:line="69" w:lineRule="exact"/>
        <w:rPr>
          <w:rFonts w:ascii="Arial" w:cs="Arial" w:eastAsia="Arial" w:hAnsi="Arial"/>
          <w:sz w:val="17"/>
          <w:szCs w:val="17"/>
          <w:color w:val="auto"/>
        </w:rPr>
      </w:pPr>
    </w:p>
    <w:p>
      <w:pPr>
        <w:ind w:left="512" w:hanging="512"/>
        <w:spacing w:after="0"/>
        <w:tabs>
          <w:tab w:leader="none" w:pos="51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costs related to impairment of long-lived assets and closing restaurants.</w:t>
      </w:r>
    </w:p>
    <w:p>
      <w:pPr>
        <w:spacing w:after="0" w:line="117" w:lineRule="exact"/>
        <w:rPr>
          <w:rFonts w:ascii="Arial" w:cs="Arial" w:eastAsia="Arial" w:hAnsi="Arial"/>
          <w:sz w:val="18"/>
          <w:szCs w:val="18"/>
          <w:color w:val="auto"/>
        </w:rPr>
      </w:pPr>
    </w:p>
    <w:p>
      <w:pPr>
        <w:ind w:left="512" w:right="80" w:hanging="512"/>
        <w:spacing w:after="0" w:line="264" w:lineRule="auto"/>
        <w:tabs>
          <w:tab w:leader="none" w:pos="5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June 16, 2016, we completed an agreement to sell one company-operated restaurant in Tucson, Arizona to a franchisee, resulting in cash proceeds of $1.5 million and a net gain of $28,000, which is recorded as a gain on disposition of restaurants in the accompanying consolidated statement of operations. This restaurant is now included in our franchised restaurant totals.</w:t>
      </w:r>
    </w:p>
    <w:p>
      <w:pPr>
        <w:spacing w:after="0" w:line="73" w:lineRule="exact"/>
        <w:rPr>
          <w:rFonts w:ascii="Arial" w:cs="Arial" w:eastAsia="Arial" w:hAnsi="Arial"/>
          <w:sz w:val="18"/>
          <w:szCs w:val="18"/>
          <w:color w:val="auto"/>
        </w:rPr>
      </w:pPr>
    </w:p>
    <w:p>
      <w:pPr>
        <w:ind w:left="512" w:right="60" w:hanging="512"/>
        <w:spacing w:after="0" w:line="276" w:lineRule="auto"/>
        <w:tabs>
          <w:tab w:leader="none" w:pos="512"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costs related to the sale, in the second quarter of 2015, of 5.4 million shares of common stock in a block trade to various investors, by our largest shareholder, which was at that time our majority shareholder, pursuant to Rule 144 under the Securities Act. This shareholder owns stock in us not registered under the Securities Act. Under our stockholders agreement, this shareholder may require us to register stock in us that it owns, under the Securities Act. In that event, we are responsible for all registration expenses. In lieu of the shareholder’s exercise of its registration rights, we agreed to bear the expenses incident to the shareholder’s sale of these shares using Rule 144.</w:t>
      </w:r>
    </w:p>
    <w:p>
      <w:pPr>
        <w:spacing w:after="0" w:line="64" w:lineRule="exact"/>
        <w:rPr>
          <w:rFonts w:ascii="Arial" w:cs="Arial" w:eastAsia="Arial" w:hAnsi="Arial"/>
          <w:sz w:val="17"/>
          <w:szCs w:val="17"/>
          <w:color w:val="auto"/>
        </w:rPr>
      </w:pPr>
    </w:p>
    <w:p>
      <w:pPr>
        <w:ind w:left="512" w:right="100" w:hanging="512"/>
        <w:spacing w:after="0" w:line="259" w:lineRule="auto"/>
        <w:tabs>
          <w:tab w:leader="none" w:pos="5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thirteen and thirty-nine weeks ended September 28, 2016, income tax receivable agreement expense consisted of the amortization of interest expense related to our total expected TRA payments.</w:t>
      </w:r>
    </w:p>
    <w:p>
      <w:pPr>
        <w:spacing w:after="0" w:line="78" w:lineRule="exact"/>
        <w:rPr>
          <w:rFonts w:ascii="Arial" w:cs="Arial" w:eastAsia="Arial" w:hAnsi="Arial"/>
          <w:sz w:val="18"/>
          <w:szCs w:val="18"/>
          <w:color w:val="auto"/>
        </w:rPr>
      </w:pPr>
    </w:p>
    <w:p>
      <w:pPr>
        <w:ind w:left="512" w:right="80" w:hanging="512"/>
        <w:spacing w:after="0" w:line="277" w:lineRule="auto"/>
        <w:tabs>
          <w:tab w:leader="none" w:pos="512"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costs related to a securities class action lawsuit. See the Notes to the Condensed Consolidated Financial Statements, Note 7 Commitments and Contingencies, Legal Matters.</w:t>
      </w:r>
    </w:p>
    <w:p>
      <w:pPr>
        <w:spacing w:after="0" w:line="62" w:lineRule="exact"/>
        <w:rPr>
          <w:rFonts w:ascii="Arial" w:cs="Arial" w:eastAsia="Arial" w:hAnsi="Arial"/>
          <w:sz w:val="18"/>
          <w:szCs w:val="18"/>
          <w:color w:val="auto"/>
        </w:rPr>
      </w:pPr>
    </w:p>
    <w:p>
      <w:pPr>
        <w:ind w:left="512" w:hanging="512"/>
        <w:spacing w:after="0" w:line="279" w:lineRule="auto"/>
        <w:tabs>
          <w:tab w:leader="none" w:pos="512" w:val="left"/>
        </w:tabs>
        <w:numPr>
          <w:ilvl w:val="0"/>
          <w:numId w:val="8"/>
        </w:numPr>
        <w:rPr>
          <w:rFonts w:ascii="Arial" w:cs="Arial" w:eastAsia="Arial" w:hAnsi="Arial"/>
          <w:sz w:val="17"/>
          <w:szCs w:val="17"/>
          <w:color w:val="auto"/>
        </w:rPr>
      </w:pPr>
      <w:r>
        <w:rPr>
          <w:rFonts w:ascii="Arial" w:cs="Arial" w:eastAsia="Arial" w:hAnsi="Arial"/>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200" w:lineRule="exact"/>
        <w:rPr>
          <w:sz w:val="20"/>
          <w:szCs w:val="20"/>
          <w:color w:val="auto"/>
        </w:rPr>
      </w:pPr>
    </w:p>
    <w:p>
      <w:pPr>
        <w:spacing w:after="0" w:line="21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125" w:right="279" w:bottom="1440" w:gutter="0" w:footer="0" w:header="0"/>
        </w:sectPr>
      </w:pPr>
    </w:p>
    <w:bookmarkStart w:id="23" w:name="page24"/>
    <w:bookmarkEnd w:id="23"/>
    <w:p>
      <w:pPr>
        <w:ind w:left="40"/>
        <w:spacing w:after="0"/>
        <w:rPr>
          <w:sz w:val="20"/>
          <w:szCs w:val="20"/>
          <w:color w:val="auto"/>
        </w:rPr>
      </w:pPr>
      <w:r>
        <w:rPr>
          <w:rFonts w:ascii="Arial" w:cs="Arial" w:eastAsia="Arial" w:hAnsi="Arial"/>
          <w:sz w:val="18"/>
          <w:szCs w:val="18"/>
          <w:b w:val="1"/>
          <w:bCs w:val="1"/>
          <w:color w:val="auto"/>
        </w:rPr>
        <w:t>Comparison of Results of Operations</w:t>
      </w:r>
    </w:p>
    <w:p>
      <w:pPr>
        <w:spacing w:after="0" w:line="12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Our operating results for the thirteen weeks ended September 28, 2016, and September 30, 2015, in absolute terms, and expressed as percentages of total revenue, with the exception of cost of operations and Company restaurant expenses, which are expressed as a percentage of company-operated restaurant revenue, are compared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w w:val="93"/>
              </w:rPr>
              <w:t>September 28, 2016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Pr>
          <w:p>
            <w:pPr>
              <w:spacing w:after="0"/>
              <w:rPr>
                <w:sz w:val="11"/>
                <w:szCs w:val="11"/>
                <w:color w:val="auto"/>
              </w:rPr>
            </w:pPr>
          </w:p>
        </w:tc>
        <w:tc>
          <w:tcPr>
            <w:tcW w:w="1240" w:type="dxa"/>
            <w:vAlign w:val="bottom"/>
            <w:gridSpan w:val="3"/>
          </w:tcPr>
          <w:p>
            <w:pPr>
              <w:jc w:val="center"/>
              <w:ind w:left="392"/>
              <w:spacing w:after="0" w:line="133" w:lineRule="exact"/>
              <w:rPr>
                <w:sz w:val="20"/>
                <w:szCs w:val="20"/>
                <w:color w:val="auto"/>
              </w:rPr>
            </w:pPr>
            <w:r>
              <w:rPr>
                <w:rFonts w:ascii="Arial" w:cs="Arial" w:eastAsia="Arial" w:hAnsi="Arial"/>
                <w:sz w:val="14"/>
                <w:szCs w:val="14"/>
                <w:b w:val="1"/>
                <w:bCs w:val="1"/>
                <w:color w:val="auto"/>
                <w:w w:val="92"/>
              </w:rPr>
              <w:t>Increase /</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89"/>
              </w:rPr>
              <w:t>(Decrease)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3"/>
              </w:rPr>
              <w:t>,000)</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 ,000)</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 ,000)</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FF0FC"/>
            </w:tcBorders>
            <w:shd w:val="clear" w:color="auto" w:fill="000000"/>
          </w:tcPr>
          <w:p>
            <w:pPr>
              <w:spacing w:after="0" w:line="20" w:lineRule="exact"/>
              <w:rPr>
                <w:sz w:val="1"/>
                <w:szCs w:val="1"/>
                <w:color w:val="auto"/>
              </w:rPr>
            </w:pPr>
          </w:p>
        </w:tc>
        <w:tc>
          <w:tcPr>
            <w:tcW w:w="248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Company-operated restaurant revenue</w:t>
            </w:r>
          </w:p>
        </w:tc>
        <w:tc>
          <w:tcPr>
            <w:tcW w:w="4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89,738</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82,986</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Franchise revenue</w:t>
            </w:r>
          </w:p>
        </w:tc>
        <w:tc>
          <w:tcPr>
            <w:tcW w:w="4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6,078</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95,816</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88,870</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6,946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Cost of operations</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Food and paper costs</w:t>
            </w:r>
            <w:r>
              <w:rPr>
                <w:rFonts w:ascii="Arial" w:cs="Arial" w:eastAsia="Arial" w:hAnsi="Arial"/>
                <w:sz w:val="15"/>
                <w:szCs w:val="15"/>
                <w:color w:val="auto"/>
              </w:rPr>
              <w:t>(1)</w:t>
            </w:r>
          </w:p>
        </w:tc>
        <w:tc>
          <w:tcPr>
            <w:tcW w:w="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26,960</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Labor and related expenses</w:t>
            </w:r>
            <w:r>
              <w:rPr>
                <w:rFonts w:ascii="Arial" w:cs="Arial" w:eastAsia="Arial" w:hAnsi="Arial"/>
                <w:sz w:val="15"/>
                <w:szCs w:val="15"/>
                <w:color w:val="auto"/>
              </w:rPr>
              <w:t>(1)</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24,455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20,822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Occupancy and other operating expenses</w:t>
            </w:r>
            <w:r>
              <w:rPr>
                <w:rFonts w:ascii="Arial" w:cs="Arial" w:eastAsia="Arial" w:hAnsi="Arial"/>
                <w:sz w:val="15"/>
                <w:szCs w:val="15"/>
                <w:color w:val="auto"/>
              </w:rPr>
              <w:t>(1)</w:t>
            </w:r>
          </w:p>
        </w:tc>
        <w:tc>
          <w:tcPr>
            <w:tcW w:w="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20,071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18,207</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Gain on recovery of insurance proceeds, lost profit</w:t>
            </w:r>
            <w:r>
              <w:rPr>
                <w:rFonts w:ascii="Arial" w:cs="Arial" w:eastAsia="Arial" w:hAnsi="Arial"/>
                <w:sz w:val="15"/>
                <w:szCs w:val="15"/>
                <w:color w:val="auto"/>
              </w:rPr>
              <w:t>(1)</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2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Company restaurant expenses</w:t>
            </w:r>
            <w:r>
              <w:rPr>
                <w:rFonts w:ascii="Arial" w:cs="Arial" w:eastAsia="Arial" w:hAnsi="Arial"/>
                <w:sz w:val="15"/>
                <w:szCs w:val="15"/>
                <w:b w:val="1"/>
                <w:bCs w:val="1"/>
                <w:color w:val="auto"/>
              </w:rPr>
              <w:t>(1)</w:t>
            </w:r>
          </w:p>
        </w:tc>
        <w:tc>
          <w:tcPr>
            <w:tcW w:w="4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70,984</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65,400</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5,584</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8,252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6,316</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Franchise expenses</w:t>
            </w:r>
          </w:p>
        </w:tc>
        <w:tc>
          <w:tcPr>
            <w:tcW w:w="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4,074</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3,278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disposal of assets</w:t>
            </w:r>
          </w:p>
        </w:tc>
        <w:tc>
          <w:tcPr>
            <w:tcW w:w="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(203)</w:t>
            </w:r>
          </w:p>
        </w:tc>
        <w:tc>
          <w:tcPr>
            <w:tcW w:w="2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Expenses related to fire loss</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recovery of insurance proceeds</w:t>
            </w:r>
          </w:p>
        </w:tc>
        <w:tc>
          <w:tcPr>
            <w:tcW w:w="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Asset impairment and closed-store reserves</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2,490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expenses</w:t>
            </w:r>
          </w:p>
        </w:tc>
        <w:tc>
          <w:tcPr>
            <w:tcW w:w="4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86,803</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76,343</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10,460</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Loss on disposition of restaurants</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w:t>
            </w:r>
          </w:p>
        </w:tc>
        <w:tc>
          <w:tcPr>
            <w:tcW w:w="90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4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9,008</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12,527</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(3,519)</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receivable agreement expense</w:t>
            </w:r>
          </w:p>
        </w:tc>
        <w:tc>
          <w:tcPr>
            <w:tcW w:w="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(364)</w:t>
            </w:r>
          </w:p>
        </w:tc>
        <w:tc>
          <w:tcPr>
            <w:tcW w:w="2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4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8,041</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11,171</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(3,130)</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6,505</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(3,675)</w:t>
            </w:r>
          </w:p>
        </w:tc>
        <w:tc>
          <w:tcPr>
            <w:tcW w:w="2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5,211</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4,666</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120" w:hanging="512"/>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operating results for the thirty-nine weeks ended September 28, 2016 and September 30, 2015, in absolute terms, and expressed as percentages of total revenue, with the exception of cost of operations and company restaurant expenses, which are expressed as a percentage of company-operated restaurant revenue, are compared below.</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Thirty-Nine Weeks Ended</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September 28, 2016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Pr>
          <w:p>
            <w:pPr>
              <w:spacing w:after="0"/>
              <w:rPr>
                <w:sz w:val="11"/>
                <w:szCs w:val="11"/>
                <w:color w:val="auto"/>
              </w:rPr>
            </w:pPr>
          </w:p>
        </w:tc>
        <w:tc>
          <w:tcPr>
            <w:tcW w:w="1220" w:type="dxa"/>
            <w:vAlign w:val="bottom"/>
            <w:gridSpan w:val="3"/>
          </w:tcPr>
          <w:p>
            <w:pPr>
              <w:jc w:val="center"/>
              <w:ind w:left="412"/>
              <w:spacing w:after="0" w:line="133" w:lineRule="exact"/>
              <w:rPr>
                <w:sz w:val="20"/>
                <w:szCs w:val="20"/>
                <w:color w:val="auto"/>
              </w:rPr>
            </w:pPr>
            <w:r>
              <w:rPr>
                <w:rFonts w:ascii="Arial" w:cs="Arial" w:eastAsia="Arial" w:hAnsi="Arial"/>
                <w:sz w:val="14"/>
                <w:szCs w:val="14"/>
                <w:b w:val="1"/>
                <w:bCs w:val="1"/>
                <w:color w:val="auto"/>
                <w:w w:val="92"/>
              </w:rPr>
              <w:t>Increase /</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89"/>
              </w:rPr>
              <w:t>(Decrease)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 ,000)</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,000)</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 ,000)</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FF0FC"/>
            </w:tcBorders>
            <w:shd w:val="clear" w:color="auto" w:fill="000000"/>
          </w:tcPr>
          <w:p>
            <w:pPr>
              <w:spacing w:after="0" w:line="20" w:lineRule="exact"/>
              <w:rPr>
                <w:sz w:val="1"/>
                <w:szCs w:val="1"/>
                <w:color w:val="auto"/>
              </w:rPr>
            </w:pPr>
          </w:p>
        </w:tc>
        <w:tc>
          <w:tcPr>
            <w:tcW w:w="248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Company-operated restaurant revenue</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268,984</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251,295</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Franchise revenue</w:t>
            </w:r>
          </w:p>
        </w:tc>
        <w:tc>
          <w:tcPr>
            <w:tcW w:w="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18,660</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17,456</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287,644</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268,751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18,893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Cost of operations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Food and paper costs</w:t>
            </w:r>
            <w:r>
              <w:rPr>
                <w:rFonts w:ascii="Arial" w:cs="Arial" w:eastAsia="Arial" w:hAnsi="Arial"/>
                <w:sz w:val="15"/>
                <w:szCs w:val="15"/>
                <w:color w:val="auto"/>
              </w:rPr>
              <w:t>(1)</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80,760</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80,549</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Labor and related expenses</w:t>
            </w:r>
            <w:r>
              <w:rPr>
                <w:rFonts w:ascii="Arial" w:cs="Arial" w:eastAsia="Arial" w:hAnsi="Arial"/>
                <w:sz w:val="15"/>
                <w:szCs w:val="15"/>
                <w:color w:val="auto"/>
              </w:rPr>
              <w:t>(1)</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73,323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63,493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9,830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Occupancy and other operating expenses</w:t>
            </w:r>
            <w:r>
              <w:rPr>
                <w:rFonts w:ascii="Arial" w:cs="Arial" w:eastAsia="Arial" w:hAnsi="Arial"/>
                <w:sz w:val="15"/>
                <w:szCs w:val="15"/>
                <w:color w:val="auto"/>
              </w:rPr>
              <w:t>(1)</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58,401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52,732</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Gain on recovery of insurance proceeds, lost profit</w:t>
            </w:r>
            <w:r>
              <w:rPr>
                <w:rFonts w:ascii="Arial" w:cs="Arial" w:eastAsia="Arial" w:hAnsi="Arial"/>
                <w:sz w:val="15"/>
                <w:szCs w:val="15"/>
                <w:color w:val="auto"/>
              </w:rPr>
              <w:t>(1)</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2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Company restaurant expenses</w:t>
            </w:r>
            <w:r>
              <w:rPr>
                <w:rFonts w:ascii="Arial" w:cs="Arial" w:eastAsia="Arial" w:hAnsi="Arial"/>
                <w:sz w:val="15"/>
                <w:szCs w:val="15"/>
                <w:b w:val="1"/>
                <w:bCs w:val="1"/>
                <w:color w:val="auto"/>
              </w:rPr>
              <w:t>(1)</w:t>
            </w:r>
          </w:p>
        </w:tc>
        <w:tc>
          <w:tcPr>
            <w:tcW w:w="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211,982</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196,774</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15,208</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25,776</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20,206</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5,570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Franchise expenses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2,960</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11,796</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9,624</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disposal of assets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Expenses related to fire loss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recovery of insurance proceeds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(741)</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(741)</w:t>
            </w: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Asset impairment and closed-store reserves</w:t>
            </w:r>
          </w:p>
        </w:tc>
        <w:tc>
          <w:tcPr>
            <w:tcW w:w="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10,833.3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expenses</w:t>
            </w:r>
          </w:p>
        </w:tc>
        <w:tc>
          <w:tcPr>
            <w:tcW w:w="4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254,969</w:t>
            </w:r>
          </w:p>
        </w:tc>
        <w:tc>
          <w:tcPr>
            <w:tcW w:w="2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229,675</w:t>
            </w:r>
          </w:p>
        </w:tc>
        <w:tc>
          <w:tcPr>
            <w:tcW w:w="2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85.5</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25,294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Gain on sale of restaurants</w:t>
            </w:r>
          </w:p>
        </w:tc>
        <w:tc>
          <w:tcPr>
            <w:tcW w:w="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32,703</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39,076</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(6,373)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3,035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(594)</w:t>
            </w:r>
          </w:p>
        </w:tc>
        <w:tc>
          <w:tcPr>
            <w:tcW w:w="2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 related to selling shareholders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Income tax receivable agreement expense</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(611)</w:t>
            </w:r>
          </w:p>
        </w:tc>
        <w:tc>
          <w:tcPr>
            <w:tcW w:w="2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29,851</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34,969</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(5,118)</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11,930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16,281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(4,351)</w:t>
            </w:r>
          </w:p>
        </w:tc>
        <w:tc>
          <w:tcPr>
            <w:tcW w:w="2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17,921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18,688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120" w:hanging="512"/>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the quarter, company-operated restaurant revenue increased $6.8 million, or 8.1%, from the comparable period in the prior year. The growth in company-operated restaurant sales was due to $6.7 million of additional non-comparable restaurant sales primarily from twenty-two new restaurants opened during or after the prior year quarter and a $1.2 million increase resulting from a 1.4% increase in company-operated comparable restaurant sales. These increases were partially offset by two units closed and one unit sold to a franchisee in fiscal 2016. The company-operated comparable restaurant sales increase consisted of an increase average check size of 1.4% and traffic equal to the prior year quarter.</w:t>
      </w:r>
    </w:p>
    <w:p>
      <w:pPr>
        <w:spacing w:after="0" w:line="173" w:lineRule="exact"/>
        <w:rPr>
          <w:sz w:val="20"/>
          <w:szCs w:val="20"/>
          <w:color w:val="auto"/>
        </w:rPr>
      </w:pPr>
    </w:p>
    <w:p>
      <w:pPr>
        <w:jc w:val="both"/>
        <w:ind w:right="160"/>
        <w:spacing w:after="0" w:line="276" w:lineRule="auto"/>
        <w:rPr>
          <w:sz w:val="20"/>
          <w:szCs w:val="20"/>
          <w:color w:val="auto"/>
        </w:rPr>
      </w:pPr>
      <w:r>
        <w:rPr>
          <w:rFonts w:ascii="Arial" w:cs="Arial" w:eastAsia="Arial" w:hAnsi="Arial"/>
          <w:sz w:val="17"/>
          <w:szCs w:val="17"/>
          <w:color w:val="auto"/>
        </w:rPr>
        <w:t>Year-to-date, company-operated restaurant revenue increased $17.7 million, or 7.0%, from the comparable period in the prior year. The growth in company-operated comparable restaurant sales was due to $18.4 million of additional non-comparable restaurant sales primarily from the twenty-two new restaurants opened during or after the prior year quarter. Year-to-date, company-operated comparable restaurant sales grew $2.3 million, or 0.9%. These increases were partially offset by two units closed and one unit sold to a franchisee in fiscal 2016. The growth in company-operated comparable restaurant sales was due to an increase in traffic of 0.6%, and an increase in average check size of 0.3%, year-over-year.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Revenue</w:t>
      </w:r>
    </w:p>
    <w:p>
      <w:pPr>
        <w:spacing w:after="0" w:line="117"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For the quarter, franchise revenue increased $0.2 million, or 3.3%, from the comparable period in the prior year. This increase was due to a $0.3 million increase in royalties from franchised comparable restaurant sales growth of 1.8% and ten new franchised restaurants opened during or after the prior year quarter, partially offset by a $0.1 million decrease in franchise fees received from franchised restaurants related to their use of our point-of-sales system.</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Year-to-date, franchise revenue increased $1.2 million, or 6.9%, from the comparable period in the prior year. This increase was due to a $1.0 million increase in royalties from franchised comparable restaurant sales growth of 2.1% and the new franchise-operated restaurants opened in fiscal 2015 and 2016 and a $0.4 million increase in fees received from franchised restaurants related to their use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9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of our point-of-sales system. These increases were partially offset by a $0.2 million reduction in franchise renewal and development fees.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For the quarter, food and paper costs increased $0.6 million, or 2.2%, from the comparable period in the prior year, due to a $0.5 million increase in food costs and a $0.1 million increase in paper costs. Year-to-date, food and paper costs increased $0.2 million, or 0.3%, from the comparable period in the prior year, due to a $0.1 million decrease in food costs and a $0.3 million increase in paper costs. The increases in food and paper costs, for the quarter and year-to-date periods, resulted primarily from higher restaurant revenue partially offset by lower commodity costs related to chicken.</w:t>
      </w:r>
    </w:p>
    <w:p>
      <w:pPr>
        <w:spacing w:after="0" w:line="17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For the quarter, food and paper costs as a percentage of company-operated restaurant revenue were 30.0%, from 31.8% in the comparable period of the prior year. Year-to-date, food and paper costs as a percentage of company-operated restaurant revenue were 30.0%, from 32.1% in the comparable period of the prior year. The percentage decrease for the quarter and year-to-date periods was due primarily to the lower commodity costs, noted above.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For the quarter, payroll and benefit expenses increased $3.6 million, or 17.4%, from the comparable period in the prior year. Year-to-date, payroll and benefit expenses increased $9.8 million, or 15.5%, from the comparable period in the prior year. The quarter and year-to-date increases were due primarily to increased labor costs resulting from the opening of new restaurants in fiscal 2015 and 2016, and the impact of the minimum wage increases in California in January 2016 and Los Angeles in July 2016. These increases were partially offset by lower worker’s compensation costs due to lower claims activity.</w:t>
      </w:r>
    </w:p>
    <w:p>
      <w:pPr>
        <w:spacing w:after="0" w:line="15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the quarter, payroll and benefit expenses as a percentage of company-operated restaurant revenue were 27.3%, from 25.1% in the comparable period in the prior year. Year-to-date, payroll and benefit expenses as a percentage of company-operated restaurant revenue were 27.3%, from 25.3% in the comparable period in the prior year. The percentage increases, for the quarter and year-to-date periods, were due primarily to the increase in the labor costs noted above and the impact of the incremental labor required for 12 new restaurants opened in the third and fourth quarters of 2015 and ten new restaurants opened in the thirty-nine weeks ended September 28, 2016, partially offset by the lower worker’s compensation expense.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and Other Operating Expenses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For the quarter, occupancy and other operating expenses increased $1.9 million, or 10.2%, from the comparable period of the prior year. Year-to-date, occupancy and other operating expenses increased $5.7 million, or 10.8%, from the comparable period of the prior year. The increases for the quarter and year-to-date periods were due primarily to a $0.5 million and $2.0 million, respective increase in occupancy costs, due primarily to additional rent, as a result of new restaurants opened in fiscal 2015 and the thirty-nine weeks ended September 28, 2016 and a $1.4 million and $3.7 million, respective increase in other operating expenses, resulting primarily from the new restaurants opened in 2015 and 2016 and an increase in travel and restaurant security costs.</w:t>
      </w:r>
    </w:p>
    <w:p>
      <w:pPr>
        <w:spacing w:after="0" w:line="15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For the quarter, occupancy and other operating expenses as a percentage of company-operated restaurant revenue were 22.4%, from 21.9% in the comparable period of the prior year. Year-to-date, occupancy and other operating expenses as a percentage of company-operated restaurant revenue were 21.7%, from</w:t>
      </w:r>
    </w:p>
    <w:p>
      <w:pPr>
        <w:ind w:right="60"/>
        <w:spacing w:after="0" w:line="302" w:lineRule="auto"/>
        <w:rPr>
          <w:sz w:val="20"/>
          <w:szCs w:val="20"/>
          <w:color w:val="auto"/>
        </w:rPr>
      </w:pPr>
      <w:r>
        <w:rPr>
          <w:rFonts w:ascii="Arial" w:cs="Arial" w:eastAsia="Arial" w:hAnsi="Arial"/>
          <w:sz w:val="16"/>
          <w:szCs w:val="16"/>
          <w:color w:val="auto"/>
        </w:rPr>
        <w:t>21.0% in the comparable period of the prior year. This increase resulted primarily from (i) rent expense on new restaurant leases and the renewal of leases on our existing restaurants and the accounting treatment to straight line the rental increases over the lease term, (ii) the increase in travel and restaurant security costs and (iii) incremental costs related to opening new restaurants in the fourth quarter of 2015 and the thirty-nine weeks ended September 28, 2016.</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the quarter, general and administrative expenses increased $1.9 million, or 30.7%, from the comparable period in the prior year. Year-to-date, general and administrative expenses increased $5.6 million, or 27.6%, from the comparable period in the prior year. The increases for the quarter and year-to-date periods were due primarily to (i) a $1.0 million and $1.8 million, respective increase in payroll expense, due primarily to an increase in corporate employees, and a higher accrual related to the Company’s annual bonus program, (ii) a $0.2 million and $2.3 million, respective increase in legal expense related primarily to the securities class action litigation, (iii) a $0.7 million and $1.3 million, respective increase in restaurant pre-opening costs, (iv) a $0.2 million and $1.0 million, respective increase in travel and other professional fees and (v) a $0.1 million and $0.4 million, respective increase in dead site costs due to legal costs related to new restaurant locations that the Company chose not to continue to pursue. For the year-to-date period, these increases were partially offset by the capitalization of internal costs related to site selection and construction activities and for the quarter and year-to-date periods were partially offset by lower stock option related expenses.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right="100"/>
        <w:spacing w:after="0" w:line="297" w:lineRule="auto"/>
        <w:rPr>
          <w:sz w:val="20"/>
          <w:szCs w:val="20"/>
          <w:color w:val="auto"/>
        </w:rPr>
      </w:pPr>
      <w:r>
        <w:rPr>
          <w:rFonts w:ascii="Arial" w:cs="Arial" w:eastAsia="Arial" w:hAnsi="Arial"/>
          <w:sz w:val="16"/>
          <w:szCs w:val="16"/>
          <w:color w:val="auto"/>
        </w:rPr>
        <w:t>For the quarter, general and administrative expenses as a percentage of total revenue were 8.6%, from 7.1% in the comparable period of the prior year. Year-to-date, general and administrative expenses as a percentage of total revenue were 9.0%, from 7.5% in the comparable period of the prior year. The percentage increases for the quarter and year-to-date periods were due primarily to (i) a 0.5% and 0.8%, respective increase in legal expense related to the securities class action litigation, (ii) a 0.7% and 0.4%, respective increase in restaurant pre-opening costs and (iii) the increase in other general and administrative costs, noted above. These increases were partially offset by higher total revenue for the quarter and year-to-date periods.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Recovery of Insurance Proceeds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November 2015, one of the Company’s restaurants incurred damage resulting from a fire. During the thirty-nine weeks ended September 28, 2016, we incurred costs directly related to the fire of $48,000, disposed of an additional $87,000 of assets and recognized gains of $741,000, related to the reimbursement of property and equipment and expenses incurred and $502,000 related to the reimbursement of lost profits. The reimbursement of lost profits is included in the accompanying consolidated statement of operations, for the thirteen and thirty-nine weeks ended September 28, 2016, as a reduction of company restaurant expenses. The Company received from the insurance company cash of $1,000,000 during the thirty-nine weeks ended September 28, 2016 and $354,000 on October 5, 2016. In 2015, the Company disposed of $111,000 of assets related to the fire. The restaurant was reopened for business on March 14, 2016.</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During the thirteen weeks ended September 28, 2016, the Company determined that the carrying value of the assets of two restaurants, in Arizona and Texas, may not be recoverable. As a result, the Company recorded a $2.4 million expense related to the impairment of the assets of the two restaurants. The Company continues to monitor the recoverability of the carrying value of the assets of several other restaurants, opened in 2015 in Texas.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Restaurants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June 16, 2016, we completed an agreement to sell one company-operated restaurant in Tucson, Arizona to a franchisee, resulting in cash proceeds of $1.5 million and a net gain of $28,000, which is recorded as a gain on disposition of restaurants in the accompanying Consolidated Statement of Operations. This restaurant is now included in our franchised restaurant totals.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For the quarter, interest expense, net, was comparable to the comparable period of the prior year. Year-to-date, interest expense, net, deceased $0.6 million from the comparable period of the prior year. This decrease was due primarily to pre-payments on the 2014 Revolver reducing our outstanding balance to $107.0 million as of September 28, 2016 compared to an outstanding balance of $125.0 million as of September 30, 2015.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Related to Selling Shareholders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second quarter of 2015, LLC, our largest shareholder, which was at that time our majority shareholder, sold 5.4 million shares of common stock in a block trade to various investors, pursuant to Rule 144 under the Securities Act. LLC owns stock in us not registered under the Securities Act. Under our stockholders agreement, LLC may require us to register stock in us that it owns, under the Securities Act. In that event, we are responsible for all registration expenses. In lieu of LLC’s exercise of its registration rights, we agreed to bear the expenses incident to LLC’s sale of these shares using Rule 144. As a result of this transaction, we incurred $0.1 million in professional fees.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Receivable Agreement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For the quarter and year-to-date periods ended September 28, 2016, we recorded income tax receivable agreement expense of $0.2 million and $0.4 million, respectively, for the amortization of interest expense related to our total expected TRA payments.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the quarter and year-to-date periods ended September 28, 2016, we recorded an income tax provision of $2.8 million and $11.9 million, respectively, reflecting an estimated effective tax rate of 35.2% and 40.0%, respectively. For the quarter ended September 28, 2016, the lower effective tax rate reflects a year-to-date revision in the estimated 2016 tax rate, resulting from the 2015 tax returns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ind w:right="20"/>
        <w:spacing w:after="0" w:line="259" w:lineRule="auto"/>
        <w:rPr>
          <w:sz w:val="20"/>
          <w:szCs w:val="20"/>
          <w:color w:val="auto"/>
        </w:rPr>
      </w:pPr>
      <w:r>
        <w:rPr>
          <w:rFonts w:ascii="Arial" w:cs="Arial" w:eastAsia="Arial" w:hAnsi="Arial"/>
          <w:sz w:val="18"/>
          <w:szCs w:val="18"/>
          <w:color w:val="auto"/>
        </w:rPr>
        <w:t>filed and additional tax credits anticipated for 2016. For the quarter and year-to-date periods ended September 30, 2015, we recorded an income tax provision of $6.5 million and $16.3 million, respectively, reflecting an estimated effective tax rate of approximately 58.2% and 46.6%, respectively. The quarter and year-to-date periods ended September 30, 2015, include a $1.9 million increase in the valuation allowance against our deferred tax asset resulting from certain tax credits that may not be realizable prior to the time the credits expire.</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primary sources of liquidity and capital resources have been cash provided from operations, cash and cash equivalents, and our secured revolving credit facility. Our primary requirements for liquidity and capital are new restaurants, existing restaurant capital investments (remodels and maintenance), interest payments on our debt, lease obligations, and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for them. Our restaurants do not require significant inventories or receivables. We believe that these sources of liquidity and capital are sufficient to finance our continued operations and expansion plans for at least the next 12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summary cash flow information for the periods indicated.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30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33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62"/>
        </w:trPr>
        <w:tc>
          <w:tcPr>
            <w:tcW w:w="1480" w:type="dxa"/>
            <w:vAlign w:val="bottom"/>
            <w:tcBorders>
              <w:bottom w:val="single" w:sz="8" w:color="auto"/>
            </w:tcBorders>
            <w:vMerge w:val="continue"/>
          </w:tcPr>
          <w:p>
            <w:pPr>
              <w:spacing w:after="0"/>
              <w:rPr>
                <w:sz w:val="14"/>
                <w:szCs w:val="14"/>
                <w:color w:val="auto"/>
              </w:rPr>
            </w:pPr>
          </w:p>
        </w:tc>
        <w:tc>
          <w:tcPr>
            <w:tcW w:w="3000" w:type="dxa"/>
            <w:vAlign w:val="bottom"/>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September 28, 2016</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3"/>
              </w:rPr>
              <w:t>September 30, 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4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provided (used) by</w:t>
            </w:r>
          </w:p>
        </w:tc>
        <w:tc>
          <w:tcPr>
            <w:tcW w:w="1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39,670</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43,421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(24,257)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(16,512)</w:t>
            </w:r>
          </w:p>
        </w:tc>
        <w:tc>
          <w:tcPr>
            <w:tcW w:w="0" w:type="dxa"/>
            <w:vAlign w:val="bottom"/>
          </w:tcPr>
          <w:p>
            <w:pPr>
              <w:spacing w:after="0"/>
              <w:rPr>
                <w:sz w:val="1"/>
                <w:szCs w:val="1"/>
                <w:color w:val="auto"/>
              </w:rPr>
            </w:pPr>
          </w:p>
        </w:tc>
      </w:tr>
      <w:tr>
        <w:trPr>
          <w:trHeight w:val="230"/>
        </w:trPr>
        <w:tc>
          <w:tcPr>
            <w:tcW w:w="448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(14,985)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(30,201)</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thirty-nine weeks ended September 28, 2016, net cash provided by operating activities decreased by approximately $3.8 million from the comparable period of the prior year. This was due primarily to the timing of payments related to advertising, legal payments related to the securities class action litigation and the cash payment of certain annual insurance premiums in 2016 versus financing these insurance costs in 2015. These increases were partially offset by lower interest payments, resulting primarily from lower debt balances.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For the thirty-nine weeks ended September 28, 2016, net cash used by investing activities increased by $7.7 million from the comparable period of the prior year. This was due primarily to opening ten new company restaurants in the thirty-nine weeks ended September 28, 2016 compared to three new restaurants opened in the thirty-nine weeks ended September 30, 2015.</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For the year ending December 28, 2016, we expect to incur capital expenditures of $37 million to $38 million, consisting of $26 to $27 million related to new restaurants, $4 million related to the remodeling of existing restaurants, and $7 million related to maintenance and other corporate capital expenditures.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the thirty-nine weeks ended September 28, 2016, net cash used by financing activities decreased by $15.2 million from the comparable period of the prior year. This was due primarily to the pre-payment of $16.0 million on the 2014 Revolver during the thirty-nine weeks ended September 28, 2016 compared to a pre-payment of $40.0 million for the thirty-nine weeks ended September 30, 2015 and the receipt of $4.1 million related to the exercise of stock options in the thirty-nine weeks ended September 30,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Agreement</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December 11, 2014, we refinanced our debt, with EPL, Intermediate, and Holdings entering into a credit agreement with Bank of America, N.A., as administrative agent, swingline lender, and letter of credit issuer, the lenders party thereto, and the other parties thereto, which provides for the 2014 Revolver. The 2014 Revolver includes a sub limit of $15 million for letters of credit and a sub</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p>
      <w:pPr>
        <w:ind w:right="140"/>
        <w:spacing w:after="0" w:line="277" w:lineRule="auto"/>
        <w:rPr>
          <w:sz w:val="20"/>
          <w:szCs w:val="20"/>
          <w:color w:val="auto"/>
        </w:rPr>
      </w:pPr>
      <w:r>
        <w:rPr>
          <w:rFonts w:ascii="Arial" w:cs="Arial" w:eastAsia="Arial" w:hAnsi="Arial"/>
          <w:sz w:val="18"/>
          <w:szCs w:val="18"/>
          <w:color w:val="auto"/>
        </w:rPr>
        <w:t>limit of $15 million for swingline loans. At September 28, 2016, $7.2 million of letters of credit were outstanding and $85.8 million was available to borrow under the revolving line of credit. The 2014 Revolver will mature on or about December 11, 2019.</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margin was initially set at 2.00% for LIBOR loans and at 1.00% for base rate loans until the delivery of financial statements and a compliance certificate for the first quarter of 2015. The interest rate range was 2.20% to 2.27% and 2.02% to 2.27% for the thirteen and thirty-nine weeks ended September 28, 2016, respectively.</w:t>
      </w:r>
    </w:p>
    <w:p>
      <w:pPr>
        <w:spacing w:after="0" w:line="17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We were in compliance with all such covenants at September 28, 2016.</w:t>
      </w:r>
    </w:p>
    <w:p>
      <w:pPr>
        <w:spacing w:after="0" w:line="154"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 million per year to repurchase or redeem qualified equity interests of Holdings held by past or present officers, directors, or employees (or their estates) of the Company upon death, disability, or termination of employment, (ii) pay under the TRA, and, (iii) so long as no default or event of default has occurred and is continuing,</w:t>
      </w:r>
    </w:p>
    <w:p>
      <w:pPr>
        <w:ind w:firstLine="8"/>
        <w:spacing w:after="0" w:line="281" w:lineRule="auto"/>
        <w:tabs>
          <w:tab w:leader="none" w:pos="2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 million in other restricted payments per year, and (d) make other restricted payments, provided that such payments would not cause, in each case, on a pro forma basis, (x) its lease-adjusted consolidated leverage ratio to equal or exceed 4.25 times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its consolidated fixed charge coverage ratio to be less than 1.75 times.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Arrangements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our credit agreements, we entered into two interest rate caps with Wells Fargo Bank, N.A. The first interest rate cap was for a notional amount of $30 million, with a cap rate of 3.00% based on 1 month USD LIBOR, which terminated on December 1, 2015. The second interest rate cap is for a notional amount of $120 million, with a cap rate of 3.00% based on 1 month USD LIBOR, terminating on December 1, 2016. As of September 28, 2016 and December 30, 2015, the amounts included in other assets in our condensed consolidated balance sheets, related to these interest rate caps, were not material to our financial position or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entered into new chicken purchasing contracts in the first quarter of 2016 with terms ranging from twelve to twenty-four months, resulting in an estimated commitment to purchase chicken of $13.4 million at September 28, 2016.</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With the exception noted above, our contractual commitments outstanding on September 28, 2016, have not changed materially since our annual report on Form 10-K for the year ended December 30, 2015. These relate to future (i) debt payments, including expected interest expense, calculated based on current interest rates, (ii) restaurant operating lease payments, (iii) income tax receivable agreement payments, and (iv) purchasing commitments for chicken and beverage.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and Other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28, 2016, we were using $7.2 million of borrowing capacity on the 2014 Revolver for letters of credit in support of our insurance programs.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exposed to market risk from changes in the interest rate on our debt, which bears interest at USD LIBOR plus a margin between 1.75% and 2.50%. As of September 28, 2016, we had outstanding borrowings of $107.0 million and another $7.2 million of letters of credit in support of our insurance programs. A 1.00% increase in the effective interest rate applied to these borrowings would result in a pre-tax interest expense increase of $1.1 million on an annualized basis.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9" w:name="page30"/>
    <w:bookmarkEnd w:id="29"/>
    <w:p>
      <w:pPr>
        <w:ind w:right="120"/>
        <w:spacing w:after="0" w:line="277" w:lineRule="auto"/>
        <w:rPr>
          <w:sz w:val="20"/>
          <w:szCs w:val="20"/>
          <w:color w:val="auto"/>
        </w:rPr>
      </w:pPr>
      <w:r>
        <w:rPr>
          <w:rFonts w:ascii="Arial" w:cs="Arial" w:eastAsia="Arial" w:hAnsi="Arial"/>
          <w:sz w:val="18"/>
          <w:szCs w:val="18"/>
          <w:color w:val="auto"/>
        </w:rPr>
        <w:t>We manage our interest rate risk through normal operating and financing activities and, when determined appropriate, through the use of derivative financial instruments.</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To mitigate exposure to fluctuations in interest rates, we entered into two interest rate caps as discussed above under “Management’s Discussion and Analysis of Financial Condition and Results of Operations—Liquidity and Capital Resources—Debt and Other Obligations—Hedging Arrangements.”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more information about labor costs, see Part II, Item 1A, “Risk Factors—If we or our franchisees face labor shortages or increased labor costs, our results of operations and growth could be adversely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by us in the reports that we file or submit under the Exchange Act is recorded, processed, summarized and reported, within the required time periods, and designed to ensure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as of the end of the period covered by this report.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change in our internal control over financial reporting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or about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parties have executed a Stipulation of Class Settlement and Release which has been submitted for court approval. Purported class actions alleging wage and hour violations are commonly filed against California employers, and we fully expect to have to defend against similar lawsuits in the future.</w:t>
      </w:r>
    </w:p>
    <w:p>
      <w:pPr>
        <w:spacing w:after="0" w:line="17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u w:val="single" w:color="auto"/>
          <w:color w:val="auto"/>
        </w:rPr>
        <w:t>Daniel Turocy, et al. v. El Pollo Loco Holdings, Inc., et al.</w:t>
      </w:r>
      <w:r>
        <w:rPr>
          <w:rFonts w:ascii="Arial" w:cs="Arial" w:eastAsia="Arial" w:hAnsi="Arial"/>
          <w:sz w:val="17"/>
          <w:szCs w:val="17"/>
          <w:color w:val="auto"/>
        </w:rPr>
        <w:t xml:space="preserve"> (Case No. 8:15-cv-01343) was filed in the United States District Court for the Central District of California on August 24, 2015, and </w:t>
      </w:r>
      <w:r>
        <w:rPr>
          <w:rFonts w:ascii="Arial" w:cs="Arial" w:eastAsia="Arial" w:hAnsi="Arial"/>
          <w:sz w:val="17"/>
          <w:szCs w:val="17"/>
          <w:u w:val="single" w:color="auto"/>
          <w:color w:val="auto"/>
        </w:rPr>
        <w:t>Ron Huston, et al. v. El Pollo Loco Holdings, Inc., et al.</w:t>
      </w:r>
      <w:r>
        <w:rPr>
          <w:rFonts w:ascii="Arial" w:cs="Arial" w:eastAsia="Arial" w:hAnsi="Arial"/>
          <w:sz w:val="17"/>
          <w:szCs w:val="17"/>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our menu, which resulted in a decrease in value-conscious store traffic.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 On July 25, 2016, the Court issued an order granting, without prejudice, Holdings’ Motion to Dismiss plaintiff’s complaint for failure to state a claim. Plaintiffs were granted leave to amend their complaint, and filed an amended complaint on August 22, 2016. Defendants intend to vigorously defend against the claims asserted.</w:t>
      </w:r>
    </w:p>
    <w:p>
      <w:pPr>
        <w:spacing w:after="0" w:line="19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addition, on September 16, 2015, Holdings and certain of its officers and directors received an informal, non-public inquiry from the SEC requesting voluntary production of documents and information. All parties cooperated fully with the SEC's request. On July 15, 2016, Holdings was informed that the SEC was closing its inquiry as to all parties.</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On or about November 5, 2015, a purported Holdings shareholder filed a derivative complaint on behalf of Holdings in the Court of Chancery of the State of Delaware against certain Holdings officers, directors and Trimaran Pollo Partners, L.L.C.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8"/>
          <w:szCs w:val="18"/>
          <w:u w:val="single" w:color="auto"/>
          <w:color w:val="auto"/>
        </w:rPr>
        <w:t>Turocy v. El Pollo Loco Holdings, Inc., discussed above. A second purported Holdings shareholder filed a derivative complaint on or</w:t>
      </w:r>
      <w:r>
        <w:rPr>
          <w:rFonts w:ascii="Arial" w:cs="Arial" w:eastAsia="Arial" w:hAnsi="Arial"/>
          <w:sz w:val="18"/>
          <w:szCs w:val="18"/>
          <w:color w:val="auto"/>
        </w:rPr>
        <w:t xml:space="preserve"> </w:t>
      </w:r>
      <w:r>
        <w:rPr>
          <w:rFonts w:ascii="Arial" w:cs="Arial" w:eastAsia="Arial" w:hAnsi="Arial"/>
          <w:sz w:val="18"/>
          <w:szCs w:val="18"/>
          <w:u w:val="single" w:color="auto"/>
          <w:color w:val="auto"/>
        </w:rPr>
        <w:t>about September 23, 2016, allegedly on behalf of Holdings in the same venue naming the same defendants with substantially the same allegations arising from the same set of facts.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also involved in various other claims and legal actions that arise in the ordinary course of business. We do not believe that the ultimate resolution of these other actions will have a material adverse effect on our financial position, results of operations, liquidity, or capital resources. A significant increase in the number of claims, or an increase in amounts owing under successful claims, could materially and adversely affect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30, 2015, except for the risk factor that follows, which is revised and restated in its entirety.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i w:val="1"/>
          <w:iCs w:val="1"/>
          <w:color w:val="auto"/>
        </w:rPr>
        <w:t>If we or our franchisees face labor shortages or increased labor costs, our results of operations and growth could be adversely affected.</w:t>
      </w:r>
    </w:p>
    <w:p>
      <w:pPr>
        <w:spacing w:after="0" w:line="1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Labor is a primary component in the cost of operating our company-operated and franchised restaurants. If we or our franchisees face labor shortages or increased labor costs, because of increased competition for employees, higher employee-turnover rates, unionization of restaurant workers, or increases in federal, state, or local minimum wages or in other employee benefits costs (including costs associated with health insurance coverage or workers’ compensation insurance), our and our franchisees’ operating expenses could increase, and our growth could be adversely affected.</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a substantial number of hourly employees who are paid wage rates at or based on the applicable federal, state, or local minimum wage, and increases in the minimum wage will increase our labor costs and the labor costs of our franchisees.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federal minimum wage has been $7.25 per hour since July 24, 2009.</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Since January 1, 2016, the State of California (where most of our restaurants are located) has had a minimum wage of $10.00 per hour. From January 1, 2008, to June 30, 2014, it had been $8.00 per hour, and from July 1, 2014, to December 31, 2015, it had been $9.00 per hour. It is scheduled to rise to (i) $10.50 per hour on January 1, 2017, (ii) $11.00 per hour on January 1, 2018, (iii) $12.00 per hour on January 1, 2019, (iv) $13.00 per hour on January 1, 2020, (v) $14.00 per hour on January 1, 2021, and (vi) $15.00 per hour on January 1, 2022, subject, in each case (except for the increase to $10.50 per hour), to the governor’s ability to pause any scheduled increase (“off-ramp” provisions) for one year if either economy or budget conditions are met. Initial determinations are to be made by the governor by August 1 of each year prior to a January increase. The governor makes the final determination by September 1. Thereafter, the state minimum wage is to be indexed annually for inflation.</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Local minimum wages may exceed or ramp up faster than state levels. In particular, the minimum wage in the City of Los Angeles and the unincorporated areas of the County of Los Angeles is scheduled to rise to $15.00 by July 1, 2020:</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On June 10, 2015, the Council of the City of Los Angeles passed an ordinance, which on June 13, 2015, was approved by the mayor, raising the minimum wage on the following schedule: (i) from July 1, 2016, $10.50, (ii) from July 1, 2017, $12.00, (iii) from July 1, 2018, $13.25, (iv) from July 1, 2019, $14.25,</w:t>
      </w:r>
    </w:p>
    <w:p>
      <w:pPr>
        <w:ind w:right="200" w:firstLine="8"/>
        <w:spacing w:after="0" w:line="255"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from July 1, 2020, $15.00, and (vi) from July 1, 2022, indexed to inflation. On September 29, 2015, the Board of Supervisors of the County of Los Angeles adopted an ordinance amending the Los Angeles County Code and establishing a countywide minimum wage covering unincorporated areas of the county following the same schedule.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Other municipalities in the County of Los Angeles and elsewhere have followed and may continue to follow. For example:</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January 19, 2016, the City Council of the City of Long Beach approved a plan to raise the minimum wage on the following schedule: (i) from January 1, 2017, $10.50, (ii) from January 1, 2018, $12.00, and (iii) from January 1, 2019, $13.00. Thereafter, pursuant to further study, the minimum wage for the City of Long Beach could rise to $14.00 in 2020 and $15.00 in 2021.</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2015, approximately 80% of our revenue came from company-operated and franchised restaurants in the greater Los Angeles area, including 12% from the City of Los Angeles, 43% from other incorporated cities in the County of Los Angeles, and 1% from unincorporated areas of the County of Los Angeles. Those restaurants that are not directly covered by these ordinances may be covered by future ordinances, may face competitive or political pressures to match these wage levels, or may suffer from any regional economic distress caused by these ordinances.</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Federally-mandated, state-mandated, or locally-mandated minimum wages may be further raised in the future. We may be unable to increase our menu prices in order to pass future increased labor costs on to our customers, in which case our margins would be negatively affected. Also, reduced margins of franchisees could make it more difficult to sell franchises. And if menu prices were increased by us and our franchisees to cover increased labor costs, the higher prices could adversely affect sales and thereby reduce our margins and the royalties that we receive from franchisees.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our success depends in part upon our and our franchisees’ ability to attract, motivate, and retain a sufficient number of well-qualified restaurant operators, management personnel, and other employees. Qualified individuals needed to fill these positions can be in short supply in some geographic areas. In addition, limited service restaurants have traditionally experienced relatively high employee turnover rates. Although we have not yet experienced any significant problems in recruiting or retaining employees, our and our franchisees’ inability to recruit and retain qualified individuals could delay planned openings of new restaurants or result in higher employee turnover in existing restaurants, which could increase our and our franchisees’ labor costs and have a material adverse effect on our business, financial condition, results of operations, and cash flows. If we or our franchisees are unable to recruit and retain sufficiently qualified individuals, our business and our growth could be adversely affected. Competition for qualified employees could require us or our franchisees to pay higher wages, which could also result in higher labor costs.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2" w:name="page33"/>
    <w:bookmarkEnd w:id="32"/>
    <w:p>
      <w:pPr>
        <w:ind w:right="420"/>
        <w:spacing w:after="0" w:line="375" w:lineRule="auto"/>
        <w:rPr>
          <w:sz w:val="20"/>
          <w:szCs w:val="20"/>
          <w:color w:val="auto"/>
        </w:rPr>
      </w:pPr>
      <w:r>
        <w:rPr>
          <w:rFonts w:ascii="Arial" w:cs="Arial" w:eastAsia="Arial" w:hAnsi="Arial"/>
          <w:sz w:val="15"/>
          <w:szCs w:val="15"/>
          <w:b w:val="1"/>
          <w:bCs w:val="1"/>
          <w:i w:val="1"/>
          <w:iCs w:val="1"/>
          <w:color w:val="auto"/>
        </w:rPr>
        <w:t>Our growth strategy depends in part on opening new restaurants in existing and new markets and expanding our franchise system. We may be unsuccessful in opening new company-operated or franchised restaurants or in establishing new markets, which could adversely affect our growth.</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One of the key means to achieving our growth strategy is and will be through opening new restaurants and operating those restaurants on a profitable basis. We opened 14 new company-operated restaurants in fiscal 2015 and plan to open an estimated 17 to 18 in fiscal 2016. Our franchisees opened five new restaurants in fiscal 2015 and plan to open 11 to 12 in fiscal 2016. The ability to open new restaurants is dependent upon a number of factors, many of which are beyond our control, including our and our franchisees’ abilities to:</w:t>
      </w:r>
    </w:p>
    <w:p>
      <w:pPr>
        <w:spacing w:after="0" w:line="187" w:lineRule="exact"/>
        <w:rPr>
          <w:sz w:val="20"/>
          <w:szCs w:val="20"/>
          <w:color w:val="auto"/>
        </w:rPr>
      </w:pP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available and suitable restaurant sites;</w:t>
      </w:r>
    </w:p>
    <w:p>
      <w:pPr>
        <w:spacing w:after="0" w:line="225" w:lineRule="exact"/>
        <w:rPr>
          <w:rFonts w:ascii="Arial" w:cs="Arial" w:eastAsia="Arial" w:hAnsi="Arial"/>
          <w:sz w:val="18"/>
          <w:szCs w:val="18"/>
          <w:color w:val="auto"/>
        </w:rPr>
      </w:pP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compete for restaurant sites;</w:t>
      </w:r>
    </w:p>
    <w:p>
      <w:pPr>
        <w:spacing w:after="0" w:line="225" w:lineRule="exact"/>
        <w:rPr>
          <w:rFonts w:ascii="Arial" w:cs="Arial" w:eastAsia="Arial" w:hAnsi="Arial"/>
          <w:sz w:val="18"/>
          <w:szCs w:val="18"/>
          <w:color w:val="auto"/>
        </w:rPr>
      </w:pP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reach acceptable agreements regarding the lease or purchase of locations;</w:t>
      </w:r>
    </w:p>
    <w:p>
      <w:pPr>
        <w:spacing w:after="0" w:line="225" w:lineRule="exact"/>
        <w:rPr>
          <w:rFonts w:ascii="Arial" w:cs="Arial" w:eastAsia="Arial" w:hAnsi="Arial"/>
          <w:sz w:val="18"/>
          <w:szCs w:val="18"/>
          <w:color w:val="auto"/>
        </w:rPr>
      </w:pP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or have available the financing required to acquire and operate a restaurant, including construction and opening costs;</w:t>
      </w:r>
    </w:p>
    <w:p>
      <w:pPr>
        <w:spacing w:after="0" w:line="225" w:lineRule="exact"/>
        <w:rPr>
          <w:rFonts w:ascii="Arial" w:cs="Arial" w:eastAsia="Arial" w:hAnsi="Arial"/>
          <w:sz w:val="18"/>
          <w:szCs w:val="18"/>
          <w:color w:val="auto"/>
        </w:rPr>
      </w:pP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to unforeseen engineering or environmental problems with leased premises;</w:t>
      </w:r>
    </w:p>
    <w:p>
      <w:pPr>
        <w:spacing w:after="0" w:line="225" w:lineRule="exact"/>
        <w:rPr>
          <w:rFonts w:ascii="Arial" w:cs="Arial" w:eastAsia="Arial" w:hAnsi="Arial"/>
          <w:sz w:val="18"/>
          <w:szCs w:val="18"/>
          <w:color w:val="auto"/>
        </w:rPr>
      </w:pP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avoid the impact of inclement weather and natural and man-made disasters;</w:t>
      </w:r>
    </w:p>
    <w:p>
      <w:pPr>
        <w:spacing w:after="0" w:line="225" w:lineRule="exact"/>
        <w:rPr>
          <w:rFonts w:ascii="Arial" w:cs="Arial" w:eastAsia="Arial" w:hAnsi="Arial"/>
          <w:sz w:val="18"/>
          <w:szCs w:val="18"/>
          <w:color w:val="auto"/>
        </w:rPr>
      </w:pP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train, and retain the skilled management and other employees necessary to meet staffing needs;</w:t>
      </w:r>
    </w:p>
    <w:p>
      <w:pPr>
        <w:spacing w:after="0" w:line="225" w:lineRule="exact"/>
        <w:rPr>
          <w:rFonts w:ascii="Arial" w:cs="Arial" w:eastAsia="Arial" w:hAnsi="Arial"/>
          <w:sz w:val="18"/>
          <w:szCs w:val="18"/>
          <w:color w:val="auto"/>
        </w:rPr>
      </w:pP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in a timely manner and for an acceptable cost, required licenses, permits, and regulatory approvals;</w:t>
      </w:r>
    </w:p>
    <w:p>
      <w:pPr>
        <w:spacing w:after="0" w:line="225" w:lineRule="exact"/>
        <w:rPr>
          <w:rFonts w:ascii="Arial" w:cs="Arial" w:eastAsia="Arial" w:hAnsi="Arial"/>
          <w:sz w:val="18"/>
          <w:szCs w:val="18"/>
          <w:color w:val="auto"/>
        </w:rPr>
      </w:pPr>
    </w:p>
    <w:p>
      <w:pPr>
        <w:ind w:left="760" w:right="40" w:hanging="752"/>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effectively to any changes in local, state, and federal law and regulations that adversely affect our and our franchisees’ costs or abilities to open new restaurants; and</w:t>
      </w:r>
    </w:p>
    <w:p>
      <w:pPr>
        <w:spacing w:after="0" w:line="170" w:lineRule="exact"/>
        <w:rPr>
          <w:rFonts w:ascii="Arial" w:cs="Arial" w:eastAsia="Arial" w:hAnsi="Arial"/>
          <w:sz w:val="18"/>
          <w:szCs w:val="18"/>
          <w:color w:val="auto"/>
        </w:rPr>
      </w:pP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control construction and equipment cost increases for new restaurants.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There is no guarantee that a sufficient number of suitable restaurant sites will be available in desirable areas or on terms that are acceptable to us in order to achieve our growth plan. If we are unable to open new restaurants or sign new franchisees, or if restaurant openings are significantly delayed, our earnings or revenue growth and our business could be materially and adversely affected, as we expect a portion of our growth to come from new locations.</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part of our longer-term growth strategy, we may enter into geographic markets in which we have little or no prior operating or franchising experience, through company-operated restaurant growth and franchise development agreements. The challenges of entering new markets include (i) difficulties in hiring experienced personnel, (ii) unfamiliarity with local real estate markets and demographics, (iii) consumer unfamiliarity with our brand, and (iv) competitive and economic conditions, consumer tastes, and discretionary spending patterns that are different from and more difficult to predict or satisfy than in our existing markets. Consumer recognition of our brand has been important for our success in our existing markets. In addition, restaurants that we open in new markets may take longer to reach expected sales and profit levels on a consistent basis, and may have higher construction, occupancy, and operating costs, than restaurants that we open in existing markets, thereby affecting our overall profitability. Any failure on our part to recognize or respond to these challenges may adversely affect the success of any new restaurants. Expanding our franchise system could require the implementation, expense, and successful management of enhanced business support systems, management information systems, and financial controls, as well as additional staffing, franchise support, and capital expenditures and working capital.</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the end of fiscal 2009, we had 21 system-wide restaurants, all originally developed by franchisees, open east of the Rocky Mountains. However, by 2012, all of these restaurants had been closed. We may encounter similar issues with our current growth strategy, which could materially and adversely affect our business, financial condition, results of operations, and cash flow.</w:t>
      </w:r>
    </w:p>
    <w:p>
      <w:pPr>
        <w:spacing w:after="0" w:line="18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Due to brand recognition and logistical synergies, as part of our growth strategy, we also intend to open new restaurants in areas where we have existing restaurants. The operating results and comparable restaurant sales for our restaurants could be adversely affected due to increasing proximity among our restaurants and due to market saturation.</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thirteen weeks ended September 28, 2016, we determined that the carrying value of the assets of two restaurants, in Arizona and Texas, may not be recoverable. As a result, we recorded a $2.4 million expense related to the impairment of the assets of</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the two restaurants. We continue to monitor the recoverability of the carrying value of the assets of several other restaurants, opened in 2015 in Texas.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10.28*</w:t>
            </w:r>
          </w:p>
        </w:tc>
        <w:tc>
          <w:tcPr>
            <w:tcW w:w="10220" w:type="dxa"/>
            <w:vAlign w:val="bottom"/>
          </w:tcPr>
          <w:p>
            <w:pPr>
              <w:ind w:left="160"/>
              <w:spacing w:after="0"/>
              <w:rPr>
                <w:sz w:val="20"/>
                <w:szCs w:val="20"/>
                <w:color w:val="auto"/>
              </w:rPr>
            </w:pPr>
            <w:r>
              <w:rPr>
                <w:rFonts w:ascii="Arial" w:cs="Arial" w:eastAsia="Arial" w:hAnsi="Arial"/>
                <w:sz w:val="18"/>
                <w:szCs w:val="18"/>
                <w:color w:val="auto"/>
              </w:rPr>
              <w:t>Form of Employee Restricted Share Agreement under 2014 Omnibus Equity Incentive Plan</w:t>
            </w: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220" w:type="dxa"/>
            <w:vAlign w:val="bottom"/>
          </w:tcPr>
          <w:p>
            <w:pPr>
              <w:ind w:left="160"/>
              <w:spacing w:after="0"/>
              <w:rPr>
                <w:sz w:val="20"/>
                <w:szCs w:val="20"/>
                <w:color w:val="auto"/>
              </w:rPr>
            </w:pPr>
            <w:r>
              <w:rPr>
                <w:rFonts w:ascii="Arial" w:cs="Arial" w:eastAsia="Arial" w:hAnsi="Arial"/>
                <w:sz w:val="18"/>
                <w:szCs w:val="18"/>
                <w:color w:val="auto"/>
              </w:rPr>
              <w:t>Certification of Principal Executive Officer under section 302 of the Sarbanes–Oxley Act of 2002</w:t>
            </w: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220" w:type="dxa"/>
            <w:vAlign w:val="bottom"/>
          </w:tcPr>
          <w:p>
            <w:pPr>
              <w:ind w:left="160"/>
              <w:spacing w:after="0"/>
              <w:rPr>
                <w:sz w:val="20"/>
                <w:szCs w:val="20"/>
                <w:color w:val="auto"/>
              </w:rPr>
            </w:pPr>
            <w:r>
              <w:rPr>
                <w:rFonts w:ascii="Arial" w:cs="Arial" w:eastAsia="Arial" w:hAnsi="Arial"/>
                <w:sz w:val="18"/>
                <w:szCs w:val="18"/>
                <w:color w:val="auto"/>
              </w:rPr>
              <w:t>Certification of Principal Financial Officer under section 302 of the Sarbanes–Oxley Act of 2002</w:t>
            </w:r>
          </w:p>
        </w:tc>
      </w:tr>
      <w:tr>
        <w:trPr>
          <w:trHeight w:val="323"/>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0220" w:type="dxa"/>
            <w:vAlign w:val="bottom"/>
          </w:tcPr>
          <w:p>
            <w:pPr>
              <w:ind w:left="160"/>
              <w:spacing w:after="0"/>
              <w:rPr>
                <w:sz w:val="20"/>
                <w:szCs w:val="20"/>
                <w:color w:val="auto"/>
              </w:rPr>
            </w:pPr>
            <w:r>
              <w:rPr>
                <w:rFonts w:ascii="Arial" w:cs="Arial" w:eastAsia="Arial" w:hAnsi="Arial"/>
                <w:sz w:val="18"/>
                <w:szCs w:val="18"/>
                <w:color w:val="auto"/>
                <w:w w:val="91"/>
              </w:rPr>
              <w:t>Certification of Chief Executive Officer and Chief Financial Officer under 18 U.S.C. section 1350, adopted by section 906 of the Sarbanes–</w:t>
            </w:r>
          </w:p>
        </w:tc>
      </w:tr>
      <w:tr>
        <w:trPr>
          <w:trHeight w:val="230"/>
        </w:trPr>
        <w:tc>
          <w:tcPr>
            <w:tcW w:w="840" w:type="dxa"/>
            <w:vAlign w:val="bottom"/>
          </w:tcPr>
          <w:p>
            <w:pPr>
              <w:spacing w:after="0"/>
              <w:rPr>
                <w:sz w:val="20"/>
                <w:szCs w:val="20"/>
                <w:color w:val="auto"/>
              </w:rPr>
            </w:pPr>
          </w:p>
        </w:tc>
        <w:tc>
          <w:tcPr>
            <w:tcW w:w="10220" w:type="dxa"/>
            <w:vAlign w:val="bottom"/>
          </w:tcPr>
          <w:p>
            <w:pPr>
              <w:ind w:left="160"/>
              <w:spacing w:after="0"/>
              <w:rPr>
                <w:sz w:val="20"/>
                <w:szCs w:val="20"/>
                <w:color w:val="auto"/>
              </w:rPr>
            </w:pPr>
            <w:r>
              <w:rPr>
                <w:rFonts w:ascii="Arial" w:cs="Arial" w:eastAsia="Arial" w:hAnsi="Arial"/>
                <w:sz w:val="18"/>
                <w:szCs w:val="18"/>
                <w:color w:val="auto"/>
              </w:rPr>
              <w:t>Oxley Act of 2002</w:t>
            </w: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07"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exhibit is a management contract or a compensatory plan or arrangement.</w:t>
      </w:r>
    </w:p>
    <w:p>
      <w:pPr>
        <w:spacing w:after="0" w:line="117" w:lineRule="exact"/>
        <w:rPr>
          <w:sz w:val="20"/>
          <w:szCs w:val="20"/>
          <w:color w:val="auto"/>
        </w:rPr>
      </w:pPr>
    </w:p>
    <w:p>
      <w:pPr>
        <w:ind w:left="520" w:hanging="512"/>
        <w:spacing w:after="0" w:line="286"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 Pollo Loco Holdings, Inc.</w:t>
            </w:r>
          </w:p>
        </w:tc>
      </w:tr>
      <w:tr>
        <w:trPr>
          <w:trHeight w:val="224"/>
        </w:trPr>
        <w:tc>
          <w:tcPr>
            <w:tcW w:w="63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45"/>
        </w:trPr>
        <w:tc>
          <w:tcPr>
            <w:tcW w:w="6320" w:type="dxa"/>
            <w:vAlign w:val="bottom"/>
          </w:tcPr>
          <w:p>
            <w:pPr>
              <w:spacing w:after="0"/>
              <w:rPr>
                <w:sz w:val="20"/>
                <w:szCs w:val="20"/>
                <w:color w:val="auto"/>
              </w:rPr>
            </w:pPr>
            <w:r>
              <w:rPr>
                <w:rFonts w:ascii="Arial" w:cs="Arial" w:eastAsia="Arial" w:hAnsi="Arial"/>
                <w:sz w:val="18"/>
                <w:szCs w:val="18"/>
                <w:color w:val="auto"/>
              </w:rPr>
              <w:t>November 4, 2016</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J. Sather</w:t>
            </w:r>
          </w:p>
        </w:tc>
      </w:tr>
      <w:tr>
        <w:trPr>
          <w:trHeight w:val="195"/>
        </w:trPr>
        <w:tc>
          <w:tcPr>
            <w:tcW w:w="6320" w:type="dxa"/>
            <w:vAlign w:val="bottom"/>
          </w:tcPr>
          <w:p>
            <w:pPr>
              <w:ind w:left="540"/>
              <w:spacing w:after="0" w:line="195" w:lineRule="exact"/>
              <w:rPr>
                <w:sz w:val="20"/>
                <w:szCs w:val="20"/>
                <w:color w:val="auto"/>
              </w:rPr>
            </w:pPr>
            <w:r>
              <w:rPr>
                <w:rFonts w:ascii="Arial" w:cs="Arial" w:eastAsia="Arial" w:hAnsi="Arial"/>
                <w:sz w:val="18"/>
                <w:szCs w:val="18"/>
                <w:color w:val="auto"/>
              </w:rPr>
              <w:t>Date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Stephen J. Sather</w:t>
            </w:r>
          </w:p>
        </w:tc>
      </w:tr>
      <w:tr>
        <w:trPr>
          <w:trHeight w:val="230"/>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6320" w:type="dxa"/>
            <w:vAlign w:val="bottom"/>
          </w:tcPr>
          <w:p>
            <w:pPr>
              <w:spacing w:after="0"/>
              <w:rPr>
                <w:sz w:val="20"/>
                <w:szCs w:val="20"/>
                <w:color w:val="auto"/>
              </w:rPr>
            </w:pPr>
            <w:r>
              <w:rPr>
                <w:rFonts w:ascii="Arial" w:cs="Arial" w:eastAsia="Arial" w:hAnsi="Arial"/>
                <w:sz w:val="18"/>
                <w:szCs w:val="18"/>
                <w:color w:val="auto"/>
              </w:rPr>
              <w:t>November 4, 2016</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Laurance Roberts</w:t>
            </w:r>
          </w:p>
        </w:tc>
      </w:tr>
      <w:tr>
        <w:trPr>
          <w:trHeight w:val="195"/>
        </w:trPr>
        <w:tc>
          <w:tcPr>
            <w:tcW w:w="6320" w:type="dxa"/>
            <w:vAlign w:val="bottom"/>
          </w:tcPr>
          <w:p>
            <w:pPr>
              <w:ind w:left="540"/>
              <w:spacing w:after="0" w:line="195" w:lineRule="exact"/>
              <w:rPr>
                <w:sz w:val="20"/>
                <w:szCs w:val="20"/>
                <w:color w:val="auto"/>
              </w:rPr>
            </w:pPr>
            <w:r>
              <w:rPr>
                <w:rFonts w:ascii="Arial" w:cs="Arial" w:eastAsia="Arial" w:hAnsi="Arial"/>
                <w:sz w:val="18"/>
                <w:szCs w:val="18"/>
                <w:color w:val="auto"/>
              </w:rPr>
              <w:t>Date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Laurance Roberts</w:t>
            </w:r>
          </w:p>
        </w:tc>
      </w:tr>
      <w:tr>
        <w:trPr>
          <w:trHeight w:val="230"/>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color w:val="auto"/>
        </w:rPr>
        <w:t>Exhibit 10.28</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SHARE AGREEMENT</w:t>
      </w:r>
    </w:p>
    <w:p>
      <w:pPr>
        <w:jc w:val="center"/>
        <w:spacing w:after="0" w:line="230" w:lineRule="auto"/>
        <w:rPr>
          <w:sz w:val="20"/>
          <w:szCs w:val="20"/>
          <w:color w:val="auto"/>
        </w:rPr>
      </w:pPr>
      <w:r>
        <w:rPr>
          <w:rFonts w:ascii="Arial" w:cs="Arial" w:eastAsia="Arial" w:hAnsi="Arial"/>
          <w:sz w:val="22"/>
          <w:szCs w:val="22"/>
          <w:b w:val="1"/>
          <w:bCs w:val="1"/>
          <w:color w:val="auto"/>
        </w:rPr>
        <w:t>UNDER EL POLLO LOCO HOLDINGS,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OMNIBUS EQUITY INCENTIVE PLAN</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This Award Agreement (this “Restricted Share Agreement”), dated as of _________ __, 20__ (the “Date of</w:t>
      </w:r>
    </w:p>
    <w:p>
      <w:pPr>
        <w:spacing w:after="0" w:line="43" w:lineRule="exact"/>
        <w:rPr>
          <w:sz w:val="20"/>
          <w:szCs w:val="20"/>
          <w:color w:val="auto"/>
        </w:rPr>
      </w:pPr>
    </w:p>
    <w:p>
      <w:pPr>
        <w:ind w:right="380"/>
        <w:spacing w:after="0" w:line="233" w:lineRule="auto"/>
        <w:rPr>
          <w:sz w:val="20"/>
          <w:szCs w:val="20"/>
          <w:color w:val="auto"/>
        </w:rPr>
      </w:pPr>
      <w:r>
        <w:rPr>
          <w:rFonts w:ascii="Arial" w:cs="Arial" w:eastAsia="Arial" w:hAnsi="Arial"/>
          <w:sz w:val="22"/>
          <w:szCs w:val="22"/>
          <w:color w:val="auto"/>
        </w:rPr>
        <w:t>Grant”), is made by and between El Pollo Loco Holdings, Inc., a Delaware corporation (the “Company”) and [ ] (the “Employee”). Capitalized terms not defined herein shall have the meaning ascribed to them in the El Pollo Loco Holdings, Inc. 2014 Omnibus Equity Incentive Plan (as amended from time to time, the “Plan”). Where the context permits, references to the Company shall include any successor to the Company.</w:t>
      </w:r>
    </w:p>
    <w:p>
      <w:pPr>
        <w:spacing w:after="0" w:line="188" w:lineRule="exact"/>
        <w:rPr>
          <w:sz w:val="20"/>
          <w:szCs w:val="20"/>
          <w:color w:val="auto"/>
        </w:rPr>
      </w:pPr>
    </w:p>
    <w:p>
      <w:pPr>
        <w:ind w:right="400" w:firstLine="1763"/>
        <w:spacing w:after="0" w:line="328" w:lineRule="auto"/>
        <w:tabs>
          <w:tab w:leader="none" w:pos="2565"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Grant of Restricted Shares</w:t>
      </w:r>
      <w:r>
        <w:rPr>
          <w:rFonts w:ascii="Arial" w:cs="Arial" w:eastAsia="Arial" w:hAnsi="Arial"/>
          <w:sz w:val="19"/>
          <w:szCs w:val="19"/>
          <w:color w:val="auto"/>
        </w:rPr>
        <w:t>. The Company hereby grants to the Employee ________ Shares (such shares, the “Restricted Shares”), subject to all of the terms and conditions of this Restricted Share Agreement and the Plan.</w:t>
      </w:r>
    </w:p>
    <w:p>
      <w:pPr>
        <w:spacing w:after="0" w:line="105" w:lineRule="exact"/>
        <w:rPr>
          <w:rFonts w:ascii="Arial" w:cs="Arial" w:eastAsia="Arial" w:hAnsi="Arial"/>
          <w:sz w:val="19"/>
          <w:szCs w:val="19"/>
          <w:color w:val="auto"/>
        </w:rPr>
      </w:pPr>
    </w:p>
    <w:p>
      <w:pPr>
        <w:ind w:left="2580" w:hanging="817"/>
        <w:spacing w:after="0"/>
        <w:tabs>
          <w:tab w:leader="none" w:pos="258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Lapse of Restrictions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00" w:firstLine="2642"/>
        <w:spacing w:after="0" w:line="249" w:lineRule="auto"/>
        <w:tabs>
          <w:tab w:leader="none" w:pos="3522" w:val="left"/>
        </w:tabs>
        <w:numPr>
          <w:ilvl w:val="1"/>
          <w:numId w:val="17"/>
        </w:numPr>
        <w:rPr>
          <w:rFonts w:ascii="Arial" w:cs="Arial" w:eastAsia="Arial" w:hAnsi="Arial"/>
          <w:sz w:val="21"/>
          <w:szCs w:val="21"/>
          <w:color w:val="auto"/>
        </w:rPr>
      </w:pPr>
      <w:r>
        <w:rPr>
          <w:rFonts w:ascii="Arial" w:cs="Arial" w:eastAsia="Arial" w:hAnsi="Arial"/>
          <w:sz w:val="21"/>
          <w:szCs w:val="21"/>
          <w:u w:val="single" w:color="auto"/>
          <w:color w:val="auto"/>
        </w:rPr>
        <w:t>Vesting</w:t>
      </w:r>
      <w:r>
        <w:rPr>
          <w:rFonts w:ascii="Arial" w:cs="Arial" w:eastAsia="Arial" w:hAnsi="Arial"/>
          <w:sz w:val="21"/>
          <w:szCs w:val="21"/>
          <w:color w:val="auto"/>
        </w:rPr>
        <w:t>. Except as otherwise set forth in this Section 2(a), the restrictions on Transfer (as defined in Section 6(a) hereof) set forth in Section 2(b) hereof shall lapse with respect 1/4 of the Restricted Shares on each of the first four anniversaries of the Date of Grant (each anniversary of the Date of Grant, a “Vesting Date”), subject to the continued employment of the Employee with the Company from the date hereof through the applicable Vesting Date, and provided that the Employee has not given notice of resignation as of such Vesting Date.</w:t>
      </w:r>
    </w:p>
    <w:p>
      <w:pPr>
        <w:spacing w:after="0" w:line="178" w:lineRule="exact"/>
        <w:rPr>
          <w:rFonts w:ascii="Arial" w:cs="Arial" w:eastAsia="Arial" w:hAnsi="Arial"/>
          <w:sz w:val="21"/>
          <w:szCs w:val="21"/>
          <w:color w:val="auto"/>
        </w:rPr>
      </w:pPr>
    </w:p>
    <w:p>
      <w:pPr>
        <w:ind w:right="200" w:firstLine="2642"/>
        <w:spacing w:after="0" w:line="273" w:lineRule="auto"/>
        <w:tabs>
          <w:tab w:leader="none" w:pos="3534" w:val="left"/>
        </w:tabs>
        <w:numPr>
          <w:ilvl w:val="1"/>
          <w:numId w:val="17"/>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Until the restrictions on Transfer of the Restricted Shares lapse as provided in Section 2(a) hereof, or as otherwise provided in the Plan, no Transfer of the Restricted Shares or any of the Employee’s rights with respect to the Restricted Shares, whether voluntary or involuntary, by operation of law or otherwise, shall be</w:t>
      </w:r>
    </w:p>
    <w:p>
      <w:pPr>
        <w:spacing w:after="0" w:line="1" w:lineRule="exact"/>
        <w:rPr>
          <w:rFonts w:ascii="Arial" w:cs="Arial" w:eastAsia="Arial" w:hAnsi="Arial"/>
          <w:sz w:val="19"/>
          <w:szCs w:val="19"/>
          <w:color w:val="auto"/>
        </w:rPr>
      </w:pPr>
    </w:p>
    <w:p>
      <w:pPr>
        <w:ind w:right="140"/>
        <w:spacing w:after="0" w:line="234" w:lineRule="auto"/>
        <w:rPr>
          <w:rFonts w:ascii="Arial" w:cs="Arial" w:eastAsia="Arial" w:hAnsi="Arial"/>
          <w:sz w:val="19"/>
          <w:szCs w:val="19"/>
          <w:color w:val="auto"/>
        </w:rPr>
      </w:pPr>
      <w:r>
        <w:rPr>
          <w:rFonts w:ascii="Arial" w:cs="Arial" w:eastAsia="Arial" w:hAnsi="Arial"/>
          <w:sz w:val="22"/>
          <w:szCs w:val="22"/>
          <w:color w:val="auto"/>
        </w:rPr>
        <w:t>permitted. Unless the Administrator determines otherwise, upon any attempt to Transfer Restricted Shares or any rights in respect of Restricted Shares, before the lapse of such restrictions, such Restricted Shares, and all of the rights related thereto, shall be immediately forfeited.</w:t>
      </w:r>
    </w:p>
    <w:p>
      <w:pPr>
        <w:spacing w:after="0" w:line="187" w:lineRule="exact"/>
        <w:rPr>
          <w:rFonts w:ascii="Arial" w:cs="Arial" w:eastAsia="Arial" w:hAnsi="Arial"/>
          <w:sz w:val="19"/>
          <w:szCs w:val="19"/>
          <w:color w:val="auto"/>
        </w:rPr>
      </w:pPr>
    </w:p>
    <w:p>
      <w:pPr>
        <w:ind w:right="220" w:firstLine="1763"/>
        <w:spacing w:after="0"/>
        <w:tabs>
          <w:tab w:leader="none" w:pos="2565"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Pursuant to Section 5 of the Plan, in the event of a Change in Capitalization, the Administrator shall make such equitable changes or adjustments to the number and kind of securities or other property (including cash) issued or issuable in respect of outstanding Restricted Shares.</w:t>
      </w:r>
    </w:p>
    <w:p>
      <w:pPr>
        <w:spacing w:after="0" w:line="186" w:lineRule="exact"/>
        <w:rPr>
          <w:rFonts w:ascii="Arial" w:cs="Arial" w:eastAsia="Arial" w:hAnsi="Arial"/>
          <w:sz w:val="22"/>
          <w:szCs w:val="22"/>
          <w:color w:val="auto"/>
        </w:rPr>
      </w:pPr>
    </w:p>
    <w:p>
      <w:pPr>
        <w:ind w:right="120" w:firstLine="1763"/>
        <w:spacing w:after="0" w:line="258" w:lineRule="auto"/>
        <w:tabs>
          <w:tab w:leader="none" w:pos="2565"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Certain Changes</w:t>
      </w:r>
      <w:r>
        <w:rPr>
          <w:rFonts w:ascii="Arial" w:cs="Arial" w:eastAsia="Arial" w:hAnsi="Arial"/>
          <w:sz w:val="21"/>
          <w:szCs w:val="21"/>
          <w:color w:val="auto"/>
        </w:rPr>
        <w:t>. The Administrator may accelerate the date on which the restrictions on transfer set forth in Section 2(a) hereof shall lapse or otherwise adjust any of the terms of the Restricted Shares; provided that, subject to Section 5 of the Plan, no action under this Section shall adversely affect the Employee’s rights hereunder.</w:t>
      </w:r>
    </w:p>
    <w:p>
      <w:pPr>
        <w:spacing w:after="0" w:line="166" w:lineRule="exact"/>
        <w:rPr>
          <w:rFonts w:ascii="Arial" w:cs="Arial" w:eastAsia="Arial" w:hAnsi="Arial"/>
          <w:sz w:val="21"/>
          <w:szCs w:val="21"/>
          <w:color w:val="auto"/>
        </w:rPr>
      </w:pPr>
    </w:p>
    <w:p>
      <w:pPr>
        <w:ind w:left="2580" w:hanging="817"/>
        <w:spacing w:after="0"/>
        <w:tabs>
          <w:tab w:leader="none" w:pos="258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under this Restricted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36" w:name="page37"/>
    <w:bookmarkEnd w:id="36"/>
    <w:p>
      <w:pPr>
        <w:ind w:right="160"/>
        <w:spacing w:after="0" w:line="282" w:lineRule="auto"/>
        <w:rPr>
          <w:sz w:val="20"/>
          <w:szCs w:val="20"/>
          <w:color w:val="auto"/>
        </w:rPr>
      </w:pPr>
      <w:r>
        <w:rPr>
          <w:rFonts w:ascii="Arial" w:cs="Arial" w:eastAsia="Arial" w:hAnsi="Arial"/>
          <w:sz w:val="19"/>
          <w:szCs w:val="19"/>
          <w:color w:val="auto"/>
        </w:rPr>
        <w:t>Share Agreement shall be in writing and shall be given by facsimile or first class mail, certified or registered with return receipt requested, and shall be deemed to have been duly given three days after mailing or 24 hours after transmission by facsimile to the respective parties, as follows: (i) if to the Company, addressed to the Company in care of its Vice President, Legal at the principal executive office of the Company and (ii) if to the Employee, using the contact information on file with the Company. Either party hereto may change such party’s address for notices by notice duly given pursuant hereto.</w:t>
      </w:r>
    </w:p>
    <w:p>
      <w:pPr>
        <w:spacing w:after="0" w:line="148" w:lineRule="exact"/>
        <w:rPr>
          <w:sz w:val="20"/>
          <w:szCs w:val="20"/>
          <w:color w:val="auto"/>
        </w:rPr>
      </w:pPr>
    </w:p>
    <w:p>
      <w:pPr>
        <w:ind w:left="2580" w:hanging="817"/>
        <w:spacing w:after="0"/>
        <w:tabs>
          <w:tab w:leader="none" w:pos="258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Protections Against Violations of Agreement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0" w:firstLine="2642"/>
        <w:spacing w:after="0" w:line="248" w:lineRule="auto"/>
        <w:tabs>
          <w:tab w:leader="none" w:pos="3522" w:val="left"/>
        </w:tabs>
        <w:numPr>
          <w:ilvl w:val="1"/>
          <w:numId w:val="18"/>
        </w:numPr>
        <w:rPr>
          <w:rFonts w:ascii="Arial" w:cs="Arial" w:eastAsia="Arial" w:hAnsi="Arial"/>
          <w:sz w:val="21"/>
          <w:szCs w:val="21"/>
          <w:color w:val="auto"/>
        </w:rPr>
      </w:pPr>
      <w:r>
        <w:rPr>
          <w:rFonts w:ascii="Arial" w:cs="Arial" w:eastAsia="Arial" w:hAnsi="Arial"/>
          <w:sz w:val="21"/>
          <w:szCs w:val="21"/>
          <w:color w:val="auto"/>
        </w:rPr>
        <w:t>Until such time as the Restricted Shares are fully vested in accordance with Section 2(a) hereof, no purported sale, assignment, mortgage, hypothecation, transfer, charge, pledge, encumbrance, gift, transfer in trust (voting or other) or other disposition of, or creation of a security interest in or lien on, any of the Restricted Shares or any agreement or commitment to do any of the foregoing (each a “Transfer”) by any holder thereof in violation of the provisions of this Restricted Share Agreement will be valid, except with the prior written consent of the Administrator (such consent shall be granted or withheld in the sole discretion of the Administrator).</w:t>
      </w:r>
    </w:p>
    <w:p>
      <w:pPr>
        <w:spacing w:after="0" w:line="177" w:lineRule="exact"/>
        <w:rPr>
          <w:rFonts w:ascii="Arial" w:cs="Arial" w:eastAsia="Arial" w:hAnsi="Arial"/>
          <w:sz w:val="21"/>
          <w:szCs w:val="21"/>
          <w:color w:val="auto"/>
        </w:rPr>
      </w:pPr>
    </w:p>
    <w:p>
      <w:pPr>
        <w:ind w:right="80" w:firstLine="2642"/>
        <w:spacing w:after="0" w:line="236" w:lineRule="auto"/>
        <w:tabs>
          <w:tab w:leader="none" w:pos="3534" w:val="left"/>
        </w:tabs>
        <w:numPr>
          <w:ilvl w:val="1"/>
          <w:numId w:val="18"/>
        </w:numPr>
        <w:rPr>
          <w:rFonts w:ascii="Arial" w:cs="Arial" w:eastAsia="Arial" w:hAnsi="Arial"/>
          <w:sz w:val="22"/>
          <w:szCs w:val="22"/>
          <w:color w:val="auto"/>
        </w:rPr>
      </w:pPr>
      <w:r>
        <w:rPr>
          <w:rFonts w:ascii="Arial" w:cs="Arial" w:eastAsia="Arial" w:hAnsi="Arial"/>
          <w:sz w:val="22"/>
          <w:szCs w:val="22"/>
          <w:color w:val="auto"/>
        </w:rPr>
        <w:t xml:space="preserve">In addition to Section 2(b), any purported Transfer of Restricted Shares or any economic benefit or interest therein in violation of this Restricted Share Agreement shall be null and void </w:t>
      </w:r>
      <w:r>
        <w:rPr>
          <w:rFonts w:ascii="Arial" w:cs="Arial" w:eastAsia="Arial" w:hAnsi="Arial"/>
          <w:sz w:val="22"/>
          <w:szCs w:val="22"/>
          <w:i w:val="1"/>
          <w:iCs w:val="1"/>
          <w:color w:val="auto"/>
        </w:rPr>
        <w:t>ab initio</w:t>
      </w:r>
      <w:r>
        <w:rPr>
          <w:rFonts w:ascii="Arial" w:cs="Arial" w:eastAsia="Arial" w:hAnsi="Arial"/>
          <w:sz w:val="22"/>
          <w:szCs w:val="22"/>
          <w:color w:val="auto"/>
        </w:rPr>
        <w:t>, and shall not create any obligation or liability of the Company, and any person purportedly acquiring any Restricted Shares or any economic benefit or interest therein transferred in violation of this Restricted Share Agreement shall not be entitled to be recognized as a holder of such Shares.</w:t>
      </w:r>
    </w:p>
    <w:p>
      <w:pPr>
        <w:spacing w:after="0" w:line="187" w:lineRule="exact"/>
        <w:rPr>
          <w:rFonts w:ascii="Arial" w:cs="Arial" w:eastAsia="Arial" w:hAnsi="Arial"/>
          <w:sz w:val="22"/>
          <w:szCs w:val="22"/>
          <w:color w:val="auto"/>
        </w:rPr>
      </w:pPr>
    </w:p>
    <w:p>
      <w:pPr>
        <w:ind w:right="20" w:firstLine="1763"/>
        <w:spacing w:after="0" w:line="236" w:lineRule="auto"/>
        <w:tabs>
          <w:tab w:leader="none" w:pos="2565"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Withholding Taxes</w:t>
      </w:r>
      <w:r>
        <w:rPr>
          <w:rFonts w:ascii="Arial" w:cs="Arial" w:eastAsia="Arial" w:hAnsi="Arial"/>
          <w:sz w:val="22"/>
          <w:szCs w:val="22"/>
          <w:color w:val="auto"/>
        </w:rPr>
        <w:t>. The Company shall be entitled to require a cash payment by or on behalf of the Employee and/or to deduct from any compensation payable to the Employee the minimum amount of any sums required by federal, state or local tax law to be withheld (or other such sums that that will not cause adverse accounting consequences for the Company and is permitted under applicable withholding rules promulgated by the Internal Revenue Service or another applicable governmental entity) with respect to the Restricted Shares.</w:t>
      </w:r>
    </w:p>
    <w:p>
      <w:pPr>
        <w:spacing w:after="0" w:line="187" w:lineRule="exact"/>
        <w:rPr>
          <w:rFonts w:ascii="Arial" w:cs="Arial" w:eastAsia="Arial" w:hAnsi="Arial"/>
          <w:sz w:val="22"/>
          <w:szCs w:val="22"/>
          <w:color w:val="auto"/>
        </w:rPr>
      </w:pPr>
    </w:p>
    <w:p>
      <w:pPr>
        <w:ind w:firstLine="1763"/>
        <w:spacing w:after="0" w:line="236" w:lineRule="auto"/>
        <w:tabs>
          <w:tab w:leader="none" w:pos="2565"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Section 83(b) Election</w:t>
      </w:r>
      <w:r>
        <w:rPr>
          <w:rFonts w:ascii="Arial" w:cs="Arial" w:eastAsia="Arial" w:hAnsi="Arial"/>
          <w:sz w:val="22"/>
          <w:szCs w:val="22"/>
          <w:color w:val="auto"/>
        </w:rPr>
        <w:t>. If the Employee makes an election under Section 83(b) of the Code, or any successor section thereto, to be taxed with respect to the Restricted Shares as of the Date of Grant, the Employee shall deliver a copy of such election to the Company immediately after filing such election with the Internal Revenue Service, together with any required tax withholding. The Employee hereby acknowledges that it is the Employee’s sole responsibility, and not the Company’s, to file timely the election under Section 83(b) of the Code.</w:t>
      </w:r>
    </w:p>
    <w:p>
      <w:pPr>
        <w:spacing w:after="0" w:line="187" w:lineRule="exact"/>
        <w:rPr>
          <w:rFonts w:ascii="Arial" w:cs="Arial" w:eastAsia="Arial" w:hAnsi="Arial"/>
          <w:sz w:val="22"/>
          <w:szCs w:val="22"/>
          <w:color w:val="auto"/>
        </w:rPr>
      </w:pPr>
    </w:p>
    <w:p>
      <w:pPr>
        <w:ind w:right="160" w:firstLine="1763"/>
        <w:spacing w:after="0" w:line="252" w:lineRule="auto"/>
        <w:tabs>
          <w:tab w:leader="none" w:pos="2565"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Award Agreement shall be governed by and construed and enforced in accordance with the laws of the State of Delaware applicable to contracts made and to be performed therein. Any suit, action or proceeding with respect to this Agreement, or any judgment entered by any court in respect of any thereof, shall be brought in any court of competent jurisdiction in the State of Delaware, and the Company and the Employee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37" w:name="page38"/>
    <w:bookmarkEnd w:id="37"/>
    <w:p>
      <w:pPr>
        <w:spacing w:after="0" w:line="236" w:lineRule="auto"/>
        <w:rPr>
          <w:sz w:val="20"/>
          <w:szCs w:val="20"/>
          <w:color w:val="auto"/>
        </w:rPr>
      </w:pPr>
      <w:r>
        <w:rPr>
          <w:rFonts w:ascii="Arial" w:cs="Arial" w:eastAsia="Arial" w:hAnsi="Arial"/>
          <w:sz w:val="22"/>
          <w:szCs w:val="22"/>
          <w:color w:val="auto"/>
        </w:rPr>
        <w:t>hereby submit to the exclusive jurisdiction of such courts for the purpose of any such suit, action, proceeding or judgment. The Employee and the Company hereby irrevocably waive (i) any objections which it may now or hereafter have to the laying of the venue of any suit, action or proceeding arising out of or relating to this Agreement brought in any court of competent jurisdiction in the State of Delaware, (ii) any claim that any such suit, action or proceeding brought in any such court has been brought in any inconvenient forum and (iii) any right to a jury trial.</w:t>
      </w:r>
    </w:p>
    <w:p>
      <w:pPr>
        <w:spacing w:after="0" w:line="188" w:lineRule="exact"/>
        <w:rPr>
          <w:sz w:val="20"/>
          <w:szCs w:val="20"/>
          <w:color w:val="auto"/>
        </w:rPr>
      </w:pPr>
    </w:p>
    <w:p>
      <w:pPr>
        <w:ind w:right="60" w:firstLine="1763"/>
        <w:spacing w:after="0"/>
        <w:tabs>
          <w:tab w:leader="none" w:pos="2673"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Restricted Shares and this Restricted Share Agreement shall be subject to all terms and conditions of the Plan and this Restricted Share Agreement.</w:t>
      </w:r>
    </w:p>
    <w:p>
      <w:pPr>
        <w:spacing w:after="0" w:line="186" w:lineRule="exact"/>
        <w:rPr>
          <w:rFonts w:ascii="Arial" w:cs="Arial" w:eastAsia="Arial" w:hAnsi="Arial"/>
          <w:sz w:val="22"/>
          <w:szCs w:val="22"/>
          <w:color w:val="auto"/>
        </w:rPr>
      </w:pPr>
    </w:p>
    <w:p>
      <w:pPr>
        <w:ind w:right="300" w:firstLine="1763"/>
        <w:spacing w:after="0" w:line="287" w:lineRule="auto"/>
        <w:tabs>
          <w:tab w:leader="none" w:pos="2665"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Amendments; Construction</w:t>
      </w:r>
      <w:r>
        <w:rPr>
          <w:rFonts w:ascii="Arial" w:cs="Arial" w:eastAsia="Arial" w:hAnsi="Arial"/>
          <w:sz w:val="19"/>
          <w:szCs w:val="19"/>
          <w:color w:val="auto"/>
        </w:rPr>
        <w:t>. The Administrator may amend the terms of this Restricted Share Agreement prospectively or retroactively at any time, but no such amendment shall impair the rights of the Employee hereunder without his or her consent. Headings to Sections of this Restricted Share Agreement are intended for convenience of reference only, are not part of this Restricted Share Agreement and shall have no effect on the interpretation hereof.</w:t>
      </w:r>
    </w:p>
    <w:p>
      <w:pPr>
        <w:spacing w:after="0" w:line="143" w:lineRule="exact"/>
        <w:rPr>
          <w:rFonts w:ascii="Arial" w:cs="Arial" w:eastAsia="Arial" w:hAnsi="Arial"/>
          <w:sz w:val="19"/>
          <w:szCs w:val="19"/>
          <w:color w:val="auto"/>
        </w:rPr>
      </w:pPr>
    </w:p>
    <w:p>
      <w:pPr>
        <w:jc w:val="both"/>
        <w:ind w:right="180" w:firstLine="1763"/>
        <w:spacing w:after="0" w:line="328" w:lineRule="auto"/>
        <w:tabs>
          <w:tab w:leader="none" w:pos="2673"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Survival of Terms</w:t>
      </w:r>
      <w:r>
        <w:rPr>
          <w:rFonts w:ascii="Arial" w:cs="Arial" w:eastAsia="Arial" w:hAnsi="Arial"/>
          <w:sz w:val="19"/>
          <w:szCs w:val="19"/>
          <w:color w:val="auto"/>
        </w:rPr>
        <w:t>. This Restricted Share Agreement shall apply to and bind the Employee and the Company and their respective permitted assignees and transferees, heirs, legatees, executors, administrators and legal successors.</w:t>
      </w:r>
    </w:p>
    <w:p>
      <w:pPr>
        <w:spacing w:after="0" w:line="105" w:lineRule="exact"/>
        <w:rPr>
          <w:rFonts w:ascii="Arial" w:cs="Arial" w:eastAsia="Arial" w:hAnsi="Arial"/>
          <w:sz w:val="19"/>
          <w:szCs w:val="19"/>
          <w:color w:val="auto"/>
        </w:rPr>
      </w:pPr>
    </w:p>
    <w:p>
      <w:pPr>
        <w:ind w:right="120" w:firstLine="1763"/>
        <w:spacing w:after="0" w:line="252" w:lineRule="auto"/>
        <w:tabs>
          <w:tab w:leader="none" w:pos="2673"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Rights as a Shareholder</w:t>
      </w:r>
      <w:r>
        <w:rPr>
          <w:rFonts w:ascii="Arial" w:cs="Arial" w:eastAsia="Arial" w:hAnsi="Arial"/>
          <w:sz w:val="21"/>
          <w:szCs w:val="21"/>
          <w:color w:val="auto"/>
        </w:rPr>
        <w:t>. During the period until the restrictions on Transfer of the Restricted Share lapse as provided in Section 2(a) hereof, the Employee shall have all the rights of a shareholder with respect to the Restricted Shares save only the right to Transfer the Restricted Shares. Accordingly, the Employee shall have the right to vote the Restricted Shares and to receive any ordinary dividends paid to or made with respect to the Restricted Shares.</w:t>
      </w:r>
    </w:p>
    <w:p>
      <w:pPr>
        <w:spacing w:after="0" w:line="174" w:lineRule="exact"/>
        <w:rPr>
          <w:rFonts w:ascii="Arial" w:cs="Arial" w:eastAsia="Arial" w:hAnsi="Arial"/>
          <w:sz w:val="21"/>
          <w:szCs w:val="21"/>
          <w:color w:val="auto"/>
        </w:rPr>
      </w:pPr>
    </w:p>
    <w:p>
      <w:pPr>
        <w:ind w:right="100" w:firstLine="1763"/>
        <w:spacing w:after="0" w:line="287" w:lineRule="auto"/>
        <w:tabs>
          <w:tab w:leader="none" w:pos="2673"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Agreement Not a Contract for Services</w:t>
      </w:r>
      <w:r>
        <w:rPr>
          <w:rFonts w:ascii="Arial" w:cs="Arial" w:eastAsia="Arial" w:hAnsi="Arial"/>
          <w:sz w:val="19"/>
          <w:szCs w:val="19"/>
          <w:color w:val="auto"/>
        </w:rPr>
        <w:t>. Neither the Plan, the granting of the Restricted Shares, this Restricted Share Agreement nor any other action taken pursuant to the Plan shall constitute or be evidence of any agreement or understanding, express or implied, that the Employee has a right to continue to be employed as an officer, director, employee, consultant or advisor of the Company or any Subsidiary or Affiliate for any period of time or at any specific rate of compensation.</w:t>
      </w:r>
    </w:p>
    <w:p>
      <w:pPr>
        <w:spacing w:after="0" w:line="143" w:lineRule="exact"/>
        <w:rPr>
          <w:rFonts w:ascii="Arial" w:cs="Arial" w:eastAsia="Arial" w:hAnsi="Arial"/>
          <w:sz w:val="19"/>
          <w:szCs w:val="19"/>
          <w:color w:val="auto"/>
        </w:rPr>
      </w:pPr>
    </w:p>
    <w:p>
      <w:pPr>
        <w:ind w:right="300" w:firstLine="1763"/>
        <w:spacing w:after="0"/>
        <w:tabs>
          <w:tab w:leader="none" w:pos="2673"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Authority of the Administrator; Disputes</w:t>
      </w:r>
      <w:r>
        <w:rPr>
          <w:rFonts w:ascii="Arial" w:cs="Arial" w:eastAsia="Arial" w:hAnsi="Arial"/>
          <w:sz w:val="22"/>
          <w:szCs w:val="22"/>
          <w:color w:val="auto"/>
        </w:rPr>
        <w:t>. The Administrator shall have full authority to interpret and construe the terms of the Plan and this Restricted Share Agreement. The determination of the Administrator as to any such matter of interpretation or construction shall be final, binding and conclusive.</w:t>
      </w:r>
    </w:p>
    <w:p>
      <w:pPr>
        <w:spacing w:after="0" w:line="186" w:lineRule="exact"/>
        <w:rPr>
          <w:rFonts w:ascii="Arial" w:cs="Arial" w:eastAsia="Arial" w:hAnsi="Arial"/>
          <w:sz w:val="22"/>
          <w:szCs w:val="22"/>
          <w:color w:val="auto"/>
        </w:rPr>
      </w:pPr>
    </w:p>
    <w:p>
      <w:pPr>
        <w:jc w:val="both"/>
        <w:ind w:right="240" w:firstLine="1763"/>
        <w:spacing w:after="0" w:line="238" w:lineRule="auto"/>
        <w:tabs>
          <w:tab w:leader="none" w:pos="2673"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Should any provision of this Restricted Share Agreement be held by a court of competent jurisdiction to be unenforceable, or enforceable only if modified, such holding shall not affect the validity of the remainder of this Restricted Share Agreement, the balance of which shall continue to be binding upon the parties hereto with any such modification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38" w:name="page39"/>
    <w:bookmarkEnd w:id="38"/>
    <w:p>
      <w:pPr>
        <w:spacing w:after="0"/>
        <w:rPr>
          <w:sz w:val="20"/>
          <w:szCs w:val="20"/>
          <w:color w:val="auto"/>
        </w:rPr>
      </w:pPr>
      <w:r>
        <w:rPr>
          <w:rFonts w:ascii="Arial" w:cs="Arial" w:eastAsia="Arial" w:hAnsi="Arial"/>
          <w:sz w:val="21"/>
          <w:szCs w:val="21"/>
          <w:color w:val="auto"/>
        </w:rPr>
        <w:t>(if any) to become a part hereof and treated as though contained in this original Employee Restricted Share Agreement.</w:t>
      </w:r>
    </w:p>
    <w:p>
      <w:pPr>
        <w:spacing w:after="0" w:line="218" w:lineRule="exact"/>
        <w:rPr>
          <w:sz w:val="20"/>
          <w:szCs w:val="20"/>
          <w:color w:val="auto"/>
        </w:rPr>
      </w:pPr>
    </w:p>
    <w:p>
      <w:pPr>
        <w:ind w:firstLine="1763"/>
        <w:spacing w:after="0" w:line="249" w:lineRule="auto"/>
        <w:tabs>
          <w:tab w:leader="none" w:pos="2673"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Acceptance</w:t>
      </w:r>
      <w:r>
        <w:rPr>
          <w:rFonts w:ascii="Arial" w:cs="Arial" w:eastAsia="Arial" w:hAnsi="Arial"/>
          <w:sz w:val="21"/>
          <w:szCs w:val="21"/>
          <w:color w:val="auto"/>
        </w:rPr>
        <w:t>. The Employee hereby acknowledges receipt of a copy of the Plan and this Restricted Share Agreement. The Employee has read and understands the terms and provisions of the Plan and this Restricted Share Agreement, and accepts the Restricted Shares subject to all the terms and conditions of the Plan and this Restricted Share Agreement. The Employee hereby agrees to accept as binding, conclusive and final all decisions or interpretations of the Administrator upon any questions arising under this Restricted Share Agreement.</w:t>
      </w:r>
    </w:p>
    <w:p>
      <w:pPr>
        <w:spacing w:after="0" w:line="233"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483" w:right="479" w:bottom="1440" w:gutter="0" w:footer="0" w:header="0"/>
        </w:sectPr>
      </w:pPr>
    </w:p>
    <w:bookmarkStart w:id="39" w:name="page40"/>
    <w:bookmarkEnd w:id="39"/>
    <w:p>
      <w:pPr>
        <w:ind w:firstLine="1755"/>
        <w:spacing w:after="0" w:line="251" w:lineRule="auto"/>
        <w:rPr>
          <w:sz w:val="20"/>
          <w:szCs w:val="20"/>
          <w:color w:val="auto"/>
        </w:rPr>
      </w:pPr>
      <w:r>
        <w:rPr>
          <w:rFonts w:ascii="Arial" w:cs="Arial" w:eastAsia="Arial" w:hAnsi="Arial"/>
          <w:sz w:val="22"/>
          <w:szCs w:val="22"/>
          <w:color w:val="auto"/>
        </w:rPr>
        <w:t>IN WITNESS WHEREOF, the parties hereto have executed and delivered this Restricted Share Agreement on the day and year first above written.</w:t>
      </w:r>
    </w:p>
    <w:p>
      <w:pPr>
        <w:spacing w:after="0" w:line="383" w:lineRule="exact"/>
        <w:rPr>
          <w:sz w:val="20"/>
          <w:szCs w:val="20"/>
          <w:color w:val="auto"/>
        </w:rPr>
      </w:pPr>
    </w:p>
    <w:p>
      <w:pPr>
        <w:ind w:left="5400"/>
        <w:spacing w:after="0"/>
        <w:rPr>
          <w:sz w:val="20"/>
          <w:szCs w:val="20"/>
          <w:color w:val="auto"/>
        </w:rPr>
      </w:pPr>
      <w:r>
        <w:rPr>
          <w:rFonts w:ascii="Arial" w:cs="Arial" w:eastAsia="Arial" w:hAnsi="Arial"/>
          <w:sz w:val="22"/>
          <w:szCs w:val="22"/>
          <w:b w:val="1"/>
          <w:bCs w:val="1"/>
          <w:color w:val="auto"/>
        </w:rPr>
        <w:t>EL POLLO LOCO HOLDINGS, INC.</w:t>
      </w:r>
    </w:p>
    <w:p>
      <w:pPr>
        <w:spacing w:after="0" w:line="212"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7620</wp:posOffset>
            </wp:positionV>
            <wp:extent cx="27870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wp:posOffset>
            </wp:positionV>
            <wp:extent cx="27870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ind w:left="54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wp:posOffset>
            </wp:positionV>
            <wp:extent cx="27870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98"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[NAME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281940</wp:posOffset>
            </wp:positionV>
            <wp:extent cx="34817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00"/>
          </w:cols>
          <w:pgMar w:left="240" w:top="267" w:right="3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J. Sather,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Stephen J. Sather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Laurance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Stephen J. Sather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Laurance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7"/>
    </w:lvl>
  </w:abstractNum>
  <w:abstractNum w:abstractNumId="4">
    <w:nsid w:val="4E6AFB66"/>
    <w:multiLevelType w:val="hybridMultilevel"/>
    <w:lvl w:ilvl="0">
      <w:lvlJc w:val="left"/>
      <w:lvlText w:val="(%1)"/>
      <w:numFmt w:val="lowerRoman"/>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lowerLetter"/>
      <w:start w:val="1"/>
    </w:lvl>
  </w:abstractNum>
  <w:abstractNum w:abstractNumId="7">
    <w:nsid w:val="431BD7B7"/>
    <w:multiLevelType w:val="hybridMultilevel"/>
    <w:lvl w:ilvl="0">
      <w:lvlJc w:val="left"/>
      <w:lvlText w:val="(%1)"/>
      <w:numFmt w:val="lowerLetter"/>
      <w:start w:val="3"/>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lowerLetter"/>
      <w:start w:val="25"/>
    </w:lvl>
  </w:abstractNum>
  <w:abstractNum w:abstractNumId="12">
    <w:nsid w:val="436C6125"/>
    <w:multiLevelType w:val="hybridMultilevel"/>
    <w:lvl w:ilvl="0">
      <w:lvlJc w:val="left"/>
      <w:lvlText w:val="(%1)"/>
      <w:numFmt w:val="lowerRoman"/>
      <w:start w:val="5"/>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lvl w:ilvl="1">
      <w:lvlJc w:val="left"/>
      <w:lvlText w:val="(%2)"/>
      <w:numFmt w:val="lowerLetter"/>
      <w:start w:val="1"/>
    </w:lvl>
  </w:abstractNum>
  <w:abstractNum w:abstractNumId="17">
    <w:nsid w:val="2D1D5AE9"/>
    <w:multiLevelType w:val="hybridMultilevel"/>
    <w:lvl w:ilvl="0">
      <w:lvlJc w:val="left"/>
      <w:lvlText w:val="%1."/>
      <w:numFmt w:val="decimal"/>
      <w:start w:val="6"/>
    </w:lvl>
    <w:lvl w:ilvl="1">
      <w:lvlJc w:val="left"/>
      <w:lvlText w:val="(%2)"/>
      <w:numFmt w:val="lowerLetter"/>
      <w:start w:val="1"/>
    </w:lvl>
  </w:abstractNum>
  <w:abstractNum w:abstractNumId="18">
    <w:nsid w:val="6763845E"/>
    <w:multiLevelType w:val="hybridMultilevel"/>
    <w:lvl w:ilvl="0">
      <w:lvlJc w:val="left"/>
      <w:lvlText w:val="%1."/>
      <w:numFmt w:val="decimal"/>
      <w:start w:val="10"/>
    </w:lvl>
  </w:abstractNum>
  <w:abstractNum w:abstractNumId="19">
    <w:nsid w:val="75A2A8D4"/>
    <w:multiLevelType w:val="hybridMultilevel"/>
    <w:lvl w:ilvl="0">
      <w:lvlJc w:val="left"/>
      <w:lvlText w:val="%1."/>
      <w:numFmt w:val="decimal"/>
      <w:start w:val="17"/>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5"/>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5"/>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2019-12-29T10:39:11Z</dcterms:created>
  <dcterms:modified xsi:type="dcterms:W3CDTF">2019-12-29T10:39:11Z</dcterms:modified>
</cp:coreProperties>
</file>