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111760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86360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2" w:lineRule="exact"/>
        <w:rPr>
          <w:sz w:val="24"/>
          <w:szCs w:val="24"/>
          <w:color w:val="auto"/>
        </w:rPr>
      </w:pPr>
    </w:p>
    <w:p>
      <w:pPr>
        <w:ind w:left="700" w:right="260" w:hanging="652"/>
        <w:spacing w:after="0" w:line="273" w:lineRule="auto"/>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25, 2024</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3" w:lineRule="exact"/>
        <w:rPr>
          <w:sz w:val="24"/>
          <w:szCs w:val="24"/>
          <w:color w:val="auto"/>
        </w:rPr>
      </w:pPr>
    </w:p>
    <w:p>
      <w:pPr>
        <w:ind w:left="700" w:right="240" w:hanging="645"/>
        <w:spacing w:after="0" w:line="272" w:lineRule="auto"/>
        <w:tabs>
          <w:tab w:leader="none" w:pos="7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9" w:lineRule="exact"/>
        <w:rPr>
          <w:sz w:val="24"/>
          <w:szCs w:val="24"/>
          <w:color w:val="auto"/>
        </w:rPr>
      </w:pPr>
    </w:p>
    <w:p>
      <w:pPr>
        <w:ind w:left="3120"/>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3335655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EL POLLO LOCO HOLDINGS, INC.</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111760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00" w:type="dxa"/>
        <w:tblCellMar>
          <w:top w:w="0" w:type="dxa"/>
          <w:left w:w="0" w:type="dxa"/>
          <w:bottom w:w="0" w:type="dxa"/>
          <w:right w:w="0" w:type="dxa"/>
        </w:tblCellMar>
      </w:tblPr>
      <w:tr>
        <w:trPr>
          <w:trHeight w:val="198"/>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60" w:type="dxa"/>
            <w:vAlign w:val="bottom"/>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20-3563182</w:t>
            </w:r>
          </w:p>
        </w:tc>
      </w:tr>
      <w:tr>
        <w:trPr>
          <w:trHeight w:val="166"/>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206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347"/>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6"/>
                <w:szCs w:val="16"/>
                <w:b w:val="1"/>
                <w:bCs w:val="1"/>
                <w:color w:val="auto"/>
              </w:rPr>
              <w:t>3535 Harbor Blvd., Suite 100, Costa Mesa, California</w:t>
            </w:r>
          </w:p>
        </w:tc>
        <w:tc>
          <w:tcPr>
            <w:tcW w:w="2060" w:type="dxa"/>
            <w:vAlign w:val="bottom"/>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rPr>
              <w:t>92626</w:t>
            </w:r>
          </w:p>
        </w:tc>
      </w:tr>
      <w:tr>
        <w:trPr>
          <w:trHeight w:val="166"/>
        </w:trPr>
        <w:tc>
          <w:tcPr>
            <w:tcW w:w="6060" w:type="dxa"/>
            <w:vAlign w:val="bottom"/>
          </w:tcPr>
          <w:p>
            <w:pPr>
              <w:jc w:val="center"/>
              <w:ind w:right="226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6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455"/>
        </w:trPr>
        <w:tc>
          <w:tcPr>
            <w:tcW w:w="6060" w:type="dxa"/>
            <w:vAlign w:val="bottom"/>
          </w:tcPr>
          <w:p>
            <w:pPr>
              <w:jc w:val="right"/>
              <w:ind w:right="968"/>
              <w:spacing w:after="0"/>
              <w:rPr>
                <w:sz w:val="20"/>
                <w:szCs w:val="20"/>
                <w:color w:val="auto"/>
              </w:rPr>
            </w:pPr>
            <w:r>
              <w:rPr>
                <w:rFonts w:ascii="Times New Roman" w:cs="Times New Roman" w:eastAsia="Times New Roman" w:hAnsi="Times New Roman"/>
                <w:sz w:val="16"/>
                <w:szCs w:val="16"/>
                <w:b w:val="1"/>
                <w:bCs w:val="1"/>
                <w:color w:val="auto"/>
              </w:rPr>
              <w:t>(714) 599-5000</w:t>
            </w:r>
          </w:p>
        </w:tc>
        <w:tc>
          <w:tcPr>
            <w:tcW w:w="2060" w:type="dxa"/>
            <w:vAlign w:val="bottom"/>
          </w:tcPr>
          <w:p>
            <w:pPr>
              <w:spacing w:after="0"/>
              <w:rPr>
                <w:sz w:val="24"/>
                <w:szCs w:val="24"/>
                <w:color w:val="auto"/>
              </w:rPr>
            </w:pPr>
          </w:p>
        </w:tc>
      </w:tr>
      <w:tr>
        <w:trPr>
          <w:trHeight w:val="166"/>
        </w:trPr>
        <w:tc>
          <w:tcPr>
            <w:tcW w:w="6060" w:type="dxa"/>
            <w:vAlign w:val="bottom"/>
          </w:tcPr>
          <w:p>
            <w:pPr>
              <w:jc w:val="center"/>
              <w:ind w:left="286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060" w:type="dxa"/>
            <w:vAlign w:val="bottom"/>
          </w:tcPr>
          <w:p>
            <w:pPr>
              <w:spacing w:after="0"/>
              <w:rPr>
                <w:sz w:val="14"/>
                <w:szCs w:val="14"/>
                <w:color w:val="auto"/>
              </w:rPr>
            </w:pPr>
          </w:p>
        </w:tc>
      </w:tr>
    </w:tbl>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6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LOCO</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82"/>
        </w:trPr>
        <w:tc>
          <w:tcPr>
            <w:tcW w:w="3860" w:type="dxa"/>
            <w:vAlign w:val="bottom"/>
            <w:tcBorders>
              <w:left w:val="single" w:sz="8" w:color="auto"/>
              <w:right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6"/>
                <w:szCs w:val="16"/>
                <w:color w:val="auto"/>
              </w:rPr>
              <w:t>Rights to Purchase Series A Preferred Stock, par value</w:t>
            </w:r>
          </w:p>
        </w:tc>
        <w:tc>
          <w:tcPr>
            <w:tcW w:w="252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02"/>
        </w:trPr>
        <w:tc>
          <w:tcPr>
            <w:tcW w:w="386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rPr>
              <w:t>$0.01 per share</w:t>
            </w:r>
          </w:p>
        </w:tc>
        <w:tc>
          <w:tcPr>
            <w:tcW w:w="252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860" w:type="dxa"/>
            <w:vAlign w:val="bottom"/>
            <w:tcBorders>
              <w:left w:val="single" w:sz="8" w:color="auto"/>
              <w:bottom w:val="single" w:sz="8" w:color="auto"/>
              <w:right w:val="single" w:sz="8" w:color="auto"/>
            </w:tcBorders>
            <w:gridSpan w:val="2"/>
            <w:vMerge w:val="continue"/>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3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8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jc w:val="both"/>
        <w:ind w:right="180" w:firstLine="506"/>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6" w:lineRule="exact"/>
        <w:rPr>
          <w:sz w:val="24"/>
          <w:szCs w:val="24"/>
          <w:color w:val="auto"/>
        </w:rPr>
      </w:pPr>
    </w:p>
    <w:p>
      <w:pPr>
        <w:ind w:right="60" w:firstLine="506"/>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300" w:hanging="229"/>
        <w:spacing w:after="0" w:line="184" w:lineRule="exact"/>
        <w:tabs>
          <w:tab w:leader="none" w:pos="3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8" w:lineRule="exact"/>
        <w:rPr>
          <w:sz w:val="24"/>
          <w:szCs w:val="24"/>
          <w:color w:val="auto"/>
        </w:rPr>
      </w:pPr>
    </w:p>
    <w:p>
      <w:pPr>
        <w:ind w:right="100" w:firstLine="50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40" w:type="dxa"/>
        <w:tblCellMar>
          <w:top w:w="0" w:type="dxa"/>
          <w:left w:w="0" w:type="dxa"/>
          <w:bottom w:w="0" w:type="dxa"/>
          <w:right w:w="0" w:type="dxa"/>
        </w:tblCellMar>
      </w:tblPr>
      <w:tr>
        <w:trPr>
          <w:trHeight w:val="272"/>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ind w:right="80" w:firstLine="506"/>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00" w:right="122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As of October 25, 2024, there were 29,939,226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664845</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64770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107315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7340" w:type="dxa"/>
            <w:vAlign w:val="bottom"/>
            <w:gridSpan w:val="20"/>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122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660" w:type="dxa"/>
            <w:vAlign w:val="bottom"/>
            <w:vMerge w:val="restart"/>
          </w:tcPr>
          <w:p>
            <w:pPr>
              <w:spacing w:after="0"/>
              <w:rPr>
                <w:sz w:val="24"/>
                <w:szCs w:val="24"/>
                <w:color w:val="auto"/>
              </w:rPr>
            </w:pPr>
          </w:p>
        </w:tc>
        <w:tc>
          <w:tcPr>
            <w:tcW w:w="540" w:type="dxa"/>
            <w:vAlign w:val="bottom"/>
            <w:vMerge w:val="restart"/>
          </w:tcPr>
          <w:p>
            <w:pPr>
              <w:spacing w:after="0"/>
              <w:rPr>
                <w:sz w:val="24"/>
                <w:szCs w:val="24"/>
                <w:color w:val="auto"/>
              </w:rPr>
            </w:pPr>
          </w:p>
        </w:tc>
        <w:tc>
          <w:tcPr>
            <w:tcW w:w="1380" w:type="dxa"/>
            <w:vAlign w:val="bottom"/>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Item 1. Financial Statements.</w:t>
            </w: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080" w:type="dxa"/>
            <w:vAlign w:val="bottom"/>
            <w:tcBorders>
              <w:bottom w:val="single" w:sz="8" w:color="0000EE"/>
            </w:tcBorders>
            <w:gridSpan w:val="8"/>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480" w:type="dxa"/>
            <w:vAlign w:val="bottom"/>
            <w:vMerge w:val="restart"/>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40" w:type="dxa"/>
            <w:vAlign w:val="bottom"/>
            <w:tcBorders>
              <w:bottom w:val="single" w:sz="8" w:color="0000EE"/>
            </w:tcBorders>
            <w:gridSpan w:val="13"/>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3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(Unaudited)</w:t>
            </w: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tcBorders>
              <w:bottom w:val="single" w:sz="8" w:color="0000EE"/>
            </w:tcBorders>
            <w:gridSpan w:val="14"/>
            <w:vMerge w:val="continue"/>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(Unaudited)</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00" w:type="dxa"/>
            <w:vAlign w:val="bottom"/>
            <w:tcBorders>
              <w:bottom w:val="single" w:sz="8" w:color="0000EE"/>
            </w:tcBorders>
            <w:gridSpan w:val="19"/>
            <w:vMerge w:val="continue"/>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1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w:t>
            </w: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160" w:type="dxa"/>
            <w:vAlign w:val="bottom"/>
            <w:tcBorders>
              <w:bottom w:val="single" w:sz="8" w:color="0000EE"/>
            </w:tcBorders>
            <w:gridSpan w:val="20"/>
            <w:vMerge w:val="continue"/>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26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40" w:type="dxa"/>
            <w:vAlign w:val="bottom"/>
            <w:tcBorders>
              <w:bottom w:val="single" w:sz="8" w:color="0000EE"/>
            </w:tcBorders>
            <w:gridSpan w:val="17"/>
            <w:vMerge w:val="continue"/>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9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1800" w:type="dxa"/>
            <w:vAlign w:val="bottom"/>
            <w:gridSpan w:val="3"/>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tcBorders>
              <w:bottom w:val="single" w:sz="8" w:color="0000EE"/>
            </w:tcBorders>
            <w:gridSpan w:val="18"/>
            <w:vMerge w:val="continue"/>
          </w:tcPr>
          <w:p>
            <w:pPr>
              <w:spacing w:after="0"/>
              <w:rPr>
                <w:sz w:val="15"/>
                <w:szCs w:val="15"/>
                <w:color w:val="auto"/>
              </w:rPr>
            </w:pPr>
          </w:p>
        </w:tc>
        <w:tc>
          <w:tcPr>
            <w:tcW w:w="1800" w:type="dxa"/>
            <w:vAlign w:val="bottom"/>
            <w:gridSpan w:val="3"/>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61"/>
        </w:trPr>
        <w:tc>
          <w:tcPr>
            <w:tcW w:w="70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040" w:type="dxa"/>
            <w:vAlign w:val="bottom"/>
            <w:tcBorders>
              <w:bottom w:val="single" w:sz="8" w:color="0000EE"/>
            </w:tcBorders>
            <w:gridSpan w:val="23"/>
            <w:vMerge w:val="continue"/>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1"/>
        </w:trPr>
        <w:tc>
          <w:tcPr>
            <w:tcW w:w="49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gridSpan w:val="5"/>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960" w:type="dxa"/>
            <w:vAlign w:val="bottom"/>
            <w:tcBorders>
              <w:bottom w:val="single" w:sz="8" w:color="0000EE"/>
            </w:tcBorders>
            <w:gridSpan w:val="18"/>
            <w:vMerge w:val="continue"/>
          </w:tcPr>
          <w:p>
            <w:pPr>
              <w:spacing w:after="0"/>
              <w:rPr>
                <w:sz w:val="15"/>
                <w:szCs w:val="15"/>
                <w:color w:val="auto"/>
              </w:rPr>
            </w:pPr>
          </w:p>
        </w:tc>
        <w:tc>
          <w:tcPr>
            <w:tcW w:w="3460" w:type="dxa"/>
            <w:vAlign w:val="bottom"/>
            <w:gridSpan w:val="6"/>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61"/>
        </w:trPr>
        <w:tc>
          <w:tcPr>
            <w:tcW w:w="23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2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3460" w:type="dxa"/>
            <w:vAlign w:val="bottom"/>
            <w:gridSpan w:val="6"/>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380" w:type="dxa"/>
            <w:vAlign w:val="bottom"/>
            <w:tcBorders>
              <w:bottom w:val="single" w:sz="8" w:color="0000EE"/>
            </w:tcBorders>
            <w:gridSpan w:val="11"/>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26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6"/>
              </w:rPr>
              <w:t>PART II—OTHER INFORMATION</w:t>
            </w: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2640" w:type="dxa"/>
            <w:vAlign w:val="bottom"/>
            <w:tcBorders>
              <w:bottom w:val="single" w:sz="8" w:color="0000EE"/>
            </w:tcBorders>
            <w:gridSpan w:val="12"/>
            <w:vMerge w:val="continue"/>
          </w:tcPr>
          <w:p>
            <w:pPr>
              <w:spacing w:after="0"/>
              <w:rPr>
                <w:sz w:val="24"/>
                <w:szCs w:val="24"/>
                <w:color w:val="auto"/>
              </w:rPr>
            </w:pPr>
          </w:p>
        </w:tc>
        <w:tc>
          <w:tcPr>
            <w:tcW w:w="280" w:type="dxa"/>
            <w:vAlign w:val="bottom"/>
            <w:vMerge w:val="restart"/>
          </w:tcPr>
          <w:p>
            <w:pPr>
              <w:spacing w:after="0"/>
              <w:rPr>
                <w:sz w:val="24"/>
                <w:szCs w:val="24"/>
                <w:color w:val="auto"/>
              </w:rPr>
            </w:pPr>
          </w:p>
        </w:tc>
        <w:tc>
          <w:tcPr>
            <w:tcW w:w="2020" w:type="dxa"/>
            <w:vAlign w:val="bottom"/>
            <w:gridSpan w:val="4"/>
            <w:vMerge w:val="restart"/>
          </w:tcPr>
          <w:p>
            <w:pPr>
              <w:spacing w:after="0"/>
              <w:rPr>
                <w:sz w:val="24"/>
                <w:szCs w:val="24"/>
                <w:color w:val="auto"/>
              </w:rPr>
            </w:pPr>
          </w:p>
        </w:tc>
        <w:tc>
          <w:tcPr>
            <w:tcW w:w="3480" w:type="dxa"/>
            <w:vAlign w:val="bottom"/>
            <w:gridSpan w:val="7"/>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1"/>
        </w:trPr>
        <w:tc>
          <w:tcPr>
            <w:tcW w:w="19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Item 1. Legal Proceedings.</w:t>
            </w:r>
          </w:p>
        </w:tc>
        <w:tc>
          <w:tcPr>
            <w:tcW w:w="440" w:type="dxa"/>
            <w:vAlign w:val="bottom"/>
            <w:gridSpan w:val="2"/>
          </w:tcPr>
          <w:p>
            <w:pPr>
              <w:spacing w:after="0"/>
              <w:rPr>
                <w:sz w:val="5"/>
                <w:szCs w:val="5"/>
                <w:color w:val="auto"/>
              </w:rPr>
            </w:pPr>
          </w:p>
        </w:tc>
        <w:tc>
          <w:tcPr>
            <w:tcW w:w="280" w:type="dxa"/>
            <w:vAlign w:val="bottom"/>
            <w:gridSpan w:val="2"/>
          </w:tcPr>
          <w:p>
            <w:pPr>
              <w:spacing w:after="0"/>
              <w:rPr>
                <w:sz w:val="5"/>
                <w:szCs w:val="5"/>
                <w:color w:val="auto"/>
              </w:rPr>
            </w:pP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20" w:type="dxa"/>
            <w:vAlign w:val="bottom"/>
            <w:tcBorders>
              <w:bottom w:val="single" w:sz="8" w:color="0000EE"/>
            </w:tcBorders>
            <w:gridSpan w:val="8"/>
            <w:vMerge w:val="continue"/>
          </w:tcPr>
          <w:p>
            <w:pPr>
              <w:spacing w:after="0"/>
              <w:rPr>
                <w:sz w:val="15"/>
                <w:szCs w:val="15"/>
                <w:color w:val="auto"/>
              </w:rPr>
            </w:pPr>
          </w:p>
        </w:tc>
        <w:tc>
          <w:tcPr>
            <w:tcW w:w="440" w:type="dxa"/>
            <w:vAlign w:val="bottom"/>
            <w:gridSpan w:val="2"/>
            <w:vMerge w:val="restart"/>
          </w:tcPr>
          <w:p>
            <w:pPr>
              <w:spacing w:after="0"/>
              <w:rPr>
                <w:sz w:val="15"/>
                <w:szCs w:val="15"/>
                <w:color w:val="auto"/>
              </w:rPr>
            </w:pPr>
          </w:p>
        </w:tc>
        <w:tc>
          <w:tcPr>
            <w:tcW w:w="560" w:type="dxa"/>
            <w:vAlign w:val="bottom"/>
            <w:gridSpan w:val="3"/>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1"/>
        </w:trPr>
        <w:tc>
          <w:tcPr>
            <w:tcW w:w="16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7"/>
              </w:rPr>
              <w:t>Item 1A. Risk Factors.</w:t>
            </w: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0000EE"/>
            </w:tcBorders>
            <w:gridSpan w:val="6"/>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560" w:type="dxa"/>
            <w:vAlign w:val="bottom"/>
            <w:gridSpan w:val="3"/>
          </w:tcPr>
          <w:p>
            <w:pPr>
              <w:spacing w:after="0"/>
              <w:rPr>
                <w:sz w:val="15"/>
                <w:szCs w:val="15"/>
                <w:color w:val="auto"/>
              </w:rPr>
            </w:pPr>
          </w:p>
        </w:tc>
        <w:tc>
          <w:tcPr>
            <w:tcW w:w="2020" w:type="dxa"/>
            <w:vAlign w:val="bottom"/>
            <w:gridSpan w:val="4"/>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1"/>
        </w:trPr>
        <w:tc>
          <w:tcPr>
            <w:tcW w:w="49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7"/>
        </w:trPr>
        <w:tc>
          <w:tcPr>
            <w:tcW w:w="4940" w:type="dxa"/>
            <w:vAlign w:val="bottom"/>
            <w:tcBorders>
              <w:bottom w:val="single" w:sz="8" w:color="0000EE"/>
            </w:tcBorders>
            <w:gridSpan w:val="17"/>
            <w:vMerge w:val="continue"/>
          </w:tcPr>
          <w:p>
            <w:pPr>
              <w:spacing w:after="0"/>
              <w:rPr>
                <w:sz w:val="24"/>
                <w:szCs w:val="24"/>
                <w:color w:val="auto"/>
              </w:rPr>
            </w:pPr>
          </w:p>
        </w:tc>
        <w:tc>
          <w:tcPr>
            <w:tcW w:w="3480" w:type="dxa"/>
            <w:vAlign w:val="bottom"/>
            <w:gridSpan w:val="7"/>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1"/>
        </w:trPr>
        <w:tc>
          <w:tcPr>
            <w:tcW w:w="292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2020" w:type="dxa"/>
            <w:vAlign w:val="bottom"/>
            <w:gridSpan w:val="4"/>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920" w:type="dxa"/>
            <w:vAlign w:val="bottom"/>
            <w:tcBorders>
              <w:bottom w:val="single" w:sz="8" w:color="0000EE"/>
            </w:tcBorders>
            <w:gridSpan w:val="13"/>
            <w:vMerge w:val="continue"/>
          </w:tcPr>
          <w:p>
            <w:pPr>
              <w:spacing w:after="0"/>
              <w:rPr>
                <w:sz w:val="14"/>
                <w:szCs w:val="14"/>
                <w:color w:val="auto"/>
              </w:rPr>
            </w:pPr>
          </w:p>
        </w:tc>
        <w:tc>
          <w:tcPr>
            <w:tcW w:w="5500" w:type="dxa"/>
            <w:vAlign w:val="bottom"/>
            <w:gridSpan w:val="11"/>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1"/>
        </w:trPr>
        <w:tc>
          <w:tcPr>
            <w:tcW w:w="23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560" w:type="dxa"/>
            <w:vAlign w:val="bottom"/>
            <w:gridSpan w:val="3"/>
          </w:tcPr>
          <w:p>
            <w:pPr>
              <w:spacing w:after="0"/>
              <w:rPr>
                <w:sz w:val="5"/>
                <w:szCs w:val="5"/>
                <w:color w:val="auto"/>
              </w:rPr>
            </w:pPr>
          </w:p>
        </w:tc>
        <w:tc>
          <w:tcPr>
            <w:tcW w:w="5500" w:type="dxa"/>
            <w:vAlign w:val="bottom"/>
            <w:gridSpan w:val="1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60" w:type="dxa"/>
            <w:vAlign w:val="bottom"/>
            <w:tcBorders>
              <w:bottom w:val="single" w:sz="8" w:color="0000EE"/>
            </w:tcBorders>
            <w:gridSpan w:val="10"/>
            <w:vMerge w:val="continue"/>
          </w:tcPr>
          <w:p>
            <w:pPr>
              <w:spacing w:after="0"/>
              <w:rPr>
                <w:sz w:val="15"/>
                <w:szCs w:val="15"/>
                <w:color w:val="auto"/>
              </w:rPr>
            </w:pPr>
          </w:p>
        </w:tc>
        <w:tc>
          <w:tcPr>
            <w:tcW w:w="6060" w:type="dxa"/>
            <w:vAlign w:val="bottom"/>
            <w:gridSpan w:val="14"/>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1"/>
        </w:trPr>
        <w:tc>
          <w:tcPr>
            <w:tcW w:w="19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Item 5. Other Information.</w:t>
            </w:r>
          </w:p>
        </w:tc>
        <w:tc>
          <w:tcPr>
            <w:tcW w:w="460" w:type="dxa"/>
            <w:vAlign w:val="bottom"/>
            <w:gridSpan w:val="3"/>
          </w:tcPr>
          <w:p>
            <w:pPr>
              <w:spacing w:after="0"/>
              <w:rPr>
                <w:sz w:val="5"/>
                <w:szCs w:val="5"/>
                <w:color w:val="auto"/>
              </w:rPr>
            </w:pPr>
          </w:p>
        </w:tc>
        <w:tc>
          <w:tcPr>
            <w:tcW w:w="6060" w:type="dxa"/>
            <w:vAlign w:val="bottom"/>
            <w:gridSpan w:val="14"/>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00" w:type="dxa"/>
            <w:vAlign w:val="bottom"/>
            <w:tcBorders>
              <w:bottom w:val="single" w:sz="8" w:color="0000EE"/>
            </w:tcBorders>
            <w:gridSpan w:val="7"/>
            <w:vMerge w:val="continue"/>
          </w:tcPr>
          <w:p>
            <w:pPr>
              <w:spacing w:after="0"/>
              <w:rPr>
                <w:sz w:val="15"/>
                <w:szCs w:val="15"/>
                <w:color w:val="auto"/>
              </w:rPr>
            </w:pPr>
          </w:p>
        </w:tc>
        <w:tc>
          <w:tcPr>
            <w:tcW w:w="6520" w:type="dxa"/>
            <w:vAlign w:val="bottom"/>
            <w:gridSpan w:val="1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61"/>
        </w:trPr>
        <w:tc>
          <w:tcPr>
            <w:tcW w:w="11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6"/>
              </w:rPr>
              <w:t>Item 6. Exhibits.</w:t>
            </w:r>
          </w:p>
        </w:tc>
        <w:tc>
          <w:tcPr>
            <w:tcW w:w="720" w:type="dxa"/>
            <w:vAlign w:val="bottom"/>
            <w:gridSpan w:val="2"/>
          </w:tcPr>
          <w:p>
            <w:pPr>
              <w:spacing w:after="0"/>
              <w:rPr>
                <w:sz w:val="5"/>
                <w:szCs w:val="5"/>
                <w:color w:val="auto"/>
              </w:rPr>
            </w:pPr>
          </w:p>
        </w:tc>
        <w:tc>
          <w:tcPr>
            <w:tcW w:w="6520" w:type="dxa"/>
            <w:vAlign w:val="bottom"/>
            <w:gridSpan w:val="1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80" w:type="dxa"/>
            <w:vAlign w:val="bottom"/>
            <w:tcBorders>
              <w:bottom w:val="single" w:sz="8" w:color="0000EE"/>
            </w:tcBorders>
            <w:gridSpan w:val="5"/>
            <w:vMerge w:val="continue"/>
          </w:tcPr>
          <w:p>
            <w:pPr>
              <w:spacing w:after="0"/>
              <w:rPr>
                <w:sz w:val="15"/>
                <w:szCs w:val="15"/>
                <w:color w:val="auto"/>
              </w:rPr>
            </w:pPr>
          </w:p>
        </w:tc>
        <w:tc>
          <w:tcPr>
            <w:tcW w:w="7240" w:type="dxa"/>
            <w:vAlign w:val="bottom"/>
            <w:gridSpan w:val="19"/>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61"/>
        </w:trPr>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4"/>
              </w:rPr>
              <w:t>Signatures</w:t>
            </w:r>
          </w:p>
        </w:tc>
        <w:tc>
          <w:tcPr>
            <w:tcW w:w="440" w:type="dxa"/>
            <w:vAlign w:val="bottom"/>
            <w:gridSpan w:val="2"/>
          </w:tcPr>
          <w:p>
            <w:pPr>
              <w:spacing w:after="0"/>
              <w:rPr>
                <w:sz w:val="5"/>
                <w:szCs w:val="5"/>
                <w:color w:val="auto"/>
              </w:rPr>
            </w:pPr>
          </w:p>
        </w:tc>
        <w:tc>
          <w:tcPr>
            <w:tcW w:w="7240" w:type="dxa"/>
            <w:vAlign w:val="bottom"/>
            <w:gridSpan w:val="19"/>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40" w:type="dxa"/>
            <w:vAlign w:val="bottom"/>
            <w:tcBorders>
              <w:bottom w:val="single" w:sz="8" w:color="0000EE"/>
            </w:tcBorders>
            <w:gridSpan w:val="3"/>
            <w:vMerge w:val="continue"/>
          </w:tcPr>
          <w:p>
            <w:pPr>
              <w:spacing w:after="0"/>
              <w:rPr>
                <w:sz w:val="15"/>
                <w:szCs w:val="15"/>
                <w:color w:val="auto"/>
              </w:rPr>
            </w:pPr>
          </w:p>
        </w:tc>
        <w:tc>
          <w:tcPr>
            <w:tcW w:w="7680" w:type="dxa"/>
            <w:vAlign w:val="bottom"/>
            <w:gridSpan w:val="2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61"/>
        </w:trPr>
        <w:tc>
          <w:tcPr>
            <w:tcW w:w="740" w:type="dxa"/>
            <w:vAlign w:val="bottom"/>
            <w:gridSpan w:val="3"/>
          </w:tcPr>
          <w:p>
            <w:pPr>
              <w:spacing w:after="0"/>
              <w:rPr>
                <w:sz w:val="5"/>
                <w:szCs w:val="5"/>
                <w:color w:val="auto"/>
              </w:rPr>
            </w:pPr>
          </w:p>
        </w:tc>
        <w:tc>
          <w:tcPr>
            <w:tcW w:w="7680" w:type="dxa"/>
            <w:vAlign w:val="bottom"/>
            <w:gridSpan w:val="2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left="1580" w:right="1600"/>
        <w:spacing w:after="0" w:line="385" w:lineRule="auto"/>
        <w:rPr>
          <w:sz w:val="20"/>
          <w:szCs w:val="20"/>
          <w:color w:val="auto"/>
        </w:rPr>
      </w:pPr>
      <w:r>
        <w:rPr>
          <w:rFonts w:ascii="Times New Roman" w:cs="Times New Roman" w:eastAsia="Times New Roman" w:hAnsi="Times New Roman"/>
          <w:sz w:val="18"/>
          <w:szCs w:val="18"/>
          <w:b w:val="1"/>
          <w:bCs w:val="1"/>
          <w:color w:val="auto"/>
        </w:rPr>
        <w:t>EL POLLO LOCO HOLDINGS, INC. CONDENSED CONSOLIDATED BALANCE SHEETS (UNAUDITED) (Amounts in thousands, except share and per share data)</w:t>
      </w:r>
    </w:p>
    <w:tbl>
      <w:tblPr>
        <w:tblLayout w:type="fixed"/>
        <w:tblInd w:w="40" w:type="dxa"/>
        <w:tblCellMar>
          <w:top w:w="0" w:type="dxa"/>
          <w:left w:w="0" w:type="dxa"/>
          <w:bottom w:w="0" w:type="dxa"/>
          <w:right w:w="0" w:type="dxa"/>
        </w:tblCellMar>
      </w:tblPr>
      <w:tr>
        <w:trPr>
          <w:trHeight w:val="149"/>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25,</w:t>
            </w:r>
          </w:p>
        </w:tc>
        <w:tc>
          <w:tcPr>
            <w:tcW w:w="120" w:type="dxa"/>
            <w:vAlign w:val="bottom"/>
          </w:tcPr>
          <w:p>
            <w:pPr>
              <w:spacing w:after="0"/>
              <w:rPr>
                <w:sz w:val="12"/>
                <w:szCs w:val="12"/>
                <w:color w:val="auto"/>
              </w:rPr>
            </w:pPr>
          </w:p>
        </w:tc>
        <w:tc>
          <w:tcPr>
            <w:tcW w:w="1000" w:type="dxa"/>
            <w:vAlign w:val="bottom"/>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73"/>
        </w:trPr>
        <w:tc>
          <w:tcPr>
            <w:tcW w:w="6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and other receivables, net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10,148</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25,134</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84,027</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finance lease, net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operating leases, net ("ROU asset")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168,007</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589,974</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592,301</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19,490</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12,541</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vacation</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11,831</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taxes payable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income tax receivable agreement payable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23,284</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18,361</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75,587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72,581</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loan</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84,000</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net of current portion</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net of current portion</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166,236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168,084</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8,878</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334,764</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341,605</w:t>
            </w:r>
          </w:p>
        </w:tc>
        <w:tc>
          <w:tcPr>
            <w:tcW w:w="0" w:type="dxa"/>
            <w:vAlign w:val="bottom"/>
          </w:tcPr>
          <w:p>
            <w:pPr>
              <w:spacing w:after="0"/>
              <w:rPr>
                <w:sz w:val="1"/>
                <w:szCs w:val="1"/>
                <w:color w:val="auto"/>
              </w:rPr>
            </w:pPr>
          </w:p>
        </w:tc>
      </w:tr>
      <w:tr>
        <w:trPr>
          <w:trHeight w:val="19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100,000 shares designated as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Preferred Stock; none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$0.01 par value, 200,000,000 shares authorized; 29,950,476 and 31,353,223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as of September 25, 2024 and December 27, 2023, respectively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236,421</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13,962</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255,210</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250,696</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589,974</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592,301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24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2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140" w:type="dxa"/>
            <w:vAlign w:val="bottom"/>
          </w:tcPr>
          <w:p>
            <w:pPr>
              <w:spacing w:after="0"/>
              <w:rPr>
                <w:sz w:val="12"/>
                <w:szCs w:val="12"/>
                <w:color w:val="auto"/>
              </w:rPr>
            </w:pPr>
          </w:p>
        </w:tc>
        <w:tc>
          <w:tcPr>
            <w:tcW w:w="250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 September 27, 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101,178</w:t>
            </w:r>
          </w:p>
        </w:tc>
        <w:tc>
          <w:tcPr>
            <w:tcW w:w="6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102,703</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300,638</w:t>
            </w:r>
          </w:p>
        </w:tc>
        <w:tc>
          <w:tcPr>
            <w:tcW w:w="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23,757</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120,395</w:t>
            </w: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358,724</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paper cost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recovery of insurance proceeds, lost</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 net</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247,552</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257,438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3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recovery of insurance proceeds,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expenses</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disposition of restaurants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110,258</w:t>
            </w: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326,590</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27,507</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19,731</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used in</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computing net income per share</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29,199,971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33,412,674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30,072,637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35,026,731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29,423,649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33,490,004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30,235,309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35,179,483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342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2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140" w:type="dxa"/>
            <w:vAlign w:val="bottom"/>
          </w:tcPr>
          <w:p>
            <w:pPr>
              <w:spacing w:after="0"/>
              <w:rPr>
                <w:sz w:val="12"/>
                <w:szCs w:val="12"/>
                <w:color w:val="auto"/>
              </w:rPr>
            </w:pPr>
          </w:p>
        </w:tc>
        <w:tc>
          <w:tcPr>
            <w:tcW w:w="13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2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180" w:type="dxa"/>
            <w:vAlign w:val="bottom"/>
          </w:tcPr>
          <w:p>
            <w:pPr>
              <w:spacing w:after="0"/>
              <w:rPr>
                <w:sz w:val="12"/>
                <w:szCs w:val="12"/>
                <w:color w:val="auto"/>
              </w:rPr>
            </w:pP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Reclassifications of loss into net income</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r>
      <w:tr>
        <w:trPr>
          <w:trHeight w:val="210"/>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bottom w:val="single" w:sz="8" w:color="CCEEFF"/>
            </w:tcBorders>
          </w:tcPr>
          <w:p>
            <w:pPr>
              <w:spacing w:after="0"/>
              <w:rPr>
                <w:sz w:val="18"/>
                <w:szCs w:val="18"/>
                <w:color w:val="auto"/>
              </w:rPr>
            </w:pPr>
          </w:p>
        </w:tc>
      </w:tr>
      <w:tr>
        <w:trPr>
          <w:trHeight w:val="209"/>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19,731</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Thirteen Weeks Ended September 25, 2024</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3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00" w:type="dxa"/>
            <w:vAlign w:val="bottom"/>
          </w:tcPr>
          <w:p>
            <w:pPr>
              <w:jc w:val="center"/>
              <w:ind w:left="18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3"/>
            <w:vMerge w:val="continue"/>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9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26,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29,988,771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$ 220,772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$ 27,507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(92,043)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(1,061)</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 - excise tax</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25,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29,950,476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$ 221,218</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$ 33,693</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Thirteen Weeks Ended September 27, 2023</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3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00" w:type="dxa"/>
            <w:vAlign w:val="bottom"/>
          </w:tcPr>
          <w:p>
            <w:pPr>
              <w:jc w:val="center"/>
              <w:ind w:left="18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3"/>
            <w:vMerge w:val="continue"/>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9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28,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35,643,747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$ 276,222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(2,706,214)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(27)</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(28,437)</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 - excise tax</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27,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32,957,470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$ 248,732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Thirty-Nine Weeks Ended September 25, 2024</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2"/>
                <w:szCs w:val="12"/>
                <w:color w:val="auto"/>
              </w:rPr>
            </w:pPr>
          </w:p>
        </w:tc>
        <w:tc>
          <w:tcPr>
            <w:tcW w:w="720" w:type="dxa"/>
            <w:vAlign w:val="bottom"/>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27,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31,353,223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$ 236,421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503,112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 stock options,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163,696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(19,025)</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(1,966,229)</w:t>
            </w:r>
          </w:p>
        </w:tc>
        <w:tc>
          <w:tcPr>
            <w:tcW w:w="2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(19,272)</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 excise tax</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(84,301)</w:t>
            </w:r>
          </w:p>
        </w:tc>
        <w:tc>
          <w:tcPr>
            <w:tcW w:w="22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19,731</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September 25,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29,950,476</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$ 221,218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33,693</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255,210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Thirty-Nine Weeks Ended September 27, 2023</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0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2"/>
                <w:szCs w:val="12"/>
                <w:color w:val="auto"/>
              </w:rPr>
            </w:pPr>
          </w:p>
        </w:tc>
        <w:tc>
          <w:tcPr>
            <w:tcW w:w="720" w:type="dxa"/>
            <w:vAlign w:val="bottom"/>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28,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37,008,061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$ 292,244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281,148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391,432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 stock options,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219,960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(23,129)</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(4,530,850)</w:t>
            </w:r>
          </w:p>
        </w:tc>
        <w:tc>
          <w:tcPr>
            <w:tcW w:w="2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(46,570)</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 excise tax</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(108,004)</w:t>
            </w:r>
          </w:p>
        </w:tc>
        <w:tc>
          <w:tcPr>
            <w:tcW w:w="22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income, net</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tax</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27,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32,957,470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$ 248,732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258,672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6200" w:type="dxa"/>
            <w:vAlign w:val="bottom"/>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2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140" w:type="dxa"/>
            <w:vAlign w:val="bottom"/>
          </w:tcPr>
          <w:p>
            <w:pPr>
              <w:spacing w:after="0"/>
              <w:rPr>
                <w:sz w:val="12"/>
                <w:szCs w:val="12"/>
                <w:color w:val="auto"/>
              </w:rPr>
            </w:pPr>
          </w:p>
        </w:tc>
      </w:tr>
      <w:tr>
        <w:trPr>
          <w:trHeight w:val="142"/>
        </w:trPr>
        <w:tc>
          <w:tcPr>
            <w:tcW w:w="62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9"/>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19,731</w:t>
            </w:r>
          </w:p>
        </w:tc>
        <w:tc>
          <w:tcPr>
            <w:tcW w:w="12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21,203</w:t>
            </w:r>
          </w:p>
        </w:tc>
        <w:tc>
          <w:tcPr>
            <w:tcW w:w="140" w:type="dxa"/>
            <w:vAlign w:val="bottom"/>
          </w:tcPr>
          <w:p>
            <w:pPr>
              <w:spacing w:after="0"/>
              <w:rPr>
                <w:sz w:val="12"/>
                <w:szCs w:val="12"/>
                <w:color w:val="auto"/>
              </w:rPr>
            </w:pPr>
          </w:p>
        </w:tc>
      </w:tr>
      <w:tr>
        <w:trPr>
          <w:trHeight w:val="148"/>
        </w:trPr>
        <w:tc>
          <w:tcPr>
            <w:tcW w:w="6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flows provided by operating activities:</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11,755</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11,277</w:t>
            </w:r>
          </w:p>
        </w:tc>
        <w:tc>
          <w:tcPr>
            <w:tcW w:w="140" w:type="dxa"/>
            <w:vAlign w:val="bottom"/>
          </w:tcPr>
          <w:p>
            <w:pPr>
              <w:spacing w:after="0"/>
              <w:rPr>
                <w:sz w:val="12"/>
                <w:szCs w:val="12"/>
                <w:color w:val="auto"/>
              </w:rPr>
            </w:pPr>
          </w:p>
        </w:tc>
      </w:tr>
      <w:tr>
        <w:trPr>
          <w:trHeight w:val="148"/>
        </w:trPr>
        <w:tc>
          <w:tcPr>
            <w:tcW w:w="6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2,897</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2,539</w:t>
            </w:r>
          </w:p>
        </w:tc>
        <w:tc>
          <w:tcPr>
            <w:tcW w:w="140" w:type="dxa"/>
            <w:vAlign w:val="bottom"/>
            <w:shd w:val="clear" w:color="auto" w:fill="CCEEFF"/>
          </w:tcPr>
          <w:p>
            <w:pPr>
              <w:spacing w:after="0"/>
              <w:rPr>
                <w:sz w:val="12"/>
                <w:szCs w:val="12"/>
                <w:color w:val="auto"/>
              </w:rPr>
            </w:pPr>
          </w:p>
        </w:tc>
      </w:tr>
      <w:tr>
        <w:trPr>
          <w:trHeight w:val="148"/>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receivable agreement expense</w:t>
            </w:r>
          </w:p>
        </w:tc>
        <w:tc>
          <w:tcPr>
            <w:tcW w:w="2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spacing w:after="0"/>
              <w:rPr>
                <w:sz w:val="12"/>
                <w:szCs w:val="12"/>
                <w:color w:val="auto"/>
              </w:rPr>
            </w:pPr>
          </w:p>
        </w:tc>
      </w:tr>
      <w:tr>
        <w:trPr>
          <w:trHeight w:val="149"/>
        </w:trPr>
        <w:tc>
          <w:tcPr>
            <w:tcW w:w="6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Fire insurance proceeds for expenses paid and lost profit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40" w:type="dxa"/>
            <w:vAlign w:val="bottom"/>
            <w:shd w:val="clear" w:color="auto" w:fill="CCEEFF"/>
          </w:tcPr>
          <w:p>
            <w:pPr>
              <w:spacing w:after="0"/>
              <w:rPr>
                <w:sz w:val="12"/>
                <w:szCs w:val="12"/>
                <w:color w:val="auto"/>
              </w:rPr>
            </w:pPr>
          </w:p>
        </w:tc>
      </w:tr>
      <w:tr>
        <w:trPr>
          <w:trHeight w:val="148"/>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(gain) on disposition of restaurants</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(5,034)</w:t>
            </w:r>
          </w:p>
        </w:tc>
      </w:tr>
      <w:tr>
        <w:trPr>
          <w:trHeight w:val="148"/>
        </w:trPr>
        <w:tc>
          <w:tcPr>
            <w:tcW w:w="6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(gain) on disposal of assets</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w:t>
            </w:r>
          </w:p>
        </w:tc>
      </w:tr>
      <w:tr>
        <w:trPr>
          <w:trHeight w:val="148"/>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recovery of insurance proceeds, property, equipment and expenses, net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(242)</w:t>
            </w:r>
          </w:p>
        </w:tc>
      </w:tr>
      <w:tr>
        <w:trPr>
          <w:trHeight w:val="148"/>
        </w:trPr>
        <w:tc>
          <w:tcPr>
            <w:tcW w:w="6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property and equipment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w:t>
            </w:r>
          </w:p>
        </w:tc>
        <w:tc>
          <w:tcPr>
            <w:tcW w:w="140" w:type="dxa"/>
            <w:vAlign w:val="bottom"/>
            <w:shd w:val="clear" w:color="auto" w:fill="CCEEFF"/>
          </w:tcPr>
          <w:p>
            <w:pPr>
              <w:spacing w:after="0"/>
              <w:rPr>
                <w:sz w:val="12"/>
                <w:szCs w:val="12"/>
                <w:color w:val="auto"/>
              </w:rPr>
            </w:pPr>
          </w:p>
        </w:tc>
      </w:tr>
      <w:tr>
        <w:trPr>
          <w:trHeight w:val="148"/>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40" w:type="dxa"/>
            <w:vAlign w:val="bottom"/>
          </w:tcPr>
          <w:p>
            <w:pPr>
              <w:spacing w:after="0"/>
              <w:rPr>
                <w:sz w:val="12"/>
                <w:szCs w:val="12"/>
                <w:color w:val="auto"/>
              </w:rPr>
            </w:pPr>
          </w:p>
        </w:tc>
      </w:tr>
      <w:tr>
        <w:trPr>
          <w:trHeight w:val="149"/>
        </w:trPr>
        <w:tc>
          <w:tcPr>
            <w:tcW w:w="6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1,138</w:t>
            </w:r>
          </w:p>
        </w:tc>
        <w:tc>
          <w:tcPr>
            <w:tcW w:w="140" w:type="dxa"/>
            <w:vAlign w:val="bottom"/>
            <w:shd w:val="clear" w:color="auto" w:fill="CCEEFF"/>
          </w:tcPr>
          <w:p>
            <w:pPr>
              <w:spacing w:after="0"/>
              <w:rPr>
                <w:sz w:val="12"/>
                <w:szCs w:val="12"/>
                <w:color w:val="auto"/>
              </w:rPr>
            </w:pPr>
          </w:p>
        </w:tc>
      </w:tr>
      <w:tr>
        <w:trPr>
          <w:trHeight w:val="148"/>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6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and other receivables</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140" w:type="dxa"/>
            <w:vAlign w:val="bottom"/>
            <w:shd w:val="clear" w:color="auto" w:fill="CCEEFF"/>
          </w:tcPr>
          <w:p>
            <w:pPr>
              <w:spacing w:after="0"/>
              <w:rPr>
                <w:sz w:val="12"/>
                <w:szCs w:val="12"/>
                <w:color w:val="auto"/>
              </w:rPr>
            </w:pPr>
          </w:p>
        </w:tc>
      </w:tr>
      <w:tr>
        <w:trPr>
          <w:trHeight w:val="148"/>
        </w:trPr>
        <w:tc>
          <w:tcPr>
            <w:tcW w:w="6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40" w:type="dxa"/>
            <w:vAlign w:val="bottom"/>
          </w:tcPr>
          <w:p>
            <w:pPr>
              <w:spacing w:after="0"/>
              <w:rPr>
                <w:sz w:val="12"/>
                <w:szCs w:val="12"/>
                <w:color w:val="auto"/>
              </w:rPr>
            </w:pPr>
          </w:p>
        </w:tc>
      </w:tr>
      <w:tr>
        <w:trPr>
          <w:trHeight w:val="148"/>
        </w:trPr>
        <w:tc>
          <w:tcPr>
            <w:tcW w:w="6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2,995</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CEEFF"/>
          </w:tcPr>
          <w:p>
            <w:pPr>
              <w:spacing w:after="0"/>
              <w:rPr>
                <w:sz w:val="12"/>
                <w:szCs w:val="12"/>
                <w:color w:val="auto"/>
              </w:rPr>
            </w:pPr>
          </w:p>
        </w:tc>
      </w:tr>
      <w:tr>
        <w:trPr>
          <w:trHeight w:val="149"/>
        </w:trPr>
        <w:tc>
          <w:tcPr>
            <w:tcW w:w="6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 receivable/ payable</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6,391</w:t>
            </w:r>
          </w:p>
        </w:tc>
        <w:tc>
          <w:tcPr>
            <w:tcW w:w="140" w:type="dxa"/>
            <w:vAlign w:val="bottom"/>
          </w:tcPr>
          <w:p>
            <w:pPr>
              <w:spacing w:after="0"/>
              <w:rPr>
                <w:sz w:val="12"/>
                <w:szCs w:val="12"/>
                <w:color w:val="auto"/>
              </w:rPr>
            </w:pPr>
          </w:p>
        </w:tc>
      </w:tr>
      <w:tr>
        <w:trPr>
          <w:trHeight w:val="148"/>
        </w:trPr>
        <w:tc>
          <w:tcPr>
            <w:tcW w:w="6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w:t>
            </w:r>
          </w:p>
        </w:tc>
      </w:tr>
      <w:tr>
        <w:trPr>
          <w:trHeight w:val="148"/>
        </w:trPr>
        <w:tc>
          <w:tcPr>
            <w:tcW w:w="6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(2,617)</w:t>
            </w:r>
          </w:p>
        </w:tc>
        <w:tc>
          <w:tcPr>
            <w:tcW w:w="4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(5,798)</w:t>
            </w:r>
          </w:p>
        </w:tc>
      </w:tr>
      <w:tr>
        <w:trPr>
          <w:trHeight w:val="148"/>
        </w:trPr>
        <w:tc>
          <w:tcPr>
            <w:tcW w:w="6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salaries and vacation</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(1,619)</w:t>
            </w:r>
          </w:p>
        </w:tc>
      </w:tr>
      <w:tr>
        <w:trPr>
          <w:trHeight w:val="148"/>
        </w:trPr>
        <w:tc>
          <w:tcPr>
            <w:tcW w:w="6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insurance</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140" w:type="dxa"/>
            <w:vAlign w:val="bottom"/>
          </w:tcPr>
          <w:p>
            <w:pPr>
              <w:spacing w:after="0"/>
              <w:rPr>
                <w:sz w:val="12"/>
                <w:szCs w:val="12"/>
                <w:color w:val="auto"/>
              </w:rPr>
            </w:pPr>
          </w:p>
        </w:tc>
      </w:tr>
      <w:tr>
        <w:trPr>
          <w:trHeight w:val="149"/>
        </w:trPr>
        <w:tc>
          <w:tcPr>
            <w:tcW w:w="6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related to tax receivable agreement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2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4,995</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40" w:type="dxa"/>
            <w:vAlign w:val="bottom"/>
            <w:tcBorders>
              <w:bottom w:val="single" w:sz="8" w:color="CCEEFF"/>
            </w:tcBorders>
          </w:tcPr>
          <w:p>
            <w:pPr>
              <w:spacing w:after="0"/>
              <w:rPr>
                <w:sz w:val="12"/>
                <w:szCs w:val="12"/>
                <w:color w:val="auto"/>
              </w:rPr>
            </w:pPr>
          </w:p>
        </w:tc>
      </w:tr>
      <w:tr>
        <w:trPr>
          <w:trHeight w:val="142"/>
        </w:trPr>
        <w:tc>
          <w:tcPr>
            <w:tcW w:w="6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41,146</w:t>
            </w:r>
          </w:p>
        </w:tc>
        <w:tc>
          <w:tcPr>
            <w:tcW w:w="12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32,509</w:t>
            </w:r>
          </w:p>
        </w:tc>
        <w:tc>
          <w:tcPr>
            <w:tcW w:w="140" w:type="dxa"/>
            <w:vAlign w:val="bottom"/>
            <w:shd w:val="clear" w:color="auto" w:fill="CCEEFF"/>
          </w:tcPr>
          <w:p>
            <w:pPr>
              <w:spacing w:after="0"/>
              <w:rPr>
                <w:sz w:val="12"/>
                <w:szCs w:val="12"/>
                <w:color w:val="auto"/>
              </w:rPr>
            </w:pPr>
          </w:p>
        </w:tc>
      </w:tr>
      <w:tr>
        <w:trPr>
          <w:trHeight w:val="142"/>
        </w:trPr>
        <w:tc>
          <w:tcPr>
            <w:tcW w:w="6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6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disposition of restaurants</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7,722</w:t>
            </w:r>
          </w:p>
        </w:tc>
        <w:tc>
          <w:tcPr>
            <w:tcW w:w="140" w:type="dxa"/>
            <w:vAlign w:val="bottom"/>
            <w:shd w:val="clear" w:color="auto" w:fill="CCEEFF"/>
          </w:tcPr>
          <w:p>
            <w:pPr>
              <w:spacing w:after="0"/>
              <w:rPr>
                <w:sz w:val="12"/>
                <w:szCs w:val="12"/>
                <w:color w:val="auto"/>
              </w:rPr>
            </w:pPr>
          </w:p>
        </w:tc>
      </w:tr>
      <w:tr>
        <w:trPr>
          <w:trHeight w:val="149"/>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fire insurance for property and equipment</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40" w:type="dxa"/>
            <w:vAlign w:val="bottom"/>
          </w:tcPr>
          <w:p>
            <w:pPr>
              <w:spacing w:after="0"/>
              <w:rPr>
                <w:sz w:val="12"/>
                <w:szCs w:val="12"/>
                <w:color w:val="auto"/>
              </w:rPr>
            </w:pPr>
          </w:p>
        </w:tc>
      </w:tr>
      <w:tr>
        <w:trPr>
          <w:trHeight w:val="148"/>
        </w:trPr>
        <w:tc>
          <w:tcPr>
            <w:tcW w:w="6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(14,578)</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(15,297)</w:t>
            </w:r>
          </w:p>
        </w:tc>
      </w:tr>
      <w:tr>
        <w:trPr>
          <w:trHeight w:val="142"/>
        </w:trPr>
        <w:tc>
          <w:tcPr>
            <w:tcW w:w="62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(14,437)</w:t>
            </w:r>
          </w:p>
        </w:tc>
        <w:tc>
          <w:tcPr>
            <w:tcW w:w="1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(7,412)</w:t>
            </w:r>
          </w:p>
        </w:tc>
        <w:tc>
          <w:tcPr>
            <w:tcW w:w="140" w:type="dxa"/>
            <w:vAlign w:val="bottom"/>
            <w:tcBorders>
              <w:bottom w:val="single" w:sz="8" w:color="CCEEFF"/>
            </w:tcBorders>
          </w:tcPr>
          <w:p>
            <w:pPr>
              <w:spacing w:after="0"/>
              <w:rPr>
                <w:sz w:val="12"/>
                <w:szCs w:val="12"/>
                <w:color w:val="auto"/>
              </w:rPr>
            </w:pPr>
          </w:p>
        </w:tc>
      </w:tr>
      <w:tr>
        <w:trPr>
          <w:trHeight w:val="142"/>
        </w:trPr>
        <w:tc>
          <w:tcPr>
            <w:tcW w:w="6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8"/>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borrowings on revolver and swingline loans</w:t>
            </w: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40" w:type="dxa"/>
            <w:vAlign w:val="bottom"/>
          </w:tcPr>
          <w:p>
            <w:pPr>
              <w:spacing w:after="0"/>
              <w:rPr>
                <w:sz w:val="12"/>
                <w:szCs w:val="12"/>
                <w:color w:val="auto"/>
              </w:rPr>
            </w:pPr>
          </w:p>
        </w:tc>
      </w:tr>
      <w:tr>
        <w:trPr>
          <w:trHeight w:val="148"/>
        </w:trPr>
        <w:tc>
          <w:tcPr>
            <w:tcW w:w="6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on revolver and swingline loan</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(22,000)</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(11,000)</w:t>
            </w:r>
          </w:p>
        </w:tc>
      </w:tr>
      <w:tr>
        <w:trPr>
          <w:trHeight w:val="149"/>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Minimum tax withholdings related to net share settlements</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4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(217)</w:t>
            </w:r>
          </w:p>
        </w:tc>
      </w:tr>
      <w:tr>
        <w:trPr>
          <w:trHeight w:val="148"/>
        </w:trPr>
        <w:tc>
          <w:tcPr>
            <w:tcW w:w="6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upon exercise of stock options, net of expenses</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140" w:type="dxa"/>
            <w:vAlign w:val="bottom"/>
            <w:shd w:val="clear" w:color="auto" w:fill="CCEEFF"/>
          </w:tcPr>
          <w:p>
            <w:pPr>
              <w:spacing w:after="0"/>
              <w:rPr>
                <w:sz w:val="12"/>
                <w:szCs w:val="12"/>
                <w:color w:val="auto"/>
              </w:rPr>
            </w:pPr>
          </w:p>
        </w:tc>
      </w:tr>
      <w:tr>
        <w:trPr>
          <w:trHeight w:val="148"/>
        </w:trPr>
        <w:tc>
          <w:tcPr>
            <w:tcW w:w="6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 of obligations under finance leases</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4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(113)</w:t>
            </w:r>
          </w:p>
        </w:tc>
      </w:tr>
      <w:tr>
        <w:trPr>
          <w:trHeight w:val="149"/>
        </w:trPr>
        <w:tc>
          <w:tcPr>
            <w:tcW w:w="6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(19,292)</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(46,616)</w:t>
            </w:r>
          </w:p>
        </w:tc>
      </w:tr>
      <w:tr>
        <w:trPr>
          <w:trHeight w:val="142"/>
        </w:trPr>
        <w:tc>
          <w:tcPr>
            <w:tcW w:w="62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used in by financing activities</w:t>
            </w: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(26,102)</w:t>
            </w:r>
          </w:p>
        </w:tc>
        <w:tc>
          <w:tcPr>
            <w:tcW w:w="1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(31,775)</w:t>
            </w:r>
          </w:p>
        </w:tc>
        <w:tc>
          <w:tcPr>
            <w:tcW w:w="140" w:type="dxa"/>
            <w:vAlign w:val="bottom"/>
            <w:tcBorders>
              <w:bottom w:val="single" w:sz="8" w:color="CCEEFF"/>
            </w:tcBorders>
          </w:tcPr>
          <w:p>
            <w:pPr>
              <w:spacing w:after="0"/>
              <w:rPr>
                <w:sz w:val="12"/>
                <w:szCs w:val="12"/>
                <w:color w:val="auto"/>
              </w:rPr>
            </w:pPr>
          </w:p>
        </w:tc>
      </w:tr>
      <w:tr>
        <w:trPr>
          <w:trHeight w:val="142"/>
        </w:trPr>
        <w:tc>
          <w:tcPr>
            <w:tcW w:w="6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cash and cash equivalents</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607</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(6,678)</w:t>
            </w:r>
          </w:p>
        </w:tc>
        <w:tc>
          <w:tcPr>
            <w:tcW w:w="140" w:type="dxa"/>
            <w:vAlign w:val="bottom"/>
            <w:shd w:val="clear" w:color="auto" w:fill="CCEEFF"/>
          </w:tcPr>
          <w:p>
            <w:pPr>
              <w:spacing w:after="0"/>
              <w:rPr>
                <w:sz w:val="12"/>
                <w:szCs w:val="12"/>
                <w:color w:val="auto"/>
              </w:rPr>
            </w:pPr>
          </w:p>
        </w:tc>
      </w:tr>
      <w:tr>
        <w:trPr>
          <w:trHeight w:val="149"/>
        </w:trPr>
        <w:tc>
          <w:tcPr>
            <w:tcW w:w="620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beginning of period</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7,288</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20,493</w:t>
            </w:r>
          </w:p>
        </w:tc>
        <w:tc>
          <w:tcPr>
            <w:tcW w:w="140" w:type="dxa"/>
            <w:vAlign w:val="bottom"/>
            <w:tcBorders>
              <w:bottom w:val="single" w:sz="8" w:color="CCEEFF"/>
            </w:tcBorders>
          </w:tcPr>
          <w:p>
            <w:pPr>
              <w:spacing w:after="0"/>
              <w:rPr>
                <w:sz w:val="12"/>
                <w:szCs w:val="12"/>
                <w:color w:val="auto"/>
              </w:rPr>
            </w:pPr>
          </w:p>
        </w:tc>
      </w:tr>
      <w:tr>
        <w:trPr>
          <w:trHeight w:val="142"/>
        </w:trPr>
        <w:tc>
          <w:tcPr>
            <w:tcW w:w="620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end of period</w:t>
            </w:r>
          </w:p>
        </w:tc>
        <w:tc>
          <w:tcPr>
            <w:tcW w:w="2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7,895</w:t>
            </w: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13,815</w:t>
            </w:r>
          </w:p>
        </w:tc>
        <w:tc>
          <w:tcPr>
            <w:tcW w:w="140" w:type="dxa"/>
            <w:vAlign w:val="bottom"/>
            <w:tcBorders>
              <w:bottom w:val="single" w:sz="8" w:color="CCEEFF"/>
            </w:tcBorders>
            <w:shd w:val="clear" w:color="auto" w:fill="CCEEFF"/>
          </w:tcPr>
          <w:p>
            <w:pPr>
              <w:spacing w:after="0"/>
              <w:rPr>
                <w:sz w:val="12"/>
                <w:szCs w:val="12"/>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4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3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interest</w:t>
            </w:r>
          </w:p>
        </w:tc>
        <w:tc>
          <w:tcPr>
            <w:tcW w:w="30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4,693</w:t>
            </w:r>
          </w:p>
        </w:tc>
        <w:tc>
          <w:tcPr>
            <w:tcW w:w="1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6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3,554</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04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3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6,912</w:t>
            </w:r>
          </w:p>
        </w:tc>
        <w:tc>
          <w:tcPr>
            <w:tcW w:w="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6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54</w:t>
            </w:r>
          </w:p>
        </w:tc>
        <w:tc>
          <w:tcPr>
            <w:tcW w:w="2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Unpaid purchases of property and equipment</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3,252</w:t>
            </w: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6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4,476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4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Unpaid repurchases of common stock and excise tax</w:t>
            </w:r>
          </w:p>
        </w:tc>
        <w:tc>
          <w:tcPr>
            <w:tcW w:w="3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721</w:t>
            </w:r>
          </w:p>
        </w:tc>
        <w:tc>
          <w:tcPr>
            <w:tcW w:w="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6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430</w:t>
            </w:r>
          </w:p>
        </w:tc>
        <w:tc>
          <w:tcPr>
            <w:tcW w:w="2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ind w:left="60" w:right="1359" w:hanging="10"/>
        <w:spacing w:after="0" w:line="503" w:lineRule="auto"/>
        <w:tabs>
          <w:tab w:leader="none" w:pos="2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Overview</w:t>
      </w: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El Pollo Loco Holdings, Inc. (“Holdings”) is a Delaware corporation headquartered in Costa Mesa, California. Holdings and its direct and indirect subsidiaries are collectively referred to herein as the “Company.” The Company’s activities are conducted principally through its indirect wholly owned subsidiary, El Pollo Loco, Inc. (“EPL”), which develops, franchises, licenses, and operates quick-service restaurants under the name El Pollo Loco® and operates under one operating segment. At September 25, 2024, the Company operated 172 and franchised 324 El Pollo Loco restaurants in the United States. The Company also licenses 10 restaurants in the Philippines.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27, 2023.</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uses a 52- or 53-week fiscal year ending on the last Wednesday of the calendar year. In a 52-week</w:t>
      </w:r>
    </w:p>
    <w:p>
      <w:pPr>
        <w:spacing w:after="0" w:line="27" w:lineRule="exact"/>
        <w:rPr>
          <w:sz w:val="20"/>
          <w:szCs w:val="20"/>
          <w:color w:val="auto"/>
        </w:rPr>
      </w:pPr>
    </w:p>
    <w:p>
      <w:pPr>
        <w:ind w:left="60" w:right="179"/>
        <w:spacing w:after="0" w:line="273" w:lineRule="auto"/>
        <w:rPr>
          <w:sz w:val="20"/>
          <w:szCs w:val="20"/>
          <w:color w:val="auto"/>
        </w:rPr>
      </w:pPr>
      <w:r>
        <w:rPr>
          <w:rFonts w:ascii="Times New Roman" w:cs="Times New Roman" w:eastAsia="Times New Roman" w:hAnsi="Times New Roman"/>
          <w:sz w:val="17"/>
          <w:szCs w:val="17"/>
          <w:color w:val="auto"/>
        </w:rPr>
        <w:t>fiscal year, each quarter includes 13 weeks of operations; in a 53-week fiscal year, the first, second and third quarters each include 13 weeks of operations, and the fourth quarter includes 14 weeks of operations. Every six or seven years, a 53-week fiscal year occurs. Fiscal 2024 and 2023 are both 52-week years, ending on December 25, 2024 and December 27, 2023, respectively. Revenues, expenses, and other financial and operational figures may be elevated in a 53-week year.</w:t>
      </w:r>
    </w:p>
    <w:p>
      <w:pPr>
        <w:spacing w:after="0" w:line="172" w:lineRule="exact"/>
        <w:rPr>
          <w:sz w:val="20"/>
          <w:szCs w:val="20"/>
          <w:color w:val="auto"/>
        </w:rPr>
      </w:pPr>
    </w:p>
    <w:p>
      <w:pPr>
        <w:ind w:left="60" w:right="519"/>
        <w:spacing w:after="0" w:line="258" w:lineRule="auto"/>
        <w:rPr>
          <w:sz w:val="20"/>
          <w:szCs w:val="20"/>
          <w:color w:val="auto"/>
        </w:rPr>
      </w:pPr>
      <w:r>
        <w:rPr>
          <w:rFonts w:ascii="Times New Roman" w:cs="Times New Roman" w:eastAsia="Times New Roman" w:hAnsi="Times New Roman"/>
          <w:sz w:val="18"/>
          <w:szCs w:val="18"/>
          <w:color w:val="auto"/>
        </w:rPr>
        <w:t>Holdings has no material assets or operations. Holdings and Holdings’ direct subsidiary, EPL Intermediate, Inc. (“Intermediate”), guarantee EPL’s 2022 Revolver (as defined in Note 4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2022 Revolver.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and contingent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 considers all liquid instruments with an original maturity of three months or less at the date of purchase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The Company’s principal liquidity and capital requirements are new restaurants, existing restaurant capital investments (remodels and maintenance), interest payments on its debt, lease obligations and working capital and general corporate needs. At September 25, 2024, the Company’s total debt was $76.0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$7.9 million at September 25, 2024, and the outstanding borrowing availability under the 2022 Revolver will be adequate to meet the Company’s liquidity needs for the next twelve months from the date of filing of these condensed consolidated financial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Subsequent to the quarter-end, the Company paid down $5.0 million on its 2022 Revolver resulting in outstanding borrowings of $71.0 million as of October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Cash and cash equivalents are maintained at financial institutions and, at times, these balances may exceed federally-insured limits. The Company has never experienced any losses related to these balances.</w:t>
      </w:r>
    </w:p>
    <w:p>
      <w:pPr>
        <w:spacing w:after="0" w:line="16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Company had no supplier for which amounts due totaled more than 10.0% of the Company’s accounts payable at September 25, 2024. The Company had one supplier to whom amounts due totaled 15.1% of the Company’s accounts payable at December 27, 2023. Purchases from the Company’s largest supplier totaled 24.0% and 24.3% of total expenses for the thirteen and thirty-nine weeks ended September 25, 2024, respectively, and 26.6% and 27.0% of total expenses for the thirteen and thirty-nine weeks ended September 27, 2023,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Company-operated and franchised restaurants in the greater Los Angeles area generated, in the aggregate, approximately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72.5% and 71.9% of total revenue for the thirteen and thirty-nine weeks ended September 25, 2024, respectively,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71.6% and 71.1% for the thirteen and thirty-nine weeks ended September 27, 2023,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 and Indefinite Lived Intangible Assets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80"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Upon the sale or refranchising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reports as one reporting unit.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the Company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The Company did not record any decrement to goodwill related to the disposition of restaurants in fiscal 2023 or the thirty-nine weeks ended September 25,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 Company performs an annual impairment test for goodwill during the fourth fiscal quarter of each year, or more frequently if impairment indicators arise.</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8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80"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 determined that there were no indicators of potential impairment of its goodwill and indefinite-lived intangible assets during the thirteen and thirty-nine weeks ended September 25, 2024. Accordingly, the Company did not record any impairment to its goodwill or indefinite-lived intangible assets during the thirteen and thirty-nine weeks ended September 25,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used when little or no market data is available.</w:t>
      </w:r>
    </w:p>
    <w:p>
      <w:pPr>
        <w:spacing w:after="0" w:line="225"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non-financial instruments measured at fair value on a nonrecurring basis as of and for the thirteen and thirty-nine weeks ended September 25, 2024.</w:t>
      </w:r>
    </w:p>
    <w:p>
      <w:pPr>
        <w:spacing w:after="0" w:line="162"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following non-financial instruments were measured at fair value on a nonrecurring basis as of and for the thirteen and thirty-nine weeks ended September 27, 2023, reflecting certain property and equipment assets and right of use (“ROU”) assets for which an impairment loss was recognized during the corresponding periods, as discussed immediately below under “Impairment of Property and Equipment and ROU Assets”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8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27, 2023 Using</w:t>
            </w:r>
          </w:p>
        </w:tc>
        <w:tc>
          <w:tcPr>
            <w:tcW w:w="160" w:type="dxa"/>
            <w:vAlign w:val="bottom"/>
          </w:tcPr>
          <w:p>
            <w:pPr>
              <w:spacing w:after="0"/>
              <w:rPr>
                <w:sz w:val="13"/>
                <w:szCs w:val="13"/>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180" w:type="dxa"/>
            <w:vAlign w:val="bottom"/>
          </w:tcPr>
          <w:p>
            <w:pPr>
              <w:spacing w:after="0"/>
              <w:rPr>
                <w:sz w:val="13"/>
                <w:szCs w:val="13"/>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Thirty-Nine Weeks</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80" w:type="dxa"/>
            <w:vAlign w:val="bottom"/>
            <w:gridSpan w:val="9"/>
            <w:vMerge w:val="continue"/>
          </w:tcPr>
          <w:p>
            <w:pPr>
              <w:spacing w:after="0"/>
              <w:rPr>
                <w:sz w:val="15"/>
                <w:szCs w:val="15"/>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Ended September 27, 2023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Ended September 27, 2023</w:t>
            </w:r>
          </w:p>
        </w:tc>
        <w:tc>
          <w:tcPr>
            <w:tcW w:w="0" w:type="dxa"/>
            <w:vAlign w:val="bottom"/>
          </w:tcPr>
          <w:p>
            <w:pPr>
              <w:spacing w:after="0"/>
              <w:rPr>
                <w:sz w:val="1"/>
                <w:szCs w:val="1"/>
                <w:color w:val="auto"/>
              </w:rPr>
            </w:pPr>
          </w:p>
        </w:tc>
      </w:tr>
      <w:tr>
        <w:trPr>
          <w:trHeight w:val="142"/>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Certain</w:t>
            </w:r>
          </w:p>
        </w:tc>
        <w:tc>
          <w:tcPr>
            <w:tcW w:w="62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Losses</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Losses</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60" w:type="dxa"/>
            <w:vAlign w:val="bottom"/>
          </w:tcPr>
          <w:p>
            <w:pPr>
              <w:spacing w:after="0"/>
              <w:rPr>
                <w:sz w:val="20"/>
                <w:szCs w:val="20"/>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Certain ROU</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Property and Equipment and ROU Assets</w:t>
      </w:r>
    </w:p>
    <w:p>
      <w:pPr>
        <w:spacing w:after="0" w:line="22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reviews its property and equipment and ROU assets for impairment on a restaurant-by-restaurant basis whenever events or changes in circumstances indicate that the carrying value of certain property and equipment and ROU assets may not be recoverable. The Company considers a triggering event related to property and equipment assets or ROU assets in a net asset position to have occurred related to a specific restaurant if the restaurant’s average unit volume for the last twelve months is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closed or been subleased and future estimated sublease income is less than lease payments under the head lease. If the Company concludes that the carrying value of certain property and equipment and ROU assets will not be recovered based on expected undiscounted future cash flows, an impairment loss is recorded to reduce the property and equipment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thirteen and thirty-nine weeks ended September 25, 2024 that required an impairment review of certain of the Company’s property and equipment and ROU assets. Based on the results of the analysis, the Company did not record any non-cash impairment charges for the thirteen and thirty-nine weeks ended September 25, 2024.</w:t>
      </w:r>
    </w:p>
    <w:p>
      <w:pPr>
        <w:spacing w:after="0" w:line="192"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Company recorded a non-cash impairment charge of $1.0 million for both the thirteen and thirty-nine weeks ended September 27, 2023, primarily related to the carrying value of the ROU assets of one restaurant in California and the carrying value of the long-lived assets of one restaurant in Nevada. Given the inherent uncertainty in projecting results for newer restaurants in newer markets, the Company monitors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Closed-Store Reserves</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both the thirteen and thirty-nine weeks ended September 25, 2024 and September 27, 2023, the Company recognized less than $0.1 million of closed-store reserve expense related to the amortization of ROU assets, property taxes and CAM payments for its closed location.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Recovery of Insurance Proceeds, Lost Profits</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During fiscal 2022, one of the Company’s restaurants incurred damage resulting from a fire. In fiscal 2023, the Company incurred costs directly related to the fire of less than $0.1 million. The Company received $0.4 million in cash, net of the insurance deductible, from the insurance company during fiscal 2023 for which the Company recognized gains of $0.2 million, related to the reimbursement of property and equipment and expenses incurred and $0.2 million related to the reimbursement of lost profits. The gain on recovery of insurance proceeds for the reimbursement of property and equipment and expenses and the reimbursement of lost profits, net of the related costs, is included in the accompanying condensed consolidated statements of income, for the thirty-nine weeks ended September 27, 2023, as a reduction of company restaurant expenses.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Loss (Gain) on Disposition of Restaurants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During the thirty-nine weeks ended September 25, 2024, the Company completed the sale of one restaurant within California to an existing franchisee due to an expiring lease term on April 30, 2024. This sale resulted in cash proceeds of $0.1 million and a net loss on sale of restaurant of less than $0.1 million during the thirty-nine weeks ended September 25, 2024.</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 xml:space="preserve">During the thirteen and thirty-nine weeks ended September 27, 2023, the Company completed the sale of 17 and 18 restaurants, respectively, within California, Utah and Texas to an existing franchisee. </w:t>
      </w:r>
      <w:r>
        <w:rPr>
          <w:rFonts w:ascii="Times New Roman" w:cs="Times New Roman" w:eastAsia="Times New Roman" w:hAnsi="Times New Roman"/>
          <w:sz w:val="18"/>
          <w:szCs w:val="18"/>
          <w:color w:val="212529"/>
        </w:rPr>
        <w:t>During the thirteen and thirty-nine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weeks ended September 27, 2023, these sales resulted in cash proceeds of $7.5 million and $7.7 million, respectively, and a net gain on sale of restaurant of $4.9 million and $5.0 million, respectively.</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determined that these restaurant dispositions represented multiple element arrangements, and as a result, the cash consideration received was allocated to the separate elements based on its relative standalone selling price. Cash proceeds included upfront consideration for the sale of the restaurant and franchise fees. The cash consideration per restaurant related to franchise fees is consistent with the amounts stated in the related franchise agreement, which are charged for separate standalone arrangements. The Company initially defers and subsequently recognizes the franchise fees over the term of the franchise agreement. During the thirty-nine weeks ended September 25, 2024, this sale resulted in cash proceeds of $0.1 million and a net loss on sale of restaurant of less than $0.1 million. During the thirteen and thirty-nine weeks ended September 27, 2023, these sales resulted in cash proceeds of $7.5 million and $7.7 million, respectively, and a net gain on sale of restaurant of $4.9 million and $5.0 million, respectively. Since the date of sale, these restaurants are now included in the total number of franchised El Pollo Loco restaurants.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71"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Company reviews its filing positions for all open tax years in all U.S. federal and state jurisdictions where the Company is required to file.</w:t>
      </w:r>
    </w:p>
    <w:p>
      <w:pPr>
        <w:spacing w:after="0" w:line="162" w:lineRule="exact"/>
        <w:rPr>
          <w:sz w:val="20"/>
          <w:szCs w:val="20"/>
          <w:color w:val="auto"/>
        </w:rPr>
      </w:pPr>
    </w:p>
    <w:p>
      <w:pPr>
        <w:jc w:val="both"/>
        <w:ind w:left="60" w:right="319"/>
        <w:spacing w:after="0" w:line="272" w:lineRule="auto"/>
        <w:rPr>
          <w:sz w:val="20"/>
          <w:szCs w:val="20"/>
          <w:color w:val="auto"/>
        </w:rPr>
      </w:pPr>
      <w:r>
        <w:rPr>
          <w:rFonts w:ascii="Times New Roman" w:cs="Times New Roman" w:eastAsia="Times New Roman" w:hAnsi="Times New Roman"/>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w:t>
      </w:r>
    </w:p>
    <w:p>
      <w:pPr>
        <w:spacing w:after="0" w:line="2"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condensed consolidated financial position, results of operations, and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7"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The Company had no accrual for interest or penalties at September 25, 2024 or at December 27, 2023. The Company did not recognize interest or penalties during the thirteen and thirty-nine weeks ended September 25, 2024 and</w:t>
      </w:r>
    </w:p>
    <w:p>
      <w:pPr>
        <w:spacing w:after="0" w:line="1" w:lineRule="exact"/>
        <w:rPr>
          <w:sz w:val="20"/>
          <w:szCs w:val="20"/>
          <w:color w:val="auto"/>
        </w:rPr>
      </w:pPr>
    </w:p>
    <w:p>
      <w:pPr>
        <w:ind w:left="60" w:right="199"/>
        <w:spacing w:after="0" w:line="260" w:lineRule="auto"/>
        <w:rPr>
          <w:sz w:val="20"/>
          <w:szCs w:val="20"/>
          <w:color w:val="auto"/>
        </w:rPr>
      </w:pPr>
      <w:r>
        <w:rPr>
          <w:rFonts w:ascii="Times New Roman" w:cs="Times New Roman" w:eastAsia="Times New Roman" w:hAnsi="Times New Roman"/>
          <w:sz w:val="18"/>
          <w:szCs w:val="18"/>
          <w:color w:val="auto"/>
        </w:rPr>
        <w:t>September 27, 2023, since there were no material unrecognized tax benefits. Management believes no significant changes to the amount of unrecognized tax benefits will occur within the next twelve months.</w:t>
      </w:r>
    </w:p>
    <w:p>
      <w:pPr>
        <w:spacing w:after="0" w:line="181"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the thirteen and thirty-nine weeks ended September 25, 2024, the Company did not record any income tax receivable agreement income or expense, and for both the thirteen and thirty-nine weeks ended September 27, 2023, the Company recorded income tax receivable agreement expense of $0.1 million related to the amortization of interest expense related to the total expected TRA payments and changes in estimates for actual tax returns filed and future forecasted taxable income.</w:t>
      </w:r>
    </w:p>
    <w:p>
      <w:pPr>
        <w:spacing w:after="0" w:line="192"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On May 29, 2024, the Company terminated most of the obligations under the TRA, dated July 30, 2014, with respect to any payments or obligations owed to the FS Equity Partners V, L.P. and FS Affiliates V, L.P. (together, the “Sellers”) thereunder in exchange for a payment to the Sellers of $398,896. As of September 25, 2024, an immaterial amount of obligations owed remained outstanding on the Company’s condensed consolidated balance sheets.</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For the quarter ended September 25, 2024, the Company recorded an income tax provision of $2.4 million, reflecting an estimated effective tax rate of 28.1%. For the quarter ended September 27, 2023, the Company recorded an income tax provision of $3.0 million, reflecting an estimated effective tax rate of approximately 24.4%. For the year-to-date period ended September 25, 2024, the Company recorded an income tax provision of $7.8 million, reflecting an estimated effective tax rate of approximately 28.3%. For the year-to-date period ended September 27, 2023, the Company recorded an income tax provision of $7.7 million, reflecting an estimated effective tax rate of approximately 26.5%. The difference between the 21.0% statutory rate and the effective tax rate of 28.3% for the year-to-date period ended September 25, 2024 is primarily a result of state taxes, the impact of non-tax deductible executive compensation, a tax shortfall related to equity compensation deductible for tax as compared to the cumulative amount recorded as stock-based compensation expense, partially offset by a Work Opportunity Tax Credit benefit.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left="60" w:right="239"/>
        <w:spacing w:after="0" w:line="273"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ASU No. 2023-07, “Segment Reporting (Topic 280): Improvements to Reportable Segment Disclosure.” The ASU updates reportable segment disclosure requirements, primarily through requiring enhanced disclosures about significant segment expenses and information used to assess segment performance. These disclosures are required quarterly. The ASU is effective for fiscal years beginning after December 15, 2023 and interim periods beginning after December 15, 2024, with early adoption permitted. It is required to be adopted retrospectively for all prior periods presented in the financial statements. The Company will adopt on a retrospective basis the disclosures required by this ASU in its December 25, 2024 financial statements.</w:t>
      </w:r>
    </w:p>
    <w:p>
      <w:pPr>
        <w:spacing w:after="0" w:line="171"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prospectively with the option of retrospective application. The Company is currently evaluating the impact of adopting this ASU on its disclosures.</w:t>
      </w:r>
    </w:p>
    <w:p>
      <w:pPr>
        <w:spacing w:after="0" w:line="187"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costs and related accumulated depreciation and amortization of major classes of property and equipment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25, 2024</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 2023</w:t>
            </w:r>
          </w:p>
        </w:tc>
      </w:tr>
      <w:tr>
        <w:trPr>
          <w:trHeight w:val="210"/>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148,259</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86,423</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r>
      <w:tr>
        <w:trPr>
          <w:trHeight w:val="210"/>
        </w:trPr>
        <w:tc>
          <w:tcPr>
            <w:tcW w:w="6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264,110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254,275</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(179,103)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(170,248)</w:t>
            </w:r>
          </w:p>
        </w:tc>
      </w:tr>
      <w:tr>
        <w:trPr>
          <w:trHeight w:val="209"/>
        </w:trPr>
        <w:tc>
          <w:tcPr>
            <w:tcW w:w="6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84,027</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$4.0 million and $3.9 million for the thirteen weeks ended September 25, 2024 and September 27, 2023, respectively, and $11.8 million and $11.3 million for the thirty-nine weeks ended September 25, 2024 and September 27, 2023, respectively.</w:t>
      </w:r>
    </w:p>
    <w:p>
      <w:pPr>
        <w:spacing w:after="0" w:line="1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Based on the Company’s review of its property and equipment assets for impairment, the Company did not record any non-cash impairment charges for the thirteen weeks and thirty-nine weeks ended September 25, 2024. The Company recorded non-cash impairment charges of $1.0 million for both the thirteen and thirty-nine weeks ended September 27, 2023. See Note 1, “Basis of Presentation and Summary of Significant Accounting Policies – Impairment of Property and Equipment and ROU Assets” for additional information.</w:t>
      </w:r>
    </w:p>
    <w:p>
      <w:pPr>
        <w:spacing w:after="0" w:line="179" w:lineRule="exact"/>
        <w:rPr>
          <w:sz w:val="20"/>
          <w:szCs w:val="20"/>
          <w:color w:val="auto"/>
        </w:rPr>
      </w:pPr>
    </w:p>
    <w:p>
      <w:pPr>
        <w:ind w:left="60" w:right="5979" w:hanging="10"/>
        <w:spacing w:after="0" w:line="503" w:lineRule="auto"/>
        <w:tabs>
          <w:tab w:leader="none" w:pos="2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Options</w:t>
      </w: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At September 25, 2024, options to purchase 1,076,805 shares of common stock were outstanding, including 270,435 vested and 806,370 unvested options. Unvested options vest over time; however, upon a change in control, the Board of Directors (the “Board”) may accelerate vesting. A summary of stock option activity at September 25, 2024 and changes during the thirty-nine weeks ended September 25, 2024 is as follows: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3"/>
                <w:szCs w:val="13"/>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27,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(163,696)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(159,777)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September 25,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20" w:type="dxa"/>
            <w:vAlign w:val="bottom"/>
            <w:tcBorders>
              <w:top w:val="single" w:sz="8" w:color="CCEEFF"/>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25, 2024</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3,613</w:t>
            </w: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1,061,620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122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September 25, 2024</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270,435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11.20</w:t>
            </w:r>
          </w:p>
        </w:tc>
        <w:tc>
          <w:tcPr>
            <w:tcW w:w="1220" w:type="dxa"/>
            <w:vAlign w:val="bottom"/>
            <w:tcBorders>
              <w:bottom w:val="single" w:sz="8" w:color="CCEEFF"/>
            </w:tcBorders>
            <w:gridSpan w:val="2"/>
            <w:shd w:val="clear" w:color="auto" w:fill="CCEEFF"/>
          </w:tcPr>
          <w:p>
            <w:pPr>
              <w:jc w:val="right"/>
              <w:ind w:right="308"/>
              <w:spacing w:after="0" w:line="196" w:lineRule="exact"/>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732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312" w:lineRule="auto"/>
        <w:rPr>
          <w:sz w:val="20"/>
          <w:szCs w:val="20"/>
          <w:color w:val="auto"/>
        </w:rPr>
      </w:pPr>
      <w:r>
        <w:rPr>
          <w:rFonts w:ascii="Times New Roman" w:cs="Times New Roman" w:eastAsia="Times New Roman" w:hAnsi="Times New Roman"/>
          <w:sz w:val="17"/>
          <w:szCs w:val="17"/>
          <w:color w:val="auto"/>
        </w:rPr>
        <w:t>The fair value of each stock option was estimated on the grant date using an exercise price of the closing stock price on the day prior to date of grant and the Black-Scholes option-pricing model with the following weighted average assumptions: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25, 2024</w:t>
            </w: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27, 2023</w:t>
            </w:r>
          </w:p>
        </w:tc>
      </w:tr>
      <w:tr>
        <w:trPr>
          <w:trHeight w:val="20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6.25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CCEEFF"/>
          </w:tcPr>
          <w:p>
            <w:pPr>
              <w:spacing w:after="0"/>
              <w:rPr>
                <w:sz w:val="18"/>
                <w:szCs w:val="18"/>
                <w:color w:val="auto"/>
              </w:rPr>
            </w:pP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4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At September 25, 2024, the Company had total unrecognized compensation expense of $3.4 million related to unvested stock options, which it expects to recognize over a weighted-average period of 3.37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restricted share activity as of September 25, 2024 and changes during the thirty-nine weeks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25, 2024 is as 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27,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503,112</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(211,044)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(84,301)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September 25,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Unvested shares at September 25, 2024, included 661,728 unvested restricted shares, 41,537 unvested performance stock units, and 41,963 unvested restricted stock units.</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At September 25, 2024, the Company had unrecognized compensation expense of $5.7 million related to unvested restricted shares, which it expects to recognize over a weighted-average period of 2.91 years, unrecognized compensation expense of $0.3 million related to unvested performance stock units, which it expects to recognize over a weighted-average period of 2.26 years, and unrecognized compensation expense of less than $0.1 million related to unvested restricted stock units, which it expects to recognize over a weighted-average period of 0.12 years.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stock-based compensation expense was $1.1 million and $2.9 million for the thirteen and thirty-nine weeks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25, 2024, respectively, and $0.9 million and $2.5 million for the thirteen and thirty-nine weeks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27, 2023,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left="60" w:right="139"/>
        <w:spacing w:after="0" w:line="270" w:lineRule="auto"/>
        <w:rPr>
          <w:sz w:val="20"/>
          <w:szCs w:val="20"/>
          <w:color w:val="auto"/>
        </w:rPr>
      </w:pPr>
      <w:r>
        <w:rPr>
          <w:rFonts w:ascii="Times New Roman" w:cs="Times New Roman" w:eastAsia="Times New Roman" w:hAnsi="Times New Roman"/>
          <w:sz w:val="17"/>
          <w:szCs w:val="17"/>
          <w:color w:val="auto"/>
        </w:rPr>
        <w:t>On November 2, 2023, the Company announced that the Board approved a share repurchase program (“Share Repurchase Program”) under which the Company is authorized to repurchase up to $20,000,000 of shares of the Company’s common stock. Under the Share Repurchase Program, the Company is permitted to repurchase its common stock from time to time, in amounts and at prices that the Company deemed appropriate, subject to market conditions and other considerations.</w:t>
      </w:r>
    </w:p>
    <w:p>
      <w:pPr>
        <w:spacing w:after="0" w:line="3"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Pursuant to the Share Repurchase Program, the Company is authorized to effect repurchases using open market purchases, including pursuant to Rule 10b5-1 trading plans, and/or through privately negotiated transactions. The repurchase program does not obligate the Company to acquire any particular number of shares. The repurchase program will terminate on March 31, 2025.</w:t>
      </w:r>
    </w:p>
    <w:p>
      <w:pPr>
        <w:spacing w:after="0" w:line="18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Further, on December 4, 2023, the Company repurchased 1.5 million shares for a total purchase price of $12.6 million under the Stock Repurchase Agreement with FS Equity Partners V, L.P. and FS Affiliates V, L.P. Following completion of this repurchase, approximately $7.4 million of the Company’s common stock remained available for repurchase under the Share Repurchase Program at December 27, 2023.</w:t>
      </w:r>
    </w:p>
    <w:p>
      <w:pPr>
        <w:spacing w:after="0" w:line="180" w:lineRule="exact"/>
        <w:rPr>
          <w:sz w:val="20"/>
          <w:szCs w:val="20"/>
          <w:color w:val="auto"/>
        </w:rPr>
      </w:pPr>
    </w:p>
    <w:p>
      <w:pPr>
        <w:jc w:val="both"/>
        <w:ind w:left="60" w:right="159"/>
        <w:spacing w:after="0" w:line="257" w:lineRule="auto"/>
        <w:rPr>
          <w:sz w:val="20"/>
          <w:szCs w:val="20"/>
          <w:color w:val="auto"/>
        </w:rPr>
      </w:pPr>
      <w:r>
        <w:rPr>
          <w:rFonts w:ascii="Times New Roman" w:cs="Times New Roman" w:eastAsia="Times New Roman" w:hAnsi="Times New Roman"/>
          <w:sz w:val="18"/>
          <w:szCs w:val="18"/>
          <w:color w:val="auto"/>
        </w:rPr>
        <w:t>For the thirteen and thirty-nine weeks ended September 25, 2024, the Company repurchased 92,043 and 431,926 shares of common stock, respectively, under the Share Repurchase Program, using open market purchases, for total consideration of approximately $1.1 million and $4.3 million, respectively. Following completion of these repurchases,</w:t>
      </w:r>
    </w:p>
    <w:p>
      <w:pPr>
        <w:spacing w:after="0" w:line="1" w:lineRule="exact"/>
        <w:rPr>
          <w:sz w:val="20"/>
          <w:szCs w:val="20"/>
          <w:color w:val="auto"/>
        </w:rPr>
      </w:pPr>
    </w:p>
    <w:p>
      <w:pPr>
        <w:ind w:left="60" w:right="919"/>
        <w:spacing w:after="0" w:line="260" w:lineRule="auto"/>
        <w:rPr>
          <w:sz w:val="20"/>
          <w:szCs w:val="20"/>
          <w:color w:val="auto"/>
        </w:rPr>
      </w:pPr>
      <w:r>
        <w:rPr>
          <w:rFonts w:ascii="Times New Roman" w:cs="Times New Roman" w:eastAsia="Times New Roman" w:hAnsi="Times New Roman"/>
          <w:sz w:val="18"/>
          <w:szCs w:val="18"/>
          <w:color w:val="auto"/>
        </w:rPr>
        <w:t>approximately $3.1 million of the Company’s common stock remained available for repurchase under the Share Repurchase Program at September 25,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Share Repurchases</w:t>
      </w:r>
    </w:p>
    <w:p>
      <w:pPr>
        <w:spacing w:after="0" w:line="22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During the thirty-nine week period ended September 25, 2024, the Company repurchased 1,534,303 shares for a total purchase price of $15.0 million under the Stock Repurchase Agreement with FS Equity Partners V, L.P. and FS Affiliates V, L.P.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27, 2022, the Company refinanced and terminated its credit agreement (the “2018 Credit Agreement”) among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EPL, as borrower, the Company and Intermediate, as guarantors, Bank of America, N.A., as administrative agent,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swingline lender, and letter of credit issuer, the lenders party thereto, and the other parties thereto, which provided for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$150.0 million five-year senior secured revolving credit facility (the “2018 Revolver”). The 2018 Revolver was refinanced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pursuant to a credit agreement (the “2022 Credit Agreement”) among EPL, as borrower, the Company and Intermediate, as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guarantors, Bank of America, N.A., as administrative agent, swingline lender, and letter of credit issuer, the lenders party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thereto, and the other parties thereto, which provides for a $150.0 million five-year senior secured revolving credit facility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“2022 Revolver”). In connection with the refinancing, the 2018 Credit Agreement was terminated.</w:t>
      </w:r>
    </w:p>
    <w:p>
      <w:pPr>
        <w:spacing w:after="0" w:line="20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2022 Revolver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 subject to certain customary exceptions.</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Under the 2022 Revolver, Holdings is restricted from making certain payments such as cash dividends or share repurchases,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Borrowings under the 2022 Credit Agreement (other than any swingline loans) bear interest, at the borrower’s option,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rates based upon either the secured overnight financing rate (“SOFR”) or a base rate, plus, for each rate, a margin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determined in accordance with a lease-adjusted consolidated leverage ratio-based pricing grid. The base rate is calculated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as the highest of (a) the federal funds rate plus 0.50%, (b) the published Bank of America prime rate, or (c) Term SOFR (as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defined in the 2022 Credit Agreement) with a term of one-month SOFR plus 1.00%. For Term SOFR loans, the margin 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range of 1.25% to 2.25%, and for base rate loans the margin is in a range of 0.25% to 1.25%. Borrowings under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2022 Revolver may be repaid and reborrowed. The interest rate range under the 2022 Revolver was 6.52% to 6.95%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6.52% to 6.96% for the thirteen and thirty-nine weeks ended September 25, 2024, respectively, and 6.74% to 6.93%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5.69% to 8.50% for the thirteen and thirty-nine weeks ended September 27, 2023, respectively.</w:t>
      </w:r>
    </w:p>
    <w:p>
      <w:pPr>
        <w:spacing w:after="0" w:line="20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certain customary financial covenants, subject to certain exceptions. The Company was in compliance with the financial covenants as of September 25, 2024.</w:t>
      </w:r>
    </w:p>
    <w:p>
      <w:pPr>
        <w:spacing w:after="0" w:line="16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At September 25, 2024, the Company had $76.0 million in outstanding borrowings under the 2022 Revolver and one letter of credit in the amount of $9.8 million outstanding, and as a result, the Company had $64.2 million in borrowing availability.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Maturities, Borrowings and Paydowns</w:t>
      </w:r>
    </w:p>
    <w:p>
      <w:pPr>
        <w:spacing w:after="0" w:line="229"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During the thirteen and thirty-nine weeks ended September 25, 2024, the Company paid down $11.0 million and $22.0 million, respectively, on the 2022 Revolver. During the thirty-nine weeks ended September 25, 2024, the Company borrowed $14.0 million on the 2022 Revolver.</w:t>
      </w:r>
    </w:p>
    <w:p>
      <w:pPr>
        <w:spacing w:after="0" w:line="176"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 xml:space="preserve">During the thirteen and thirty-nine weeks ended September 27, 2023, the Company borrowed $23.0 million and $25.0 million, respectively, </w:t>
      </w:r>
      <w:r>
        <w:rPr>
          <w:rFonts w:ascii="Times New Roman" w:cs="Times New Roman" w:eastAsia="Times New Roman" w:hAnsi="Times New Roman"/>
          <w:sz w:val="18"/>
          <w:szCs w:val="18"/>
          <w:color w:val="212529"/>
        </w:rPr>
        <w:t>and paid down $3.0 million and $11.0 million, respectively, on the 2022 Revolver.</w:t>
      </w:r>
      <w:r>
        <w:rPr>
          <w:rFonts w:ascii="Times New Roman" w:cs="Times New Roman" w:eastAsia="Times New Roman" w:hAnsi="Times New Roman"/>
          <w:sz w:val="18"/>
          <w:szCs w:val="18"/>
          <w:color w:val="auto"/>
        </w:rPr>
        <w:t xml:space="preserve"> There are no required principal payments prior to maturity for the 2022 Revolver which matures on July 27, 2027.</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OTHER ACCRUED EXPENSES AND CURRENT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25, 2024</w:t>
            </w:r>
          </w:p>
        </w:tc>
        <w:tc>
          <w:tcPr>
            <w:tcW w:w="1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property taxes</w:t>
            </w:r>
          </w:p>
        </w:tc>
        <w:tc>
          <w:tcPr>
            <w:tcW w:w="7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Gift card liability</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rewards program liability</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settlements and professional fees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OTHER NONCURRENT LIABILITIES</w:t>
            </w: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25, 2024</w:t>
            </w:r>
          </w:p>
        </w:tc>
        <w:tc>
          <w:tcPr>
            <w:tcW w:w="14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27, 2023</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7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7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claims such as wage and hour, consumer,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condensed consolidated financial condition, results of operations, and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Purchasing Commitments</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September 25, 2024, the Company’s total estimated commitment to purchase chicken was $9.1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Contingent Lease Obligations</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As a result of assigning the Company’s interest in obligations under real estate leases in connection with the sale of company-operated restaurants to some of the Company’s franchisees, the Company is contingently liable on three lease agreements. These leases have various terms, the latest of which expires in 2038. As of September 25, 2024, the potential amount of undiscounted payments the Company could be required to make in the event of non-payment by the primary lessee was $3.6 million. The present value of these potential payments discounted at the Company’s estimated pre-tax cost of debt at September 25, 2024 was $2.4 million. The Company’s franchisees are primarily liable on the leases. The Company has cross-default provisions with these franchisees that would put them in default of their franchise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00"/>
        <w:spacing w:after="0" w:line="282" w:lineRule="auto"/>
        <w:rPr>
          <w:sz w:val="20"/>
          <w:szCs w:val="20"/>
          <w:color w:val="auto"/>
        </w:rPr>
      </w:pPr>
      <w:r>
        <w:rPr>
          <w:rFonts w:ascii="Times New Roman" w:cs="Times New Roman" w:eastAsia="Times New Roman" w:hAnsi="Times New Roman"/>
          <w:sz w:val="18"/>
          <w:szCs w:val="18"/>
          <w:color w:val="auto"/>
        </w:rPr>
        <w:t>agreements in the event of non-payment under the leases. The Company believes that these cross-default provisions reduce the risk that payments will be required to be made under these leases.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0" w:right="460"/>
        <w:spacing w:after="0" w:line="266" w:lineRule="auto"/>
        <w:rPr>
          <w:sz w:val="20"/>
          <w:szCs w:val="20"/>
          <w:color w:val="auto"/>
        </w:rPr>
      </w:pPr>
      <w:r>
        <w:rPr>
          <w:rFonts w:ascii="Times New Roman" w:cs="Times New Roman" w:eastAsia="Times New Roman" w:hAnsi="Times New Roman"/>
          <w:sz w:val="18"/>
          <w:szCs w:val="18"/>
          <w:color w:val="auto"/>
        </w:rPr>
        <w:t>As of September 25, 2024, the Company had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60" w:right="220"/>
        <w:spacing w:after="0" w:line="258"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229" w:lineRule="exact"/>
        <w:rPr>
          <w:sz w:val="20"/>
          <w:szCs w:val="20"/>
          <w:color w:val="auto"/>
        </w:rPr>
      </w:pPr>
    </w:p>
    <w:p>
      <w:pPr>
        <w:ind w:left="60" w:right="240"/>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using the weighted-average number of shares of common stock outstanding during the thirteen and thirty-nine weeks ended September 25, 2024 and September 27, 2023. Diluted EPS is calculated using the weighted-average number of shares of common stock outstanding and potentially dilutive during the period, using the treasury stock method.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are basic and diluted EPS data for the periods indicated (in thousands except for share and per share data):</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5"/>
                <w:szCs w:val="15"/>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3720" w:type="dxa"/>
            <w:vAlign w:val="bottom"/>
          </w:tcPr>
          <w:p>
            <w:pPr>
              <w:spacing w:after="0"/>
              <w:rPr>
                <w:sz w:val="12"/>
                <w:szCs w:val="12"/>
                <w:color w:val="auto"/>
              </w:rPr>
            </w:pPr>
          </w:p>
        </w:tc>
        <w:tc>
          <w:tcPr>
            <w:tcW w:w="3940" w:type="dxa"/>
            <w:vAlign w:val="bottom"/>
            <w:tcBorders>
              <w:top w:val="single" w:sz="8" w:color="auto"/>
            </w:tcBorders>
            <w:gridSpan w:val="8"/>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  September 27, 2023September 25, 2024</w:t>
            </w:r>
          </w:p>
        </w:tc>
        <w:tc>
          <w:tcPr>
            <w:tcW w:w="12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160" w:type="dxa"/>
            <w:vAlign w:val="bottom"/>
          </w:tcPr>
          <w:p>
            <w:pPr>
              <w:spacing w:after="0"/>
              <w:rPr>
                <w:sz w:val="12"/>
                <w:szCs w:val="12"/>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21,203</w:t>
            </w:r>
          </w:p>
        </w:tc>
        <w:tc>
          <w:tcPr>
            <w:tcW w:w="160" w:type="dxa"/>
            <w:vAlign w:val="bottom"/>
            <w:tcBorders>
              <w:bottom w:val="single" w:sz="8" w:color="CCEEFF"/>
            </w:tcBorders>
          </w:tcPr>
          <w:p>
            <w:pPr>
              <w:spacing w:after="0"/>
              <w:rPr>
                <w:sz w:val="18"/>
                <w:szCs w:val="18"/>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29,199,971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33,412,674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30,072,637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35,026,731</w:t>
            </w: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29,423,649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33,490,004</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30,235,309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35,179,483</w:t>
            </w:r>
          </w:p>
        </w:tc>
        <w:tc>
          <w:tcPr>
            <w:tcW w:w="160" w:type="dxa"/>
            <w:vAlign w:val="bottom"/>
            <w:shd w:val="clear" w:color="auto" w:fill="CCEEFF"/>
          </w:tcPr>
          <w:p>
            <w:pPr>
              <w:spacing w:after="0"/>
              <w:rPr>
                <w:sz w:val="18"/>
                <w:szCs w:val="18"/>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share—basic</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shd w:val="clear" w:color="auto" w:fill="CCEEFF"/>
          </w:tcPr>
          <w:p>
            <w:pPr>
              <w:spacing w:after="0"/>
              <w:rPr>
                <w:sz w:val="18"/>
                <w:szCs w:val="18"/>
                <w:color w:val="auto"/>
              </w:rPr>
            </w:pPr>
          </w:p>
        </w:tc>
      </w:tr>
      <w:tr>
        <w:trPr>
          <w:trHeight w:val="178"/>
        </w:trPr>
        <w:tc>
          <w:tcPr>
            <w:tcW w:w="37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Anti-dilutive securities not considered in diluted</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 calculation</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621,558</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1,216,015</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692,075</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790,077</w:t>
            </w:r>
          </w:p>
        </w:tc>
        <w:tc>
          <w:tcPr>
            <w:tcW w:w="160" w:type="dxa"/>
            <w:vAlign w:val="bottom"/>
          </w:tcPr>
          <w:p>
            <w:pPr>
              <w:spacing w:after="0"/>
              <w:rPr>
                <w:sz w:val="20"/>
                <w:szCs w:val="20"/>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reconciliation of basic and diluted share counts: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26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3620" w:type="dxa"/>
            <w:vAlign w:val="bottom"/>
          </w:tcPr>
          <w:p>
            <w:pPr>
              <w:spacing w:after="0"/>
              <w:rPr>
                <w:sz w:val="12"/>
                <w:szCs w:val="12"/>
                <w:color w:val="auto"/>
              </w:rPr>
            </w:pPr>
          </w:p>
        </w:tc>
        <w:tc>
          <w:tcPr>
            <w:tcW w:w="24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 September 27, 2023</w:t>
            </w:r>
          </w:p>
        </w:tc>
        <w:tc>
          <w:tcPr>
            <w:tcW w:w="140" w:type="dxa"/>
            <w:vAlign w:val="bottom"/>
          </w:tcPr>
          <w:p>
            <w:pPr>
              <w:spacing w:after="0"/>
              <w:rPr>
                <w:sz w:val="12"/>
                <w:szCs w:val="12"/>
                <w:color w:val="auto"/>
              </w:rPr>
            </w:pPr>
          </w:p>
        </w:tc>
        <w:tc>
          <w:tcPr>
            <w:tcW w:w="25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 September 27, 2023</w:t>
            </w:r>
          </w:p>
        </w:tc>
        <w:tc>
          <w:tcPr>
            <w:tcW w:w="160" w:type="dxa"/>
            <w:vAlign w:val="bottom"/>
          </w:tcPr>
          <w:p>
            <w:pPr>
              <w:spacing w:after="0"/>
              <w:rPr>
                <w:sz w:val="12"/>
                <w:szCs w:val="12"/>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29,199,971</w:t>
            </w:r>
          </w:p>
        </w:tc>
        <w:tc>
          <w:tcPr>
            <w:tcW w:w="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33,412,674</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30,072,637</w:t>
            </w:r>
          </w:p>
        </w:tc>
        <w:tc>
          <w:tcPr>
            <w:tcW w:w="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35,026,731</w:t>
            </w:r>
          </w:p>
        </w:tc>
        <w:tc>
          <w:tcPr>
            <w:tcW w:w="160" w:type="dxa"/>
            <w:vAlign w:val="bottom"/>
            <w:tcBorders>
              <w:top w:val="single" w:sz="8" w:color="CCEEFF"/>
            </w:tcBorders>
            <w:shd w:val="clear" w:color="auto" w:fill="CCEEFF"/>
          </w:tcPr>
          <w:p>
            <w:pPr>
              <w:spacing w:after="0"/>
              <w:rPr>
                <w:sz w:val="18"/>
                <w:szCs w:val="18"/>
                <w:color w:val="auto"/>
              </w:rPr>
            </w:pPr>
          </w:p>
        </w:tc>
      </w:tr>
      <w:tr>
        <w:trPr>
          <w:trHeight w:val="198"/>
        </w:trPr>
        <w:tc>
          <w:tcPr>
            <w:tcW w:w="3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Dilutive effect of stock options and restricted</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223,678</w:t>
            </w:r>
          </w:p>
        </w:tc>
        <w:tc>
          <w:tcPr>
            <w:tcW w:w="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77,330</w:t>
            </w:r>
          </w:p>
        </w:tc>
        <w:tc>
          <w:tcPr>
            <w:tcW w:w="1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162,672</w:t>
            </w:r>
          </w:p>
        </w:tc>
        <w:tc>
          <w:tcPr>
            <w:tcW w:w="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152,752</w:t>
            </w:r>
          </w:p>
        </w:tc>
        <w:tc>
          <w:tcPr>
            <w:tcW w:w="160" w:type="dxa"/>
            <w:vAlign w:val="bottom"/>
            <w:tcBorders>
              <w:bottom w:val="single" w:sz="8" w:color="CCEEFF"/>
            </w:tcBorders>
          </w:tcPr>
          <w:p>
            <w:pPr>
              <w:spacing w:after="0"/>
              <w:rPr>
                <w:sz w:val="20"/>
                <w:szCs w:val="20"/>
                <w:color w:val="auto"/>
              </w:rPr>
            </w:pPr>
          </w:p>
        </w:tc>
      </w:tr>
      <w:tr>
        <w:trPr>
          <w:trHeight w:val="21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29,423,649</w:t>
            </w:r>
          </w:p>
        </w:tc>
        <w:tc>
          <w:tcPr>
            <w:tcW w:w="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33,490,004</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30,235,309</w:t>
            </w:r>
          </w:p>
        </w:tc>
        <w:tc>
          <w:tcPr>
            <w:tcW w:w="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35,179,483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100"/>
          </w:cols>
          <w:pgMar w:left="1440" w:top="513"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40" w:top="513" w:right="1359"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19" w:hanging="10"/>
        <w:spacing w:after="0" w:line="502" w:lineRule="auto"/>
        <w:tabs>
          <w:tab w:leader="none" w:pos="33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ind w:left="6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two revenue streams, company-operated restaurant revenue and franchise related revenue.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Company-operated restaurant revenue</w:t>
      </w:r>
    </w:p>
    <w:p>
      <w:pPr>
        <w:spacing w:after="0" w:line="227"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Company offers a loyalty rewards program, which awards points to a customer for dollars spent.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September 25, 2024 and December 27, 2023, the revenue allocated to loyalty points that have not been redeemed was $0.8 million and $0.7 million, respectively, which is reflected in the Company’s accompanying condensed consolidated balance sheets within other accrued expenses and current liabilities. The Company expects the loyalty points to be redeemed and recognized over a one-year period.</w:t>
      </w:r>
    </w:p>
    <w:p>
      <w:pPr>
        <w:spacing w:after="0" w:line="19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and franchise advertising fee revenue</w:t>
      </w:r>
    </w:p>
    <w:p>
      <w:pPr>
        <w:spacing w:after="0" w:line="227" w:lineRule="exact"/>
        <w:rPr>
          <w:sz w:val="20"/>
          <w:szCs w:val="20"/>
          <w:color w:val="auto"/>
        </w:rPr>
      </w:pPr>
    </w:p>
    <w:p>
      <w:pPr>
        <w:ind w:left="60" w:right="419"/>
        <w:spacing w:after="0" w:line="289" w:lineRule="auto"/>
        <w:rPr>
          <w:sz w:val="20"/>
          <w:szCs w:val="20"/>
          <w:color w:val="auto"/>
        </w:rPr>
      </w:pPr>
      <w:r>
        <w:rPr>
          <w:rFonts w:ascii="Times New Roman" w:cs="Times New Roman" w:eastAsia="Times New Roman" w:hAnsi="Times New Roman"/>
          <w:sz w:val="17"/>
          <w:szCs w:val="17"/>
          <w:color w:val="auto"/>
        </w:rPr>
        <w:t>Franchise revenue consists of franchise royalties, initial franchise fees, license fees due from franchisees, IT support services, and rental income for subleases to franchisees. Franchise advertising fee revenue consists of advertising contributions received from franchisees. These revenue streams are made up of the following performance obligations:</w:t>
      </w:r>
    </w:p>
    <w:p>
      <w:pPr>
        <w:spacing w:after="0" w:line="158" w:lineRule="exact"/>
        <w:rPr>
          <w:sz w:val="20"/>
          <w:szCs w:val="20"/>
          <w:color w:val="auto"/>
        </w:rPr>
      </w:pPr>
    </w:p>
    <w:p>
      <w:pPr>
        <w:ind w:left="720" w:right="239" w:hanging="319"/>
        <w:spacing w:after="0" w:line="26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license - inclusive of advertising services, development agreements, training, access to plans and help desk services.</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renewal option.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services.</w:t>
      </w:r>
    </w:p>
    <w:p>
      <w:pPr>
        <w:spacing w:after="0" w:line="20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83"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regarding disclosure of the aggregate amount of the transaction price allocated to the performance obligations that are unsatisfied for sales-based royalties.</w:t>
      </w:r>
    </w:p>
    <w:p>
      <w:pPr>
        <w:spacing w:after="0" w:line="162"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pacing w:after="0" w:line="183"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w:t>
      </w:r>
    </w:p>
    <w:p>
      <w:pPr>
        <w:spacing w:after="0" w:line="1"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color w:val="auto"/>
        </w:rPr>
        <w:t>September 25, 2024, there were no performance obligations related to hardware services that were unsatisfied or partially satisfied.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geographic market:</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2900" w:type="dxa"/>
            <w:vAlign w:val="bottom"/>
            <w:tcBorders>
              <w:bottom w:val="single" w:sz="8" w:color="auto"/>
            </w:tcBorders>
            <w:gridSpan w:val="3"/>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0" w:type="dxa"/>
            <w:vAlign w:val="bottom"/>
          </w:tcPr>
          <w:p>
            <w:pPr>
              <w:spacing w:after="0"/>
              <w:rPr>
                <w:sz w:val="15"/>
                <w:szCs w:val="15"/>
                <w:color w:val="auto"/>
              </w:rPr>
            </w:pPr>
          </w:p>
        </w:tc>
        <w:tc>
          <w:tcPr>
            <w:tcW w:w="26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40" w:type="dxa"/>
            <w:vAlign w:val="bottom"/>
            <w:gridSpan w:val="2"/>
          </w:tcPr>
          <w:p>
            <w:pPr>
              <w:spacing w:after="0"/>
              <w:rPr>
                <w:sz w:val="15"/>
                <w:szCs w:val="15"/>
                <w:color w:val="auto"/>
              </w:rPr>
            </w:pPr>
          </w:p>
        </w:tc>
      </w:tr>
      <w:tr>
        <w:trPr>
          <w:trHeight w:val="128"/>
        </w:trPr>
        <w:tc>
          <w:tcPr>
            <w:tcW w:w="3160" w:type="dxa"/>
            <w:vAlign w:val="bottom"/>
          </w:tcPr>
          <w:p>
            <w:pPr>
              <w:spacing w:after="0"/>
              <w:rPr>
                <w:sz w:val="11"/>
                <w:szCs w:val="11"/>
                <w:color w:val="auto"/>
              </w:rPr>
            </w:pPr>
          </w:p>
        </w:tc>
        <w:tc>
          <w:tcPr>
            <w:tcW w:w="15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400" w:type="dxa"/>
            <w:vAlign w:val="bottom"/>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40" w:type="dxa"/>
            <w:vAlign w:val="bottom"/>
          </w:tcPr>
          <w:p>
            <w:pPr>
              <w:spacing w:after="0"/>
              <w:rPr>
                <w:sz w:val="11"/>
                <w:szCs w:val="11"/>
                <w:color w:val="auto"/>
              </w:rPr>
            </w:pPr>
          </w:p>
        </w:tc>
        <w:tc>
          <w:tcPr>
            <w:tcW w:w="15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3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 2023</w:t>
            </w: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Los Angeles area market</w:t>
            </w:r>
          </w:p>
        </w:tc>
        <w:tc>
          <w:tcPr>
            <w:tcW w:w="136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72.5 %</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71.6 %</w:t>
            </w:r>
          </w:p>
        </w:tc>
        <w:tc>
          <w:tcPr>
            <w:tcW w:w="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71.9 %</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markets</w:t>
            </w:r>
          </w:p>
        </w:tc>
        <w:tc>
          <w:tcPr>
            <w:tcW w:w="13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27.5 %</w:t>
            </w:r>
          </w:p>
        </w:tc>
        <w:tc>
          <w:tcPr>
            <w:tcW w:w="14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28.4 %</w:t>
            </w:r>
          </w:p>
        </w:tc>
        <w:tc>
          <w:tcPr>
            <w:tcW w:w="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28.1 %</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28.9 %</w:t>
            </w:r>
          </w:p>
        </w:tc>
        <w:tc>
          <w:tcPr>
            <w:tcW w:w="40" w:type="dxa"/>
            <w:vAlign w:val="bottom"/>
            <w:tcBorders>
              <w:bottom w:val="single" w:sz="8" w:color="CCEEFF"/>
            </w:tcBorders>
          </w:tcPr>
          <w:p>
            <w:pPr>
              <w:spacing w:after="0"/>
              <w:rPr>
                <w:sz w:val="18"/>
                <w:szCs w:val="18"/>
                <w:color w:val="auto"/>
              </w:rPr>
            </w:pPr>
          </w:p>
        </w:tc>
      </w:tr>
      <w:tr>
        <w:trPr>
          <w:trHeight w:val="209"/>
        </w:trPr>
        <w:tc>
          <w:tcPr>
            <w:tcW w:w="3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100 %</w:t>
            </w:r>
          </w:p>
        </w:tc>
        <w:tc>
          <w:tcPr>
            <w:tcW w:w="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change in the franchise contract liability balances during the thirty-nine weeks ended September 25, 2024 and September 27, 2023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27, 2023</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5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25, 2024</w:t>
            </w:r>
          </w:p>
        </w:tc>
        <w:tc>
          <w:tcPr>
            <w:tcW w:w="23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4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28, 2022</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27, 2023</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estimated revenue to be recognized in future periods related to performance obligations under the applicable contracts that are unsatisfied as of September 25, 2024 (in thousands):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Franchise revenues: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7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7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w:t>
            </w:r>
          </w:p>
        </w:tc>
      </w:tr>
      <w:tr>
        <w:trPr>
          <w:trHeight w:val="209"/>
        </w:trPr>
        <w:tc>
          <w:tcPr>
            <w:tcW w:w="7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6,746</w:t>
            </w:r>
          </w:p>
        </w:tc>
      </w:tr>
      <w:tr>
        <w:trPr>
          <w:trHeight w:val="20"/>
        </w:trPr>
        <w:tc>
          <w:tcPr>
            <w:tcW w:w="7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Changes in the loyalty rewards program liability included in deferred revenue within other accrued expenses and current liabilities on the condensed consolidated balance sheets were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25, 2024</w:t>
            </w:r>
          </w:p>
        </w:tc>
        <w:tc>
          <w:tcPr>
            <w:tcW w:w="180" w:type="dxa"/>
            <w:vAlign w:val="bottom"/>
          </w:tcPr>
          <w:p>
            <w:pPr>
              <w:spacing w:after="0"/>
              <w:rPr>
                <w:sz w:val="15"/>
                <w:szCs w:val="15"/>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27, 2023</w:t>
            </w:r>
          </w:p>
        </w:tc>
      </w:tr>
      <w:tr>
        <w:trPr>
          <w:trHeight w:val="20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rewards liability, 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6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(1,506)</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(1,904)</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rewards liability, 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16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expects all loyalty points revenue related to performance obligations unsatisfied as of September 25, 2024 to be recognized within one year.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Gift Cards</w:t>
      </w:r>
    </w:p>
    <w:p>
      <w:pPr>
        <w:spacing w:after="0" w:line="227"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gift card liability included in other accrued expenses and current liabilities on the condensed consolidated balance sheets was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25, 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 2023</w:t>
            </w:r>
          </w:p>
        </w:tc>
      </w:tr>
      <w:tr>
        <w:trPr>
          <w:trHeight w:val="210"/>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liability</w:t>
            </w: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r>
      <w:tr>
        <w:trPr>
          <w:trHeight w:val="20"/>
        </w:trPr>
        <w:tc>
          <w:tcPr>
            <w:tcW w:w="6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Revenue recognized from the redemption of gift cards that was included in other accrued expenses and current liabilities at the beginning of the year was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25, 2024</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2023</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25, 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 2023</w:t>
            </w:r>
          </w:p>
        </w:tc>
        <w:tc>
          <w:tcPr>
            <w:tcW w:w="0" w:type="dxa"/>
            <w:vAlign w:val="bottom"/>
          </w:tcPr>
          <w:p>
            <w:pPr>
              <w:spacing w:after="0"/>
              <w:rPr>
                <w:sz w:val="1"/>
                <w:szCs w:val="1"/>
                <w:color w:val="auto"/>
              </w:rPr>
            </w:pPr>
          </w:p>
        </w:tc>
      </w:tr>
      <w:tr>
        <w:trPr>
          <w:trHeight w:val="178"/>
        </w:trPr>
        <w:tc>
          <w:tcPr>
            <w:tcW w:w="34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Revenue recognized from gift card liability</w:t>
            </w:r>
          </w:p>
        </w:tc>
        <w:tc>
          <w:tcPr>
            <w:tcW w:w="3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6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21"/>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 does not currently incur costs to obtain or fulfill a contract that would be considered contract assets under Topic 606.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Nature of Leases</w:t>
      </w:r>
    </w:p>
    <w:p>
      <w:pPr>
        <w:spacing w:after="0" w:line="22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As of September 25, 2024, the Company had one lease that it had entered into, but had not yet commenced. The Company does not have control of the property until lease commencement.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Building and Facility Leases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majority of the Company’s building and facilities leases are classified as operating leases; however, the Company currently has one facility and 20 equipment leases that are classified as finance leases.</w:t>
      </w:r>
    </w:p>
    <w:p>
      <w:pPr>
        <w:spacing w:after="0" w:line="16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that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8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there have been significant leasehold improvements that have a useful life that extend past the original lease term. Furthermore, there are no residual value guarantees and no restrictions imposed by the lease.</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During the thirteen and thirty-nine weeks ended September 25, 2024, the Company reassessed the lease terms on seven and 19 restaurants, respectively, due to certain triggering events, such as the addition of significant leasehold improvements with useful lives that extend past the current lease expiration, the decision to terminate a lease, or the decision to renew. As a result of the reassessment, an additional $4.6 million and $12.7 million of ROU asset and lease liabilities for the thirteen and thirty-nine weeks ended September 25, 2024, respectively, were recognized and will be amortized over the new lease term. During the thirteen and thirty-nine weeks ended September 27, 2023, the Company reassessed the lease terms on five and 27 restaurants, respectively, due to certain triggering events, such as the addition of significant leasehold improvements with useful lives that extend past the current lease expiration, the decision to terminate a lease, or the decision to renew. This reassessment resulted in an additional $1.9 million and $15.4 million of ROU asset and lease liabilities for the thirteen and thirty-nine weeks ended September 27, 2023, respectively, which were recognized and will be amortized over the new lease term. Additionally, as the Company adopted all practical expedients available under Topic 842, no reallocation between lease and non-lease components was necessary.</w:t>
      </w:r>
    </w:p>
    <w:p>
      <w:pPr>
        <w:spacing w:after="0" w:line="190"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64"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During the thirty-nine weeks ended September 25, 2024, the Company did not record any non-cash impairment charges. During the thirty-nine weeks ended September 27, 2023, the Company recorded a less than $0.1 million non-cash impairment charge related to the carrying value of ROU assets of one restaurant in California. See Note 1, “Basis of Presentation and Summary of Significant Accounting Policies – Impairment of Property and Equipment and ROU Assets” for additional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22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Significant Assumptions and Judgments</w:t>
      </w:r>
    </w:p>
    <w:p>
      <w:pPr>
        <w:spacing w:after="0" w:line="227" w:lineRule="exact"/>
        <w:rPr>
          <w:sz w:val="20"/>
          <w:szCs w:val="20"/>
          <w:color w:val="auto"/>
        </w:rPr>
      </w:pPr>
    </w:p>
    <w:p>
      <w:pPr>
        <w:ind w:left="60" w:right="879"/>
        <w:spacing w:after="0" w:line="282" w:lineRule="auto"/>
        <w:rPr>
          <w:sz w:val="20"/>
          <w:szCs w:val="20"/>
          <w:color w:val="auto"/>
        </w:rPr>
      </w:pPr>
      <w:r>
        <w:rPr>
          <w:rFonts w:ascii="Times New Roman" w:cs="Times New Roman" w:eastAsia="Times New Roman" w:hAnsi="Times New Roman"/>
          <w:sz w:val="18"/>
          <w:szCs w:val="18"/>
          <w:color w:val="auto"/>
        </w:rPr>
        <w:t>In applying the requirements of Topic 842, the Company made significant assumptions and judgments related to determination of whether a contract contains a lease and the discount rate used for the lease.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83" w:lineRule="exact"/>
        <w:rPr>
          <w:sz w:val="20"/>
          <w:szCs w:val="20"/>
          <w:color w:val="auto"/>
        </w:rPr>
      </w:pPr>
    </w:p>
    <w:p>
      <w:pPr>
        <w:ind w:left="60" w:right="659"/>
        <w:spacing w:after="0" w:line="266" w:lineRule="auto"/>
        <w:rPr>
          <w:sz w:val="20"/>
          <w:szCs w:val="20"/>
          <w:color w:val="auto"/>
        </w:rPr>
      </w:pPr>
      <w:r>
        <w:rPr>
          <w:rFonts w:ascii="Times New Roman" w:cs="Times New Roman" w:eastAsia="Times New Roman" w:hAnsi="Times New Roman"/>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total lease cost, disaggregated by underlying asset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10"/>
          </w:tcPr>
          <w:p>
            <w:pPr>
              <w:jc w:val="center"/>
              <w:ind w:left="414"/>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10"/>
          </w:tcPr>
          <w:p>
            <w:pPr>
              <w:jc w:val="center"/>
              <w:ind w:left="455"/>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76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20" w:type="dxa"/>
            <w:vAlign w:val="bottom"/>
          </w:tcPr>
          <w:p>
            <w:pPr>
              <w:spacing w:after="0"/>
              <w:rPr>
                <w:sz w:val="10"/>
                <w:szCs w:val="10"/>
                <w:color w:val="auto"/>
              </w:rPr>
            </w:pPr>
          </w:p>
        </w:tc>
        <w:tc>
          <w:tcPr>
            <w:tcW w:w="7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rent cost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9"/>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10"/>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September 25, 2024</w:t>
            </w:r>
          </w:p>
        </w:tc>
        <w:tc>
          <w:tcPr>
            <w:tcW w:w="6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10"/>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September 27, 2023</w:t>
            </w:r>
          </w:p>
        </w:tc>
        <w:tc>
          <w:tcPr>
            <w:tcW w:w="6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60" w:type="dxa"/>
            <w:vAlign w:val="bottom"/>
          </w:tcPr>
          <w:p>
            <w:pPr>
              <w:spacing w:after="0"/>
              <w:rPr>
                <w:sz w:val="19"/>
                <w:szCs w:val="19"/>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9"/>
                <w:szCs w:val="19"/>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rent cost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total lease cost on the condensed consolidated statements of income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42"/>
        </w:trPr>
        <w:tc>
          <w:tcPr>
            <w:tcW w:w="3860" w:type="dxa"/>
            <w:vAlign w:val="bottom"/>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80" w:type="dxa"/>
            <w:vAlign w:val="bottom"/>
          </w:tcPr>
          <w:p>
            <w:pPr>
              <w:spacing w:after="0"/>
              <w:rPr>
                <w:sz w:val="12"/>
                <w:szCs w:val="12"/>
                <w:color w:val="auto"/>
              </w:rPr>
            </w:pPr>
          </w:p>
        </w:tc>
        <w:tc>
          <w:tcPr>
            <w:tcW w:w="1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r>
      <w:tr>
        <w:trPr>
          <w:trHeight w:val="178"/>
        </w:trPr>
        <w:tc>
          <w:tcPr>
            <w:tcW w:w="38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Lease cost – Occupancy and other operating</w:t>
            </w: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23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18,101</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General &amp; administrative</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Depreciation and amortization</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Interest expense</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Closed-store reserve</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18,583</w:t>
            </w:r>
          </w:p>
        </w:tc>
      </w:tr>
    </w:tbl>
    <w:p>
      <w:pPr>
        <w:spacing w:after="0" w:line="198" w:lineRule="exact"/>
        <w:rPr>
          <w:sz w:val="20"/>
          <w:szCs w:val="20"/>
          <w:color w:val="auto"/>
        </w:rPr>
      </w:pPr>
    </w:p>
    <w:p>
      <w:pPr>
        <w:ind w:left="60" w:right="100"/>
        <w:spacing w:after="0" w:line="282" w:lineRule="auto"/>
        <w:rPr>
          <w:sz w:val="20"/>
          <w:szCs w:val="20"/>
          <w:color w:val="auto"/>
        </w:rPr>
      </w:pPr>
      <w:r>
        <w:rPr>
          <w:rFonts w:ascii="Times New Roman" w:cs="Times New Roman" w:eastAsia="Times New Roman" w:hAnsi="Times New Roman"/>
          <w:sz w:val="18"/>
          <w:szCs w:val="18"/>
          <w:color w:val="auto"/>
        </w:rPr>
        <w:t>During the thirty-nine weeks ended September 25, 2024 and September 27, 2023, the Company had the following cash and non-cash activities associated with its leases (dollars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Thirty-Nine Weeks Ended September 25, 2024</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9"/>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Thirty-Nine Weeks Ended September 27,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Cash paid for amounts included in the</w:t>
            </w: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measurement of lease liabilities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Operating cash flows used for operating</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21,202</w:t>
            </w:r>
          </w:p>
        </w:tc>
        <w:tc>
          <w:tcPr>
            <w:tcW w:w="160" w:type="dxa"/>
            <w:vAlign w:val="bottom"/>
          </w:tcPr>
          <w:p>
            <w:pPr>
              <w:spacing w:after="0"/>
              <w:rPr>
                <w:sz w:val="10"/>
                <w:szCs w:val="10"/>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60" w:type="dxa"/>
            <w:vAlign w:val="bottom"/>
          </w:tcPr>
          <w:p>
            <w:pPr>
              <w:spacing w:after="0"/>
              <w:rPr>
                <w:sz w:val="10"/>
                <w:szCs w:val="10"/>
                <w:color w:val="auto"/>
              </w:rPr>
            </w:pP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21,412</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20,797</w:t>
            </w:r>
          </w:p>
        </w:tc>
        <w:tc>
          <w:tcPr>
            <w:tcW w:w="160" w:type="dxa"/>
            <w:vAlign w:val="bottom"/>
          </w:tcPr>
          <w:p>
            <w:pPr>
              <w:spacing w:after="0"/>
              <w:rPr>
                <w:sz w:val="10"/>
                <w:szCs w:val="10"/>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6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21,094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leases</w:t>
            </w:r>
          </w:p>
        </w:tc>
        <w:tc>
          <w:tcPr>
            <w:tcW w:w="1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Financing cash flows used for finance leases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Operating lease ROU assets obtained in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exchange for lease liabilities: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ROU assets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11,457</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12,743</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15,445</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15,499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Finance lease ROU assets obtained in exchange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lease liabilities: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lease ROU assets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Derecognition of ROU assets due to</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0"/>
                <w:szCs w:val="10"/>
                <w:color w:val="auto"/>
              </w:rPr>
            </w:pPr>
          </w:p>
        </w:tc>
        <w:tc>
          <w:tcPr>
            <w:tcW w:w="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0"/>
                <w:szCs w:val="10"/>
                <w:color w:val="auto"/>
              </w:rPr>
            </w:pP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terminations, impairment or modifications</w:t>
            </w:r>
          </w:p>
        </w:tc>
        <w:tc>
          <w:tcPr>
            <w:tcW w:w="1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Information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remaining years in lease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term—finance leases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remaining years in lease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term—operating leases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discount rate—finance</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2.57 %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6.37 %</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2.57 %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1.53 %</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leases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discount rate—operating</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5.21 %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6.71 %</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4.85 %</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4.45 %</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leases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Information regarding the Company’s minimum future lease obligations as of September 25, 2024 is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80" w:type="dxa"/>
            <w:vAlign w:val="bottom"/>
          </w:tcPr>
          <w:p>
            <w:pPr>
              <w:spacing w:after="0"/>
              <w:rPr>
                <w:sz w:val="15"/>
                <w:szCs w:val="15"/>
                <w:color w:val="auto"/>
              </w:rPr>
            </w:pPr>
          </w:p>
        </w:tc>
        <w:tc>
          <w:tcPr>
            <w:tcW w:w="166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17"/>
        </w:trPr>
        <w:tc>
          <w:tcPr>
            <w:tcW w:w="5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0" w:type="dxa"/>
            <w:vAlign w:val="bottom"/>
          </w:tcPr>
          <w:p>
            <w:pPr>
              <w:spacing w:after="0"/>
              <w:rPr>
                <w:sz w:val="1"/>
                <w:szCs w:val="1"/>
                <w:color w:val="auto"/>
              </w:rPr>
            </w:pPr>
          </w:p>
        </w:tc>
      </w:tr>
      <w:tr>
        <w:trPr>
          <w:trHeight w:val="148"/>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00" w:type="dxa"/>
            <w:vAlign w:val="bottom"/>
          </w:tcPr>
          <w:p>
            <w:pPr>
              <w:spacing w:after="0"/>
              <w:rPr>
                <w:sz w:val="12"/>
                <w:szCs w:val="12"/>
                <w:color w:val="auto"/>
              </w:rPr>
            </w:pPr>
          </w:p>
        </w:tc>
        <w:tc>
          <w:tcPr>
            <w:tcW w:w="70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Sublease</w:t>
            </w:r>
          </w:p>
        </w:tc>
        <w:tc>
          <w:tcPr>
            <w:tcW w:w="0" w:type="dxa"/>
            <w:vAlign w:val="bottom"/>
          </w:tcPr>
          <w:p>
            <w:pPr>
              <w:spacing w:after="0"/>
              <w:rPr>
                <w:sz w:val="1"/>
                <w:szCs w:val="1"/>
                <w:color w:val="auto"/>
              </w:rPr>
            </w:pPr>
          </w:p>
        </w:tc>
      </w:tr>
      <w:tr>
        <w:trPr>
          <w:trHeight w:val="173"/>
        </w:trPr>
        <w:tc>
          <w:tcPr>
            <w:tcW w:w="6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Payments</w:t>
            </w:r>
          </w:p>
        </w:tc>
        <w:tc>
          <w:tcPr>
            <w:tcW w:w="100" w:type="dxa"/>
            <w:vAlign w:val="bottom"/>
          </w:tcPr>
          <w:p>
            <w:pPr>
              <w:spacing w:after="0"/>
              <w:rPr>
                <w:sz w:val="15"/>
                <w:szCs w:val="15"/>
                <w:color w:val="auto"/>
              </w:rPr>
            </w:pPr>
          </w:p>
        </w:tc>
        <w:tc>
          <w:tcPr>
            <w:tcW w:w="7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25, 2024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30, 2026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29, 2027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27, 2028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129,896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26,024</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45,739</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 (2.57% - 6.71%)</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(367)</w:t>
            </w:r>
          </w:p>
        </w:tc>
        <w:tc>
          <w:tcPr>
            <w:tcW w:w="16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(56,425)</w:t>
            </w:r>
          </w:p>
        </w:tc>
        <w:tc>
          <w:tcPr>
            <w:tcW w:w="1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(19,869)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Short-Term Leases</w:t>
      </w:r>
    </w:p>
    <w:p>
      <w:pPr>
        <w:spacing w:after="0" w:line="227"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18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76" w:lineRule="exact"/>
        <w:rPr>
          <w:sz w:val="20"/>
          <w:szCs w:val="20"/>
          <w:color w:val="auto"/>
        </w:rPr>
      </w:pPr>
    </w:p>
    <w:p>
      <w:pPr>
        <w:jc w:val="both"/>
        <w:ind w:left="60" w:right="219"/>
        <w:spacing w:after="0" w:line="289" w:lineRule="auto"/>
        <w:rPr>
          <w:sz w:val="20"/>
          <w:szCs w:val="20"/>
          <w:color w:val="auto"/>
        </w:rPr>
      </w:pPr>
      <w:r>
        <w:rPr>
          <w:rFonts w:ascii="Times New Roman" w:cs="Times New Roman" w:eastAsia="Times New Roman" w:hAnsi="Times New Roman"/>
          <w:sz w:val="17"/>
          <w:szCs w:val="17"/>
          <w:color w:val="auto"/>
        </w:rPr>
        <w:t>The Company received $0.1 million of lease income from company-owned locations for both of the thirteen weeks ended September 25, 2024 and September 27, 2023. The Company received $0.3 million and $0.2 million of lease income from company-owned locations for the thirty-nine weeks ended September 25, 2024 and September 27, 2023, respectively.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SHAREHOLDER RIGHTS AGREEMENT</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August 8, 2023, the Board declared a dividend of one preferred share purchase right (a “Right”) for each share of common stock, par value $0.01 per share, of the Company (the “Common Shares”), outstanding on August 18, 2023, to the stockholders of record on that date. In connection with the distribution of the Rights, the Company entered into a Rights Agreement (the “Rights Agreement”), dated as of August 8, 2023, between the Company and Equiniti Trust Company, LLC, as rights agent. Each Right entitles the registered holder to purchase from the Company one one-thousandth of a share of Series A Preferred Stock, par value $0.01 per share, of the Company (the “Preferred Shares”) at a price of $53.75 per one one-thousandth of a Preferred Share represented by a Right, subject to adjustment.</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August 4, 2024, the Board approved and entered into an Amendment (the “Amendment”) to the Rights Agreement (together with the Agreement, the “Amended Rights Agreement”). Pursuant to the Amendment, the expiration date of the Rights has been extended until 11:59 p.m., Pacific Time, on the date that the votes of the stockholders of the Company with respect to the Company’s next annual meeting of stockholders are certified, unless stockholders approve the further extension of the Amended Rights Agreement beyond that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Rights Agreement was initially adopted in August 2023 (as initially adopted, the “Rights Agreement”) in response to a rapid and significant accumulation of Company stock by Biglari Capital Corp. (together with its affiliates, “Biglari Capital”). In adopting the original Rights Agreement, the Board noted that Biglari Capital has a track record of acquiring substantial and sometimes controlling interests in public restaurant companies. Since that time, members of the Board and leadership team have met with Biglari Capital on multiple occasions. In approving the Amendment to extend the Rights Agreement, the Board considered, among other things, that during a recent meeting, a representative of Biglari Capital stated a desire to make substantial additional share accumulations in the public market if the Board terminated the Rights Agreement or allowed it to expire at the end of its initial term in August 2024.</w:t>
      </w:r>
    </w:p>
    <w:p>
      <w:pPr>
        <w:spacing w:after="0" w:line="19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Amendment also amends the Rights Agreement to increase the Beneficial Ownership (as defined in the Amended Rights Agreement) triggering threshold for being deemed an Acquiring Person (as defined below), unless one of the enumerated exceptions is applicable, from 12.5% to 15.0%. In all other respects, the terms of the Rights Agreement remain unmodified and in full force and effect.</w:t>
      </w:r>
    </w:p>
    <w:p>
      <w:pPr>
        <w:spacing w:after="0" w:line="180"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Under the Amended Rights Agreement, the Rights are generally exercisable only in the event that a person or group of affiliated or associated persons (such person or group being an “Acquiring Person”), other than certain exempt persons, acquires (or commences a tender offer or exchange offer the consummation of which would result in) Beneficial Ownership of 15.0% or more of the outstanding Common Shares. In such case (with certain limited exceptions), each holder of a Right (other than the Acquiring Person, whose Rights shall become void) will have the right to receive, upon exercise at the then current exercise price of the Right, Common Shares (or, if the Board so elects, cash, securities, or other property) having a value equal to two times (2x) the exercise price of the Right.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Right to Exchange</w:t>
      </w:r>
    </w:p>
    <w:p>
      <w:pPr>
        <w:spacing w:after="0" w:line="243"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the Board may exchange the Rights at an exchange ratio of one Common Share per Right (subject to adjustment).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Flip-over Event</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If, at any time after a person or group becomes an Acquiring Person, (i) the Company engages in a consolidation or merger and, in connection there with all or part of the Common Shares are or will be changed into or exchanged for stock or other securities of any other person or cash or any other property; or (ii) 50% or more of the Company’s consolidated assets or earning power are sold, then each holder of a Right will thereafter have the right to receive, upon exercise at the then current exercise price of the Right, that number of shares of common stock of the acquiring company having a market value of two times the exercise price of the Right.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At any time prior to the time any person or group becomes an Acquiring Person, the Board may redeem the Rights at a price of $0.001 per Right (the “Redemption Price”). Immediately upon any redemption of the Rights, the right to exercise the Rights will terminate and the only right of the holders of Rights will be to receive the Redemption Price.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Rights of Holders</w:t>
      </w:r>
    </w:p>
    <w:p>
      <w:pPr>
        <w:spacing w:after="0" w:line="22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including, without limitation, the right to vote or to receive dividends.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trends, strategies and the industry in which we operate. All forward-looking statements are subject to risks and uncertainties that could cause actual results to differ materially from those that we expected.</w:t>
      </w:r>
    </w:p>
    <w:p>
      <w:pPr>
        <w:spacing w:after="0" w:line="19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83" w:lineRule="exact"/>
        <w:rPr>
          <w:sz w:val="20"/>
          <w:szCs w:val="20"/>
          <w:color w:val="auto"/>
        </w:rPr>
      </w:pPr>
    </w:p>
    <w:p>
      <w:pPr>
        <w:ind w:left="720" w:right="79" w:hanging="319"/>
        <w:spacing w:after="0" w:line="257"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or other business conditions that may affect the desire or ability of our customers to purchase our products such as inflationary pressures, high unemployment levels, increases in gas prices, and declines in median income growth, consumer confidence and consumer discretionary spending, among other conditions;</w:t>
      </w:r>
    </w:p>
    <w:p>
      <w:pPr>
        <w:spacing w:after="0" w:line="1"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new restaurants in new and existing markets, including difficulty in finding sites and in negotiating acceptable leases;</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with other quick-service and fast casual restaurants;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changes in political and economic conditions and consumer preferences;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assimilate and retain employees;</w:t>
      </w:r>
    </w:p>
    <w:p>
      <w:pPr>
        <w:spacing w:after="0" w:line="9" w:lineRule="exact"/>
        <w:rPr>
          <w:rFonts w:ascii="Times New Roman" w:cs="Times New Roman" w:eastAsia="Times New Roman" w:hAnsi="Times New Roman"/>
          <w:sz w:val="18"/>
          <w:szCs w:val="18"/>
          <w:color w:val="auto"/>
        </w:rPr>
      </w:pPr>
    </w:p>
    <w:p>
      <w:pPr>
        <w:ind w:left="720" w:right="55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conditions in the greater Los Angeles area and to natural disasters given the geographic concentration and real estate intensive nature of our business;</w:t>
      </w:r>
    </w:p>
    <w:p>
      <w:pPr>
        <w:ind w:left="720" w:right="29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continue to incur significant impairment of certain of our assets, in particular in our new markets;</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food and supply costs, especially for chicken, labor, construction and utilities;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and negative publicity, whether or not valid, and our ability to respond to and effectively manage the accelerated impact of social media;</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our digital business, delivery orders and catering;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food safety and quality and about food-borne illness;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frequent and timely deliveries of food and supplies;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level of indebtedness;</w:t>
      </w:r>
    </w:p>
    <w:p>
      <w:pPr>
        <w:spacing w:after="0" w:line="9"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success of our marketing programs, new menu items, advertising campaigns and restaurant designs and remodels;</w:t>
      </w:r>
    </w:p>
    <w:p>
      <w:pPr>
        <w:ind w:left="720" w:right="33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economic environment, including inflation and increased labor and supply costs, which may affect our franchisees, with adverse consequences to us;</w:t>
      </w:r>
    </w:p>
    <w:p>
      <w:pPr>
        <w:ind w:left="720" w:right="55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and local labors laws governing our relationships with our employees, including minimum wage laws, minimum standards for fast food workers or other similar laws;</w:t>
      </w:r>
    </w:p>
    <w:p>
      <w:pPr>
        <w:ind w:left="720" w:right="17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uncertainty regarding pandemics, epidemics or infectious disease outbreaks (such as the COVID-19 pandemic) on our company, our employees, our customers, our partners, our industry and the economy as a whole, as well as our franchisees’ ability to operate their individual restaurants without disruption;</w:t>
      </w:r>
    </w:p>
    <w:p>
      <w:pPr>
        <w:spacing w:after="0" w:line="1" w:lineRule="exact"/>
        <w:rPr>
          <w:rFonts w:ascii="Times New Roman" w:cs="Times New Roman" w:eastAsia="Times New Roman" w:hAnsi="Times New Roman"/>
          <w:sz w:val="18"/>
          <w:szCs w:val="18"/>
          <w:color w:val="auto"/>
        </w:rPr>
      </w:pPr>
    </w:p>
    <w:p>
      <w:pPr>
        <w:ind w:left="720" w:right="49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control over our franchisees and potential deterioration of our relations with existing or potential franchisees;</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unexpected costs and losses from our self-insurance programs;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obligations under long-term and non-cancelable leases, and our ability to renew leases at the end of their terms;</w:t>
      </w:r>
    </w:p>
    <w:p>
      <w:pPr>
        <w:ind w:left="720" w:right="61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Delaware law, our organizational documents, our shareholder rights agreement, and our existing and future debt agreements may impede or discourage a takeover;</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shareholder activism on our expenses, business and stock price;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failure of our information technology system or any breach of our network security;</w:t>
      </w:r>
    </w:p>
    <w:p>
      <w:pPr>
        <w:spacing w:after="0" w:line="9"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security breaches on our ability to protect our customers’ payment method data or personal information;</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maintain our trademarks and protect our other proprietary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 and litigation, including employment and labor laws; and</w:t>
      </w:r>
    </w:p>
    <w:p>
      <w:pPr>
        <w:spacing w:after="0" w:line="9" w:lineRule="exact"/>
        <w:rPr>
          <w:rFonts w:ascii="Times New Roman" w:cs="Times New Roman" w:eastAsia="Times New Roman" w:hAnsi="Times New Roman"/>
          <w:sz w:val="18"/>
          <w:szCs w:val="18"/>
          <w:color w:val="auto"/>
        </w:rPr>
      </w:pPr>
    </w:p>
    <w:p>
      <w:pPr>
        <w:ind w:left="720" w:right="279" w:hanging="319"/>
        <w:spacing w:after="0" w:line="255"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set forth in our filings with the SEC from time to time, including under Item 1A, Risk Factors in our annual report on Form 10-K for the year ended December 27, 2023, which filings are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and operates in the limited-service restaurant segment. We strive to offer food that integrates the culinary traditions of Mexico with the healthier lifestyle.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beef and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We believe that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Trends and Uncertainties</w:t>
      </w:r>
    </w:p>
    <w:p>
      <w:pPr>
        <w:spacing w:after="0" w:line="229"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On September 28, 2023, Governor Newsom signed AB 1228 into law in California, which repealed and replaced the Fast Food Accountability and Standards Recovery Act (FAST Act) on January 1, 2024. Pursuant to AB 1228, the minimum wage at fast food restaurants that are part of brands which have more than 60 establishments nationwide was increased to $20 an hour on April 1, 2024, and a Fast Food Council created by AB 1228 will have limited power to approve annual wage increases until 2029. Under the law, the Fast Food Council will also have the power to develop and propose minimum standards for fast food workers, including standards for working hours, working conditions, and health and safety. As a result of AB 1228, we have experienced an increase in our labor and regulatory compliance costs and we expect these costs will continue to increase for the remainder of fiscal 2024 and that our results of operations and profitability will be adversely affected if we are not able to implement other measures to counter these increased costs.</w:t>
      </w:r>
    </w:p>
    <w:p>
      <w:pPr>
        <w:spacing w:after="0" w:line="188"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we have experienced inflationary pressures affecting our operations in certain areas such as food cost, labor costs, construction costs and other restaurant operating costs. We have been able to substantially offset these inflationary and other cost pressures through various actions, such as increasing menu prices, managing menu mix, and productivity improvements. However, we expect these inflationary and other cost pressures to continue into the remainder of fiscal 2024 and we may not be able to offset cost increases in the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1" w:lineRule="auto"/>
        <w:rPr>
          <w:sz w:val="20"/>
          <w:szCs w:val="20"/>
          <w:color w:val="auto"/>
        </w:rPr>
      </w:pPr>
      <w:r>
        <w:rPr>
          <w:rFonts w:ascii="Times New Roman" w:cs="Times New Roman" w:eastAsia="Times New Roman" w:hAnsi="Times New Roman"/>
          <w:sz w:val="17"/>
          <w:szCs w:val="17"/>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our key performance indicators described below, such as company-operated restaurant revenue and comparable restaurant sales, may fluctuate.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Strategies and Outlook</w:t>
      </w:r>
    </w:p>
    <w:p>
      <w:pPr>
        <w:spacing w:after="0" w:line="22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As of September 25, 2024, we had 496 locations in seven states. In fiscal 2023, we opened two new company-operated restaurants in Nevada, and our franchisees opened three new restaurants, one in California, one in Colorado and one in Utah. Additionally, we completed the sale of 18 restaurants within California, Utah and Texas to existing franchisees during fiscal 2023. For the thirty-nine weeks ended September 25, 2024, we opened one new company-operated restaurant in California, and our franchisees opened one new restaurant in California. Additionally, during the thirty-nine weeks ended September 25, 2024, we completed the sale of one restaurant in California to an existing franchisee. We plan to continue to expand our business, drive restaurant sales growth, and enhance our competitive positioning, by executing the following five key strategies:</w:t>
      </w:r>
    </w:p>
    <w:p>
      <w:pPr>
        <w:spacing w:after="0" w:line="192"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That Wins;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Mindset;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First;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Winning Unit Economics;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Unit Growth Again with National Expansion.</w:t>
      </w:r>
    </w:p>
    <w:p>
      <w:pPr>
        <w:spacing w:after="0" w:line="22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To increase comparable restaurant sales, we plan to increase customer frequency, attract new customers, and improve per-person spend. The success of these growth plans is not guaranteed.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Highlights and Trends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Overview</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For the thirteen and thirty-nine weeks ended September 25, 2024, our total revenue was $120.4 million and $358.7 million, respectively. For the thirteen and thirty-nine weeks ended September 25, 2024, our company-operated restaurant revenue was $101.2 million and $300.6 million, respectively, and our franchise and franchise advertising fee revenue was $19.2 million and $58.1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For the thirteen and thirty-nine weeks ended September 25, 2024, system-wide comparable restaurant sales increased by 2.7% and 4.1%, respectively, from the comparable period in the prior year. For company-operated restaurants, comparable restaurant sales for the thirteen and thirty-nine weeks ended September 25, 2024 increased by 2.8% and 3.2%, respectively. For company-operated restaurants, the quarter’s change in comparable restaurant sales consisted of an 11.3% increase in average check size, partially offset by a 7.6% decrease in transactions, and the year-to-date change in comparable restaurant sales consisted of a 7.5% increase in average check size, partially offset by a 4.0% decrease in transactions. For franchised restaurants, comparable restaurant sales increased 2.7% and 4.6% for the thirteen and thirty-nine weeks ended September 25, 2024, respectively. Refer to “Comparable Restaurant Sales” definition in the section titled “Key Performance Indicators”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restaurant counts at the beginning and end of each of the last three fiscal years and the thirty-nine weeks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25, 2024, were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16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480" w:type="dxa"/>
            <w:vAlign w:val="bottom"/>
          </w:tcPr>
          <w:p>
            <w:pPr>
              <w:spacing w:after="0"/>
              <w:rPr>
                <w:sz w:val="15"/>
                <w:szCs w:val="15"/>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50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Company-operated restaurant activity</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7"/>
                <w:szCs w:val="17"/>
                <w:b w:val="1"/>
                <w:bCs w:val="1"/>
                <w:color w:val="auto"/>
              </w:rPr>
              <w: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Franchised restaurant activity:</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System-wide restaurant activity:</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Closures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0"/>
        </w:trPr>
        <w:tc>
          <w:tcPr>
            <w:tcW w:w="50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ind w:left="380" w:hanging="330"/>
        <w:spacing w:after="0" w:line="180" w:lineRule="auto"/>
        <w:tabs>
          <w:tab w:leader="none" w:pos="38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Our restaurant count above includes 496 domestic restaurants and excludes 10 licensed restaurants in the Philippines.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Remodeling</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During the thirty-nine weeks ended September 25, 2024, we completed five company-operated restaurant remodels and 35 franchise remodels. Considering our efforts to finalize our new prototype design, we currently expect to complete 2-4 company-operated restaurant remodels and 5-10 franchise remodels for the remainder of fiscal 2024. The cost of our restaurant remodels varies depending on the scope of the work required, but on average the investment is $0.3 million to $0.4 million per restaurant.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Loco Rewards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Loco Rewards loyalty program offers rewards that incentivize customers to visit our restaurants more often</w:t>
      </w:r>
    </w:p>
    <w:p>
      <w:pPr>
        <w:spacing w:after="0" w:line="27" w:lineRule="exact"/>
        <w:rPr>
          <w:sz w:val="20"/>
          <w:szCs w:val="20"/>
          <w:color w:val="auto"/>
        </w:rPr>
      </w:pPr>
    </w:p>
    <w:p>
      <w:pPr>
        <w:ind w:left="60" w:right="179"/>
        <w:spacing w:after="0" w:line="251" w:lineRule="auto"/>
        <w:rPr>
          <w:sz w:val="20"/>
          <w:szCs w:val="20"/>
          <w:color w:val="auto"/>
        </w:rPr>
      </w:pPr>
      <w:r>
        <w:rPr>
          <w:rFonts w:ascii="Times New Roman" w:cs="Times New Roman" w:eastAsia="Times New Roman" w:hAnsi="Times New Roman"/>
          <w:sz w:val="18"/>
          <w:szCs w:val="18"/>
          <w:color w:val="auto"/>
        </w:rPr>
        <w:t>each month.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194"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September 25, 2024 and December 27, 2023, the revenue allocated to loyalty points that had not been redeemed was $0.8 million and $0.7 million, respectively, which is reflected in our accompanying condensed consolidated balance sheets within other accrued expenses and current liabilities. We had over 4.1 million loyalty program members as of September 25,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U.S. generally accepted accounting principles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“Critical Accounting Policies and Estimates” in Item 7, “Management’s Discussion and Analysis of Financial Condition and Results of Operations” in our annual report on Form 10-K for the year ended December 27, 2023.</w:t>
      </w:r>
    </w:p>
    <w:p>
      <w:pPr>
        <w:spacing w:after="0" w:line="189"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uses of estimates since our annual report on Form 10-K for the year ended December 27,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in the Notes to Condensed Consolidated Financial Statements above for further details regarding our revenue recognition policy.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may include AB 1228), overtime, wage inflation, the frequency and severity of workers’ compensation claims, health care costs, and the performance of our restaurants.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Costs and Other Operating Expenses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Occupancy costs include rent, common area maintenance (“CAM”), and real estate taxes. Other restaurant operating expenses include the costs of utilities, advertising, credit card processing fees, restaurant supplies, repairs and maintenance, and other restaurant operating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22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Depreciation and amortization primarily consists of the depreciation of property and equipment, including leasehold improvements and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(Gain) on Disposal of Assets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Loss (gain) on disposal of assets includes the loss or gain on disposal of assets related to retirements and replacement or write-off of leasehold improvements or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color w:val="auto"/>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7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When we close a restaurant, we will evaluate the right of 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Interest expense, net, consists primarily of interest on our outstanding debt. Debt issuance costs are amortized at cost over the life of the related debt.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 consists of federal and state taxes on our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Results of Operations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Our operating results for the thirteen and thirty-nine weeks ended September 25, 2024 and September 27, 2023 are expressed as percentages of total revenue, with the exception of cost of operations and company restaurant expenses, which are expressed as percentages of company-operated restaurant revenue, and are compared in the tables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60" w:type="dxa"/>
            <w:vAlign w:val="bottom"/>
            <w:gridSpan w:val="3"/>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40" w:type="dxa"/>
            <w:vAlign w:val="bottom"/>
          </w:tcPr>
          <w:p>
            <w:pPr>
              <w:spacing w:after="0"/>
              <w:rPr>
                <w:sz w:val="12"/>
                <w:szCs w:val="12"/>
                <w:color w:val="auto"/>
              </w:rPr>
            </w:pPr>
          </w:p>
        </w:tc>
        <w:tc>
          <w:tcPr>
            <w:tcW w:w="1620" w:type="dxa"/>
            <w:vAlign w:val="bottom"/>
            <w:gridSpan w:val="4"/>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13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Increase / (Decrease)</w:t>
            </w:r>
          </w:p>
        </w:tc>
        <w:tc>
          <w:tcPr>
            <w:tcW w:w="20" w:type="dxa"/>
            <w:vAlign w:val="bottom"/>
          </w:tcPr>
          <w:p>
            <w:pPr>
              <w:spacing w:after="0"/>
              <w:rPr>
                <w:sz w:val="12"/>
                <w:szCs w:val="12"/>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r>
      <w:tr>
        <w:trPr>
          <w:trHeight w:val="20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 Data</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$ 101,178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$ 102,703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(1,525)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r>
      <w:tr>
        <w:trPr>
          <w:trHeight w:val="209"/>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120,395</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0" w:type="dxa"/>
            <w:vAlign w:val="bottom"/>
          </w:tcPr>
          <w:p>
            <w:pPr>
              <w:spacing w:after="0"/>
              <w:rPr>
                <w:sz w:val="18"/>
                <w:szCs w:val="18"/>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Food and paper costs</w:t>
            </w:r>
            <w:r>
              <w:rPr>
                <w:rFonts w:ascii="Times New Roman" w:cs="Times New Roman" w:eastAsia="Times New Roman" w:hAnsi="Times New Roman"/>
                <w:sz w:val="25"/>
                <w:szCs w:val="25"/>
                <w:color w:val="auto"/>
                <w:vertAlign w:val="superscript"/>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r>
      <w:tr>
        <w:trPr>
          <w:trHeight w:val="216"/>
        </w:trPr>
        <w:tc>
          <w:tcPr>
            <w:tcW w:w="43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Labor and related expenses</w:t>
            </w:r>
            <w:r>
              <w:rPr>
                <w:rFonts w:ascii="Times New Roman" w:cs="Times New Roman" w:eastAsia="Times New Roman" w:hAnsi="Times New Roman"/>
                <w:sz w:val="25"/>
                <w:szCs w:val="25"/>
                <w:color w:val="auto"/>
                <w:vertAlign w:val="superscript"/>
              </w:rPr>
              <w:t>(1)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33,092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Occupancy and other operating expenses</w:t>
            </w:r>
            <w:r>
              <w:rPr>
                <w:rFonts w:ascii="Times New Roman" w:cs="Times New Roman" w:eastAsia="Times New Roman" w:hAnsi="Times New Roman"/>
                <w:sz w:val="25"/>
                <w:szCs w:val="25"/>
                <w:color w:val="auto"/>
                <w:vertAlign w:val="superscript"/>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09"/>
        </w:trPr>
        <w:tc>
          <w:tcPr>
            <w:tcW w:w="434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7"/>
                <w:szCs w:val="17"/>
                <w:b w:val="1"/>
                <w:bCs w:val="1"/>
                <w:color w:val="auto"/>
              </w:rPr>
              <w:t>Company restaurant expenses</w:t>
            </w:r>
            <w:r>
              <w:rPr>
                <w:rFonts w:ascii="Times New Roman" w:cs="Times New Roman" w:eastAsia="Times New Roman" w:hAnsi="Times New Roman"/>
                <w:sz w:val="24"/>
                <w:szCs w:val="24"/>
                <w:b w:val="1"/>
                <w:bCs w:val="1"/>
                <w:color w:val="auto"/>
                <w:vertAlign w:val="superscript"/>
              </w:rPr>
              <w:t>(1)</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84,233</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87,933</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85.6</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14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8"/>
                <w:szCs w:val="18"/>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restaurants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(4,923)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tcPr>
          <w:p>
            <w:pPr>
              <w:spacing w:after="0"/>
              <w:rPr>
                <w:sz w:val="18"/>
                <w:szCs w:val="18"/>
                <w:color w:val="auto"/>
              </w:rPr>
            </w:pPr>
          </w:p>
        </w:tc>
      </w:tr>
      <w:tr>
        <w:trPr>
          <w:trHeight w:val="210"/>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110,258</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106,707</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 w:type="dxa"/>
            <w:vAlign w:val="bottom"/>
          </w:tcPr>
          <w:p>
            <w:pPr>
              <w:spacing w:after="0"/>
              <w:rPr>
                <w:sz w:val="18"/>
                <w:szCs w:val="18"/>
                <w:color w:val="auto"/>
              </w:rPr>
            </w:pPr>
          </w:p>
        </w:tc>
      </w:tr>
      <w:tr>
        <w:trPr>
          <w:trHeight w:val="21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10,137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13,692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2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r>
      <w:tr>
        <w:trPr>
          <w:trHeight w:val="210"/>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12,204</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(3,603)</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20" w:type="dxa"/>
            <w:vAlign w:val="bottom"/>
          </w:tcPr>
          <w:p>
            <w:pPr>
              <w:spacing w:after="0"/>
              <w:rPr>
                <w:sz w:val="18"/>
                <w:szCs w:val="18"/>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18"/>
                <w:szCs w:val="18"/>
                <w:color w:val="auto"/>
              </w:rPr>
            </w:pPr>
          </w:p>
        </w:tc>
      </w:tr>
      <w:tr>
        <w:trPr>
          <w:trHeight w:val="210"/>
        </w:trPr>
        <w:tc>
          <w:tcPr>
            <w:tcW w:w="4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6,186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9,229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(3,043)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3" w:lineRule="exact"/>
        <w:rPr>
          <w:sz w:val="20"/>
          <w:szCs w:val="20"/>
          <w:color w:val="auto"/>
        </w:rPr>
      </w:pPr>
    </w:p>
    <w:p>
      <w:pPr>
        <w:ind w:left="380" w:right="819" w:hanging="330"/>
        <w:spacing w:after="0" w:line="208" w:lineRule="auto"/>
        <w:tabs>
          <w:tab w:leader="none" w:pos="38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1460" w:type="dxa"/>
            <w:vAlign w:val="bottom"/>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20" w:type="dxa"/>
            <w:vAlign w:val="bottom"/>
          </w:tcPr>
          <w:p>
            <w:pPr>
              <w:spacing w:after="0"/>
              <w:rPr>
                <w:sz w:val="12"/>
                <w:szCs w:val="12"/>
                <w:color w:val="auto"/>
              </w:rPr>
            </w:pPr>
          </w:p>
        </w:tc>
        <w:tc>
          <w:tcPr>
            <w:tcW w:w="158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14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Increase / (Decrease)</w:t>
            </w:r>
          </w:p>
        </w:tc>
        <w:tc>
          <w:tcPr>
            <w:tcW w:w="20" w:type="dxa"/>
            <w:vAlign w:val="bottom"/>
          </w:tcPr>
          <w:p>
            <w:pPr>
              <w:spacing w:after="0"/>
              <w:rPr>
                <w:sz w:val="12"/>
                <w:szCs w:val="12"/>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 Data</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$ 300,638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$ 304,477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(3,839)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tcPr>
          <w:p>
            <w:pPr>
              <w:spacing w:after="0"/>
              <w:rPr>
                <w:sz w:val="18"/>
                <w:szCs w:val="18"/>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23,757</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r>
      <w:tr>
        <w:trPr>
          <w:trHeight w:val="4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358,724</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356,417</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2,307</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20" w:type="dxa"/>
            <w:vAlign w:val="bottom"/>
          </w:tcPr>
          <w:p>
            <w:pPr>
              <w:spacing w:after="0"/>
              <w:rPr>
                <w:sz w:val="24"/>
                <w:szCs w:val="24"/>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Food and paper costs</w:t>
            </w:r>
            <w:r>
              <w:rPr>
                <w:rFonts w:ascii="Times New Roman" w:cs="Times New Roman" w:eastAsia="Times New Roman" w:hAnsi="Times New Roman"/>
                <w:sz w:val="25"/>
                <w:szCs w:val="25"/>
                <w:color w:val="auto"/>
                <w:vertAlign w:val="superscript"/>
              </w:rPr>
              <w:t>(1)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r>
      <w:tr>
        <w:trPr>
          <w:trHeight w:val="216"/>
        </w:trPr>
        <w:tc>
          <w:tcPr>
            <w:tcW w:w="432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Labor and related expenses</w:t>
            </w:r>
            <w:r>
              <w:rPr>
                <w:rFonts w:ascii="Times New Roman" w:cs="Times New Roman" w:eastAsia="Times New Roman" w:hAnsi="Times New Roman"/>
                <w:sz w:val="25"/>
                <w:szCs w:val="25"/>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96,910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Occupancy and other operating expenses</w:t>
            </w:r>
            <w:r>
              <w:rPr>
                <w:rFonts w:ascii="Times New Roman" w:cs="Times New Roman" w:eastAsia="Times New Roman" w:hAnsi="Times New Roman"/>
                <w:sz w:val="25"/>
                <w:szCs w:val="25"/>
                <w:color w:val="auto"/>
                <w:vertAlign w:val="superscript"/>
              </w:rPr>
              <w:t>(1)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r>
      <w:tr>
        <w:trPr>
          <w:trHeight w:val="190"/>
        </w:trPr>
        <w:tc>
          <w:tcPr>
            <w:tcW w:w="43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Gain on recovery of insurance proceeds, lost profits,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4320" w:type="dxa"/>
            <w:vAlign w:val="bottom"/>
          </w:tcPr>
          <w:p>
            <w:pPr>
              <w:ind w:left="20"/>
              <w:spacing w:after="0" w:line="242" w:lineRule="exact"/>
              <w:rPr>
                <w:sz w:val="20"/>
                <w:szCs w:val="20"/>
                <w:color w:val="auto"/>
              </w:rPr>
            </w:pPr>
            <w:r>
              <w:rPr>
                <w:rFonts w:ascii="Times New Roman" w:cs="Times New Roman" w:eastAsia="Times New Roman" w:hAnsi="Times New Roman"/>
                <w:sz w:val="28"/>
                <w:szCs w:val="28"/>
                <w:color w:val="auto"/>
                <w:vertAlign w:val="subscript"/>
              </w:rPr>
              <w:t>net</w:t>
            </w:r>
            <w:r>
              <w:rPr>
                <w:rFonts w:ascii="Times New Roman" w:cs="Times New Roman" w:eastAsia="Times New Roman" w:hAnsi="Times New Roman"/>
                <w:sz w:val="12"/>
                <w:szCs w:val="12"/>
                <w:color w:val="auto"/>
              </w:rPr>
              <w:t>(1)</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432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b w:val="1"/>
                <w:bCs w:val="1"/>
                <w:color w:val="auto"/>
              </w:rPr>
              <w:t>Company restaurant expenses</w:t>
            </w:r>
            <w:r>
              <w:rPr>
                <w:rFonts w:ascii="Times New Roman" w:cs="Times New Roman" w:eastAsia="Times New Roman" w:hAnsi="Times New Roman"/>
                <w:sz w:val="24"/>
                <w:szCs w:val="24"/>
                <w:b w:val="1"/>
                <w:bCs w:val="1"/>
                <w:color w:val="auto"/>
                <w:vertAlign w:val="superscript"/>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247,552</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257,438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0" w:type="dxa"/>
            <w:vAlign w:val="bottom"/>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20" w:type="dxa"/>
            <w:vAlign w:val="bottom"/>
          </w:tcPr>
          <w:p>
            <w:pPr>
              <w:spacing w:after="0"/>
              <w:rPr>
                <w:sz w:val="18"/>
                <w:szCs w:val="18"/>
                <w:color w:val="auto"/>
              </w:rPr>
            </w:pPr>
          </w:p>
        </w:tc>
      </w:tr>
      <w:tr>
        <w:trPr>
          <w:trHeight w:val="198"/>
        </w:trPr>
        <w:tc>
          <w:tcPr>
            <w:tcW w:w="4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recovery of insurance proceeds, property,</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expenses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(83.1)</w:t>
            </w: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disposition of restaurants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09"/>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326,590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324,086</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r>
      <w:tr>
        <w:trPr>
          <w:trHeight w:val="21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32,134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32,331</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expense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27,507</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28,864</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16"/>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19,731</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21,203</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(1,472)</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20"/>
        </w:trPr>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63" w:lineRule="exact"/>
        <w:rPr>
          <w:sz w:val="20"/>
          <w:szCs w:val="20"/>
          <w:color w:val="auto"/>
        </w:rPr>
      </w:pPr>
    </w:p>
    <w:p>
      <w:pPr>
        <w:ind w:left="380" w:right="819" w:hanging="330"/>
        <w:spacing w:after="0" w:line="208" w:lineRule="auto"/>
        <w:tabs>
          <w:tab w:leader="none" w:pos="3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For the quarter ended September 25, 2024, company-operated restaurant revenue decreased $1.5 million, or 1.5%, from the comparable period in the prior year. The decrease in company-operated restaurant revenue was mainly due to a $5.3 million decrease related to the 19 company-operated restaurants sold by us to our existing franchisees during or subsequent to the third quarter of 2023. This company-operated restaurant revenue decrease was partially offset by an increase in company-operated comparable restaurant revenue of $2.7 million, or 2.8% as well as $0.5 million of additional sales from restaurants opened during or after the third quarter of 2023 The company-operated comparable restaurant sales increase consisted of an 11.3% increase in average check size due to increases in menu prices, partially offset by a 7.6% decrease in transactions.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Year-to-date, company-operated restaurant revenue decreased $3.8 million, or 1.3%, from the comparable period in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The decrease in company-operated restaurant revenue was mainly due to a $15.7 million decrease related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19 company-operated restaurants sold by us to our existing franchisees during or subsequent to the first quarter of 2023.</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This company-operated restaurant revenue decrease was partially offset by $2.0 million of additional sales from restaurants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opened during or after the first quarter of 2023 as well as an increase in company-operated comparable restaurant revenue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$9.3 million, or 3.2%. The company-operated comparable restaurant sales increase consisted of a 7.5%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average check size due to increases in menu prices, partially offset by a 4.0% decrease in transactions.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For the quarter ended September 25, 2024, franchise revenue increased $1.1 million, or 10.5%, from the comparable period in the prior year. This increase was primarily due to a franchise comparable restaurant sales increase of 2.7%, three franchise-operated restaurant openings and 19 company-operated restaurants sold by us to our existing franchisees in each case, during or subsequent to the third quarter of 2023.</w:t>
      </w:r>
    </w:p>
    <w:p>
      <w:pPr>
        <w:spacing w:after="0" w:line="18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Year-to-date, franchise revenue increased $4.3 million, or 14.3%, from the comparable period in the prior year. This increase was primarily due to a franchise comparable restaurant sales increase of 4.6%, four franchise-operated restaurant openings and 19 company-operated restaurants sold by us to our existing franchisees in each case, during or subsequent to the first quarter of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Advertising Fee Revenue</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For the quarter ended September 25, 2024, franchise advertising fee revenue increased $0.4 million, or 6.0%, from the comparable period in the prior year. Year-to-date, franchise advertising fee revenue increased $1.9 million, or 8.5%, from the comparable period in the prior year. As advertising fee revenue is a percentage of franchisees’ revenue, both the quarter and year-to-date period fluctuations were due to the increases and decreases noted in franchise revenue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For the quarter ended September 25, 2024, food and paper costs decreased $2.2 million, or 7.8%. Year-to-date, food and paper costs decreased $6.2 million, or 7.4%, from the comparable period in the prior year.</w:t>
      </w:r>
    </w:p>
    <w:p>
      <w:pPr>
        <w:spacing w:after="0" w:line="162" w:lineRule="exact"/>
        <w:rPr>
          <w:sz w:val="20"/>
          <w:szCs w:val="20"/>
          <w:color w:val="auto"/>
        </w:rPr>
      </w:pPr>
    </w:p>
    <w:p>
      <w:pPr>
        <w:ind w:left="60" w:right="579"/>
        <w:spacing w:after="0" w:line="312" w:lineRule="auto"/>
        <w:rPr>
          <w:sz w:val="20"/>
          <w:szCs w:val="20"/>
          <w:color w:val="auto"/>
        </w:rPr>
      </w:pPr>
      <w:r>
        <w:rPr>
          <w:rFonts w:ascii="Times New Roman" w:cs="Times New Roman" w:eastAsia="Times New Roman" w:hAnsi="Times New Roman"/>
          <w:sz w:val="17"/>
          <w:szCs w:val="17"/>
          <w:color w:val="auto"/>
        </w:rPr>
        <w:t>The decrease in food and paper costs for the quarter and year-to-date resulted primarily from a $1.5 million and $4.5 million reduction, respectively, related to the sale of 19 company-operated locations to franchisees, coupled with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Times New Roman" w:cs="Times New Roman" w:eastAsia="Times New Roman" w:hAnsi="Times New Roman"/>
          <w:sz w:val="17"/>
          <w:szCs w:val="17"/>
          <w:color w:val="auto"/>
        </w:rPr>
        <w:t>decline in transactions referenced above, partially offset by commodity inflation. For the quarter, food and paper costs as a percentage of company-operated restaurant revenue were 25.1%, down from 26.8% in the comparable period of the prior year. Year-to-date, food and paper costs as a percentage of company-operated restaurant revenue were 25.5%, down from 27.2% in the comparable period of the prior year. The percentage decrease for both the quarter and year-to-date period was primarily due to an increase in menu pricing and lower discounting, partially offset by commodity inflation.</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For the quarter ended September 25, 2024, labor and related expenses decreased $0.3 million, or 1.1%, from the comparable period in the prior year. The decrease in labor and related expenses for the quarter was primarily due to a $1.9 million reduction in labor-related costs resulting from the 19 company-operated restaurants sold by us to our existing franchisees during or subsequent to the third quarter of 2023 as well as a $2.0 million reduction related to improved labor efficiencies. The decrease in labor and related expenses for the quarter ended September 25, 2024 from the comparable period in the prior year was partially offset by a $3.7 million increase due to higher wage rates during fiscal 2024 and 2023 primarily as a result of legislative increases in the California state minimum wage, which became effective April 1, 2024.</w:t>
      </w:r>
    </w:p>
    <w:p>
      <w:pPr>
        <w:spacing w:after="0" w:line="171"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Year-to-date, labor and related expenses decreased $0.7 million, or 0.7%, from the comparable period in the prior year. The decrease for the year-to-date period was due primarily to a $5.8 million reduction in labor related costs resulting from the 19 company-operated restaurants sold by us to our existing franchisees during or subsequent to the first quarter of 2023 and as well as $4.3 million reduction related to improved labor efficiencies. The decrease in labor and related expenses for the year was partially offset by a $8.7 million increase due to higher wage rates during fiscal 2024 and 2023 primarily as a result of legislative increases in the California state minimum wage, which became effective April 1, 2024, as well as a $0.7 million increase in other labor-related costs.</w:t>
      </w:r>
    </w:p>
    <w:p>
      <w:pPr>
        <w:spacing w:after="0" w:line="18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For the quarter ended September 25, 2024, labor and related expenses as a percentage of company-operated restaurant revenue were 32.4%, up from 32.2% in the comparable period in the prior year. The percentage change for the quarter was driven by the higher wage rates, partially offset by higher menu prices and improved labor efficiencies. Year-to-date labor and related expenses as a percentage of company-operated restaurant revenue were 32.0%, up from 31.8% in the comparable period in the prior year primarily due to the higher wage rates, partially offset by the increase in menu pricing and improved labor efficiencies.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and Other Operating Expenses</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 xml:space="preserve">For the quarter ended September 25, 2024, occupancy and other operating expenses decreased $1.2 million, or 4.4%, from the comparable period in the prior year. The decrease was primarily due to a $1.7 million decrease in utilities, repairs and maintenance costs and other operating expense primarily driven by the sale of 19 company-operated locations to existing franchisee during or subsequent to the third quarter of 2023, </w:t>
      </w:r>
      <w:r>
        <w:rPr>
          <w:rFonts w:ascii="Times New Roman" w:cs="Times New Roman" w:eastAsia="Times New Roman" w:hAnsi="Times New Roman"/>
          <w:sz w:val="18"/>
          <w:szCs w:val="18"/>
          <w:color w:val="212529"/>
        </w:rPr>
        <w:t>partially offset by a $0.5 million increase in other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expenses and the two new company restaurant openings.</w:t>
      </w:r>
    </w:p>
    <w:p>
      <w:pPr>
        <w:spacing w:after="0" w:line="183"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 xml:space="preserve">Year-to-date, occupancy and other operating expenses decreased $3.1 million, or 4.0%, from the comparable period in the prior year. The decrease was primarily due to a 4.8 million decrease in utilities, repairs and maintenance costs and other operating expense primarily driven by the sale of 19 company-operated locations during or subsequent to the first quarter of 2023 to existing franchisees, </w:t>
      </w:r>
      <w:r>
        <w:rPr>
          <w:rFonts w:ascii="Times New Roman" w:cs="Times New Roman" w:eastAsia="Times New Roman" w:hAnsi="Times New Roman"/>
          <w:sz w:val="18"/>
          <w:szCs w:val="18"/>
          <w:color w:val="212529"/>
        </w:rPr>
        <w:t>partially offset by a $1.3 million increase in other operating expenses and the three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company restaurant openings.</w:t>
      </w:r>
    </w:p>
    <w:p>
      <w:pPr>
        <w:spacing w:after="0" w:line="183"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For the quarter ended September 25, 2024, occupancy and other operating expenses as a percentage of company-operated restaurant revenue were 25.8%, down from 26.6% in the comparable period in the prior year. Year-to-date, occupancy and other operating expenses as a percentage of company-operated restaurant revenue were 24.8%, down from 25.5% in the comparable period of the prior year. Both the quarter and year-to-date period decreases resulted from the cost decreases highlighted above.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For the quarter ended September 25, 2024, general and administrative expenses increased $2.3 million, or 24.9%, from the comparable period in the prior year. The increase for the quarter was primarily due to a $1.9 million increase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labor- related costs, primarily related to an increase in estimated management bonus expense and a $0.4 million increase in other general and administrative expenses.</w:t>
      </w:r>
    </w:p>
    <w:p>
      <w:pPr>
        <w:spacing w:after="0" w:line="162"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Year-to-date, general and administrative expenses increased $3.7 million, or 11.7%, from the comparable period in the prior year. The increase for the year-to-date period was due primarily to a $2.5 million increase in labor-related costs, primarily related to an increase in estimated management bonus expense, a $0.6 million increase in executive transition costs and a $0.6 million increase in other general and administrative expenses.</w:t>
      </w:r>
    </w:p>
    <w:p>
      <w:pPr>
        <w:spacing w:after="0" w:line="180"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For the quarter ended September 25, 2024, general and administrative expenses as a percentage of total revenue were 9.5%, up from 7.6% in the comparable period of the prior year. Year-to-date, general and administrative expenses as a percentage of total revenue were 9.8%, up from 8.8% in the comparable period of the prior year. The percentage increase for both the quarterly and year-to-date periods is primarily due to the cost increases discussed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 xml:space="preserve">For the quarter ended September 25, 2024, </w:t>
      </w:r>
      <w:r>
        <w:rPr>
          <w:rFonts w:ascii="Times New Roman" w:cs="Times New Roman" w:eastAsia="Times New Roman" w:hAnsi="Times New Roman"/>
          <w:sz w:val="18"/>
          <w:szCs w:val="18"/>
          <w:color w:val="212529"/>
        </w:rPr>
        <w:t>franchise expenses increased $0.9 million, or 9.4%,</w:t>
      </w:r>
      <w:r>
        <w:rPr>
          <w:rFonts w:ascii="Times New Roman" w:cs="Times New Roman" w:eastAsia="Times New Roman" w:hAnsi="Times New Roman"/>
          <w:sz w:val="18"/>
          <w:szCs w:val="18"/>
          <w:color w:val="auto"/>
        </w:rPr>
        <w:t xml:space="preserve"> from the comparable period in the prior year</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Year-to-date, franchise expenses increased $3.9 million, or 13.7%, from the comparable period in the prior year. The increase for both quarterly and year-to-date periods was </w:t>
      </w:r>
      <w:r>
        <w:rPr>
          <w:rFonts w:ascii="Times New Roman" w:cs="Times New Roman" w:eastAsia="Times New Roman" w:hAnsi="Times New Roman"/>
          <w:sz w:val="18"/>
          <w:szCs w:val="18"/>
          <w:color w:val="212529"/>
        </w:rPr>
        <w:t>due to an increase in advertising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primarily resulting from higher franchise revenue, higher franchise services expense and higher rent expense for locations sub-leased to franchisees that have a portion of the rent based on a percentage of revenue generated.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(Gain) on Disposition of Restaurants</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During the thirty-nine weeks ended September 25, 2024, we completed the sale of one restaurant within California to an existing franchisee due to an expiring lease term on April 30, 2024. This sale resulted in cash proceeds of $0.1 million and a net loss on sale of restaurant of less than $0.1 million for the thirty-nine weeks ended September 25, 2024.</w:t>
      </w:r>
    </w:p>
    <w:p>
      <w:pPr>
        <w:spacing w:after="0" w:line="1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 xml:space="preserve">During the thirteen and thirty-nine weeks ended September 27, 2023, we completed the sale of 17 and 18 restaurants, respectively, within California, Utah and Texas to existing franchisees. </w:t>
      </w:r>
      <w:r>
        <w:rPr>
          <w:rFonts w:ascii="Times New Roman" w:cs="Times New Roman" w:eastAsia="Times New Roman" w:hAnsi="Times New Roman"/>
          <w:sz w:val="18"/>
          <w:szCs w:val="18"/>
          <w:color w:val="212529"/>
        </w:rPr>
        <w:t>During the thirteen and thirty-nine weeks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September 27, 2023, these sales resulted in cash proceeds of $7.5 million and $7.7 million, respectively, and a net gain on sale of restaurant of $4.9 million and $5.0 million, respectively.</w:t>
      </w:r>
    </w:p>
    <w:p>
      <w:pPr>
        <w:spacing w:after="0" w:line="180"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We determined that these restaurant dispositions represent multiple element arrangements, and as a result, the cash consideration received was allocated to the separate elements based on its relative standalone selling price. Cash proceeds included upfront consideration for the sale of the restaurant and franchise fees. The cash consideration per restaurant related to franchise fees is consistent with the amounts stated in the related franchise agreements, which are charged for separate standalone arrangements. We initially defer and subsequently recognize the franchise fees over the term of the franchise agreement. Since the date of their sale, these restaurants are now included in the total number of franchised El Pollo Loco restaurants.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 xml:space="preserve">During the thirteen and thirty-nine weeks ended September 25, 2024, we did not record any non-cash impairment charges. During both the thirteen and thirty-nine weeks ended September 27, 2023, we recorded non-cash impairment charges of $1.0 million, primarily related to the carrying value of the ROU assets of one restaurant in California </w:t>
      </w:r>
      <w:r>
        <w:rPr>
          <w:rFonts w:ascii="Times New Roman" w:cs="Times New Roman" w:eastAsia="Times New Roman" w:hAnsi="Times New Roman"/>
          <w:sz w:val="18"/>
          <w:szCs w:val="18"/>
          <w:color w:val="212529"/>
        </w:rPr>
        <w:t>and the carrying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value of the long-lived assets of one restaurant in Nevada</w:t>
      </w:r>
      <w:r>
        <w:rPr>
          <w:rFonts w:ascii="Times New Roman" w:cs="Times New Roman" w:eastAsia="Times New Roman" w:hAnsi="Times New Roman"/>
          <w:sz w:val="18"/>
          <w:szCs w:val="18"/>
          <w:color w:val="000000"/>
        </w:rPr>
        <w:t>. Given the inherent uncertainty in projecting results for newer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restaurants in newer markets,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both the thirteen and thirty-nine weeks ended September 25, 2024 and September 27, 2023, we recognized less than $0.1 million of closed-store reserve expense related to the amortization of ROU assets, property taxes and CAM payments for our closed locations.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For the quarter ended September 25, 2024, interest expense, net, increased $0.2 million from the comparable period in the prior year. For the year-to-date period, interest expense, net, increased $1.3 million from the comparable period in the prior year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Both the quarter and year-to-date period increase in interest expense was primarily related to the higher outstanding balances on our 2022 Revolver (as defined below) as well as the higher interest rates in the fiscal 2024 periods versus the comparable periods in the prior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Receivable Agreement</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On July 30, 2014, we entered into the income tax receivable agreement (the “TRA”). The TRA calls for us to pay to our pre-IPO stockholders 85% of the savings in cash that we realize in our taxes as a result of utilizing our net operating losses (“NOLs”) and other tax attributes attributable to preceding periods. For the thirteen and thirty-nine weeks ended September 25, 2024, we did not record any income tax receivable agreement income or expense, and for both the thirteen and thirty-nine weeks ended September 27, 2023, we recorded income tax receivable agreement expense of $0.1 million.</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On May 29, 2024, we terminated most of the obligations under the TRA, with respect to any payments or obligations owed to the FS Equity Partners V, L.P. and FS Affiliates V, L.P. (together, the “Sellers”) thereunder in exchange for a payment to the Sellers of $398,896. As of September 25, 2024, an immaterial amount of obligations owed remained outstanding on our condensed consolidated balance sheets.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For the quarter ended September 25, 2024, we recorded an income tax provision of $2.4 million, reflecting an estimated effective tax rate of 28.1%. For the quarter ended September 27, 2023, we recorded an income tax provision of $3.0 million, reflecting an estimated effective tax rate of approximately 24.4%. For the year-to-date period ended September 25, 2024, we recorded an income tax provision of $7.8 million, reflecting an estimated effective tax rate of approximately 28.3%. For the year-to-date period ended September 27, 2023, we recorded an income tax provision of $7.7 million, reflecting an estimated effective tax rate of approximately 26.5%</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difference between the 21.0% statutory rate and our effective tax rate of 28.3% for the year-to-date period ended September 25, 2024 is primarily a result of state taxes, the impact of non-tax deductible executive compensation expense, a tax shortfall related to equity compensation deductible for tax as compared to the cumulative amount recorded as stock-based compensation expense, partially offset by a Work Opportunity Tax Credit benefit.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ind w:left="60" w:right="659"/>
        <w:spacing w:after="0" w:line="266"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System-Wide Sales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System-wide sales are neither required by, nor presented in accordance with GAAP. System-wide sales are the sum of company-operated restaurant revenue and sales from franchised restaurants. Our total revenue in our condensed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 System-wide sales does not include the 10 licensed stores in the Philippines.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reconciles system-wide sales to company-operated restaurant revenue and total revenue: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320" w:type="dxa"/>
            <w:vAlign w:val="bottom"/>
          </w:tcPr>
          <w:p>
            <w:pPr>
              <w:spacing w:after="0"/>
              <w:rPr>
                <w:sz w:val="15"/>
                <w:szCs w:val="15"/>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20" w:type="dxa"/>
            <w:vAlign w:val="bottom"/>
          </w:tcPr>
          <w:p>
            <w:pPr>
              <w:spacing w:after="0"/>
              <w:rPr>
                <w:sz w:val="15"/>
                <w:szCs w:val="15"/>
                <w:color w:val="auto"/>
              </w:rPr>
            </w:pPr>
          </w:p>
        </w:tc>
        <w:tc>
          <w:tcPr>
            <w:tcW w:w="23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3580" w:type="dxa"/>
            <w:vAlign w:val="bottom"/>
            <w:gridSpan w:val="2"/>
            <w:vMerge w:val="continue"/>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3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13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2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101,178</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102,703</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300,638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(11,330)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(10,255)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(34,329)</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(7,887)</w:t>
            </w:r>
          </w:p>
        </w:tc>
        <w:tc>
          <w:tcPr>
            <w:tcW w:w="3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(7,441)</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(23,757)</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from franchised restaurants</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532,830</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System-wide sales</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279,972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268,755</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833,468</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229" w:lineRule="exact"/>
        <w:rPr>
          <w:sz w:val="20"/>
          <w:szCs w:val="20"/>
          <w:color w:val="auto"/>
        </w:rPr>
      </w:pPr>
    </w:p>
    <w:p>
      <w:pPr>
        <w:jc w:val="both"/>
        <w:ind w:left="60" w:right="499"/>
        <w:spacing w:after="0" w:line="261" w:lineRule="auto"/>
        <w:rPr>
          <w:sz w:val="20"/>
          <w:szCs w:val="20"/>
          <w:color w:val="auto"/>
        </w:rPr>
      </w:pPr>
      <w:r>
        <w:rPr>
          <w:rFonts w:ascii="Times New Roman" w:cs="Times New Roman" w:eastAsia="Times New Roman" w:hAnsi="Times New Roman"/>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459"/>
        <w:spacing w:after="0" w:line="257" w:lineRule="auto"/>
        <w:rPr>
          <w:sz w:val="20"/>
          <w:szCs w:val="20"/>
          <w:color w:val="auto"/>
        </w:rPr>
      </w:pPr>
      <w:r>
        <w:rPr>
          <w:rFonts w:ascii="Times New Roman" w:cs="Times New Roman" w:eastAsia="Times New Roman" w:hAnsi="Times New Roman"/>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w:t>
      </w:r>
    </w:p>
    <w:p>
      <w:pPr>
        <w:spacing w:after="0" w:line="1"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7"/>
          <w:szCs w:val="17"/>
          <w:color w:val="auto"/>
        </w:rPr>
        <w:t>September 25, 2024 and September 27, 2023, there were 482 and 470 comparable restaurants, 168 and 181 company-operated restaurants, and 314 and 289 franchised restaurants, respectively.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Contribution and Restaurant Contribution Margin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asset impairment and closed-store reserve,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94"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20"/>
        <w:spacing w:after="0" w:line="282" w:lineRule="auto"/>
        <w:rPr>
          <w:sz w:val="20"/>
          <w:szCs w:val="20"/>
          <w:color w:val="auto"/>
        </w:rPr>
      </w:pPr>
      <w:r>
        <w:rPr>
          <w:rFonts w:ascii="Times New Roman" w:cs="Times New Roman" w:eastAsia="Times New Roman" w:hAnsi="Times New Roman"/>
          <w:sz w:val="18"/>
          <w:szCs w:val="18"/>
          <w:color w:val="auto"/>
        </w:rPr>
        <w:t>operating margin is useful to investors to highlight trends in our core business that may not otherwise be apparent to investors when relying solely on GAAP financial measures.</w:t>
      </w:r>
    </w:p>
    <w:p>
      <w:pPr>
        <w:spacing w:after="0" w:line="162" w:lineRule="exact"/>
        <w:rPr>
          <w:sz w:val="20"/>
          <w:szCs w:val="20"/>
          <w:color w:val="auto"/>
        </w:rPr>
      </w:pPr>
    </w:p>
    <w:p>
      <w:pPr>
        <w:ind w:left="60" w:right="300"/>
        <w:spacing w:after="0" w:line="282" w:lineRule="auto"/>
        <w:rPr>
          <w:sz w:val="20"/>
          <w:szCs w:val="20"/>
          <w:color w:val="auto"/>
        </w:rPr>
      </w:pPr>
      <w:r>
        <w:rPr>
          <w:rFonts w:ascii="Times New Roman" w:cs="Times New Roman" w:eastAsia="Times New Roman" w:hAnsi="Times New Roman"/>
          <w:sz w:val="18"/>
          <w:szCs w:val="18"/>
          <w:color w:val="auto"/>
        </w:rPr>
        <w:t>A reconciliation of restaurant contribution and restaurant contribution margin to company-operated restaurant revenue is provided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320" w:type="dxa"/>
            <w:vAlign w:val="bottom"/>
          </w:tcPr>
          <w:p>
            <w:pPr>
              <w:spacing w:after="0"/>
              <w:rPr>
                <w:sz w:val="15"/>
                <w:szCs w:val="15"/>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 w:type="dxa"/>
            <w:vAlign w:val="bottom"/>
          </w:tcPr>
          <w:p>
            <w:pPr>
              <w:spacing w:after="0"/>
              <w:rPr>
                <w:sz w:val="15"/>
                <w:szCs w:val="15"/>
                <w:color w:val="auto"/>
              </w:rPr>
            </w:pPr>
          </w:p>
        </w:tc>
        <w:tc>
          <w:tcPr>
            <w:tcW w:w="27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2960" w:type="dxa"/>
            <w:vAlign w:val="bottom"/>
            <w:gridSpan w:val="2"/>
            <w:vMerge w:val="continue"/>
          </w:tcPr>
          <w:p>
            <w:pPr>
              <w:spacing w:after="0"/>
              <w:rPr>
                <w:sz w:val="12"/>
                <w:szCs w:val="12"/>
                <w:color w:val="auto"/>
              </w:rPr>
            </w:pPr>
          </w:p>
        </w:tc>
        <w:tc>
          <w:tcPr>
            <w:tcW w:w="14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2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240" w:type="dxa"/>
            <w:vAlign w:val="bottom"/>
          </w:tcPr>
          <w:p>
            <w:pPr>
              <w:spacing w:after="0"/>
              <w:rPr>
                <w:sz w:val="12"/>
                <w:szCs w:val="12"/>
                <w:color w:val="auto"/>
              </w:rPr>
            </w:pPr>
          </w:p>
        </w:tc>
        <w:tc>
          <w:tcPr>
            <w:tcW w:w="14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2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24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2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2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(less):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expenses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29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Gain on recovery of insurance</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proceeds, property, equipment and</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(11,330)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(10,255)</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(34,329)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(30,046)</w:t>
            </w:r>
          </w:p>
        </w:tc>
        <w:tc>
          <w:tcPr>
            <w:tcW w:w="0" w:type="dxa"/>
            <w:vAlign w:val="bottom"/>
          </w:tcPr>
          <w:p>
            <w:pPr>
              <w:spacing w:after="0"/>
              <w:rPr>
                <w:sz w:val="1"/>
                <w:szCs w:val="1"/>
                <w:color w:val="auto"/>
              </w:rPr>
            </w:pPr>
          </w:p>
        </w:tc>
      </w:tr>
      <w:tr>
        <w:trPr>
          <w:trHeight w:val="216"/>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3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(7,887)</w:t>
            </w:r>
          </w:p>
        </w:tc>
        <w:tc>
          <w:tcPr>
            <w:tcW w:w="3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(7,441)</w:t>
            </w:r>
          </w:p>
        </w:tc>
        <w:tc>
          <w:tcPr>
            <w:tcW w:w="3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(23,757)</w:t>
            </w:r>
          </w:p>
        </w:tc>
        <w:tc>
          <w:tcPr>
            <w:tcW w:w="34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(21,894)</w:t>
            </w:r>
          </w:p>
        </w:tc>
        <w:tc>
          <w:tcPr>
            <w:tcW w:w="0" w:type="dxa"/>
            <w:vAlign w:val="bottom"/>
          </w:tcPr>
          <w:p>
            <w:pPr>
              <w:spacing w:after="0"/>
              <w:rPr>
                <w:sz w:val="1"/>
                <w:szCs w:val="1"/>
                <w:color w:val="auto"/>
              </w:rPr>
            </w:pPr>
          </w:p>
        </w:tc>
      </w:tr>
      <w:tr>
        <w:trPr>
          <w:trHeight w:val="198"/>
        </w:trPr>
        <w:tc>
          <w:tcPr>
            <w:tcW w:w="29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Impairment and closed-store</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reserves</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(Gain) loss on disposition of</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restaurants</w:t>
            </w:r>
          </w:p>
        </w:tc>
        <w:tc>
          <w:tcPr>
            <w:tcW w:w="3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(4,923)</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47,039</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9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Company-operated restaurant</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120,395</w:t>
            </w:r>
          </w:p>
        </w:tc>
        <w:tc>
          <w:tcPr>
            <w:tcW w:w="24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120,399</w:t>
            </w:r>
          </w:p>
        </w:tc>
        <w:tc>
          <w:tcPr>
            <w:tcW w:w="2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358,724</w:t>
            </w:r>
          </w:p>
        </w:tc>
        <w:tc>
          <w:tcPr>
            <w:tcW w:w="2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3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(11,330)</w:t>
            </w:r>
          </w:p>
        </w:tc>
        <w:tc>
          <w:tcPr>
            <w:tcW w:w="3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(10,255)</w:t>
            </w:r>
          </w:p>
        </w:tc>
        <w:tc>
          <w:tcPr>
            <w:tcW w:w="3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(34,329)</w:t>
            </w:r>
          </w:p>
        </w:tc>
        <w:tc>
          <w:tcPr>
            <w:tcW w:w="34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(30,046)</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(7,887)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(7,441)</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(23,757)</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(21,894)</w:t>
            </w:r>
          </w:p>
        </w:tc>
        <w:tc>
          <w:tcPr>
            <w:tcW w:w="0" w:type="dxa"/>
            <w:vAlign w:val="bottom"/>
          </w:tcPr>
          <w:p>
            <w:pPr>
              <w:spacing w:after="0"/>
              <w:rPr>
                <w:sz w:val="1"/>
                <w:szCs w:val="1"/>
                <w:color w:val="auto"/>
              </w:rPr>
            </w:pPr>
          </w:p>
        </w:tc>
      </w:tr>
      <w:tr>
        <w:trPr>
          <w:trHeight w:val="174"/>
        </w:trPr>
        <w:tc>
          <w:tcPr>
            <w:tcW w:w="29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Company-operated restaurant</w:t>
            </w:r>
          </w:p>
        </w:tc>
        <w:tc>
          <w:tcPr>
            <w:tcW w:w="3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101,178</w:t>
            </w:r>
          </w:p>
        </w:tc>
        <w:tc>
          <w:tcPr>
            <w:tcW w:w="240" w:type="dxa"/>
            <w:vAlign w:val="bottom"/>
          </w:tcPr>
          <w:p>
            <w:pPr>
              <w:spacing w:after="0"/>
              <w:rPr>
                <w:sz w:val="15"/>
                <w:szCs w:val="15"/>
                <w:color w:val="auto"/>
              </w:rPr>
            </w:pPr>
          </w:p>
        </w:tc>
        <w:tc>
          <w:tcPr>
            <w:tcW w:w="3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102,703</w:t>
            </w:r>
          </w:p>
        </w:tc>
        <w:tc>
          <w:tcPr>
            <w:tcW w:w="240" w:type="dxa"/>
            <w:vAlign w:val="bottom"/>
          </w:tcPr>
          <w:p>
            <w:pPr>
              <w:spacing w:after="0"/>
              <w:rPr>
                <w:sz w:val="15"/>
                <w:szCs w:val="15"/>
                <w:color w:val="auto"/>
              </w:rPr>
            </w:pPr>
          </w:p>
        </w:tc>
        <w:tc>
          <w:tcPr>
            <w:tcW w:w="3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300,638</w:t>
            </w:r>
          </w:p>
        </w:tc>
        <w:tc>
          <w:tcPr>
            <w:tcW w:w="240" w:type="dxa"/>
            <w:vAlign w:val="bottom"/>
          </w:tcPr>
          <w:p>
            <w:pPr>
              <w:spacing w:after="0"/>
              <w:rPr>
                <w:sz w:val="15"/>
                <w:szCs w:val="15"/>
                <w:color w:val="auto"/>
              </w:rPr>
            </w:pPr>
          </w:p>
        </w:tc>
        <w:tc>
          <w:tcPr>
            <w:tcW w:w="3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304,477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vMerge w:val="continue"/>
          </w:tcPr>
          <w:p>
            <w:pPr>
              <w:spacing w:after="0"/>
              <w:rPr>
                <w:sz w:val="23"/>
                <w:szCs w:val="23"/>
                <w:color w:val="auto"/>
              </w:rPr>
            </w:pPr>
          </w:p>
        </w:tc>
        <w:tc>
          <w:tcPr>
            <w:tcW w:w="900" w:type="dxa"/>
            <w:vAlign w:val="bottom"/>
            <w:tcBorders>
              <w:bottom w:val="single" w:sz="8" w:color="auto"/>
            </w:tcBorders>
            <w:vMerge w:val="continue"/>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vMerge w:val="continue"/>
          </w:tcPr>
          <w:p>
            <w:pPr>
              <w:spacing w:after="0"/>
              <w:rPr>
                <w:sz w:val="23"/>
                <w:szCs w:val="23"/>
                <w:color w:val="auto"/>
              </w:rPr>
            </w:pPr>
          </w:p>
        </w:tc>
        <w:tc>
          <w:tcPr>
            <w:tcW w:w="900" w:type="dxa"/>
            <w:vAlign w:val="bottom"/>
            <w:tcBorders>
              <w:bottom w:val="single" w:sz="8" w:color="auto"/>
            </w:tcBorders>
            <w:vMerge w:val="continue"/>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Restaurant contribution margin (%)</w:t>
            </w:r>
          </w:p>
        </w:tc>
        <w:tc>
          <w:tcPr>
            <w:tcW w:w="3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16.7 %</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14.4 %</w:t>
            </w: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17.7 %</w:t>
            </w:r>
          </w:p>
        </w:tc>
        <w:tc>
          <w:tcPr>
            <w:tcW w:w="3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229" w:lineRule="exact"/>
        <w:rPr>
          <w:sz w:val="20"/>
          <w:szCs w:val="20"/>
          <w:color w:val="auto"/>
        </w:rPr>
      </w:pPr>
    </w:p>
    <w:p>
      <w:pPr>
        <w:ind w:left="60" w:right="80"/>
        <w:spacing w:after="0" w:line="254" w:lineRule="auto"/>
        <w:rPr>
          <w:sz w:val="20"/>
          <w:szCs w:val="20"/>
          <w:color w:val="auto"/>
        </w:rPr>
      </w:pPr>
      <w:r>
        <w:rPr>
          <w:rFonts w:ascii="Times New Roman" w:cs="Times New Roman" w:eastAsia="Times New Roman" w:hAnsi="Times New Roman"/>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higher-than-normal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ind w:left="60" w:right="140"/>
        <w:spacing w:after="0" w:line="261" w:lineRule="auto"/>
        <w:rPr>
          <w:sz w:val="20"/>
          <w:szCs w:val="20"/>
          <w:color w:val="auto"/>
        </w:rPr>
      </w:pPr>
      <w:r>
        <w:rPr>
          <w:rFonts w:ascii="Times New Roman" w:cs="Times New Roman" w:eastAsia="Times New Roman" w:hAnsi="Times New Roman"/>
          <w:sz w:val="18"/>
          <w:szCs w:val="18"/>
          <w:color w:val="auto"/>
        </w:rPr>
        <w:t>EBITDA represents net income (loss) before interest expense, provision (benefit) for income taxes, depreciation, and amortization. Adjusted EBITDA represents net income (loss) before interest expense, provision (benefit) for income taxes, depreciation, amortization, and other items that we do not consider representative of on-going operating performance, as identified in the reconciliation table below.</w:t>
      </w:r>
    </w:p>
    <w:p>
      <w:pPr>
        <w:sectPr>
          <w:pgSz w:w="11900" w:h="16838" w:orient="portrait"/>
          <w:cols w:equalWidth="0" w:num="1">
            <w:col w:w="9020"/>
          </w:cols>
          <w:pgMar w:left="144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9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94"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reconciliations of our net income to our EBITDA and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3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140" w:type="dxa"/>
            <w:vAlign w:val="bottom"/>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6,186</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9,229</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19,731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21,203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14,171</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17,532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43,889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43,503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disposal of assets (b)</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closed-store reserves (c)</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loss on disposition of restaurants (d)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Income tax receivable agreement expense (e)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other expenses (f)</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advisory fees (g)</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recovery of insurance proceeds (h)</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transition costs (i)</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charges (j)</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 (k)</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15,452</w:t>
            </w: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14,997</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48,369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stock-based compensation.</w:t>
      </w:r>
    </w:p>
    <w:p>
      <w:pPr>
        <w:spacing w:after="0" w:line="27" w:lineRule="exact"/>
        <w:rPr>
          <w:rFonts w:ascii="Times New Roman" w:cs="Times New Roman" w:eastAsia="Times New Roman" w:hAnsi="Times New Roman"/>
          <w:sz w:val="18"/>
          <w:szCs w:val="18"/>
          <w:color w:val="auto"/>
        </w:rPr>
      </w:pPr>
    </w:p>
    <w:p>
      <w:pPr>
        <w:ind w:left="380" w:right="19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on disposal of assets includes the loss or gain on disposal of assets related to retirements and replacement or write-off of leasehold improvements or equipment.</w:t>
      </w:r>
    </w:p>
    <w:p>
      <w:pPr>
        <w:ind w:left="380" w:right="9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costs related to impairment of property and equipment and ROU assets and closing restaurants. During the thirteen and thirty-nine weeks ended September 25, 2024, we did not record any non-cash impairment charges. During both the thirteen and thirty-nine weeks ended September 27, 2023, we recorded non-cash impairment charges of $1.0 million, primarily related to the carrying value of the ROU assets of one restaurant in California and </w:t>
      </w:r>
      <w:r>
        <w:rPr>
          <w:rFonts w:ascii="Times New Roman" w:cs="Times New Roman" w:eastAsia="Times New Roman" w:hAnsi="Times New Roman"/>
          <w:sz w:val="18"/>
          <w:szCs w:val="18"/>
          <w:color w:val="212529"/>
        </w:rPr>
        <w:t>the carrying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the long-lived assets of one restaurant in Nevada</w:t>
      </w:r>
      <w:r>
        <w:rPr>
          <w:rFonts w:ascii="Times New Roman" w:cs="Times New Roman" w:eastAsia="Times New Roman" w:hAnsi="Times New Roman"/>
          <w:sz w:val="18"/>
          <w:szCs w:val="18"/>
          <w:color w:val="000000"/>
        </w:rPr>
        <w:t>.</w:t>
      </w:r>
    </w:p>
    <w:p>
      <w:pPr>
        <w:spacing w:after="0" w:line="1" w:lineRule="exact"/>
        <w:rPr>
          <w:rFonts w:ascii="Times New Roman" w:cs="Times New Roman" w:eastAsia="Times New Roman" w:hAnsi="Times New Roman"/>
          <w:sz w:val="18"/>
          <w:szCs w:val="18"/>
          <w:color w:val="auto"/>
        </w:rPr>
      </w:pPr>
    </w:p>
    <w:p>
      <w:pPr>
        <w:ind w:left="380" w:right="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both the thirteen and thirty-nine weeks ended September 25, 2024 and September 27, 2023, we recognized less than $0.1 million of closed-store reserve expense related to the amortization of ROU assets, property taxes and CAM payments for our closed locations.</w:t>
      </w:r>
    </w:p>
    <w:p>
      <w:pPr>
        <w:spacing w:after="0" w:line="1" w:lineRule="exact"/>
        <w:rPr>
          <w:rFonts w:ascii="Times New Roman" w:cs="Times New Roman" w:eastAsia="Times New Roman" w:hAnsi="Times New Roman"/>
          <w:sz w:val="18"/>
          <w:szCs w:val="18"/>
          <w:color w:val="auto"/>
        </w:rPr>
      </w:pPr>
    </w:p>
    <w:p>
      <w:pPr>
        <w:ind w:left="380" w:right="19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thirty-nine weeks ended September 25, 2024, we completed the sale of one restaurant within California to an existing franchisee due to an expiring lease term on April 30, 2024. This sale resulted in cash proceeds of $0.1 million and a net loss on sale of restaurant of less than $0.1 million for the thirty-nine weeks ended September 25, 2024.</w:t>
      </w:r>
    </w:p>
    <w:p>
      <w:pPr>
        <w:spacing w:after="0" w:line="1" w:lineRule="exact"/>
        <w:rPr>
          <w:rFonts w:ascii="Times New Roman" w:cs="Times New Roman" w:eastAsia="Times New Roman" w:hAnsi="Times New Roman"/>
          <w:sz w:val="18"/>
          <w:szCs w:val="18"/>
          <w:color w:val="auto"/>
        </w:rPr>
      </w:pPr>
    </w:p>
    <w:p>
      <w:pPr>
        <w:ind w:left="380" w:right="1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and thirty-nine weeks ended September 27, 2023, we completed the sale of 17 and 18 restaurants, respectively, within California, Utah and Texas to existing franchisees. These sales resulted in cash proceeds of $7.5 million and $7.7 million, respectively, during the thirteen and thirty-nine weeks ended September 27, 2023 a and a net gain on sale of restaurant of $4.9 million and $5.0 million, respectively.</w:t>
      </w:r>
    </w:p>
    <w:p>
      <w:pPr>
        <w:spacing w:after="0" w:line="1" w:lineRule="exact"/>
        <w:rPr>
          <w:rFonts w:ascii="Times New Roman" w:cs="Times New Roman" w:eastAsia="Times New Roman" w:hAnsi="Times New Roman"/>
          <w:sz w:val="18"/>
          <w:szCs w:val="18"/>
          <w:color w:val="auto"/>
        </w:rPr>
      </w:pPr>
    </w:p>
    <w:p>
      <w:pPr>
        <w:ind w:left="380" w:right="9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2014, we entered into the TRA. This agreement calls for us to pay to our pre-IPO stockholders 85% of the savings in cash that we realize in our taxes as a result of utilizing our NOLs and other tax attributes attributable to preceding periods. For the thirteen and thirty-nine weeks ended September 25, 2024, we did not record any income tax receivable agreement income or expense. For the thirteen and thirty-nine weeks ended September 27, 2023, income tax receivable agreement expense consisted of the amortization of interest expense and changes in estimates for actual tax returns filed, related to our total expected TRA payments.</w:t>
      </w:r>
    </w:p>
    <w:p>
      <w:pPr>
        <w:spacing w:after="0" w:line="2" w:lineRule="exact"/>
        <w:rPr>
          <w:rFonts w:ascii="Times New Roman" w:cs="Times New Roman" w:eastAsia="Times New Roman" w:hAnsi="Times New Roman"/>
          <w:sz w:val="18"/>
          <w:szCs w:val="18"/>
          <w:color w:val="auto"/>
        </w:rPr>
      </w:pPr>
    </w:p>
    <w:p>
      <w:pPr>
        <w:ind w:left="380" w:right="119" w:hanging="330"/>
        <w:spacing w:after="0" w:line="250"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 nominal costs and recoveries related to the defense of securities lawsuits, (2) $0.3 million in legal costs related to the share distribution by Trimaran Group of substantially all shares of our common stock held by Trimaran Group to its investors, members and limited partners, which occurred on March 28, 2023, and (3) $0.1 million in costs related to a special dividend declaration which was paid on November 9, 2022, to stockholders of record, including holders of restricted stock.</w:t>
      </w:r>
    </w:p>
    <w:p>
      <w:pPr>
        <w:spacing w:after="0" w:line="1" w:lineRule="exact"/>
        <w:rPr>
          <w:rFonts w:ascii="Times New Roman" w:cs="Times New Roman" w:eastAsia="Times New Roman" w:hAnsi="Times New Roman"/>
          <w:sz w:val="18"/>
          <w:szCs w:val="18"/>
          <w:color w:val="auto"/>
        </w:rPr>
      </w:pPr>
    </w:p>
    <w:p>
      <w:pPr>
        <w:ind w:left="380" w:right="339" w:hanging="330"/>
        <w:spacing w:after="0" w:line="255"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Consists of advisory fees pertaining to a Shareholder Rights Agreement adopted in connection with a shareholder’s accumulation of a significant amount of shares of our common stock. Refer to Note 12, “Shareholder Rights Agreement” for further details on the Shareholder Rights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19" w:hanging="330"/>
        <w:spacing w:after="0" w:line="253"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one of our restaurants incurred damage resulting from a fire. In fiscal 2023, we incurred costs directly related to the fire of less than $0.1 million. We received $0.4 million in cash, net of the insurance deductible, from the insurance company during fiscal 2023, for which we recognized gains of $0.2 million, related to the reimbursement of property and equipment and expenses incurred and $0.2 million related to the reimbursement of lost profits. The gain on recovery of insurance proceeds for the reimbursement of property and equipment and expenses and the reimbursement of lost profits, net of the related costs is included in the accompanying condensed consolidated statements of income, for the thirty-nine weeks ended September 27, 2023, as a reduction of company restaurant expenses.</w:t>
      </w:r>
    </w:p>
    <w:p>
      <w:pPr>
        <w:ind w:left="380" w:right="479" w:hanging="330"/>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associated with the transition of our former CEO, such as severance, executive recruiting costs and stock-based compensation costs.</w:t>
      </w:r>
    </w:p>
    <w:p>
      <w:pPr>
        <w:ind w:left="380" w:right="179" w:hanging="330"/>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8, 2024, we made the decision to eliminate and restructure certain positions in the organization, which resulted in one-time costs of approximately $0.6 million. </w:t>
      </w:r>
      <w:r>
        <w:rPr>
          <w:rFonts w:ascii="Times New Roman" w:cs="Times New Roman" w:eastAsia="Times New Roman" w:hAnsi="Times New Roman"/>
          <w:sz w:val="18"/>
          <w:szCs w:val="18"/>
          <w:color w:val="212529"/>
        </w:rPr>
        <w:t>On April 13, 2023 the Company made the decision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eliminate and restructure certain positions in the organization, which resulted in one-time costs of approximately $1.1 million.</w:t>
      </w:r>
    </w:p>
    <w:p>
      <w:pPr>
        <w:spacing w:after="0" w:line="1" w:lineRule="exact"/>
        <w:rPr>
          <w:rFonts w:ascii="Times New Roman" w:cs="Times New Roman" w:eastAsia="Times New Roman" w:hAnsi="Times New Roman"/>
          <w:sz w:val="18"/>
          <w:szCs w:val="18"/>
          <w:color w:val="auto"/>
        </w:rPr>
      </w:pPr>
    </w:p>
    <w:p>
      <w:pPr>
        <w:ind w:left="380" w:right="99" w:hanging="330"/>
        <w:spacing w:after="0" w:line="253"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and capital resources have been cash provided from operations, cash and cash equivalents, and our 2022 Revolver (defined below).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from the issuance of the condensed consolidated financial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summary cash flow information for the periods indicated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80" w:type="dxa"/>
            <w:vAlign w:val="bottom"/>
          </w:tcPr>
          <w:p>
            <w:pPr>
              <w:spacing w:after="0"/>
              <w:rPr>
                <w:sz w:val="15"/>
                <w:szCs w:val="15"/>
                <w:color w:val="auto"/>
              </w:rPr>
            </w:pPr>
          </w:p>
        </w:tc>
        <w:tc>
          <w:tcPr>
            <w:tcW w:w="24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6180" w:type="dxa"/>
            <w:vAlign w:val="bottom"/>
            <w:gridSpan w:val="2"/>
            <w:vMerge w:val="continue"/>
          </w:tcPr>
          <w:p>
            <w:pPr>
              <w:spacing w:after="0"/>
              <w:rPr>
                <w:sz w:val="12"/>
                <w:szCs w:val="12"/>
                <w:color w:val="auto"/>
              </w:rPr>
            </w:pPr>
          </w:p>
        </w:tc>
        <w:tc>
          <w:tcPr>
            <w:tcW w:w="13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2024</w:t>
            </w:r>
          </w:p>
        </w:tc>
        <w:tc>
          <w:tcPr>
            <w:tcW w:w="12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41,146</w:t>
            </w:r>
          </w:p>
        </w:tc>
        <w:tc>
          <w:tcPr>
            <w:tcW w:w="14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(14,437)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(7,412)</w:t>
            </w:r>
          </w:p>
        </w:tc>
        <w:tc>
          <w:tcPr>
            <w:tcW w:w="0" w:type="dxa"/>
            <w:vAlign w:val="bottom"/>
          </w:tcPr>
          <w:p>
            <w:pPr>
              <w:spacing w:after="0"/>
              <w:rPr>
                <w:sz w:val="1"/>
                <w:szCs w:val="1"/>
                <w:color w:val="auto"/>
              </w:rPr>
            </w:pPr>
          </w:p>
        </w:tc>
      </w:tr>
      <w:tr>
        <w:trPr>
          <w:trHeight w:val="216"/>
        </w:trPr>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(26,102)</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(31,775)</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For the thirty-nine weeks ended September 25, 2024, net cash from operating activities increased by approximately $8.6 million from the comparable period of the prior year. This change was due to favorable working capital fluctuations and higher profitability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For the thirty-nine weeks ended September 25, 2024, net cash used in investing activities increased by $7.0 million from the comparable period of the prior year. This change was primarily due to the cash proceeds of $7.7 million received during the thirty-nine weeks ended September 27, 2023 related to the sale of 18 company-operated restaurants to existing franchisees.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thirty-nine weeks ended September 25, 2024, net cash used in financing activities changed by $5.7 million from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comparable period of the prior year. The decrease was primarily due to repurchases of shares of our common stock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$19.3 million during the thirty-nine weeks ended September 25, 2024 compared to repurchases of shares of our common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of $46.6 million during the thirty-nine weeks ended September 27, 2023. The change was offset by an $8.0 million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pay downs on the 2022 Revolver during the thirty-nine weeks ended September 25, 2024 compared to a $14.0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net borrowings during the thirty-nine weeks ended September 27,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and Other Obligations</w:t>
      </w:r>
    </w:p>
    <w:p>
      <w:pPr>
        <w:spacing w:after="0" w:line="229" w:lineRule="exact"/>
        <w:rPr>
          <w:sz w:val="20"/>
          <w:szCs w:val="20"/>
          <w:color w:val="auto"/>
        </w:rPr>
      </w:pPr>
    </w:p>
    <w:p>
      <w:pPr>
        <w:ind w:left="60" w:right="59"/>
        <w:spacing w:after="0" w:line="271" w:lineRule="auto"/>
        <w:rPr>
          <w:sz w:val="20"/>
          <w:szCs w:val="20"/>
          <w:color w:val="auto"/>
        </w:rPr>
      </w:pPr>
      <w:r>
        <w:rPr>
          <w:rFonts w:ascii="Times New Roman" w:cs="Times New Roman" w:eastAsia="Times New Roman" w:hAnsi="Times New Roman"/>
          <w:sz w:val="17"/>
          <w:szCs w:val="17"/>
          <w:color w:val="auto"/>
        </w:rPr>
        <w:t>We, as a guarantor, are a party to a credit agreement (the “2022 Credit Agreement”) among our wholly-owned subsidiary, El Pollo Loco, Inc. (“EPL”), as borrower, and our direct subsidiary, EPL Intermediate, Inc.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us and Intermediate. The obligations of our company, EPL and Intermediate under the 2022 Credit Agreement and related loan documents are secured by a first priority lien on substantially all of their respective assets.</w:t>
      </w:r>
    </w:p>
    <w:p>
      <w:pPr>
        <w:spacing w:after="0" w:line="173"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Under the 2022 Revolver, we are restricted from making certain payments such as cash dividends or share repurchases, except that it may, inter alia, (i) pay up to $1.0 million per year to repurchase or redeem our qualified equity interests held by our past or present officers, directors, or employees (or their estates) upon death, disability, or termination of employment, (ii) pay under its TRA, and (iii) so long as no default or event of default has occurred and is continuing,</w:t>
      </w:r>
    </w:p>
    <w:p>
      <w:pPr>
        <w:spacing w:after="0" w:line="3" w:lineRule="exact"/>
        <w:rPr>
          <w:sz w:val="20"/>
          <w:szCs w:val="20"/>
          <w:color w:val="auto"/>
        </w:rPr>
      </w:pPr>
    </w:p>
    <w:p>
      <w:pPr>
        <w:ind w:left="60" w:right="99" w:hanging="10"/>
        <w:spacing w:after="0" w:line="250" w:lineRule="auto"/>
        <w:tabs>
          <w:tab w:leader="none" w:pos="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w:t>
      </w:r>
    </w:p>
    <w:p>
      <w:pPr>
        <w:spacing w:after="0" w:line="1" w:lineRule="exact"/>
        <w:rPr>
          <w:rFonts w:ascii="Times New Roman" w:cs="Times New Roman" w:eastAsia="Times New Roman" w:hAnsi="Times New Roman"/>
          <w:sz w:val="18"/>
          <w:szCs w:val="18"/>
          <w:color w:val="auto"/>
        </w:rPr>
      </w:pPr>
    </w:p>
    <w:p>
      <w:pPr>
        <w:ind w:left="60" w:right="119" w:hanging="10"/>
        <w:spacing w:after="0" w:line="255" w:lineRule="auto"/>
        <w:tabs>
          <w:tab w:leader="none" w:pos="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8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The interest rate range under the 2022 Revolver was 6.52% to 6.95% and 6.52% to 6.96% for the thirteen and thirty-nine weeks ended September 25, 2024, respectively, and 6.74% to 6.93% and 5.69% to 8.50% for the thirteen and thirty-nine weeks ended September 27, 2023, respectively.</w:t>
      </w:r>
    </w:p>
    <w:p>
      <w:pPr>
        <w:spacing w:after="0" w:line="188"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certain customary financial covenants, subject to certain exceptions. We were in compliance with the financial covenants as of September 25, 2024.</w:t>
      </w:r>
    </w:p>
    <w:p>
      <w:pPr>
        <w:spacing w:after="0" w:line="162"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At September 25, 2024, we had $76.0 million in outstanding borrowings under the 2022 Revolver and one letter of credit in the amount of $9.8 million outstanding, and as a result, we had $64.2 million in borrowing availability.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During the year ended December 28, 2022, we refinanced and terminated our credit agreement (the “2018 Credit Agreement”) among EPL, as borrower, we and the Intermediate, as guarantors, Bank of America, N.A., as administrative agent, swingline lender, and letter of credit issuer, the lenders party thereto, and the other parties thereto, which provided for a $150.0 million five-year senior secured revolving credit facility (the “2018 Revolver”) and entered into the 2022 Credit Agreement. See Note 4, “Long-term debt” for additional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material cash requirements as of September 25, 2024 have not changed materially since those disclosed under “Material Cash Requirements” in Part II, Item 7 of our annual report on Form 10-K for the year ended December 27, 2023. Our material cash requirements relate mostly to future (i) debt payments, including expected interest expense, calculated based on current interest rates, (ii) restaurant operating lease payments, (iii) purchasing commitments for chicken, (iv) restaurant finance lease payments, and (v) capital expenditures.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left="60" w:right="359"/>
        <w:spacing w:after="0" w:line="269" w:lineRule="auto"/>
        <w:rPr>
          <w:sz w:val="20"/>
          <w:szCs w:val="20"/>
          <w:color w:val="auto"/>
        </w:rPr>
      </w:pPr>
      <w:r>
        <w:rPr>
          <w:rFonts w:ascii="Times New Roman" w:cs="Times New Roman" w:eastAsia="Times New Roman" w:hAnsi="Times New Roman"/>
          <w:sz w:val="17"/>
          <w:szCs w:val="17"/>
          <w:color w:val="auto"/>
        </w:rPr>
        <w:t>On November 2, 2023, we announced that our Board of Directors approved a share repurchase program (“Share Repurchase Program”) under which we are authorized to repurchase up to $20,000,000 of shares of our common stock. Under the Share Repurchase Program, we are permitted to repurchase our common stock from time to time, in amounts and at prices that we deemed appropriate, subject to market conditions and other considerations. Pursuant to the Share Repurchase Program, we are authorized to effect repurchases using open market purchases, including pursuant to</w:t>
      </w:r>
    </w:p>
    <w:p>
      <w:pPr>
        <w:spacing w:after="0" w:line="3" w:lineRule="exact"/>
        <w:rPr>
          <w:sz w:val="20"/>
          <w:szCs w:val="20"/>
          <w:color w:val="auto"/>
        </w:rPr>
      </w:pPr>
    </w:p>
    <w:p>
      <w:pPr>
        <w:ind w:left="60" w:right="239"/>
        <w:spacing w:after="0" w:line="260" w:lineRule="auto"/>
        <w:rPr>
          <w:sz w:val="20"/>
          <w:szCs w:val="20"/>
          <w:color w:val="auto"/>
        </w:rPr>
      </w:pPr>
      <w:r>
        <w:rPr>
          <w:rFonts w:ascii="Times New Roman" w:cs="Times New Roman" w:eastAsia="Times New Roman" w:hAnsi="Times New Roman"/>
          <w:sz w:val="18"/>
          <w:szCs w:val="18"/>
          <w:color w:val="auto"/>
        </w:rPr>
        <w:t>Rule 10b5-1 trading plans, and/or through privately negotiated transactions. The repurchase program does not obligate us to acquire any particular number of shares. The repurchase program will terminate on March 31, 2025.</w:t>
      </w:r>
    </w:p>
    <w:p>
      <w:pPr>
        <w:spacing w:after="0" w:line="181"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Further, on December 4, 2023, we repurchased 1.5 million shares for a total purchase price of $12.6 million under the Stock Repurchase Agreement with FS Equity Partners V, L.P. and FS Affiliates V, L.P. Following completion of this repurchase, approximately $7.4 million of our common stock remained available for repurchase under the Share Repurchase Program at December 27, 2023.</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thirteen and thirty-nine weeks ended September 25, 2024, we repurchased 92,043 and 431,926 shares of common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respectively, under the Share Repurchase Program, using open market purchases, for total consideration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$1.1 million and $4.3 million, respectively. Following completion of these repurchases,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$3.1 million of our common stock remained available for repurchase under the Share Repurchase Program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September 25, 2024.</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Share Repurchases</w:t>
      </w:r>
    </w:p>
    <w:p>
      <w:pPr>
        <w:spacing w:after="0" w:line="22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 addition, on May 29, 2024, we repurchased 1,534,303 shares for a total purchase price of $15.0 million under the Stock Repurchase Agreement with FS Equity Partners V, L.P. and FS Affiliates V, L.P.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0" w:right="219"/>
        <w:spacing w:after="0" w:line="273" w:lineRule="auto"/>
        <w:rPr>
          <w:sz w:val="20"/>
          <w:szCs w:val="20"/>
          <w:color w:val="auto"/>
        </w:rPr>
      </w:pPr>
      <w:r>
        <w:rPr>
          <w:rFonts w:ascii="Times New Roman" w:cs="Times New Roman" w:eastAsia="Times New Roman" w:hAnsi="Times New Roman"/>
          <w:sz w:val="17"/>
          <w:szCs w:val="17"/>
          <w:color w:val="auto"/>
        </w:rPr>
        <w:t>On July 27, 2022, we refinanced the 2018 Revolver and entered into the 2022 Credit Agreement, which provides for a $150 million five-year senior secured revolving facility. In connection with the refinancing, the 2018 Credit Agreement was terminated. We are exposed to market risk from changes in interest rates on our debt, which bears interest, at SOFR plus a margin between 1.25% and 2.25%. As of September 25, 2024, we had outstanding borrowings of $76.0 million under our 2022 Revolver, $9.8 million of letters of credit in support of our insurance programs, and the applicable margin on outstanding borrowings under 2022 Revolver was 1.5%. A 1.0% increase in the effective interest rate applied to our 2022 Revolver borrowings would result in a pre-tax interest expense increase of $0.8 million on an annualized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2" w:lineRule="auto"/>
        <w:rPr>
          <w:sz w:val="20"/>
          <w:szCs w:val="20"/>
          <w:color w:val="auto"/>
        </w:rPr>
      </w:pPr>
      <w:r>
        <w:rPr>
          <w:rFonts w:ascii="Times New Roman" w:cs="Times New Roman" w:eastAsia="Times New Roman" w:hAnsi="Times New Roman"/>
          <w:sz w:val="17"/>
          <w:szCs w:val="17"/>
          <w:color w:val="auto"/>
        </w:rPr>
        <w:t>During the thirteen and thirty-nine weeks ended September 25, 2024, we paid down $11.0 million and $22.0 million, respectively, on our 2022 Revolver and the outstanding balance as of September 25, 2024 was $76.0 million. During the thirty-nine weeks ended September 25, 2024, we borrowed $14.0 million on the 2022 Revolver. Borrowings under the</w:t>
      </w:r>
    </w:p>
    <w:p>
      <w:pPr>
        <w:spacing w:after="0" w:line="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2022 Credit Agreement (other than any swingline loans) bear interest, at the borrowers’ option, at rates based upon either SOFR or a base rate, plus, for each rate, a margin determined in accordance with a lease-adjusted consolidated leverage ratio-based pricing grid. If future rates based upon SOFR are higher than SOFR rates as currently determined, we may experience potential increases in interest rates on our variable rate debt, which could adversely impact our interest expense, results of operations and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Inflation has an impact on food, paper, construction, utility, labor and benefits, general and administrative, and other costs, all of which can materially impact our operations. In general, we have been able to substantially offset cost increases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64"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concluded that our disclosure controls and procedures were effective, at the reasonable assurance level, as of September 25,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occurred during the quarter ended September 25, 2024 that have materially affected, or are reasonably likely to materially affect, our internal control over financial reporting.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ind w:left="60" w:right="59"/>
        <w:spacing w:after="0" w:line="289" w:lineRule="auto"/>
        <w:rPr>
          <w:sz w:val="20"/>
          <w:szCs w:val="20"/>
          <w:color w:val="auto"/>
        </w:rPr>
      </w:pPr>
      <w:r>
        <w:rPr>
          <w:rFonts w:ascii="Times New Roman" w:cs="Times New Roman" w:eastAsia="Times New Roman" w:hAnsi="Times New Roman"/>
          <w:sz w:val="17"/>
          <w:szCs w:val="17"/>
          <w:color w:val="auto"/>
        </w:rPr>
        <w:t>We are involved in various claims such as wage and hour and other legal actions that arise in the ordinary course of business, but neither we nor our subsidiaries are party to any material legal proceedings. See Note 7, “Commitments and Contingencies—Legal Matters” in the “Notes to Condensed Consolidated Financial Statements” for additional information.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27, 2023 filed with the SEC on March 8,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On November 2, 2023, we announced that our Board of Directors approved a share repurchase program (“Share Repurchase Program”) under which we are authorized to repurchase up to $20,000,000 of shares of our common stock. See Note 3, “Stock Based Compensation-Share Repurchase Program” in the “Notes to Condensed Consolidated Financial Statements” for additional information.</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For the thirteen weeks ended September 25, 2024, we repurchased 92,043 shares of common stock under the Share Repurchase Program, using open market purchases, for total consideration of approximately $1.1 million. Following completion of these repurchases, approximately $3.1 million of our common stock remained available for repurchase under the Share Repurchase Program at September 25, 2024.</w:t>
      </w:r>
    </w:p>
    <w:p>
      <w:pPr>
        <w:spacing w:after="0" w:line="180" w:lineRule="exact"/>
        <w:rPr>
          <w:sz w:val="20"/>
          <w:szCs w:val="20"/>
          <w:color w:val="auto"/>
        </w:rPr>
      </w:pPr>
    </w:p>
    <w:p>
      <w:pPr>
        <w:ind w:left="60" w:right="99"/>
        <w:spacing w:after="0" w:line="312" w:lineRule="auto"/>
        <w:rPr>
          <w:sz w:val="20"/>
          <w:szCs w:val="20"/>
          <w:color w:val="auto"/>
        </w:rPr>
      </w:pPr>
      <w:r>
        <w:rPr>
          <w:rFonts w:ascii="Times New Roman" w:cs="Times New Roman" w:eastAsia="Times New Roman" w:hAnsi="Times New Roman"/>
          <w:sz w:val="17"/>
          <w:szCs w:val="17"/>
          <w:color w:val="auto"/>
        </w:rPr>
        <w:t>The following table summarizes our repurchases of common stock in the quarterly period ended September 25, 2024, which occurred pursuant to our Share Repurchase Program (in thousands, except number of shares and per share amounts):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4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r>
      <w:tr>
        <w:trPr>
          <w:trHeight w:val="216"/>
        </w:trPr>
        <w:tc>
          <w:tcPr>
            <w:tcW w:w="40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May Be</w:t>
            </w:r>
          </w:p>
        </w:tc>
      </w:tr>
      <w:tr>
        <w:trPr>
          <w:trHeight w:val="216"/>
        </w:trPr>
        <w:tc>
          <w:tcPr>
            <w:tcW w:w="40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0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40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40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r>
      <w:tr>
        <w:trPr>
          <w:trHeight w:val="20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27, 2024 to July 24,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11.16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25, 2024 to August 21,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22, 2024 to September 25,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10"/>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96,774</w:t>
            </w:r>
          </w:p>
        </w:tc>
        <w:tc>
          <w:tcPr>
            <w:tcW w:w="4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2"/>
              </w:rPr>
              <w:t>(1)</w:t>
            </w:r>
          </w:p>
        </w:tc>
        <w:tc>
          <w:tcPr>
            <w:tcW w:w="10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92,043</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0" w:right="719" w:hanging="10"/>
        <w:spacing w:after="0" w:line="220" w:lineRule="auto"/>
        <w:tabs>
          <w:tab w:leader="none" w:pos="262"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(a) 92,043 shares repurchased by us pursuant to the Share Repurchase Program and (b) 4,731 shares acquired by us to satisfy employee tax withholding obligations in connection with the vesting of previously issued restricted stock.</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Insider Trading Arrangements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w:t>
            </w:r>
          </w:p>
        </w:tc>
        <w:tc>
          <w:tcPr>
            <w:tcW w:w="1120" w:type="dxa"/>
            <w:vAlign w:val="bottom"/>
          </w:tcPr>
          <w:p>
            <w:pPr>
              <w:spacing w:after="0"/>
              <w:rPr>
                <w:sz w:val="13"/>
                <w:szCs w:val="13"/>
                <w:color w:val="auto"/>
              </w:rPr>
            </w:pPr>
          </w:p>
        </w:tc>
        <w:tc>
          <w:tcPr>
            <w:tcW w:w="190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Description</w:t>
            </w:r>
          </w:p>
        </w:tc>
        <w:tc>
          <w:tcPr>
            <w:tcW w:w="120" w:type="dxa"/>
            <w:vAlign w:val="bottom"/>
          </w:tcPr>
          <w:p>
            <w:pPr>
              <w:spacing w:after="0"/>
              <w:rPr>
                <w:sz w:val="13"/>
                <w:szCs w:val="13"/>
                <w:color w:val="auto"/>
              </w:rPr>
            </w:pPr>
          </w:p>
        </w:tc>
        <w:tc>
          <w:tcPr>
            <w:tcW w:w="8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color w:val="auto"/>
              </w:rPr>
              <w:t>Filed</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Form</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Period</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8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Filing Date</w:t>
            </w:r>
          </w:p>
        </w:tc>
        <w:tc>
          <w:tcPr>
            <w:tcW w:w="5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 File</w:t>
            </w:r>
          </w:p>
        </w:tc>
        <w:tc>
          <w:tcPr>
            <w:tcW w:w="0" w:type="dxa"/>
            <w:vAlign w:val="bottom"/>
          </w:tcPr>
          <w:p>
            <w:pPr>
              <w:spacing w:after="0"/>
              <w:rPr>
                <w:sz w:val="1"/>
                <w:szCs w:val="1"/>
                <w:color w:val="auto"/>
              </w:rPr>
            </w:pPr>
          </w:p>
        </w:tc>
      </w:tr>
      <w:tr>
        <w:trPr>
          <w:trHeight w:val="128"/>
        </w:trPr>
        <w:tc>
          <w:tcPr>
            <w:tcW w:w="4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3"/>
              </w:rPr>
              <w:t>Herewith</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Ended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400" w:type="dxa"/>
            <w:vAlign w:val="bottom"/>
          </w:tcPr>
          <w:p>
            <w:pPr>
              <w:spacing w:after="0"/>
              <w:rPr>
                <w:sz w:val="24"/>
                <w:szCs w:val="24"/>
                <w:color w:val="auto"/>
              </w:rPr>
            </w:pPr>
          </w:p>
        </w:tc>
        <w:tc>
          <w:tcPr>
            <w:tcW w:w="2940" w:type="dxa"/>
            <w:vAlign w:val="bottom"/>
            <w:tcBorders>
              <w:bottom w:val="single" w:sz="8" w:color="0000EE"/>
            </w:tcBorders>
            <w:gridSpan w:val="22"/>
          </w:tcPr>
          <w:p>
            <w:pPr>
              <w:spacing w:after="0"/>
              <w:rPr>
                <w:rFonts w:ascii="Times New Roman" w:cs="Times New Roman" w:eastAsia="Times New Roman" w:hAnsi="Times New Roman"/>
                <w:sz w:val="20"/>
                <w:szCs w:val="20"/>
                <w:color w:val="0000EE"/>
                <w:w w:val="98"/>
              </w:rPr>
            </w:pPr>
            <w:hyperlink r:id="rId63">
              <w:r>
                <w:rPr>
                  <w:rFonts w:ascii="Times New Roman" w:cs="Times New Roman" w:eastAsia="Times New Roman" w:hAnsi="Times New Roman"/>
                  <w:sz w:val="20"/>
                  <w:szCs w:val="20"/>
                  <w:color w:val="0000EE"/>
                  <w:w w:val="98"/>
                </w:rPr>
                <w:t>Amended and Restated Certificate of</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w:t>
            </w: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2"/>
              </w:rPr>
              <w:t>N/A</w:t>
            </w:r>
          </w:p>
        </w:tc>
        <w:tc>
          <w:tcPr>
            <w:tcW w:w="220" w:type="dxa"/>
            <w:vAlign w:val="bottom"/>
            <w:gridSpan w:val="2"/>
          </w:tcPr>
          <w:p>
            <w:pPr>
              <w:spacing w:after="0"/>
              <w:rPr>
                <w:sz w:val="24"/>
                <w:szCs w:val="24"/>
                <w:color w:val="auto"/>
              </w:rPr>
            </w:pPr>
          </w:p>
        </w:tc>
        <w:tc>
          <w:tcPr>
            <w:tcW w:w="660" w:type="dxa"/>
            <w:vAlign w:val="bottom"/>
            <w:gridSpan w:val="2"/>
          </w:tcPr>
          <w:p>
            <w:pPr>
              <w:jc w:val="center"/>
              <w:ind w:left="126"/>
              <w:spacing w:after="0"/>
              <w:rPr>
                <w:sz w:val="20"/>
                <w:szCs w:val="20"/>
                <w:color w:val="auto"/>
              </w:rPr>
            </w:pPr>
            <w:r>
              <w:rPr>
                <w:rFonts w:ascii="Times New Roman" w:cs="Times New Roman" w:eastAsia="Times New Roman" w:hAnsi="Times New Roman"/>
                <w:sz w:val="20"/>
                <w:szCs w:val="20"/>
                <w:color w:val="auto"/>
                <w:w w:val="95"/>
              </w:rPr>
              <w:t>3.1</w:t>
            </w:r>
          </w:p>
        </w:tc>
        <w:tc>
          <w:tcPr>
            <w:tcW w:w="140" w:type="dxa"/>
            <w:vAlign w:val="bottom"/>
          </w:tcPr>
          <w:p>
            <w:pPr>
              <w:spacing w:after="0"/>
              <w:rPr>
                <w:sz w:val="24"/>
                <w:szCs w:val="24"/>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auto"/>
                <w:w w:val="98"/>
              </w:rPr>
              <w:t>6/3/2024</w:t>
            </w:r>
          </w:p>
        </w:tc>
        <w:tc>
          <w:tcPr>
            <w:tcW w:w="20" w:type="dxa"/>
            <w:vAlign w:val="bottom"/>
          </w:tcPr>
          <w:p>
            <w:pPr>
              <w:spacing w:after="0"/>
              <w:rPr>
                <w:sz w:val="24"/>
                <w:szCs w:val="24"/>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40" w:type="dxa"/>
            <w:vAlign w:val="bottom"/>
            <w:tcBorders>
              <w:bottom w:val="single" w:sz="8" w:color="0000EE"/>
            </w:tcBorders>
            <w:gridSpan w:val="9"/>
          </w:tcPr>
          <w:p>
            <w:pPr>
              <w:spacing w:after="0" w:line="209" w:lineRule="exact"/>
              <w:rPr>
                <w:rFonts w:ascii="Times New Roman" w:cs="Times New Roman" w:eastAsia="Times New Roman" w:hAnsi="Times New Roman"/>
                <w:sz w:val="20"/>
                <w:szCs w:val="20"/>
                <w:color w:val="0000EE"/>
                <w:w w:val="98"/>
              </w:rPr>
            </w:pPr>
            <w:hyperlink r:id="rId63">
              <w:r>
                <w:rPr>
                  <w:rFonts w:ascii="Times New Roman" w:cs="Times New Roman" w:eastAsia="Times New Roman" w:hAnsi="Times New Roman"/>
                  <w:sz w:val="20"/>
                  <w:szCs w:val="20"/>
                  <w:color w:val="0000EE"/>
                  <w:w w:val="98"/>
                </w:rPr>
                <w:t>Incorporation of El Pollo Loco</w:t>
              </w:r>
            </w:hyperlink>
          </w:p>
        </w:tc>
        <w:tc>
          <w:tcPr>
            <w:tcW w:w="58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3"/>
          </w:tcPr>
          <w:p>
            <w:pPr>
              <w:jc w:val="center"/>
              <w:ind w:right="20"/>
              <w:spacing w:after="0" w:line="209" w:lineRule="exact"/>
              <w:rPr>
                <w:sz w:val="20"/>
                <w:szCs w:val="20"/>
                <w:color w:val="auto"/>
              </w:rPr>
            </w:pPr>
            <w:r>
              <w:rPr>
                <w:rFonts w:ascii="Times New Roman" w:cs="Times New Roman" w:eastAsia="Times New Roman" w:hAnsi="Times New Roman"/>
                <w:sz w:val="20"/>
                <w:szCs w:val="20"/>
                <w:color w:val="auto"/>
                <w:w w:val="99"/>
              </w:rPr>
              <w:t>36556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Borders>
              <w:bottom w:val="single" w:sz="8" w:color="0000EE"/>
            </w:tcBorders>
          </w:tcPr>
          <w:p>
            <w:pPr>
              <w:spacing w:after="0" w:line="209" w:lineRule="exact"/>
              <w:rPr>
                <w:rFonts w:ascii="Times New Roman" w:cs="Times New Roman" w:eastAsia="Times New Roman" w:hAnsi="Times New Roman"/>
                <w:sz w:val="20"/>
                <w:szCs w:val="20"/>
                <w:color w:val="0000EE"/>
                <w:w w:val="96"/>
              </w:rPr>
            </w:pPr>
            <w:hyperlink r:id="rId63">
              <w:r>
                <w:rPr>
                  <w:rFonts w:ascii="Times New Roman" w:cs="Times New Roman" w:eastAsia="Times New Roman" w:hAnsi="Times New Roman"/>
                  <w:sz w:val="20"/>
                  <w:szCs w:val="20"/>
                  <w:color w:val="0000EE"/>
                  <w:w w:val="96"/>
                </w:rPr>
                <w:t>Holdings, Inc.</w:t>
              </w:r>
            </w:hyperlink>
          </w:p>
        </w:tc>
        <w:tc>
          <w:tcPr>
            <w:tcW w:w="1900" w:type="dxa"/>
            <w:vAlign w:val="bottom"/>
            <w:gridSpan w:val="2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400" w:type="dxa"/>
            <w:vAlign w:val="bottom"/>
          </w:tcPr>
          <w:p>
            <w:pPr>
              <w:spacing w:after="0"/>
              <w:rPr>
                <w:sz w:val="24"/>
                <w:szCs w:val="24"/>
                <w:color w:val="auto"/>
              </w:rPr>
            </w:pPr>
          </w:p>
        </w:tc>
        <w:tc>
          <w:tcPr>
            <w:tcW w:w="2880" w:type="dxa"/>
            <w:vAlign w:val="bottom"/>
            <w:tcBorders>
              <w:bottom w:val="single" w:sz="8" w:color="0000EE"/>
            </w:tcBorders>
            <w:gridSpan w:val="20"/>
          </w:tcPr>
          <w:p>
            <w:pPr>
              <w:spacing w:after="0"/>
              <w:rPr>
                <w:rFonts w:ascii="Times New Roman" w:cs="Times New Roman" w:eastAsia="Times New Roman" w:hAnsi="Times New Roman"/>
                <w:sz w:val="20"/>
                <w:szCs w:val="20"/>
                <w:color w:val="0000EE"/>
                <w:w w:val="98"/>
              </w:rPr>
            </w:pPr>
            <w:hyperlink r:id="rId64">
              <w:r>
                <w:rPr>
                  <w:rFonts w:ascii="Times New Roman" w:cs="Times New Roman" w:eastAsia="Times New Roman" w:hAnsi="Times New Roman"/>
                  <w:sz w:val="20"/>
                  <w:szCs w:val="20"/>
                  <w:color w:val="0000EE"/>
                  <w:w w:val="98"/>
                </w:rPr>
                <w:t>Certificate of Designations of Series</w:t>
              </w:r>
            </w:hyperlink>
          </w:p>
        </w:tc>
        <w:tc>
          <w:tcPr>
            <w:tcW w:w="1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N/A</w:t>
            </w:r>
          </w:p>
        </w:tc>
        <w:tc>
          <w:tcPr>
            <w:tcW w:w="660" w:type="dxa"/>
            <w:vAlign w:val="bottom"/>
            <w:gridSpan w:val="2"/>
          </w:tcPr>
          <w:p>
            <w:pPr>
              <w:jc w:val="center"/>
              <w:ind w:left="126"/>
              <w:spacing w:after="0"/>
              <w:rPr>
                <w:sz w:val="20"/>
                <w:szCs w:val="20"/>
                <w:color w:val="auto"/>
              </w:rPr>
            </w:pPr>
            <w:r>
              <w:rPr>
                <w:rFonts w:ascii="Times New Roman" w:cs="Times New Roman" w:eastAsia="Times New Roman" w:hAnsi="Times New Roman"/>
                <w:sz w:val="20"/>
                <w:szCs w:val="20"/>
                <w:color w:val="auto"/>
                <w:w w:val="95"/>
              </w:rPr>
              <w:t>3.1</w:t>
            </w:r>
          </w:p>
        </w:tc>
        <w:tc>
          <w:tcPr>
            <w:tcW w:w="140" w:type="dxa"/>
            <w:vAlign w:val="bottom"/>
          </w:tcPr>
          <w:p>
            <w:pPr>
              <w:spacing w:after="0"/>
              <w:rPr>
                <w:sz w:val="24"/>
                <w:szCs w:val="24"/>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auto"/>
                <w:w w:val="98"/>
              </w:rPr>
              <w:t>8/9/2023</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23"/>
          </w:tcPr>
          <w:p>
            <w:pPr>
              <w:spacing w:after="0" w:line="209" w:lineRule="exact"/>
              <w:rPr>
                <w:rFonts w:ascii="Times New Roman" w:cs="Times New Roman" w:eastAsia="Times New Roman" w:hAnsi="Times New Roman"/>
                <w:sz w:val="20"/>
                <w:szCs w:val="20"/>
                <w:color w:val="0000EE"/>
              </w:rPr>
            </w:pPr>
            <w:hyperlink r:id="rId64">
              <w:r>
                <w:rPr>
                  <w:rFonts w:ascii="Times New Roman" w:cs="Times New Roman" w:eastAsia="Times New Roman" w:hAnsi="Times New Roman"/>
                  <w:sz w:val="20"/>
                  <w:szCs w:val="20"/>
                  <w:color w:val="0000EE"/>
                </w:rPr>
                <w:t>A Preferred Stock of El Pollo Loco</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3"/>
          </w:tcPr>
          <w:p>
            <w:pPr>
              <w:jc w:val="center"/>
              <w:ind w:right="20"/>
              <w:spacing w:after="0" w:line="209" w:lineRule="exact"/>
              <w:rPr>
                <w:sz w:val="20"/>
                <w:szCs w:val="20"/>
                <w:color w:val="auto"/>
              </w:rPr>
            </w:pPr>
            <w:r>
              <w:rPr>
                <w:rFonts w:ascii="Times New Roman" w:cs="Times New Roman" w:eastAsia="Times New Roman" w:hAnsi="Times New Roman"/>
                <w:sz w:val="20"/>
                <w:szCs w:val="20"/>
                <w:color w:val="auto"/>
                <w:w w:val="99"/>
              </w:rPr>
              <w:t>36556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80" w:type="dxa"/>
            <w:vAlign w:val="bottom"/>
            <w:tcBorders>
              <w:top w:val="single" w:sz="8" w:color="0000EE"/>
            </w:tcBorders>
            <w:gridSpan w:val="18"/>
          </w:tcPr>
          <w:p>
            <w:pPr>
              <w:spacing w:after="0" w:line="209" w:lineRule="exact"/>
              <w:rPr>
                <w:rFonts w:ascii="Times New Roman" w:cs="Times New Roman" w:eastAsia="Times New Roman" w:hAnsi="Times New Roman"/>
                <w:sz w:val="20"/>
                <w:szCs w:val="20"/>
                <w:color w:val="0000EE"/>
              </w:rPr>
            </w:pPr>
            <w:hyperlink r:id="rId64">
              <w:r>
                <w:rPr>
                  <w:rFonts w:ascii="Times New Roman" w:cs="Times New Roman" w:eastAsia="Times New Roman" w:hAnsi="Times New Roman"/>
                  <w:sz w:val="20"/>
                  <w:szCs w:val="20"/>
                  <w:color w:val="0000EE"/>
                </w:rPr>
                <w:t>Holdings, Inc., as filed with the</w:t>
              </w:r>
            </w:hyperlink>
          </w:p>
        </w:tc>
        <w:tc>
          <w:tcPr>
            <w:tcW w:w="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23"/>
          </w:tcPr>
          <w:p>
            <w:pPr>
              <w:spacing w:after="0" w:line="209" w:lineRule="exact"/>
              <w:rPr>
                <w:rFonts w:ascii="Times New Roman" w:cs="Times New Roman" w:eastAsia="Times New Roman" w:hAnsi="Times New Roman"/>
                <w:sz w:val="20"/>
                <w:szCs w:val="20"/>
                <w:color w:val="0000EE"/>
              </w:rPr>
            </w:pPr>
            <w:hyperlink r:id="rId64">
              <w:r>
                <w:rPr>
                  <w:rFonts w:ascii="Times New Roman" w:cs="Times New Roman" w:eastAsia="Times New Roman" w:hAnsi="Times New Roman"/>
                  <w:sz w:val="20"/>
                  <w:szCs w:val="20"/>
                  <w:color w:val="0000EE"/>
                </w:rPr>
                <w:t>Secretary of State of the State of</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tcBorders>
              <w:top w:val="single" w:sz="8" w:color="0000EE"/>
            </w:tcBorders>
            <w:gridSpan w:val="13"/>
          </w:tcPr>
          <w:p>
            <w:pPr>
              <w:spacing w:after="0" w:line="209" w:lineRule="exact"/>
              <w:rPr>
                <w:rFonts w:ascii="Times New Roman" w:cs="Times New Roman" w:eastAsia="Times New Roman" w:hAnsi="Times New Roman"/>
                <w:sz w:val="20"/>
                <w:szCs w:val="20"/>
                <w:color w:val="0000EE"/>
              </w:rPr>
            </w:pPr>
            <w:hyperlink r:id="rId64">
              <w:r>
                <w:rPr>
                  <w:rFonts w:ascii="Times New Roman" w:cs="Times New Roman" w:eastAsia="Times New Roman" w:hAnsi="Times New Roman"/>
                  <w:sz w:val="20"/>
                  <w:szCs w:val="20"/>
                  <w:color w:val="0000EE"/>
                </w:rPr>
                <w:t>Delaware on August 9, 2023</w:t>
              </w:r>
            </w:hyperlink>
          </w:p>
        </w:tc>
        <w:tc>
          <w:tcPr>
            <w:tcW w:w="46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400" w:type="dxa"/>
            <w:vAlign w:val="bottom"/>
          </w:tcPr>
          <w:p>
            <w:pPr>
              <w:spacing w:after="0"/>
              <w:rPr>
                <w:sz w:val="24"/>
                <w:szCs w:val="24"/>
                <w:color w:val="auto"/>
              </w:rPr>
            </w:pPr>
          </w:p>
        </w:tc>
        <w:tc>
          <w:tcPr>
            <w:tcW w:w="2820" w:type="dxa"/>
            <w:vAlign w:val="bottom"/>
            <w:tcBorders>
              <w:bottom w:val="single" w:sz="8" w:color="0000EE"/>
            </w:tcBorders>
            <w:gridSpan w:val="19"/>
          </w:tcPr>
          <w:p>
            <w:pPr>
              <w:spacing w:after="0"/>
              <w:rPr>
                <w:rFonts w:ascii="Times New Roman" w:cs="Times New Roman" w:eastAsia="Times New Roman" w:hAnsi="Times New Roman"/>
                <w:sz w:val="20"/>
                <w:szCs w:val="20"/>
                <w:color w:val="0000EE"/>
                <w:w w:val="98"/>
              </w:rPr>
            </w:pPr>
            <w:hyperlink r:id="rId65">
              <w:r>
                <w:rPr>
                  <w:rFonts w:ascii="Times New Roman" w:cs="Times New Roman" w:eastAsia="Times New Roman" w:hAnsi="Times New Roman"/>
                  <w:sz w:val="20"/>
                  <w:szCs w:val="20"/>
                  <w:color w:val="0000EE"/>
                  <w:w w:val="98"/>
                </w:rPr>
                <w:t>Amended and Restated By-Laws of</w:t>
              </w:r>
            </w:hyperlink>
          </w:p>
        </w:tc>
        <w:tc>
          <w:tcPr>
            <w:tcW w:w="2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N/A</w:t>
            </w:r>
          </w:p>
        </w:tc>
        <w:tc>
          <w:tcPr>
            <w:tcW w:w="660" w:type="dxa"/>
            <w:vAlign w:val="bottom"/>
            <w:gridSpan w:val="2"/>
          </w:tcPr>
          <w:p>
            <w:pPr>
              <w:jc w:val="center"/>
              <w:ind w:left="126"/>
              <w:spacing w:after="0"/>
              <w:rPr>
                <w:sz w:val="20"/>
                <w:szCs w:val="20"/>
                <w:color w:val="auto"/>
              </w:rPr>
            </w:pPr>
            <w:r>
              <w:rPr>
                <w:rFonts w:ascii="Times New Roman" w:cs="Times New Roman" w:eastAsia="Times New Roman" w:hAnsi="Times New Roman"/>
                <w:sz w:val="20"/>
                <w:szCs w:val="20"/>
                <w:color w:val="auto"/>
                <w:w w:val="95"/>
              </w:rPr>
              <w:t>3.1</w:t>
            </w:r>
          </w:p>
        </w:tc>
        <w:tc>
          <w:tcPr>
            <w:tcW w:w="140" w:type="dxa"/>
            <w:vAlign w:val="bottom"/>
          </w:tcPr>
          <w:p>
            <w:pPr>
              <w:spacing w:after="0"/>
              <w:rPr>
                <w:sz w:val="24"/>
                <w:szCs w:val="24"/>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auto"/>
                <w:w w:val="98"/>
              </w:rPr>
              <w:t>2/2/2024</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23"/>
          </w:tcPr>
          <w:p>
            <w:pPr>
              <w:spacing w:after="0" w:line="209" w:lineRule="exact"/>
              <w:rPr>
                <w:rFonts w:ascii="Times New Roman" w:cs="Times New Roman" w:eastAsia="Times New Roman" w:hAnsi="Times New Roman"/>
                <w:sz w:val="20"/>
                <w:szCs w:val="20"/>
                <w:color w:val="0000EE"/>
              </w:rPr>
            </w:pPr>
            <w:hyperlink r:id="rId65">
              <w:r>
                <w:rPr>
                  <w:rFonts w:ascii="Times New Roman" w:cs="Times New Roman" w:eastAsia="Times New Roman" w:hAnsi="Times New Roman"/>
                  <w:sz w:val="20"/>
                  <w:szCs w:val="20"/>
                  <w:color w:val="0000EE"/>
                </w:rPr>
                <w:t>El Pollo Loco Holdings, Inc.</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3"/>
          </w:tcPr>
          <w:p>
            <w:pPr>
              <w:jc w:val="center"/>
              <w:ind w:right="20"/>
              <w:spacing w:after="0" w:line="209" w:lineRule="exact"/>
              <w:rPr>
                <w:sz w:val="20"/>
                <w:szCs w:val="20"/>
                <w:color w:val="auto"/>
              </w:rPr>
            </w:pPr>
            <w:r>
              <w:rPr>
                <w:rFonts w:ascii="Times New Roman" w:cs="Times New Roman" w:eastAsia="Times New Roman" w:hAnsi="Times New Roman"/>
                <w:sz w:val="20"/>
                <w:szCs w:val="20"/>
                <w:color w:val="auto"/>
                <w:w w:val="99"/>
              </w:rPr>
              <w:t>36556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400" w:type="dxa"/>
            <w:vAlign w:val="bottom"/>
          </w:tcPr>
          <w:p>
            <w:pPr>
              <w:spacing w:after="0"/>
              <w:rPr>
                <w:sz w:val="24"/>
                <w:szCs w:val="24"/>
                <w:color w:val="auto"/>
              </w:rPr>
            </w:pPr>
          </w:p>
        </w:tc>
        <w:tc>
          <w:tcPr>
            <w:tcW w:w="2400" w:type="dxa"/>
            <w:vAlign w:val="bottom"/>
            <w:tcBorders>
              <w:bottom w:val="single" w:sz="8" w:color="0000EE"/>
            </w:tcBorders>
            <w:gridSpan w:val="8"/>
          </w:tcPr>
          <w:p>
            <w:pPr>
              <w:spacing w:after="0"/>
              <w:rPr>
                <w:rFonts w:ascii="Times New Roman" w:cs="Times New Roman" w:eastAsia="Times New Roman" w:hAnsi="Times New Roman"/>
                <w:sz w:val="20"/>
                <w:szCs w:val="20"/>
                <w:color w:val="0000EE"/>
                <w:w w:val="98"/>
              </w:rPr>
            </w:pPr>
            <w:hyperlink r:id="rId66">
              <w:r>
                <w:rPr>
                  <w:rFonts w:ascii="Times New Roman" w:cs="Times New Roman" w:eastAsia="Times New Roman" w:hAnsi="Times New Roman"/>
                  <w:sz w:val="20"/>
                  <w:szCs w:val="20"/>
                  <w:color w:val="0000EE"/>
                  <w:w w:val="98"/>
                </w:rPr>
                <w:t>Rights Agreement, dated as of</w:t>
              </w:r>
            </w:hyperlink>
          </w:p>
        </w:tc>
        <w:tc>
          <w:tcPr>
            <w:tcW w:w="62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N/A</w:t>
            </w:r>
          </w:p>
        </w:tc>
        <w:tc>
          <w:tcPr>
            <w:tcW w:w="660" w:type="dxa"/>
            <w:vAlign w:val="bottom"/>
            <w:gridSpan w:val="2"/>
          </w:tcPr>
          <w:p>
            <w:pPr>
              <w:jc w:val="center"/>
              <w:ind w:left="126"/>
              <w:spacing w:after="0"/>
              <w:rPr>
                <w:sz w:val="20"/>
                <w:szCs w:val="20"/>
                <w:color w:val="auto"/>
              </w:rPr>
            </w:pPr>
            <w:r>
              <w:rPr>
                <w:rFonts w:ascii="Times New Roman" w:cs="Times New Roman" w:eastAsia="Times New Roman" w:hAnsi="Times New Roman"/>
                <w:sz w:val="20"/>
                <w:szCs w:val="20"/>
                <w:color w:val="auto"/>
                <w:w w:val="95"/>
              </w:rPr>
              <w:t>4.1</w:t>
            </w:r>
          </w:p>
        </w:tc>
        <w:tc>
          <w:tcPr>
            <w:tcW w:w="140" w:type="dxa"/>
            <w:vAlign w:val="bottom"/>
          </w:tcPr>
          <w:p>
            <w:pPr>
              <w:spacing w:after="0"/>
              <w:rPr>
                <w:sz w:val="24"/>
                <w:szCs w:val="24"/>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auto"/>
                <w:w w:val="98"/>
              </w:rPr>
              <w:t>8/9/2023</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60" w:type="dxa"/>
            <w:vAlign w:val="bottom"/>
            <w:tcBorders>
              <w:bottom w:val="single" w:sz="8" w:color="0000EE"/>
            </w:tcBorders>
            <w:gridSpan w:val="17"/>
          </w:tcPr>
          <w:p>
            <w:pPr>
              <w:spacing w:after="0" w:line="209" w:lineRule="exact"/>
              <w:rPr>
                <w:rFonts w:ascii="Times New Roman" w:cs="Times New Roman" w:eastAsia="Times New Roman" w:hAnsi="Times New Roman"/>
                <w:sz w:val="20"/>
                <w:szCs w:val="20"/>
                <w:color w:val="0000EE"/>
                <w:w w:val="97"/>
              </w:rPr>
            </w:pPr>
            <w:hyperlink r:id="rId66">
              <w:r>
                <w:rPr>
                  <w:rFonts w:ascii="Times New Roman" w:cs="Times New Roman" w:eastAsia="Times New Roman" w:hAnsi="Times New Roman"/>
                  <w:sz w:val="20"/>
                  <w:szCs w:val="20"/>
                  <w:color w:val="0000EE"/>
                  <w:w w:val="97"/>
                </w:rPr>
                <w:t>August 8, 2023, between El Pollo</w:t>
              </w:r>
            </w:hyperlink>
          </w:p>
        </w:tc>
        <w:tc>
          <w:tcPr>
            <w:tcW w:w="3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3"/>
          </w:tcPr>
          <w:p>
            <w:pPr>
              <w:jc w:val="center"/>
              <w:ind w:right="20"/>
              <w:spacing w:after="0" w:line="209" w:lineRule="exact"/>
              <w:rPr>
                <w:sz w:val="20"/>
                <w:szCs w:val="20"/>
                <w:color w:val="auto"/>
              </w:rPr>
            </w:pPr>
            <w:r>
              <w:rPr>
                <w:rFonts w:ascii="Times New Roman" w:cs="Times New Roman" w:eastAsia="Times New Roman" w:hAnsi="Times New Roman"/>
                <w:sz w:val="20"/>
                <w:szCs w:val="20"/>
                <w:color w:val="auto"/>
                <w:w w:val="99"/>
              </w:rPr>
              <w:t>36556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tcBorders>
              <w:bottom w:val="single" w:sz="8" w:color="0000EE"/>
            </w:tcBorders>
            <w:gridSpan w:val="14"/>
          </w:tcPr>
          <w:p>
            <w:pPr>
              <w:spacing w:after="0" w:line="209" w:lineRule="exact"/>
              <w:rPr>
                <w:rFonts w:ascii="Times New Roman" w:cs="Times New Roman" w:eastAsia="Times New Roman" w:hAnsi="Times New Roman"/>
                <w:sz w:val="20"/>
                <w:szCs w:val="20"/>
                <w:color w:val="0000EE"/>
                <w:w w:val="97"/>
              </w:rPr>
            </w:pPr>
            <w:hyperlink r:id="rId66">
              <w:r>
                <w:rPr>
                  <w:rFonts w:ascii="Times New Roman" w:cs="Times New Roman" w:eastAsia="Times New Roman" w:hAnsi="Times New Roman"/>
                  <w:sz w:val="20"/>
                  <w:szCs w:val="20"/>
                  <w:color w:val="0000EE"/>
                  <w:w w:val="97"/>
                </w:rPr>
                <w:t>Loco Holdings, Inc. and Equiniti</w:t>
              </w:r>
            </w:hyperlink>
          </w:p>
        </w:tc>
        <w:tc>
          <w:tcPr>
            <w:tcW w:w="42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23"/>
          </w:tcPr>
          <w:p>
            <w:pPr>
              <w:spacing w:after="0" w:line="209" w:lineRule="exact"/>
              <w:rPr>
                <w:rFonts w:ascii="Times New Roman" w:cs="Times New Roman" w:eastAsia="Times New Roman" w:hAnsi="Times New Roman"/>
                <w:sz w:val="20"/>
                <w:szCs w:val="20"/>
                <w:color w:val="0000EE"/>
              </w:rPr>
            </w:pPr>
            <w:hyperlink r:id="rId66">
              <w:r>
                <w:rPr>
                  <w:rFonts w:ascii="Times New Roman" w:cs="Times New Roman" w:eastAsia="Times New Roman" w:hAnsi="Times New Roman"/>
                  <w:sz w:val="20"/>
                  <w:szCs w:val="20"/>
                  <w:color w:val="0000EE"/>
                </w:rPr>
                <w:t>Trust Company, LLC, as rights agent</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400" w:type="dxa"/>
            <w:vAlign w:val="bottom"/>
          </w:tcPr>
          <w:p>
            <w:pPr>
              <w:spacing w:after="0"/>
              <w:rPr>
                <w:sz w:val="24"/>
                <w:szCs w:val="24"/>
                <w:color w:val="auto"/>
              </w:rPr>
            </w:pPr>
          </w:p>
        </w:tc>
        <w:tc>
          <w:tcPr>
            <w:tcW w:w="2920" w:type="dxa"/>
            <w:vAlign w:val="bottom"/>
            <w:tcBorders>
              <w:top w:val="single" w:sz="8" w:color="0000EE"/>
            </w:tcBorders>
            <w:gridSpan w:val="21"/>
          </w:tcPr>
          <w:p>
            <w:pPr>
              <w:spacing w:after="0"/>
              <w:rPr>
                <w:rFonts w:ascii="Times New Roman" w:cs="Times New Roman" w:eastAsia="Times New Roman" w:hAnsi="Times New Roman"/>
                <w:sz w:val="20"/>
                <w:szCs w:val="20"/>
                <w:color w:val="0000EE"/>
              </w:rPr>
            </w:pPr>
            <w:hyperlink r:id="rId67">
              <w:r>
                <w:rPr>
                  <w:rFonts w:ascii="Times New Roman" w:cs="Times New Roman" w:eastAsia="Times New Roman" w:hAnsi="Times New Roman"/>
                  <w:sz w:val="20"/>
                  <w:szCs w:val="20"/>
                  <w:color w:val="0000EE"/>
                </w:rPr>
                <w:t>Amendment No. 1 to Rights</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N/A</w:t>
            </w:r>
          </w:p>
        </w:tc>
        <w:tc>
          <w:tcPr>
            <w:tcW w:w="660" w:type="dxa"/>
            <w:vAlign w:val="bottom"/>
            <w:gridSpan w:val="2"/>
          </w:tcPr>
          <w:p>
            <w:pPr>
              <w:jc w:val="center"/>
              <w:ind w:left="126"/>
              <w:spacing w:after="0"/>
              <w:rPr>
                <w:sz w:val="20"/>
                <w:szCs w:val="20"/>
                <w:color w:val="auto"/>
              </w:rPr>
            </w:pPr>
            <w:r>
              <w:rPr>
                <w:rFonts w:ascii="Times New Roman" w:cs="Times New Roman" w:eastAsia="Times New Roman" w:hAnsi="Times New Roman"/>
                <w:sz w:val="20"/>
                <w:szCs w:val="20"/>
                <w:color w:val="auto"/>
                <w:w w:val="95"/>
              </w:rPr>
              <w:t>4.1</w:t>
            </w:r>
          </w:p>
        </w:tc>
        <w:tc>
          <w:tcPr>
            <w:tcW w:w="140" w:type="dxa"/>
            <w:vAlign w:val="bottom"/>
          </w:tcPr>
          <w:p>
            <w:pPr>
              <w:spacing w:after="0"/>
              <w:rPr>
                <w:sz w:val="24"/>
                <w:szCs w:val="24"/>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color w:val="auto"/>
                <w:w w:val="98"/>
              </w:rPr>
              <w:t>8/5/2024</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9"/>
              </w:rPr>
              <w:t>36556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23"/>
          </w:tcPr>
          <w:p>
            <w:pPr>
              <w:spacing w:after="0" w:line="209" w:lineRule="exact"/>
              <w:rPr>
                <w:rFonts w:ascii="Times New Roman" w:cs="Times New Roman" w:eastAsia="Times New Roman" w:hAnsi="Times New Roman"/>
                <w:sz w:val="20"/>
                <w:szCs w:val="20"/>
                <w:color w:val="0000EE"/>
              </w:rPr>
            </w:pPr>
            <w:hyperlink r:id="rId67">
              <w:r>
                <w:rPr>
                  <w:rFonts w:ascii="Times New Roman" w:cs="Times New Roman" w:eastAsia="Times New Roman" w:hAnsi="Times New Roman"/>
                  <w:sz w:val="20"/>
                  <w:szCs w:val="20"/>
                  <w:color w:val="0000EE"/>
                </w:rPr>
                <w:t>Agreement, dated as of August 4,</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Borders>
              <w:top w:val="single" w:sz="8" w:color="0000EE"/>
              <w:bottom w:val="single" w:sz="8" w:color="0000EE"/>
            </w:tcBorders>
            <w:gridSpan w:val="5"/>
          </w:tcPr>
          <w:p>
            <w:pPr>
              <w:spacing w:after="0" w:line="209" w:lineRule="exact"/>
              <w:rPr>
                <w:rFonts w:ascii="Times New Roman" w:cs="Times New Roman" w:eastAsia="Times New Roman" w:hAnsi="Times New Roman"/>
                <w:sz w:val="20"/>
                <w:szCs w:val="20"/>
                <w:color w:val="0000EE"/>
                <w:w w:val="97"/>
              </w:rPr>
            </w:pPr>
            <w:hyperlink r:id="rId67">
              <w:r>
                <w:rPr>
                  <w:rFonts w:ascii="Times New Roman" w:cs="Times New Roman" w:eastAsia="Times New Roman" w:hAnsi="Times New Roman"/>
                  <w:sz w:val="20"/>
                  <w:szCs w:val="20"/>
                  <w:color w:val="0000EE"/>
                  <w:w w:val="97"/>
                </w:rPr>
                <w:t>2024, between El Pollo Loco</w:t>
              </w:r>
            </w:hyperlink>
          </w:p>
        </w:tc>
        <w:tc>
          <w:tcPr>
            <w:tcW w:w="340" w:type="dxa"/>
            <w:vAlign w:val="bottom"/>
            <w:tcBorders>
              <w:top w:val="single" w:sz="8" w:color="0000EE"/>
            </w:tcBorders>
            <w:gridSpan w:val="11"/>
          </w:tcPr>
          <w:p>
            <w:pPr>
              <w:spacing w:after="0"/>
              <w:rPr>
                <w:sz w:val="18"/>
                <w:szCs w:val="18"/>
                <w:color w:val="auto"/>
              </w:rPr>
            </w:pPr>
          </w:p>
        </w:tc>
        <w:tc>
          <w:tcPr>
            <w:tcW w:w="38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23"/>
          </w:tcPr>
          <w:p>
            <w:pPr>
              <w:spacing w:after="0" w:line="209" w:lineRule="exact"/>
              <w:rPr>
                <w:rFonts w:ascii="Times New Roman" w:cs="Times New Roman" w:eastAsia="Times New Roman" w:hAnsi="Times New Roman"/>
                <w:sz w:val="20"/>
                <w:szCs w:val="20"/>
                <w:color w:val="0000EE"/>
              </w:rPr>
            </w:pPr>
            <w:hyperlink r:id="rId67">
              <w:r>
                <w:rPr>
                  <w:rFonts w:ascii="Times New Roman" w:cs="Times New Roman" w:eastAsia="Times New Roman" w:hAnsi="Times New Roman"/>
                  <w:sz w:val="20"/>
                  <w:szCs w:val="20"/>
                  <w:color w:val="0000EE"/>
                </w:rPr>
                <w:t>Holdings, Inc. and Equiniti Trust</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tcBorders>
              <w:top w:val="single" w:sz="8" w:color="0000EE"/>
            </w:tcBorders>
            <w:gridSpan w:val="14"/>
          </w:tcPr>
          <w:p>
            <w:pPr>
              <w:spacing w:after="0" w:line="209" w:lineRule="exact"/>
              <w:rPr>
                <w:rFonts w:ascii="Times New Roman" w:cs="Times New Roman" w:eastAsia="Times New Roman" w:hAnsi="Times New Roman"/>
                <w:sz w:val="20"/>
                <w:szCs w:val="20"/>
                <w:color w:val="0000EE"/>
              </w:rPr>
            </w:pPr>
            <w:hyperlink r:id="rId67">
              <w:r>
                <w:rPr>
                  <w:rFonts w:ascii="Times New Roman" w:cs="Times New Roman" w:eastAsia="Times New Roman" w:hAnsi="Times New Roman"/>
                  <w:sz w:val="20"/>
                  <w:szCs w:val="20"/>
                  <w:color w:val="0000EE"/>
                </w:rPr>
                <w:t>Company, LLC, as rights agent</w:t>
              </w:r>
            </w:hyperlink>
          </w:p>
        </w:tc>
        <w:tc>
          <w:tcPr>
            <w:tcW w:w="42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400" w:type="dxa"/>
            <w:vAlign w:val="bottom"/>
          </w:tcPr>
          <w:p>
            <w:pPr>
              <w:spacing w:after="0"/>
              <w:rPr>
                <w:sz w:val="24"/>
                <w:szCs w:val="24"/>
                <w:color w:val="auto"/>
              </w:rPr>
            </w:pPr>
          </w:p>
        </w:tc>
        <w:tc>
          <w:tcPr>
            <w:tcW w:w="25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20"/>
                <w:szCs w:val="20"/>
                <w:color w:val="0000EE"/>
                <w:w w:val="97"/>
              </w:rPr>
              <w:t>Certification of Chief Executive</w:t>
            </w:r>
          </w:p>
        </w:tc>
        <w:tc>
          <w:tcPr>
            <w:tcW w:w="48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right="420"/>
              <w:spacing w:after="0"/>
              <w:rPr>
                <w:sz w:val="20"/>
                <w:szCs w:val="20"/>
                <w:color w:val="auto"/>
              </w:rPr>
            </w:pPr>
            <w:r>
              <w:rPr>
                <w:rFonts w:ascii="Times New Roman" w:cs="Times New Roman" w:eastAsia="Times New Roman" w:hAnsi="Times New Roman"/>
                <w:sz w:val="20"/>
                <w:szCs w:val="20"/>
                <w:color w:val="auto"/>
                <w:w w:val="96"/>
              </w:rPr>
              <w:t>X</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0000EE"/>
              </w:rPr>
              <w:t>Officer under section 302 of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tcBorders>
              <w:top w:val="single" w:sz="8" w:color="0000EE"/>
            </w:tcBorders>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Sarbanes–Oxley Act of 2002</w:t>
            </w:r>
          </w:p>
        </w:tc>
        <w:tc>
          <w:tcPr>
            <w:tcW w:w="50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400" w:type="dxa"/>
            <w:vAlign w:val="bottom"/>
          </w:tcPr>
          <w:p>
            <w:pPr>
              <w:spacing w:after="0"/>
              <w:rPr>
                <w:sz w:val="24"/>
                <w:szCs w:val="24"/>
                <w:color w:val="auto"/>
              </w:rPr>
            </w:pPr>
          </w:p>
        </w:tc>
        <w:tc>
          <w:tcPr>
            <w:tcW w:w="25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20"/>
                <w:szCs w:val="20"/>
                <w:color w:val="0000EE"/>
                <w:w w:val="99"/>
              </w:rPr>
              <w:t>Certification of Chief Financial</w:t>
            </w:r>
          </w:p>
        </w:tc>
        <w:tc>
          <w:tcPr>
            <w:tcW w:w="50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right="420"/>
              <w:spacing w:after="0"/>
              <w:rPr>
                <w:sz w:val="20"/>
                <w:szCs w:val="20"/>
                <w:color w:val="auto"/>
              </w:rPr>
            </w:pPr>
            <w:r>
              <w:rPr>
                <w:rFonts w:ascii="Times New Roman" w:cs="Times New Roman" w:eastAsia="Times New Roman" w:hAnsi="Times New Roman"/>
                <w:sz w:val="20"/>
                <w:szCs w:val="20"/>
                <w:color w:val="auto"/>
                <w:w w:val="96"/>
              </w:rPr>
              <w:t>X</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tcBorders>
              <w:bottom w:val="single" w:sz="8" w:color="0000EE"/>
            </w:tcBorders>
            <w:gridSpan w:val="15"/>
          </w:tcPr>
          <w:p>
            <w:pPr>
              <w:spacing w:after="0" w:line="209" w:lineRule="exact"/>
              <w:rPr>
                <w:sz w:val="20"/>
                <w:szCs w:val="20"/>
                <w:color w:val="auto"/>
              </w:rPr>
            </w:pPr>
            <w:r>
              <w:rPr>
                <w:rFonts w:ascii="Times New Roman" w:cs="Times New Roman" w:eastAsia="Times New Roman" w:hAnsi="Times New Roman"/>
                <w:sz w:val="20"/>
                <w:szCs w:val="20"/>
                <w:color w:val="0000EE"/>
              </w:rPr>
              <w:t>Officer under section 302 of the</w:t>
            </w:r>
          </w:p>
        </w:tc>
        <w:tc>
          <w:tcPr>
            <w:tcW w:w="40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0000EE"/>
              </w:rPr>
              <w:t>Sarbanes–Oxley Act of 2002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400" w:type="dxa"/>
            <w:vAlign w:val="bottom"/>
          </w:tcPr>
          <w:p>
            <w:pPr>
              <w:spacing w:after="0"/>
              <w:rPr>
                <w:sz w:val="24"/>
                <w:szCs w:val="24"/>
                <w:color w:val="auto"/>
              </w:rPr>
            </w:pPr>
          </w:p>
        </w:tc>
        <w:tc>
          <w:tcPr>
            <w:tcW w:w="25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20"/>
                <w:szCs w:val="20"/>
                <w:color w:val="0000EE"/>
                <w:w w:val="97"/>
              </w:rPr>
              <w:t>Certification of Chief Executive</w:t>
            </w:r>
          </w:p>
        </w:tc>
        <w:tc>
          <w:tcPr>
            <w:tcW w:w="480" w:type="dxa"/>
            <w:vAlign w:val="bottom"/>
            <w:gridSpan w:val="11"/>
          </w:tcPr>
          <w:p>
            <w:pPr>
              <w:spacing w:after="0"/>
              <w:rPr>
                <w:sz w:val="24"/>
                <w:szCs w:val="24"/>
                <w:color w:val="auto"/>
              </w:rPr>
            </w:pPr>
          </w:p>
        </w:tc>
        <w:tc>
          <w:tcPr>
            <w:tcW w:w="52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auto"/>
                <w:w w:val="99"/>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0000EE"/>
              </w:rPr>
              <w:t>Officer and Chief Financial Officer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Borders>
              <w:top w:val="single" w:sz="8" w:color="0000EE"/>
              <w:bottom w:val="single" w:sz="8" w:color="0000EE"/>
            </w:tcBorders>
            <w:gridSpan w:val="7"/>
          </w:tcPr>
          <w:p>
            <w:pPr>
              <w:spacing w:after="0" w:line="209" w:lineRule="exact"/>
              <w:rPr>
                <w:sz w:val="20"/>
                <w:szCs w:val="20"/>
                <w:color w:val="auto"/>
              </w:rPr>
            </w:pPr>
            <w:r>
              <w:rPr>
                <w:rFonts w:ascii="Times New Roman" w:cs="Times New Roman" w:eastAsia="Times New Roman" w:hAnsi="Times New Roman"/>
                <w:sz w:val="20"/>
                <w:szCs w:val="20"/>
                <w:color w:val="0000EE"/>
                <w:w w:val="97"/>
              </w:rPr>
              <w:t>under 18 U.S.C. section 1350,</w:t>
            </w:r>
          </w:p>
        </w:tc>
        <w:tc>
          <w:tcPr>
            <w:tcW w:w="400" w:type="dxa"/>
            <w:vAlign w:val="bottom"/>
            <w:tcBorders>
              <w:top w:val="single" w:sz="8" w:color="0000EE"/>
            </w:tcBorders>
            <w:gridSpan w:val="11"/>
          </w:tcPr>
          <w:p>
            <w:pPr>
              <w:spacing w:after="0"/>
              <w:rPr>
                <w:sz w:val="18"/>
                <w:szCs w:val="18"/>
                <w:color w:val="auto"/>
              </w:rPr>
            </w:pPr>
          </w:p>
        </w:tc>
        <w:tc>
          <w:tcPr>
            <w:tcW w:w="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23"/>
          </w:tcPr>
          <w:p>
            <w:pPr>
              <w:spacing w:after="0" w:line="209" w:lineRule="exact"/>
              <w:rPr>
                <w:sz w:val="20"/>
                <w:szCs w:val="20"/>
                <w:color w:val="auto"/>
              </w:rPr>
            </w:pPr>
            <w:r>
              <w:rPr>
                <w:rFonts w:ascii="Times New Roman" w:cs="Times New Roman" w:eastAsia="Times New Roman" w:hAnsi="Times New Roman"/>
                <w:sz w:val="20"/>
                <w:szCs w:val="20"/>
                <w:color w:val="0000EE"/>
              </w:rPr>
              <w:t>adopted by section 906 of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top w:val="single" w:sz="8" w:color="0000EE"/>
            </w:tcBorders>
            <w:gridSpan w:val="6"/>
          </w:tcPr>
          <w:p>
            <w:pPr>
              <w:spacing w:after="0" w:line="209" w:lineRule="exact"/>
              <w:rPr>
                <w:sz w:val="20"/>
                <w:szCs w:val="20"/>
                <w:color w:val="auto"/>
              </w:rPr>
            </w:pPr>
            <w:r>
              <w:rPr>
                <w:rFonts w:ascii="Times New Roman" w:cs="Times New Roman" w:eastAsia="Times New Roman" w:hAnsi="Times New Roman"/>
                <w:sz w:val="20"/>
                <w:szCs w:val="20"/>
                <w:color w:val="0000EE"/>
                <w:w w:val="99"/>
              </w:rPr>
              <w:t>Sarbanes–Oxley Act of 2002</w:t>
            </w:r>
          </w:p>
        </w:tc>
        <w:tc>
          <w:tcPr>
            <w:tcW w:w="70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740" w:type="dxa"/>
            <w:vAlign w:val="bottom"/>
            <w:gridSpan w:val="1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101.INS</w:t>
            </w:r>
          </w:p>
        </w:tc>
        <w:tc>
          <w:tcPr>
            <w:tcW w:w="30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Inline XBRL Instance Document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right="420"/>
              <w:spacing w:after="0"/>
              <w:rPr>
                <w:sz w:val="20"/>
                <w:szCs w:val="20"/>
                <w:color w:val="auto"/>
              </w:rPr>
            </w:pPr>
            <w:r>
              <w:rPr>
                <w:rFonts w:ascii="Times New Roman" w:cs="Times New Roman" w:eastAsia="Times New Roman" w:hAnsi="Times New Roman"/>
                <w:sz w:val="20"/>
                <w:szCs w:val="20"/>
                <w:color w:val="auto"/>
                <w:w w:val="96"/>
              </w:rPr>
              <w:t>X</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the instance document does not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appear in the Interactive Data File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because its XBRL tags are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embedded within the Inline XBRL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20" w:type="dxa"/>
            <w:vAlign w:val="bottom"/>
            <w:gridSpan w:val="23"/>
          </w:tcPr>
          <w:p>
            <w:pPr>
              <w:spacing w:after="0"/>
              <w:rPr>
                <w:sz w:val="20"/>
                <w:szCs w:val="20"/>
                <w:color w:val="auto"/>
              </w:rPr>
            </w:pPr>
            <w:r>
              <w:rPr>
                <w:rFonts w:ascii="Times New Roman" w:cs="Times New Roman" w:eastAsia="Times New Roman" w:hAnsi="Times New Roman"/>
                <w:sz w:val="20"/>
                <w:szCs w:val="20"/>
                <w:color w:val="auto"/>
              </w:rPr>
              <w:t>document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Taxonomy Extension Schema</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2"/>
              </w:rPr>
              <w:t>X</w:t>
            </w:r>
          </w:p>
        </w:tc>
      </w:tr>
      <w:tr>
        <w:trPr>
          <w:trHeight w:val="258"/>
        </w:trPr>
        <w:tc>
          <w:tcPr>
            <w:tcW w:w="860" w:type="dxa"/>
            <w:vAlign w:val="bottom"/>
          </w:tcPr>
          <w:p>
            <w:pPr>
              <w:spacing w:after="0"/>
              <w:rPr>
                <w:sz w:val="22"/>
                <w:szCs w:val="22"/>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w:t>
            </w:r>
          </w:p>
        </w:tc>
        <w:tc>
          <w:tcPr>
            <w:tcW w:w="360" w:type="dxa"/>
            <w:vAlign w:val="bottom"/>
          </w:tcPr>
          <w:p>
            <w:pPr>
              <w:spacing w:after="0"/>
              <w:rPr>
                <w:sz w:val="22"/>
                <w:szCs w:val="22"/>
                <w:color w:val="auto"/>
              </w:rPr>
            </w:pPr>
          </w:p>
        </w:tc>
      </w:tr>
      <w:tr>
        <w:trPr>
          <w:trHeight w:val="4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Taxonomy Extension Schema</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2"/>
              </w:rPr>
              <w:t>X</w:t>
            </w:r>
          </w:p>
        </w:tc>
      </w:tr>
      <w:tr>
        <w:trPr>
          <w:trHeight w:val="258"/>
        </w:trPr>
        <w:tc>
          <w:tcPr>
            <w:tcW w:w="860" w:type="dxa"/>
            <w:vAlign w:val="bottom"/>
          </w:tcPr>
          <w:p>
            <w:pPr>
              <w:spacing w:after="0"/>
              <w:rPr>
                <w:sz w:val="22"/>
                <w:szCs w:val="22"/>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Document</w:t>
            </w:r>
          </w:p>
        </w:tc>
        <w:tc>
          <w:tcPr>
            <w:tcW w:w="360" w:type="dxa"/>
            <w:vAlign w:val="bottom"/>
          </w:tcPr>
          <w:p>
            <w:pPr>
              <w:spacing w:after="0"/>
              <w:rPr>
                <w:sz w:val="22"/>
                <w:szCs w:val="22"/>
                <w:color w:val="auto"/>
              </w:rPr>
            </w:pPr>
          </w:p>
        </w:tc>
      </w:tr>
      <w:tr>
        <w:trPr>
          <w:trHeight w:val="4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Taxonomy Extension</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2"/>
              </w:rPr>
              <w:t>X</w:t>
            </w:r>
          </w:p>
        </w:tc>
      </w:tr>
      <w:tr>
        <w:trPr>
          <w:trHeight w:val="258"/>
        </w:trPr>
        <w:tc>
          <w:tcPr>
            <w:tcW w:w="860" w:type="dxa"/>
            <w:vAlign w:val="bottom"/>
          </w:tcPr>
          <w:p>
            <w:pPr>
              <w:spacing w:after="0"/>
              <w:rPr>
                <w:sz w:val="22"/>
                <w:szCs w:val="22"/>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Definition Linkbase Document</w:t>
            </w:r>
          </w:p>
        </w:tc>
        <w:tc>
          <w:tcPr>
            <w:tcW w:w="360" w:type="dxa"/>
            <w:vAlign w:val="bottom"/>
          </w:tcPr>
          <w:p>
            <w:pPr>
              <w:spacing w:after="0"/>
              <w:rPr>
                <w:sz w:val="22"/>
                <w:szCs w:val="22"/>
                <w:color w:val="auto"/>
              </w:rPr>
            </w:pPr>
          </w:p>
        </w:tc>
      </w:tr>
      <w:tr>
        <w:trPr>
          <w:trHeight w:val="4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Taxonomy Extension Label</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2"/>
              </w:rPr>
              <w:t>X</w:t>
            </w:r>
          </w:p>
        </w:tc>
      </w:tr>
      <w:tr>
        <w:trPr>
          <w:trHeight w:val="258"/>
        </w:trPr>
        <w:tc>
          <w:tcPr>
            <w:tcW w:w="860" w:type="dxa"/>
            <w:vAlign w:val="bottom"/>
          </w:tcPr>
          <w:p>
            <w:pPr>
              <w:spacing w:after="0"/>
              <w:rPr>
                <w:sz w:val="22"/>
                <w:szCs w:val="22"/>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Linkbase Document</w:t>
            </w:r>
          </w:p>
        </w:tc>
        <w:tc>
          <w:tcPr>
            <w:tcW w:w="360" w:type="dxa"/>
            <w:vAlign w:val="bottom"/>
          </w:tcPr>
          <w:p>
            <w:pPr>
              <w:spacing w:after="0"/>
              <w:rPr>
                <w:sz w:val="22"/>
                <w:szCs w:val="22"/>
                <w:color w:val="auto"/>
              </w:rPr>
            </w:pPr>
          </w:p>
        </w:tc>
      </w:tr>
      <w:tr>
        <w:trPr>
          <w:trHeight w:val="4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XBRL Taxonomy Extension</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2"/>
              </w:rPr>
              <w:t>X</w:t>
            </w:r>
          </w:p>
        </w:tc>
      </w:tr>
      <w:tr>
        <w:trPr>
          <w:trHeight w:val="258"/>
        </w:trPr>
        <w:tc>
          <w:tcPr>
            <w:tcW w:w="860" w:type="dxa"/>
            <w:vAlign w:val="bottom"/>
          </w:tcPr>
          <w:p>
            <w:pPr>
              <w:spacing w:after="0"/>
              <w:rPr>
                <w:sz w:val="22"/>
                <w:szCs w:val="22"/>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Presentation Linkbase Document</w:t>
            </w:r>
          </w:p>
        </w:tc>
        <w:tc>
          <w:tcPr>
            <w:tcW w:w="360" w:type="dxa"/>
            <w:vAlign w:val="bottom"/>
          </w:tcPr>
          <w:p>
            <w:pPr>
              <w:spacing w:after="0"/>
              <w:rPr>
                <w:sz w:val="22"/>
                <w:szCs w:val="22"/>
                <w:color w:val="auto"/>
              </w:rPr>
            </w:pPr>
          </w:p>
        </w:tc>
      </w:tr>
      <w:tr>
        <w:trPr>
          <w:trHeight w:val="4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Cover Page Interactive Data File -</w:t>
            </w:r>
          </w:p>
        </w:tc>
        <w:tc>
          <w:tcPr>
            <w:tcW w:w="36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2"/>
              </w:rPr>
              <w:t>X</w:t>
            </w:r>
          </w:p>
        </w:tc>
      </w:tr>
      <w:tr>
        <w:trPr>
          <w:trHeight w:val="229"/>
        </w:trPr>
        <w:tc>
          <w:tcPr>
            <w:tcW w:w="860" w:type="dxa"/>
            <w:vAlign w:val="bottom"/>
          </w:tcPr>
          <w:p>
            <w:pPr>
              <w:spacing w:after="0"/>
              <w:rPr>
                <w:sz w:val="19"/>
                <w:szCs w:val="19"/>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the cover page interactive data file</w:t>
            </w:r>
          </w:p>
        </w:tc>
        <w:tc>
          <w:tcPr>
            <w:tcW w:w="360" w:type="dxa"/>
            <w:vAlign w:val="bottom"/>
          </w:tcPr>
          <w:p>
            <w:pPr>
              <w:spacing w:after="0"/>
              <w:rPr>
                <w:sz w:val="19"/>
                <w:szCs w:val="19"/>
                <w:color w:val="auto"/>
              </w:rPr>
            </w:pPr>
          </w:p>
        </w:tc>
      </w:tr>
      <w:tr>
        <w:trPr>
          <w:trHeight w:val="252"/>
        </w:trPr>
        <w:tc>
          <w:tcPr>
            <w:tcW w:w="860" w:type="dxa"/>
            <w:vAlign w:val="bottom"/>
          </w:tcPr>
          <w:p>
            <w:pPr>
              <w:spacing w:after="0"/>
              <w:rPr>
                <w:sz w:val="21"/>
                <w:szCs w:val="21"/>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does not appear in the Interactive</w:t>
            </w:r>
          </w:p>
        </w:tc>
        <w:tc>
          <w:tcPr>
            <w:tcW w:w="360" w:type="dxa"/>
            <w:vAlign w:val="bottom"/>
          </w:tcPr>
          <w:p>
            <w:pPr>
              <w:spacing w:after="0"/>
              <w:rPr>
                <w:sz w:val="21"/>
                <w:szCs w:val="21"/>
                <w:color w:val="auto"/>
              </w:rPr>
            </w:pPr>
          </w:p>
        </w:tc>
      </w:tr>
    </w:tbl>
    <w:p>
      <w:pPr>
        <w:ind w:left="1100"/>
        <w:spacing w:after="0"/>
        <w:rPr>
          <w:sz w:val="20"/>
          <w:szCs w:val="20"/>
          <w:color w:val="auto"/>
        </w:rPr>
      </w:pPr>
      <w:r>
        <w:rPr>
          <w:rFonts w:ascii="Times New Roman" w:cs="Times New Roman" w:eastAsia="Times New Roman" w:hAnsi="Times New Roman"/>
          <w:sz w:val="20"/>
          <w:szCs w:val="20"/>
          <w:color w:val="auto"/>
        </w:rPr>
        <w:t>Data File because its XBRL tags are</w:t>
      </w:r>
    </w:p>
    <w:p>
      <w:pPr>
        <w:ind w:left="1100"/>
        <w:spacing w:after="0"/>
        <w:rPr>
          <w:sz w:val="20"/>
          <w:szCs w:val="20"/>
          <w:color w:val="auto"/>
        </w:rPr>
      </w:pPr>
      <w:r>
        <w:rPr>
          <w:rFonts w:ascii="Times New Roman" w:cs="Times New Roman" w:eastAsia="Times New Roman" w:hAnsi="Times New Roman"/>
          <w:sz w:val="20"/>
          <w:szCs w:val="20"/>
          <w:color w:val="auto"/>
        </w:rPr>
        <w:t>embedded within the Inline XBRL</w:t>
      </w:r>
    </w:p>
    <w:p>
      <w:pPr>
        <w:ind w:left="1100"/>
        <w:spacing w:after="0"/>
        <w:rPr>
          <w:sz w:val="20"/>
          <w:szCs w:val="20"/>
          <w:color w:val="auto"/>
        </w:rPr>
      </w:pPr>
      <w:r>
        <w:rPr>
          <w:rFonts w:ascii="Times New Roman" w:cs="Times New Roman" w:eastAsia="Times New Roman" w:hAnsi="Times New Roman"/>
          <w:sz w:val="20"/>
          <w:szCs w:val="20"/>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right="159" w:hanging="330"/>
        <w:spacing w:after="0" w:line="261"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Date: November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Date: November 1, 2024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-127635</wp:posOffset>
            </wp:positionV>
            <wp:extent cx="27686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Elizabeth Williams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-127635</wp:posOffset>
            </wp:positionV>
            <wp:extent cx="27686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8" w:lineRule="exact"/>
        <w:rPr>
          <w:sz w:val="20"/>
          <w:szCs w:val="20"/>
          <w:color w:val="auto"/>
        </w:rPr>
      </w:pPr>
    </w:p>
    <w:p>
      <w:pPr>
        <w:jc w:val="center"/>
        <w:ind w:right="2619"/>
        <w:spacing w:after="0"/>
        <w:rPr>
          <w:sz w:val="20"/>
          <w:szCs w:val="20"/>
          <w:color w:val="auto"/>
        </w:rPr>
      </w:pPr>
      <w:r>
        <w:rPr>
          <w:rFonts w:ascii="Times New Roman" w:cs="Times New Roman" w:eastAsia="Times New Roman" w:hAnsi="Times New Roman"/>
          <w:sz w:val="17"/>
          <w:szCs w:val="17"/>
          <w:i w:val="1"/>
          <w:iCs w:val="1"/>
          <w:color w:val="auto"/>
        </w:rPr>
        <w:t>(duly authorized officer)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Ira Fils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-127635</wp:posOffset>
            </wp:positionV>
            <wp:extent cx="2768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ectPr>
          <w:pgSz w:w="11900" w:h="16838" w:orient="portrait"/>
          <w:cols w:equalWidth="0" w:num="2">
            <w:col w:w="3920" w:space="720"/>
            <w:col w:w="437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Williams, certify that:</w:t>
      </w:r>
    </w:p>
    <w:p>
      <w:pPr>
        <w:spacing w:after="0" w:line="266" w:lineRule="exact"/>
        <w:rPr>
          <w:sz w:val="20"/>
          <w:szCs w:val="20"/>
          <w:color w:val="auto"/>
        </w:rPr>
      </w:pPr>
    </w:p>
    <w:p>
      <w:pPr>
        <w:ind w:left="180" w:hanging="174"/>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65" w:lineRule="exact"/>
        <w:rPr>
          <w:rFonts w:ascii="Times New Roman" w:cs="Times New Roman" w:eastAsia="Times New Roman" w:hAnsi="Times New Roman"/>
          <w:sz w:val="18"/>
          <w:szCs w:val="18"/>
          <w:color w:val="auto"/>
        </w:rPr>
      </w:pPr>
    </w:p>
    <w:p>
      <w:pPr>
        <w:jc w:val="both"/>
        <w:ind w:right="340" w:firstLine="6"/>
        <w:spacing w:after="0" w:line="313"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 w:firstLine="6"/>
        <w:spacing w:after="0" w:line="313"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100" w:firstLine="6"/>
        <w:spacing w:after="0" w:line="313"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6"/>
        <w:spacing w:after="0" w:line="313"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60" w:firstLine="6"/>
        <w:spacing w:after="0" w:line="313"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100" w:firstLine="6"/>
        <w:spacing w:after="0" w:line="313"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40" w:firstLine="6"/>
        <w:spacing w:after="0" w:line="307"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500" w:firstLine="6"/>
        <w:spacing w:after="0" w:line="313"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420" w:firstLine="6"/>
        <w:spacing w:after="0" w:line="321"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8"/>
          <w:szCs w:val="18"/>
          <w:color w:val="auto"/>
        </w:rPr>
      </w:pPr>
    </w:p>
    <w:p>
      <w:pPr>
        <w:ind w:right="780" w:firstLine="6"/>
        <w:spacing w:after="0" w:line="329"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59664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640080</wp:posOffset>
            </wp:positionV>
            <wp:extent cx="59664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401" w:right="125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Ira Fils, certify that:</w:t>
      </w:r>
    </w:p>
    <w:p>
      <w:pPr>
        <w:spacing w:after="0" w:line="266" w:lineRule="exact"/>
        <w:rPr>
          <w:sz w:val="20"/>
          <w:szCs w:val="20"/>
          <w:color w:val="auto"/>
        </w:rPr>
      </w:pPr>
    </w:p>
    <w:p>
      <w:pPr>
        <w:ind w:left="180" w:hanging="174"/>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65" w:lineRule="exact"/>
        <w:rPr>
          <w:rFonts w:ascii="Times New Roman" w:cs="Times New Roman" w:eastAsia="Times New Roman" w:hAnsi="Times New Roman"/>
          <w:sz w:val="18"/>
          <w:szCs w:val="18"/>
          <w:color w:val="auto"/>
        </w:rPr>
      </w:pPr>
    </w:p>
    <w:p>
      <w:pPr>
        <w:jc w:val="both"/>
        <w:ind w:right="340" w:firstLine="6"/>
        <w:spacing w:after="0" w:line="313"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 w:firstLine="6"/>
        <w:spacing w:after="0" w:line="313"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100" w:firstLine="6"/>
        <w:spacing w:after="0" w:line="313"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6"/>
        <w:spacing w:after="0" w:line="313"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60" w:firstLine="6"/>
        <w:spacing w:after="0" w:line="313"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100" w:firstLine="6"/>
        <w:spacing w:after="0" w:line="313"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40" w:firstLine="6"/>
        <w:spacing w:after="0" w:line="307"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500" w:firstLine="6"/>
        <w:spacing w:after="0" w:line="313"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420" w:firstLine="6"/>
        <w:spacing w:after="0" w:line="321" w:lineRule="auto"/>
        <w:tabs>
          <w:tab w:leader="none" w:pos="2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8"/>
          <w:szCs w:val="18"/>
          <w:color w:val="auto"/>
        </w:rPr>
      </w:pPr>
    </w:p>
    <w:p>
      <w:pPr>
        <w:ind w:right="780" w:firstLine="6"/>
        <w:spacing w:after="0" w:line="329"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26035</wp:posOffset>
            </wp:positionV>
            <wp:extent cx="59321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Ira Fils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674370</wp:posOffset>
            </wp:positionV>
            <wp:extent cx="59664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401" w:right="12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66" w:lineRule="exact"/>
        <w:rPr>
          <w:sz w:val="20"/>
          <w:szCs w:val="20"/>
          <w:color w:val="auto"/>
        </w:rPr>
      </w:pPr>
    </w:p>
    <w:p>
      <w:pPr>
        <w:ind w:right="240"/>
        <w:spacing w:after="0" w:line="307" w:lineRule="auto"/>
        <w:rPr>
          <w:sz w:val="20"/>
          <w:szCs w:val="20"/>
          <w:color w:val="auto"/>
        </w:rPr>
      </w:pPr>
      <w:r>
        <w:rPr>
          <w:rFonts w:ascii="Times New Roman" w:cs="Times New Roman" w:eastAsia="Times New Roman" w:hAnsi="Times New Roman"/>
          <w:sz w:val="18"/>
          <w:szCs w:val="18"/>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17145</wp:posOffset>
            </wp:positionV>
            <wp:extent cx="59321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17145</wp:posOffset>
            </wp:positionV>
            <wp:extent cx="59321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Ira Fils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666115</wp:posOffset>
            </wp:positionV>
            <wp:extent cx="596646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sectPr>
      <w:pgSz w:w="11900" w:h="16838" w:orient="portrait"/>
      <w:cols w:equalWidth="0" w:num="1">
        <w:col w:w="9400"/>
      </w:cols>
      <w:pgMar w:left="1240" w:top="401"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10"/>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8"/>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4"/>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5"/>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5"/>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63" Type="http://schemas.openxmlformats.org/officeDocument/2006/relationships/hyperlink" Target="https://www.sec.gov/Archives/edgar/data/1606366/000121390024049090/ea020727301ex3-1_elpollo.htm" TargetMode="External"/><Relationship Id="rId64" Type="http://schemas.openxmlformats.org/officeDocument/2006/relationships/hyperlink" Target="https://www.sec.gov/Archives/edgar/data/1606366/000138713123009442/ex3-1.htm" TargetMode="External"/><Relationship Id="rId65" Type="http://schemas.openxmlformats.org/officeDocument/2006/relationships/hyperlink" Target="https://www.sec.gov/Archives/edgar/data/1606366/000160636624000002/loco-20240130xex3d1.htm" TargetMode="External"/><Relationship Id="rId66" Type="http://schemas.openxmlformats.org/officeDocument/2006/relationships/hyperlink" Target="https://www.sec.gov/Archives/edgar/data/1606366/000138713123009442/ex4-1.htm" TargetMode="External"/><Relationship Id="rId67" Type="http://schemas.openxmlformats.org/officeDocument/2006/relationships/hyperlink" Target="https://www.sec.gov/Archives/edgar/data/1606366/000199937124009568/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2024-11-01T16:27:53Z</dcterms:created>
  <dcterms:modified xsi:type="dcterms:W3CDTF">2024-11-01T16:27:53Z</dcterms:modified>
</cp:coreProperties>
</file>