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71120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28, 2016</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6" w:lineRule="exact"/>
        <w:rPr>
          <w:sz w:val="24"/>
          <w:szCs w:val="24"/>
          <w:color w:val="auto"/>
        </w:rPr>
      </w:pPr>
    </w:p>
    <w:p>
      <w:pPr>
        <w:ind w:left="40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63500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41"/>
          <w:szCs w:val="41"/>
          <w:b w:val="1"/>
          <w:bCs w:val="1"/>
          <w:color w:val="auto"/>
        </w:rPr>
        <w:t>EL POLLO LOCO HOLDINGS, INC.</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2280" w:type="dxa"/>
            <w:vAlign w:val="bottom"/>
          </w:tcPr>
          <w:p>
            <w:pPr>
              <w:spacing w:after="0"/>
              <w:rPr>
                <w:sz w:val="17"/>
                <w:szCs w:val="17"/>
                <w:color w:val="auto"/>
              </w:rPr>
            </w:pPr>
          </w:p>
        </w:tc>
        <w:tc>
          <w:tcPr>
            <w:tcW w:w="5060" w:type="dxa"/>
            <w:vAlign w:val="bottom"/>
            <w:gridSpan w:val="4"/>
          </w:tcPr>
          <w:p>
            <w:pPr>
              <w:jc w:val="center"/>
              <w:ind w:right="412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Pr>
          <w:p>
            <w:pPr>
              <w:jc w:val="right"/>
              <w:ind w:right="708"/>
              <w:spacing w:after="0"/>
              <w:rPr>
                <w:sz w:val="20"/>
                <w:szCs w:val="20"/>
                <w:color w:val="auto"/>
              </w:rPr>
            </w:pPr>
            <w:r>
              <w:rPr>
                <w:rFonts w:ascii="Arial" w:cs="Arial" w:eastAsia="Arial" w:hAnsi="Arial"/>
                <w:sz w:val="16"/>
                <w:szCs w:val="16"/>
                <w:b w:val="1"/>
                <w:bCs w:val="1"/>
                <w:color w:val="auto"/>
              </w:rPr>
              <w:t>20-3563182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340" w:type="dxa"/>
            <w:vAlign w:val="bottom"/>
            <w:gridSpan w:val="5"/>
          </w:tcPr>
          <w:p>
            <w:pPr>
              <w:jc w:val="center"/>
              <w:ind w:right="184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7340" w:type="dxa"/>
            <w:vAlign w:val="bottom"/>
            <w:gridSpan w:val="5"/>
          </w:tcPr>
          <w:p>
            <w:pPr>
              <w:jc w:val="center"/>
              <w:ind w:right="1840"/>
              <w:spacing w:after="0"/>
              <w:rPr>
                <w:sz w:val="20"/>
                <w:szCs w:val="20"/>
                <w:color w:val="auto"/>
              </w:rPr>
            </w:pPr>
            <w:r>
              <w:rPr>
                <w:rFonts w:ascii="Arial" w:cs="Arial" w:eastAsia="Arial" w:hAnsi="Arial"/>
                <w:sz w:val="13"/>
                <w:szCs w:val="13"/>
                <w:b w:val="1"/>
                <w:bCs w:val="1"/>
                <w:color w:val="auto"/>
                <w:w w:val="89"/>
              </w:rPr>
              <w:t>incorporation or organization</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41"/>
        </w:trPr>
        <w:tc>
          <w:tcPr>
            <w:tcW w:w="7340" w:type="dxa"/>
            <w:vAlign w:val="bottom"/>
            <w:gridSpan w:val="5"/>
          </w:tcPr>
          <w:p>
            <w:pPr>
              <w:jc w:val="center"/>
              <w:ind w:right="1840"/>
              <w:spacing w:after="0"/>
              <w:rPr>
                <w:sz w:val="20"/>
                <w:szCs w:val="20"/>
                <w:color w:val="auto"/>
              </w:rPr>
            </w:pPr>
            <w:r>
              <w:rPr>
                <w:rFonts w:ascii="Arial" w:cs="Arial" w:eastAsia="Arial" w:hAnsi="Arial"/>
                <w:sz w:val="16"/>
                <w:szCs w:val="16"/>
                <w:b w:val="1"/>
                <w:bCs w:val="1"/>
                <w:color w:val="auto"/>
                <w:w w:val="93"/>
              </w:rPr>
              <w:t>3535 Harbor Blvd., Suite 100, Costa Mesa, California</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tcPr>
          <w:p>
            <w:pPr>
              <w:jc w:val="right"/>
              <w:ind w:right="908"/>
              <w:spacing w:after="0"/>
              <w:rPr>
                <w:sz w:val="20"/>
                <w:szCs w:val="20"/>
                <w:color w:val="auto"/>
              </w:rPr>
            </w:pPr>
            <w:r>
              <w:rPr>
                <w:rFonts w:ascii="Arial" w:cs="Arial" w:eastAsia="Arial" w:hAnsi="Arial"/>
                <w:sz w:val="16"/>
                <w:szCs w:val="16"/>
                <w:b w:val="1"/>
                <w:bCs w:val="1"/>
                <w:color w:val="auto"/>
              </w:rPr>
              <w:t>92626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7340" w:type="dxa"/>
            <w:vAlign w:val="bottom"/>
            <w:gridSpan w:val="5"/>
          </w:tcPr>
          <w:p>
            <w:pPr>
              <w:jc w:val="center"/>
              <w:ind w:right="184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7"/>
        </w:trPr>
        <w:tc>
          <w:tcPr>
            <w:tcW w:w="6860" w:type="dxa"/>
            <w:vAlign w:val="bottom"/>
            <w:gridSpan w:val="4"/>
          </w:tcPr>
          <w:p>
            <w:pPr>
              <w:jc w:val="center"/>
              <w:ind w:left="4487"/>
              <w:spacing w:after="0"/>
              <w:rPr>
                <w:sz w:val="20"/>
                <w:szCs w:val="20"/>
                <w:color w:val="auto"/>
              </w:rPr>
            </w:pPr>
            <w:r>
              <w:rPr>
                <w:rFonts w:ascii="Arial" w:cs="Arial" w:eastAsia="Arial" w:hAnsi="Arial"/>
                <w:sz w:val="16"/>
                <w:szCs w:val="16"/>
                <w:b w:val="1"/>
                <w:bCs w:val="1"/>
                <w:color w:val="auto"/>
                <w:w w:val="93"/>
              </w:rPr>
              <w:t>(714) 599-5000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120" w:type="dxa"/>
            <w:vAlign w:val="bottom"/>
            <w:gridSpan w:val="3"/>
          </w:tcPr>
          <w:p>
            <w:pPr>
              <w:jc w:val="center"/>
              <w:ind w:left="801"/>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00" w:type="dxa"/>
            <w:vAlign w:val="bottom"/>
            <w:gridSpan w:val="5"/>
          </w:tcPr>
          <w:p>
            <w:pPr>
              <w:jc w:val="center"/>
              <w:ind w:left="22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5060" w:type="dxa"/>
            <w:vAlign w:val="bottom"/>
            <w:gridSpan w:val="4"/>
          </w:tcPr>
          <w:p>
            <w:pPr>
              <w:jc w:val="center"/>
              <w:ind w:right="4120"/>
              <w:spacing w:after="0"/>
              <w:rPr>
                <w:sz w:val="20"/>
                <w:szCs w:val="20"/>
                <w:color w:val="auto"/>
              </w:rPr>
            </w:pPr>
            <w:r>
              <w:rPr>
                <w:rFonts w:ascii="Arial" w:cs="Arial" w:eastAsia="Arial" w:hAnsi="Arial"/>
                <w:sz w:val="13"/>
                <w:szCs w:val="13"/>
                <w:b w:val="1"/>
                <w:bCs w:val="1"/>
                <w:color w:val="auto"/>
                <w:w w:val="83"/>
              </w:rPr>
              <w:t>Title of each class</w:t>
            </w:r>
          </w:p>
        </w:tc>
        <w:tc>
          <w:tcPr>
            <w:tcW w:w="2540" w:type="dxa"/>
            <w:vAlign w:val="bottom"/>
            <w:gridSpan w:val="4"/>
          </w:tcPr>
          <w:p>
            <w:pPr>
              <w:jc w:val="center"/>
              <w:ind w:left="88"/>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28"/>
        </w:trPr>
        <w:tc>
          <w:tcPr>
            <w:tcW w:w="2280" w:type="dxa"/>
            <w:vAlign w:val="bottom"/>
          </w:tcPr>
          <w:p>
            <w:pPr>
              <w:ind w:left="1200"/>
              <w:spacing w:after="0"/>
              <w:rPr>
                <w:sz w:val="20"/>
                <w:szCs w:val="20"/>
                <w:color w:val="auto"/>
              </w:rPr>
            </w:pPr>
            <w:r>
              <w:rPr>
                <w:rFonts w:ascii="Arial" w:cs="Arial" w:eastAsia="Arial" w:hAnsi="Arial"/>
                <w:sz w:val="16"/>
                <w:szCs w:val="16"/>
                <w:b w:val="1"/>
                <w:bCs w:val="1"/>
                <w:color w:val="auto"/>
                <w:w w:val="90"/>
              </w:rPr>
              <w:t>Common Stock</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par value $</w:t>
            </w:r>
          </w:p>
        </w:tc>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0.01 per share</w:t>
            </w:r>
          </w:p>
        </w:tc>
        <w:tc>
          <w:tcPr>
            <w:tcW w:w="180" w:type="dxa"/>
            <w:vAlign w:val="bottom"/>
          </w:tcPr>
          <w:p>
            <w:pPr>
              <w:spacing w:after="0"/>
              <w:rPr>
                <w:sz w:val="19"/>
                <w:szCs w:val="19"/>
                <w:color w:val="auto"/>
              </w:rPr>
            </w:pPr>
          </w:p>
        </w:tc>
        <w:tc>
          <w:tcPr>
            <w:tcW w:w="23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The NASDAQ Stock Market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00" w:type="dxa"/>
            <w:vAlign w:val="bottom"/>
            <w:gridSpan w:val="5"/>
          </w:tcPr>
          <w:p>
            <w:pPr>
              <w:jc w:val="center"/>
              <w:ind w:left="221"/>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7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N/A</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6"/>
              </w:rPr>
              <w:t>(Title of class)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gridSpan w:val="2"/>
            <w:vMerge w:val="restart"/>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p>
        </w:tc>
        <w:tc>
          <w:tcPr>
            <w:tcW w:w="1960" w:type="dxa"/>
            <w:vAlign w:val="bottom"/>
            <w:gridSpan w:val="2"/>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340" w:type="dxa"/>
            <w:vAlign w:val="bottom"/>
            <w:gridSpan w:val="5"/>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580" w:type="dxa"/>
            <w:vAlign w:val="bottom"/>
            <w:gridSpan w:val="2"/>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580" w:type="dxa"/>
            <w:vAlign w:val="bottom"/>
            <w:gridSpan w:val="2"/>
          </w:tcPr>
          <w:p>
            <w:pPr>
              <w:ind w:left="140"/>
              <w:spacing w:after="0" w:line="173" w:lineRule="exact"/>
              <w:rPr>
                <w:sz w:val="20"/>
                <w:szCs w:val="20"/>
                <w:color w:val="auto"/>
              </w:rPr>
            </w:pPr>
            <w:r>
              <w:rPr>
                <w:rFonts w:ascii="Arial" w:cs="Arial" w:eastAsia="Arial" w:hAnsi="Arial"/>
                <w:sz w:val="15"/>
                <w:szCs w:val="15"/>
                <w:color w:val="auto"/>
                <w:w w:val="95"/>
              </w:rPr>
              <w:t xml:space="preserve">Yes </w:t>
            </w:r>
            <w:r>
              <w:rPr>
                <w:rFonts w:ascii="MS PGothic" w:cs="MS PGothic" w:eastAsia="MS PGothic" w:hAnsi="MS PGothic"/>
                <w:sz w:val="14"/>
                <w:szCs w:val="14"/>
                <w:color w:val="auto"/>
                <w:w w:val="95"/>
              </w:rPr>
              <w:t>☐</w:t>
            </w:r>
          </w:p>
        </w:tc>
        <w:tc>
          <w:tcPr>
            <w:tcW w:w="196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jc w:val="both"/>
        <w:ind w:right="140"/>
        <w:spacing w:after="0" w:line="17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4" w:lineRule="exact"/>
        <w:rPr>
          <w:sz w:val="24"/>
          <w:szCs w:val="24"/>
          <w:color w:val="auto"/>
        </w:rPr>
      </w:pPr>
    </w:p>
    <w:p>
      <w:pPr>
        <w:ind w:right="460"/>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140"/>
              <w:spacing w:after="0"/>
              <w:rPr>
                <w:sz w:val="20"/>
                <w:szCs w:val="20"/>
                <w:color w:val="auto"/>
              </w:rPr>
            </w:pPr>
            <w:r>
              <w:rPr>
                <w:rFonts w:ascii="Arial" w:cs="Arial" w:eastAsia="Arial" w:hAnsi="Arial"/>
                <w:sz w:val="15"/>
                <w:szCs w:val="15"/>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20" w:type="dxa"/>
            <w:vAlign w:val="bottom"/>
          </w:tcPr>
          <w:p>
            <w:pPr>
              <w:spacing w:after="0"/>
              <w:rPr>
                <w:sz w:val="20"/>
                <w:szCs w:val="20"/>
                <w:color w:val="auto"/>
              </w:rPr>
            </w:pPr>
            <w:r>
              <w:rPr>
                <w:rFonts w:ascii="Arial" w:cs="Arial" w:eastAsia="Arial" w:hAnsi="Arial"/>
                <w:sz w:val="15"/>
                <w:szCs w:val="15"/>
                <w:color w:val="auto"/>
              </w:rPr>
              <w:t>Non-accelerated filer</w:t>
            </w:r>
          </w:p>
        </w:tc>
        <w:tc>
          <w:tcPr>
            <w:tcW w:w="4860" w:type="dxa"/>
            <w:vAlign w:val="bottom"/>
          </w:tcPr>
          <w:p>
            <w:pPr>
              <w:ind w:left="76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tc>
        <w:tc>
          <w:tcPr>
            <w:tcW w:w="3460" w:type="dxa"/>
            <w:vAlign w:val="bottom"/>
          </w:tcPr>
          <w:p>
            <w:pPr>
              <w:ind w:left="1140"/>
              <w:spacing w:after="0"/>
              <w:rPr>
                <w:sz w:val="20"/>
                <w:szCs w:val="20"/>
                <w:color w:val="auto"/>
              </w:rPr>
            </w:pPr>
            <w:r>
              <w:rPr>
                <w:rFonts w:ascii="Arial" w:cs="Arial" w:eastAsia="Arial" w:hAnsi="Arial"/>
                <w:sz w:val="15"/>
                <w:szCs w:val="15"/>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8"/>
        </w:trPr>
        <w:tc>
          <w:tcPr>
            <w:tcW w:w="6980" w:type="dxa"/>
            <w:vAlign w:val="bottom"/>
            <w:gridSpan w:val="2"/>
          </w:tcPr>
          <w:p>
            <w:pPr>
              <w:spacing w:after="0" w:line="173" w:lineRule="exact"/>
              <w:rPr>
                <w:sz w:val="20"/>
                <w:szCs w:val="20"/>
                <w:color w:val="auto"/>
              </w:rPr>
            </w:pPr>
            <w:r>
              <w:rPr>
                <w:rFonts w:ascii="Arial" w:cs="Arial" w:eastAsia="Arial" w:hAnsi="Arial"/>
                <w:sz w:val="15"/>
                <w:szCs w:val="15"/>
                <w:color w:val="auto"/>
                <w:w w:val="95"/>
              </w:rPr>
              <w:t xml:space="preserve">Indicate by check mark whether the registrant is a shell company (as defined in Rule 12b-2 of the Act).  Yes </w:t>
            </w:r>
            <w:r>
              <w:rPr>
                <w:rFonts w:ascii="MS PGothic" w:cs="MS PGothic" w:eastAsia="MS PGothic" w:hAnsi="MS PGothic"/>
                <w:sz w:val="14"/>
                <w:szCs w:val="14"/>
                <w:color w:val="auto"/>
                <w:w w:val="95"/>
              </w:rPr>
              <w:t>☐</w:t>
            </w:r>
          </w:p>
        </w:tc>
        <w:tc>
          <w:tcPr>
            <w:tcW w:w="346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780" w:type="dxa"/>
            <w:vAlign w:val="bottom"/>
          </w:tcPr>
          <w:p>
            <w:pPr>
              <w:spacing w:after="0"/>
              <w:rPr>
                <w:sz w:val="19"/>
                <w:szCs w:val="19"/>
                <w:color w:val="auto"/>
              </w:rPr>
            </w:pPr>
          </w:p>
        </w:tc>
      </w:tr>
    </w:tbl>
    <w:p>
      <w:pPr>
        <w:spacing w:after="0" w:line="23" w:lineRule="exact"/>
        <w:rPr>
          <w:sz w:val="24"/>
          <w:szCs w:val="24"/>
          <w:color w:val="auto"/>
        </w:rPr>
      </w:pPr>
    </w:p>
    <w:p>
      <w:pPr>
        <w:ind w:right="160"/>
        <w:spacing w:after="0" w:line="281" w:lineRule="auto"/>
        <w:rPr>
          <w:sz w:val="20"/>
          <w:szCs w:val="20"/>
          <w:color w:val="auto"/>
        </w:rPr>
      </w:pPr>
      <w:r>
        <w:rPr>
          <w:rFonts w:ascii="Arial" w:cs="Arial" w:eastAsia="Arial" w:hAnsi="Arial"/>
          <w:sz w:val="14"/>
          <w:szCs w:val="14"/>
          <w:color w:val="auto"/>
        </w:rPr>
        <w:t>As of June 29, 2016, the last business day of the registrant’s most recently completed second fiscal quarter, the aggregate market value of the registrant’s common equity held by non-affiliates was approximately $274 million deeming purely for purposes of this calculation all directors and executive officers, and Trimaran Pollo Partners, L.L.C. to be affiliates.</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28, 2017, there were 38,473,772 shares of the registrant’s common stock outstanding.</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Part III hereof incorporates by reference certain portions of the registrant’s definitive proxy statement for its 2017 annual meeting of stockholders to be filed not later than 120 days after the end of the registrant’s 2016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0" w:type="dxa"/>
            <w:vAlign w:val="bottom"/>
            <w:gridSpan w:val="14"/>
          </w:tcPr>
          <w:p>
            <w:pPr>
              <w:ind w:left="20"/>
              <w:spacing w:after="0"/>
              <w:rPr>
                <w:sz w:val="20"/>
                <w:szCs w:val="20"/>
                <w:color w:val="auto"/>
              </w:rPr>
            </w:pPr>
            <w:r>
              <w:rPr>
                <w:rFonts w:ascii="Arial" w:cs="Arial" w:eastAsia="Arial" w:hAnsi="Arial"/>
                <w:sz w:val="18"/>
                <w:szCs w:val="18"/>
                <w:b w:val="1"/>
                <w:bCs w:val="1"/>
                <w:color w:val="222222"/>
              </w:rPr>
              <w:t>TABLE OF CONTENTS</w:t>
            </w:r>
          </w:p>
        </w:tc>
        <w:tc>
          <w:tcPr>
            <w:tcW w:w="15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00EE"/>
            </w:tcBorders>
            <w:gridSpan w:val="2"/>
          </w:tcPr>
          <w:p>
            <w:pPr>
              <w:jc w:val="cente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400" w:type="dxa"/>
            <w:vAlign w:val="bottom"/>
            <w:gridSpan w:val="8"/>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Item 1A. Risk Factors</w:t>
              </w:r>
            </w:hyperlink>
          </w:p>
        </w:tc>
        <w:tc>
          <w:tcPr>
            <w:tcW w:w="8340" w:type="dxa"/>
            <w:vAlign w:val="bottom"/>
            <w:gridSpan w:val="2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1B. Unresolved Staff Comments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9"/>
          </w:tcPr>
          <w:p>
            <w:pPr>
              <w:spacing w:after="0"/>
              <w:rPr>
                <w:sz w:val="17"/>
                <w:szCs w:val="17"/>
                <w:color w:val="auto"/>
              </w:rPr>
            </w:pPr>
          </w:p>
        </w:tc>
        <w:tc>
          <w:tcPr>
            <w:tcW w:w="7220" w:type="dxa"/>
            <w:vAlign w:val="bottom"/>
            <w:gridSpan w:val="18"/>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9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3. Legal Proceedings</w:t>
              </w:r>
            </w:hyperlink>
          </w:p>
        </w:tc>
        <w:tc>
          <w:tcPr>
            <w:tcW w:w="8040" w:type="dxa"/>
            <w:vAlign w:val="bottom"/>
            <w:gridSpan w:val="2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Mine Safety Disclosures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1"/>
          </w:tcPr>
          <w:p>
            <w:pPr>
              <w:jc w:val="center"/>
              <w:ind w:right="4380"/>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PART II</w:t>
              </w:r>
            </w:hyperlink>
          </w:p>
        </w:tc>
        <w:tc>
          <w:tcPr>
            <w:tcW w:w="15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86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5. Market for Registrant’s Common Equity, Related Stockholder Matters and Issuer Purchases of Equity Securities</w:t>
              </w:r>
            </w:hyperlink>
          </w:p>
        </w:tc>
        <w:tc>
          <w:tcPr>
            <w:tcW w:w="13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 Selected Financial Data</w:t>
              </w:r>
            </w:hyperlink>
          </w:p>
        </w:tc>
        <w:tc>
          <w:tcPr>
            <w:tcW w:w="7660" w:type="dxa"/>
            <w:vAlign w:val="bottom"/>
            <w:gridSpan w:val="2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7. Management’s Discussion and Analysis of Financial Condition and Results of Operations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0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5"/>
          </w:tcPr>
          <w:p>
            <w:pPr>
              <w:spacing w:after="0"/>
              <w:rPr>
                <w:sz w:val="17"/>
                <w:szCs w:val="17"/>
                <w:color w:val="auto"/>
              </w:rPr>
            </w:pPr>
          </w:p>
        </w:tc>
        <w:tc>
          <w:tcPr>
            <w:tcW w:w="2920" w:type="dxa"/>
            <w:vAlign w:val="bottom"/>
            <w:gridSpan w:val="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9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8. Financial Statements and Supplementary Data</w:t>
              </w:r>
            </w:hyperlink>
          </w:p>
        </w:tc>
        <w:tc>
          <w:tcPr>
            <w:tcW w:w="6040" w:type="dxa"/>
            <w:vAlign w:val="bottom"/>
            <w:gridSpan w:val="1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9. Changes in and Disagreements with Accountants on Accounting and Financial Disclosure</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Item 9A. Controls and Procedures</w:t>
              </w:r>
            </w:hyperlink>
          </w:p>
        </w:tc>
        <w:tc>
          <w:tcPr>
            <w:tcW w:w="4560" w:type="dxa"/>
            <w:vAlign w:val="bottom"/>
            <w:tcBorders>
              <w:top w:val="single" w:sz="8" w:color="0000EE"/>
            </w:tcBorders>
            <w:gridSpan w:val="16"/>
          </w:tcPr>
          <w:p>
            <w:pPr>
              <w:spacing w:after="0"/>
              <w:rPr>
                <w:sz w:val="17"/>
                <w:szCs w:val="17"/>
                <w:color w:val="auto"/>
              </w:rPr>
            </w:pPr>
          </w:p>
        </w:tc>
        <w:tc>
          <w:tcPr>
            <w:tcW w:w="2900" w:type="dxa"/>
            <w:vAlign w:val="bottom"/>
            <w:gridSpan w:val="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Item 9B. Other Information</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13"/>
          </w:tcPr>
          <w:p>
            <w:pPr>
              <w:jc w:val="center"/>
              <w:ind w:right="4320"/>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PART III</w:t>
              </w:r>
            </w:hyperlink>
          </w:p>
        </w:tc>
        <w:tc>
          <w:tcPr>
            <w:tcW w:w="1500" w:type="dxa"/>
            <w:vAlign w:val="bottom"/>
          </w:tcPr>
          <w:p>
            <w:pPr>
              <w:spacing w:after="0"/>
              <w:rPr>
                <w:sz w:val="24"/>
                <w:szCs w:val="24"/>
                <w:color w:val="auto"/>
              </w:rPr>
            </w:pPr>
          </w:p>
        </w:tc>
      </w:tr>
      <w:tr>
        <w:trPr>
          <w:trHeight w:val="196"/>
        </w:trPr>
        <w:tc>
          <w:tcPr>
            <w:tcW w:w="4940" w:type="dxa"/>
            <w:vAlign w:val="bottom"/>
            <w:gridSpan w:val="19"/>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Item 10. Directors, Executive Officers and Corporate Governance</w:t>
              </w:r>
            </w:hyperlink>
          </w:p>
        </w:tc>
        <w:tc>
          <w:tcPr>
            <w:tcW w:w="660" w:type="dxa"/>
            <w:vAlign w:val="bottom"/>
            <w:tcBorders>
              <w:top w:val="single" w:sz="8" w:color="0000EE"/>
            </w:tcBorders>
            <w:gridSpan w:val="6"/>
          </w:tcPr>
          <w:p>
            <w:pPr>
              <w:spacing w:after="0"/>
              <w:rPr>
                <w:sz w:val="17"/>
                <w:szCs w:val="17"/>
                <w:color w:val="auto"/>
              </w:rPr>
            </w:pPr>
          </w:p>
        </w:tc>
        <w:tc>
          <w:tcPr>
            <w:tcW w:w="4340" w:type="dxa"/>
            <w:vAlign w:val="bottom"/>
            <w:gridSpan w:val="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200" w:type="dxa"/>
            <w:vAlign w:val="bottom"/>
            <w:gridSpan w:val="1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12. Security Ownership of Certain Beneficial Owners and Management and Related Stockholder Matters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79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13. Certain Relationships and Related Transactions, and Director Independence</w:t>
              </w:r>
            </w:hyperlink>
          </w:p>
        </w:tc>
        <w:tc>
          <w:tcPr>
            <w:tcW w:w="2000" w:type="dxa"/>
            <w:vAlign w:val="bottom"/>
            <w:gridSpan w:val="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61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14. Principal Accounting Fees and Services</w:t>
              </w:r>
            </w:hyperlink>
          </w:p>
        </w:tc>
        <w:tc>
          <w:tcPr>
            <w:tcW w:w="3840" w:type="dxa"/>
            <w:vAlign w:val="bottom"/>
            <w:gridSpan w:val="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color w:val="0000EE"/>
                <w:w w:val="97"/>
              </w:rPr>
            </w:pPr>
            <w:hyperlink w:anchor="page87">
              <w:r>
                <w:rPr>
                  <w:rFonts w:ascii="Arial" w:cs="Arial" w:eastAsia="Arial" w:hAnsi="Arial"/>
                  <w:sz w:val="18"/>
                  <w:szCs w:val="18"/>
                  <w:color w:val="0000EE"/>
                  <w:w w:val="97"/>
                </w:rPr>
                <w:t>PART IV</w:t>
              </w:r>
            </w:hyperlink>
          </w:p>
        </w:tc>
        <w:tc>
          <w:tcPr>
            <w:tcW w:w="4340" w:type="dxa"/>
            <w:vAlign w:val="bottom"/>
            <w:gridSpan w:val="6"/>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Item 15. Exhibits, Financial Statement Schedules</w:t>
              </w:r>
            </w:hyperlink>
          </w:p>
        </w:tc>
        <w:tc>
          <w:tcPr>
            <w:tcW w:w="6380" w:type="dxa"/>
            <w:vAlign w:val="bottom"/>
            <w:gridSpan w:val="1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16. Form 10-K Summary</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2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7740" w:type="dxa"/>
            <w:vAlign w:val="bottom"/>
            <w:gridSpan w:val="2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40" w:type="dxa"/>
            <w:vAlign w:val="bottom"/>
            <w:gridSpan w:val="2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940" w:type="dxa"/>
            <w:vAlign w:val="bottom"/>
            <w:gridSpan w:val="3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Exhibit Index</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statements in this report are forward-looking. Those statements reflect our current views with respect to our business, future events, financial performance, and our industry in general. Statements that include the words such as “expect,” “intend,” “plan,” “believe,” “project,” “forecast,” “estimate,” “may,” “should,” and “anticipate” may be forward-looking. We base forward-looking statements on history, experience, expectations, and projections. Forward-looking statements address matters that involve risks and uncertainties. We caution you therefore not to place undue reliance on forward-looking statements. We make no guarantees regarding outcomes, and assume no obligations to update the forward-looking statements herein, except pursuant to law. A non-exhaustive list of factors that could cause outcomes to differ materially from our expectations includes:</w:t>
      </w:r>
    </w:p>
    <w:p>
      <w:pPr>
        <w:spacing w:after="0" w:line="70" w:lineRule="exact"/>
        <w:rPr>
          <w:sz w:val="20"/>
          <w:szCs w:val="20"/>
          <w:color w:val="auto"/>
        </w:rPr>
      </w:pPr>
    </w:p>
    <w:p>
      <w:pPr>
        <w:ind w:left="520" w:right="1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open new restaurants in new and existing markets, including difficulty in finding sites and in negotiating acceptable leases,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delayed or cancelled future restaurant openings,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restaurant closures, due to financial performance or otherwise,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chicken and other input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with our primary distributor,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underperformance of new menu items, advertising campaigns, and restaurant designs and remodelings,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control over our franchisees,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franchisee acts,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current directors and officers,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from litigation such as wage and hour class action lawsuits,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ends of their terms,</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from federal, state, and local regulations relating to preparation and sale of food, zoning and building codes, and employee, environmental, and other matters,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from our income tax receivable agreement (the “TRA”),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of interest with our largest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El Pollo Loco Holdings, Inc. is a holding company with no operations that relies on its operating subsidiaries to provide it with funds,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our emerging growth company eligibility under the Jumpstart Our Business Startups Act of 2012 (the “JOBS Act”),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ind w:left="512" w:hanging="512"/>
        <w:spacing w:after="0" w:line="277" w:lineRule="auto"/>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spacing w:after="0" w:line="62" w:lineRule="exact"/>
        <w:rPr>
          <w:rFonts w:ascii="Arial" w:cs="Arial" w:eastAsia="Arial" w:hAnsi="Arial"/>
          <w:sz w:val="18"/>
          <w:szCs w:val="18"/>
          <w:color w:val="auto"/>
        </w:rPr>
      </w:pPr>
    </w:p>
    <w:p>
      <w:pPr>
        <w:ind w:left="512" w:hanging="512"/>
        <w:spacing w:after="0"/>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117" w:lineRule="exact"/>
        <w:rPr>
          <w:rFonts w:ascii="Arial" w:cs="Arial" w:eastAsia="Arial" w:hAnsi="Arial"/>
          <w:sz w:val="18"/>
          <w:szCs w:val="18"/>
          <w:color w:val="auto"/>
        </w:rPr>
      </w:pPr>
    </w:p>
    <w:p>
      <w:pPr>
        <w:ind w:left="512" w:hanging="512"/>
        <w:spacing w:after="0"/>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117" w:lineRule="exact"/>
        <w:rPr>
          <w:rFonts w:ascii="Arial" w:cs="Arial" w:eastAsia="Arial" w:hAnsi="Arial"/>
          <w:sz w:val="18"/>
          <w:szCs w:val="18"/>
          <w:color w:val="auto"/>
        </w:rPr>
      </w:pPr>
    </w:p>
    <w:p>
      <w:pPr>
        <w:ind w:left="512" w:hanging="512"/>
        <w:spacing w:after="0"/>
        <w:tabs>
          <w:tab w:leader="none" w:pos="512"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under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72"/>
          </w:cols>
          <w:pgMar w:left="248" w:top="125" w:right="11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otherwise specified, or the context otherwise requires, terms “El Pollo Loco,” “the Company,” “our company,” “we,” “us,” and “our” mean El Pollo Loco Holdings, Inc. (“Holdings”), together with its subsidiaries.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Every day in every restaurant, we marinate and fire-grill our chicken over open flames, and hand-slice whole tomatoes, avocados, serrano peppers, and cilantro to make our salsas, guacamole, and cilantro dressings from scratch. The design of our kitchens reveals our Mexican-inspired cooking process and allows our customers to watch our grill masters and team members fire-grill and hand-cut our signature chicken, as well as make burritos, salads, tostadas, bowls, stuffed quesadillas, and chicken entrees.</w:t>
      </w:r>
    </w:p>
    <w:p>
      <w:pPr>
        <w:spacing w:after="0" w:line="1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El Pollo Loco is Spanish for “The Crazy Chicken.” We opened our first location on Alvarado Street in Los Angeles, California, in 1980, and have grown our restaurant system to 460 restaurants, comprised of 201 company-operated and 259 franchised restaurants as of December 28, 2016. Our restaurants are located in California, Arizona, Nevada, Texas, and Utah. Our typical restaurant is a free-standing building with drive-thru service that ranges in size from 2,200 to 3,000 square feet with seating for approximately 50-70 people.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restaurant industry is divided into two segments: full service and limited service. Full service is comprised of the casual dining, mid-scale, and fine dining sub-segments. Limited service is comprised of the QSR and fast casual sub-segments. QSRs are traditional fast food restaurants with average check sizes of $3.00 to $8.00. Fast casual is a limited or self-service format with average check sizes of $8.00 to $12.00 that offers food prepared to order within a generally more upscale and developed establishment.</w:t>
      </w:r>
    </w:p>
    <w:p>
      <w:pPr>
        <w:spacing w:after="0" w:line="18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operate within the broader LSR segment, and we believe that we offer the food and dining experience of a fast casual restaurant and the speed, value, and convenience of a QSR. We believe that our value-oriented fast casual positioning best aligns with fast casual restaurants because we believe that we offer the method of preparation, quality of food, and dining experience typical of fast casual restaurants.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Differentiated Restaurant Concept with Broad Appeal</w:t>
      </w:r>
      <w:r>
        <w:rPr>
          <w:rFonts w:ascii="Arial" w:cs="Arial" w:eastAsia="Arial" w:hAnsi="Arial"/>
          <w:sz w:val="16"/>
          <w:szCs w:val="16"/>
          <w:color w:val="auto"/>
        </w:rPr>
        <w:t>. We believe that our food, served in contemporary restaurant environments at reasonable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We believe that our entree prices are typically lower than the fast 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Based on an external research report and a customer satisfaction survey, we believe that our positioning appeals to a broad customer base, and that our brand crosses over traditional age, ethnic, and income demographics, giving consumers the best of both the fast casual and QSR segments. Our differentiated QSR+ positioning sources traffic from both dining segments and as a result we expect it to drive transaction growth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8"/>
          <w:szCs w:val="18"/>
          <w:i w:val="1"/>
          <w:iCs w:val="1"/>
          <w:color w:val="auto"/>
        </w:rPr>
        <w:t>Mexican-Inspired, Fresh-Made Fire-Grilled Chicken and Entrees</w:t>
      </w:r>
      <w:r>
        <w:rPr>
          <w:rFonts w:ascii="Arial" w:cs="Arial" w:eastAsia="Arial" w:hAnsi="Arial"/>
          <w:sz w:val="18"/>
          <w:szCs w:val="18"/>
          <w:color w:val="auto"/>
        </w:rPr>
        <w:t>. Our signature product is our chicken, marinated with a proprietary recipe of citrus juice,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garlic, and spices, which serves as the foundation of our distinctive menu of flavorful bone-in chicken meals and Mexican-inspired entrees. With menu items such as our Chicken Avocado Burrito, Chicken Tostada Salad, Pollo Bowl </w:t>
      </w:r>
      <w:r>
        <w:rPr>
          <w:rFonts w:ascii="Arial" w:cs="Arial" w:eastAsia="Arial" w:hAnsi="Arial"/>
          <w:sz w:val="15"/>
          <w:szCs w:val="15"/>
          <w:color w:val="auto"/>
        </w:rPr>
        <w:t>®</w:t>
      </w:r>
      <w:r>
        <w:rPr>
          <w:rFonts w:ascii="Arial" w:cs="Arial" w:eastAsia="Arial" w:hAnsi="Arial"/>
          <w:sz w:val="18"/>
          <w:szCs w:val="18"/>
          <w:color w:val="auto"/>
        </w:rPr>
        <w:t>, and Chicken Avocado Stuffed Quesadilla, we believe that we offer our customers a healthier alternative to traditional food on-the-go. Our entrees are prepared using fresh ingredients with recipes inspired by Mexican cuisine. The majority of our menu items are made from scratch, including our bone-in chicken and chicken breasts, rice, salsas, guacamole, and cilantro dressing, meaning that we make them without pre-prepared ingredients. These items start with our chicken, which is marinated in our restaurants daily. From there, our Grill Masters fire-grill and hand-chop our chicken, forming the foundation for our entrees. To complement our entrees, our team members slice and chop whole tomatoes, avocados, serrano peppers, and cilantro to create our salsas, and cilantro dressings. In addition, our rice is seasoned, and simmered in our restaurants daily.</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bone-in chicken meals and Mexican-inspired entrees accounted for 46% and 54% of our company-operated restaurant sales, respectively, in 2016. Our individual and family-sized chicken meals appeal to customers looking to dine at the restaurant or take out during dinner time, while our more-portable Mexican-inspired entrees draw traffic from customers at lunch time or for an afternoon snack, enabling us to generate sales almost equally between lunch and dinner. We believe that our family-sized chicken meals provide a healthier and convenient alternative for mothers and families looking to solve the “dinnertime dilemma” of providing their families with high-quality meals without investing significant time or money. In 2016, approximately 27% of our company-operated sales were generated from family-sized meals.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Inviting Experience that Welcomes Our Customers</w:t>
      </w:r>
      <w:r>
        <w:rPr>
          <w:rFonts w:ascii="Arial" w:cs="Arial" w:eastAsia="Arial" w:hAnsi="Arial"/>
          <w:sz w:val="18"/>
          <w:szCs w:val="18"/>
          <w:color w:val="auto"/>
        </w:rPr>
        <w:t>. We believe that our restaurant design creates an inviting restaurant environment. The interiors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feature large, open kitchens that allow customers to watch our Grill Masters prepare our fire-grilled chicken. Our restaurants also feature complimentary self-serve salsa bars that are located at the fronts of our restaurants for added convenience. The salsa bars invite customers to customize their meals with several salsas prepared fresh every day. Our dining rooms include comfortable booths and chairs, while large windows and soft lighting fill our restaurants with light and warmth.</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the atmosphere and quality of service that we provide to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Well-Developed Operations Infrastructure that Allows for Real-Time Control, Fast Feedback, and Innovation</w:t>
      </w:r>
      <w:r>
        <w:rPr>
          <w:rFonts w:ascii="Arial" w:cs="Arial" w:eastAsia="Arial" w:hAnsi="Arial"/>
          <w:sz w:val="17"/>
          <w:szCs w:val="17"/>
          <w:color w:val="auto"/>
        </w:rPr>
        <w:t>. We believe that satisfying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dining needs is the foundation for our business, and we have a well-developed operations platform that allows us to measure our performance in meeting and exceeding those needs. We utilize a state-of-the-art operations dashboard that aggregates real-time, restaurant-level information for nearly every aspect of our business. The dashboard provides corporate and field management, as well as restaurant-level operators, with insight into how we are performing both from the customer’s perspective and also through the eyes of experienced third-party auditors.</w:t>
      </w:r>
    </w:p>
    <w:p>
      <w:pPr>
        <w:spacing w:after="0" w:line="173"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believe that our differentiated QSR+ positioning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drives restaurant operating results that are competitive with other leading restaurant concepts in both the fast casual and QSR industry segments. We believe that our restaurant model is designed to generate strong cash flow, consistent restaurant-level financial results, and high returns on invested capital. In 2016, our company-operated restaurants generated average annual sales per restaurant of approximately $1.9 million and restaurant-level contribution margins of 20.5%.</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Experienced Leadership</w:t>
      </w:r>
      <w:r>
        <w:rPr>
          <w:rFonts w:ascii="Arial" w:cs="Arial" w:eastAsia="Arial" w:hAnsi="Arial"/>
          <w:sz w:val="18"/>
          <w:szCs w:val="18"/>
          <w:color w:val="auto"/>
        </w:rPr>
        <w:t>. Our senior management team has extensive operating experience, with an average of over 20 years of experience each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industry. We are led by our Chief Executive Officer, Steve Sather, who joined us in 2006 and was named CEO in January 2011. Other members of the senior leadership team include Larry Roberts as our Chief Financial Officer, Ed Valle as our Chief Marketing Officer, John Dawson as our Chief Development Officer, and Gustavo Siade as our VP,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we are well-positioned to take advantage of significant growth opportunities because of our differentiated QSR+ positioning, signature fire-grilled chicken, disciplined business model, and strong unit economics. We plan to continue to expand our business, drive restaurant sales growth, improve margins, and enhance our competitive positioning by executing on the following strategies: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Expand Our Restaurant Base. </w:t>
      </w:r>
      <w:r>
        <w:rPr>
          <w:rFonts w:ascii="Arial" w:cs="Arial" w:eastAsia="Arial" w:hAnsi="Arial"/>
          <w:sz w:val="18"/>
          <w:szCs w:val="18"/>
          <w:color w:val="auto"/>
        </w:rPr>
        <w:t>As discussed below under “—Site Selection and Expansion—New Restaurant Development,” we plan to continue to expand</w:t>
      </w:r>
      <w:r>
        <w:rPr>
          <w:rFonts w:ascii="Arial" w:cs="Arial" w:eastAsia="Arial" w:hAnsi="Arial"/>
          <w:sz w:val="18"/>
          <w:szCs w:val="18"/>
          <w:i w:val="1"/>
          <w:iCs w:val="1"/>
          <w:color w:val="auto"/>
        </w:rPr>
        <w:t xml:space="preserve"> </w:t>
      </w:r>
      <w:r>
        <w:rPr>
          <w:rFonts w:ascii="Arial" w:cs="Arial" w:eastAsia="Arial" w:hAnsi="Arial"/>
          <w:sz w:val="18"/>
          <w:szCs w:val="18"/>
          <w:color w:val="auto"/>
        </w:rPr>
        <w:t>our restaurant base.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While most of our growth in 2016 was derived from the expansion of our company-operated restaurant base, we will continue to strategically develop our franchisee relationships and grow our franchised portfolio within existing and new markets.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Our current investment model targets an average new unit cash investment of approximately $1.6 to $1.7 million, net of tenant allowances, and in a restaurant’s third full year of operations, an AUV of approximately $1.8 million and a cash-on-cash return in excess of 20%, although there is no guarantee that these targets will be met.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Increase Our Comparable Restaurant Sales</w:t>
      </w:r>
      <w:r>
        <w:rPr>
          <w:rFonts w:ascii="Arial" w:cs="Arial" w:eastAsia="Arial" w:hAnsi="Arial"/>
          <w:sz w:val="18"/>
          <w:szCs w:val="18"/>
          <w:color w:val="auto"/>
        </w:rPr>
        <w:t>. Our system has experienced 6 straight years of comparable restaurant sales growth through our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28, 2016. We aim to build on this momentum by increasing customer frequency, attracting new customers, and improving per-person spend. Furthermore, we are well positioned to benefit from shifting culinary and demographic trends in the United States.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u w:val="single" w:color="auto"/>
          <w:color w:val="auto"/>
        </w:rPr>
        <w:t>Menu Strategy and Evolution</w:t>
      </w:r>
      <w:r>
        <w:rPr>
          <w:rFonts w:ascii="Arial" w:cs="Arial" w:eastAsia="Arial" w:hAnsi="Arial"/>
          <w:sz w:val="16"/>
          <w:szCs w:val="16"/>
          <w:color w:val="auto"/>
        </w:rPr>
        <w:t>. We will continue to adapt our menu to create entrees that complement our signature fire-grilled chicken and that reinforce our</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differentiated QSR+ positioning. We believe that we have opportunities for menu innovation as we look to provide customers more choices through customization and limited time alternative proteins. In addition, we will continue to tap in to the need for healthier offerings by building on the success of our popular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Increase Brand Awareness and Consumer Engagement</w:t>
      </w:r>
      <w:r>
        <w:rPr>
          <w:rFonts w:ascii="Arial" w:cs="Arial" w:eastAsia="Arial" w:hAnsi="Arial"/>
          <w:sz w:val="17"/>
          <w:szCs w:val="17"/>
          <w:color w:val="auto"/>
        </w:rPr>
        <w:t>. We engage consumers through our 9-module product calendar which features seasonal favorites from</w:t>
      </w:r>
      <w:r>
        <w:rPr>
          <w:rFonts w:ascii="Arial" w:cs="Arial" w:eastAsia="Arial" w:hAnsi="Arial"/>
          <w:sz w:val="17"/>
          <w:szCs w:val="17"/>
          <w:i w:val="1"/>
          <w:iCs w:val="1"/>
          <w:color w:val="auto"/>
        </w:rPr>
        <w:t xml:space="preserve"> </w:t>
      </w:r>
      <w:r>
        <w:rPr>
          <w:rFonts w:ascii="Arial" w:cs="Arial" w:eastAsia="Arial" w:hAnsi="Arial"/>
          <w:sz w:val="17"/>
          <w:szCs w:val="17"/>
          <w:color w:val="auto"/>
        </w:rPr>
        <w:t>our “Under 500 Calorie” low calorie menu to Double Chicken Salads, and Stuffed Quesadillas. Our key points of differentiation are communicated through our advertising campaign, which highlights the lengths we go through to deliver real food cooked on real grills, with real fire. We tailor our message from television and direct mail, which garners broad exposure, to our cost effective e-mail marketing program My Loco Rewards and social media platform where we engage in one-on-one conversations to solicit new ideas and deepen the relationship between our customers and our brand. Within our restaurants we continue to engage our customers at various points along their path to purchase to further drive our differentiation.</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u w:val="single" w:color="auto"/>
          <w:color w:val="auto"/>
        </w:rPr>
        <w:t>Restaurant Design.</w:t>
      </w:r>
      <w:r>
        <w:rPr>
          <w:rFonts w:ascii="Arial" w:cs="Arial" w:eastAsia="Arial" w:hAnsi="Arial"/>
          <w:sz w:val="16"/>
          <w:szCs w:val="16"/>
          <w:i w:val="1"/>
          <w:iCs w:val="1"/>
          <w:color w:val="auto"/>
        </w:rPr>
        <w:t xml:space="preserve"> </w:t>
      </w:r>
      <w:r>
        <w:rPr>
          <w:rFonts w:ascii="Arial" w:cs="Arial" w:eastAsia="Arial" w:hAnsi="Arial"/>
          <w:sz w:val="16"/>
          <w:szCs w:val="16"/>
          <w:color w:val="auto"/>
        </w:rPr>
        <w:t>In 2011, we created the Hacienda restaurant design, which updated the exterior and interior design of our restaurants for remodels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builds. As of the end of 2016 over 75% of our restaurant system was new or remodeled in the Hacienda design. Remodeled restaurants have realized an average comparable sales increase of over 3%. In 2016 we launched our newest restaurant design called Vision. The Vision design elevates the brand image with exterior and interior features that embrace the brand’s authentic roots with warm textures, rustic elements and a focus on the signature open kitchen layout established in previous designs. As of the end of 2016, we had 10 new restaurants open with the Vision design.</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Enhance Restaurant Operations and Leverage Our Infrastructure. </w:t>
      </w:r>
      <w:r>
        <w:rPr>
          <w:rFonts w:ascii="Arial" w:cs="Arial" w:eastAsia="Arial" w:hAnsi="Arial"/>
          <w:sz w:val="18"/>
          <w:szCs w:val="18"/>
          <w:color w:val="auto"/>
        </w:rPr>
        <w:t>Since 2011, we have increased our restaurant contribution margin by 188 basis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20.5% in 2016. We currently have an infrastructure that allows us and our franchisee partners to grow and manage the productivity of each restaurant on a real-time basis. Additionally, we believe that as our restaurant base matures and AUVs increase we will be able to leverage corporate costs and improve margins.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Development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we are in the early stages of our growth story and that our restaurant model is designed to generate strong cash flow, attractive restaurant-level financial results, and high returns on invested capital, which we believe provide us with a strong foundation for expansion. In 2016 we opened 18 new company-operated restaurants, and 13 new franchised restaurants. In fiscal 2017, we intend to open 15 to 20 new company-operated and 8 to 12 new franchised restaurants. There is no guarantee that we will be able to open new company-operated or franchised restaurants, or to increase the overall number of our restaurants. We may be unsuccessful in expanding within existing or into new markets for a variety of reasons described in Item 1A, “Risk Factors,” including competition for customers, sites, franchisees, employees, licenses, and financing. Over the long-term, we plan to grow the number of El Pollo Loco restaurants by 8%-10% annually.</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strategy for entering new markets is to lead with company development while recruiting and developing franchisees to open new restaurants along with us. This strategy will enable us to establish a development, operations, and marketing infrastructure to help ensure that we maximize our consumer proposition and support franchisees as they enter the market. We anticipate that entering new markets with both company-operated and franchised development is the best way to establish our brand, by enabling rapid scaling, thereby driving operational and marketing efficiencies.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expansion strategy is initially focused on the southwestern region of the United States. We believe that this region provides an attractive opportunity to leverage our brand awareness and infrastructure. In 2014, we opened our first Houston restaurant and by the end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320"/>
        <w:spacing w:after="0" w:line="277" w:lineRule="auto"/>
        <w:rPr>
          <w:sz w:val="20"/>
          <w:szCs w:val="20"/>
          <w:color w:val="auto"/>
        </w:rPr>
      </w:pPr>
      <w:r>
        <w:rPr>
          <w:rFonts w:ascii="Arial" w:cs="Arial" w:eastAsia="Arial" w:hAnsi="Arial"/>
          <w:sz w:val="18"/>
          <w:szCs w:val="18"/>
          <w:color w:val="auto"/>
        </w:rPr>
        <w:t>of 2016, we had 12 company locations, and one franchised location. Additionally, in 2016, we launched the El Pollo Loco brand in the Dallas Fort Worth market, where we ended 2016 with six company and three franchise restaurants.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over 100 years of combined experience building such brands as Taco Bell, McDonald’s, Starbucks, Jack-in-the-Box, Wendy’s,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experience and results, we are currently focused on developing freestanding sites with drive-thrus. Our restaurants perform well in a variety of neighborhoods, which gives us greater flexibility and lowers operating risk when selecting new restaurant locations.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Construction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After identifying a lease site, we commence our restaurant build-out. Our new restaurants are either ground-up prototypes or conversions. We estimate that each ground-up build-out of a restaurant requires an average total cash investment of approximately $1.6 to $1.7 million, net of tenant allowances. We estimate that each conversion requires a total cash investment of approximately $0.8 to $1.1 million. On average, it takes approximately 12 to 18 months from specific site identification to restaurant opening. In order to maintain consistency of food and customer service, as well as our colorful, bright, and contemporary restaurant environment, we have set processes and timelines to follow for all restaurant openings.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restaurants are constructed in approximately 12 to 15 weeks, and the development and construction of our new sites is the responsibility of our Development Department. A conversion typically takes approximately two months to complete. Several real estate managers are responsible for locating and leasing potential restaurant sites. Construction managers are then responsible for building our restaurants, and several staff members manage purchasing, budgeting, scheduling, and other related administrative functions.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dining room environment, personally visiting tables to ensure every customer’s satisfaction and monitoring the fresh salsa bar and beverage station for cleanliness and an ample supply of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utilize systems that are aimed at measuring our ability to deliver a “best in class” experience for our customers. These systems include customer surveys, mystery shopper scores,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w:t>
      </w:r>
    </w:p>
    <w:p>
      <w:pPr>
        <w:spacing w:after="0" w:line="17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measure the execution of our system standards within each restaurant through our commitment to our Restaurant Assessment Program (“RAP”). RAP audits are conducted in each restaurant twice annually, or may be more frequent based upon restaurant performance. Additionally, we have food safety and quality assurance programs designed to maintain the highest standards for the food and the food preparation procedures that are used by both company-operated and franchised restaurants. We employ third-party auditors that perform our RAP and food safety restaurant audits.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of our restaurants typically has a general manager, an assistant manager, and two to three shift leaders. There are between 20 and 35 team members, per restaurant, who prepare our food fresh daily and provide customer service. To lead our restaurant management teams, we have area leaders, each of whom is responsible for eight to 12 restaurants. Overseeing the area leaders are four directors of operations. Our VP of operations leads our company-operated restaurants, managing sales, profitability, customer service targets, and franchise support services.</w:t>
      </w:r>
    </w:p>
    <w:p>
      <w:pPr>
        <w:spacing w:after="0" w:line="17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We are selective in our hiring processes, aiming to staff our restaurants with team members who are friendly, customer-focused, and driven to provide high-quality products. Our team members are cross-trained in several disciplines to maximize depth of competency and efficiency in critical restaurant functions. Our focus on hiring the best possible employees has enabled us to develop a culture that breeds loyalty throughout our employee base. Many team members and managers have been employed by us for longer than 15 years, and it is not rare to identify team members with more than 20 years of seniority.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People Work for Pollo”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Our people are the center of the El Pollo Loco customer experience. Creating a culture of constant learning has been essential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equipping our people with the skills to deliver that experience, and in a rapidly evolving landscape, effective training is not only dependent on quality of content, but also on method of delivery. Recognizing that we live in a digital age with a growing base of millennial employees, we are transitioning from print-based training to a blended learning approach facilitated by the launch of our first Learning Management System – POLLO ZONE. This platform will serve as central hub for all training efforts and features individual learner profiles to support engagement and accountability on our path toward measurably improving our people.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We use a franchising strategy to increase new restaurant growth in certain markets, leveraging the ownership of entrepreneurs with specific local market expertise, and requiring a relatively minimal capital commitment by us. As of December 28, 2016, there were a total of 259 franchised restaurants. Franchisees range in size from single-restaurant operators to the largest franchisee, which owned 62 restaurants as of December 28, 2016. Our existing franchise base consists of many successful, longstanding, multi-unit restaurant operators. As of December 28, 2016, approximately 77% of franchised restaurants were owned and operated by franchisees that had been with us for over 20 years.</w:t>
      </w:r>
    </w:p>
    <w:p>
      <w:pPr>
        <w:spacing w:after="0" w:line="1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In 2017 we are expanding this support by offering our franchise partners the opportunity to join in the launch of our first Learning Management System – POLLO ZONE. This platform will serve as a central hub for all training efforts and features individual learner profiles that will provide our franchise owners with real-time access to the progress of learning in their restaurants.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promote our restaurants and products emphasizing our points of differentiation, from our fresh ingredients and scratch preparation, to the cooking of our citrus-marinated chicken on open fire grills in full view in our kitchens.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use multiple marketing channels, including television, digital, and print, to broadly drive brand awareness and purchases of our featured products. We advertise on local broadcast and cable television.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20"/>
        <w:spacing w:after="0" w:line="264" w:lineRule="auto"/>
        <w:rPr>
          <w:sz w:val="20"/>
          <w:szCs w:val="20"/>
          <w:color w:val="auto"/>
        </w:rPr>
      </w:pPr>
      <w:r>
        <w:rPr>
          <w:rFonts w:ascii="Arial" w:cs="Arial" w:eastAsia="Arial" w:hAnsi="Arial"/>
          <w:sz w:val="18"/>
          <w:szCs w:val="18"/>
          <w:color w:val="auto"/>
        </w:rPr>
        <w:t>Through our public relations efforts, we engage notable food editors and bloggers on a range of topics to help promote our products. In addition, we engage in one-on-one conversations using a portfolio of social media platforms, including Facebook, Twitter, Instagram and YouTube. We also use social media as a research and customer service tool, and apply insights gained to future marketing efforts.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created El Pollo Loco Charities, a non-profit charity, to support the communities surrounding our restaurants. El Pollo Loco Charities has provided over 10,000 meals per year to underprivileged families, through organizations like South County Food Outreach, Habitat for Humanity, Children’s Institute, and Court Appointed Special Advocates (“CASA”).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that performs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Our franchisees are required to use our primary distributor or an approved regional distributor, and franchisees must purchase food and supplies from approved suppliers. Poultry is our largest product cost item and represented approximately 40% of our total food and paper costs for 2016.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two months to three years, depending on current and expected market conditions. We currently source poultry from five suppliers, with two accounting for approximately 70% of our planned purchases for fiscal 2017. We have fixed prices for 100% of our poultry supply through the end of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We have registered El Pollo Loco </w:t>
      </w:r>
      <w:r>
        <w:rPr>
          <w:rFonts w:ascii="Arial" w:cs="Arial" w:eastAsia="Arial" w:hAnsi="Arial"/>
          <w:sz w:val="14"/>
          <w:szCs w:val="14"/>
          <w:color w:val="auto"/>
        </w:rPr>
        <w:t>®</w:t>
      </w:r>
      <w:r>
        <w:rPr>
          <w:rFonts w:ascii="Arial" w:cs="Arial" w:eastAsia="Arial" w:hAnsi="Arial"/>
          <w:sz w:val="17"/>
          <w:szCs w:val="17"/>
          <w:color w:val="auto"/>
        </w:rPr>
        <w:t xml:space="preserve"> , Pollo Bowl </w:t>
      </w:r>
      <w:r>
        <w:rPr>
          <w:rFonts w:ascii="Arial" w:cs="Arial" w:eastAsia="Arial" w:hAnsi="Arial"/>
          <w:sz w:val="14"/>
          <w:szCs w:val="14"/>
          <w:color w:val="auto"/>
        </w:rPr>
        <w:t>®</w:t>
      </w:r>
      <w:r>
        <w:rPr>
          <w:rFonts w:ascii="Arial" w:cs="Arial" w:eastAsia="Arial" w:hAnsi="Arial"/>
          <w:sz w:val="17"/>
          <w:szCs w:val="17"/>
          <w:color w:val="auto"/>
        </w:rPr>
        <w:t xml:space="preserve"> , The Crazy Chicken </w:t>
      </w:r>
      <w:r>
        <w:rPr>
          <w:rFonts w:ascii="Arial" w:cs="Arial" w:eastAsia="Arial" w:hAnsi="Arial"/>
          <w:sz w:val="14"/>
          <w:szCs w:val="14"/>
          <w:color w:val="auto"/>
        </w:rPr>
        <w:t>®</w:t>
      </w:r>
      <w:r>
        <w:rPr>
          <w:rFonts w:ascii="Arial" w:cs="Arial" w:eastAsia="Arial" w:hAnsi="Arial"/>
          <w:sz w:val="17"/>
          <w:szCs w:val="17"/>
          <w:color w:val="auto"/>
        </w:rPr>
        <w:t xml:space="preserve"> , and certain other names used by our restaurants as trademarks or service marks with the U.S. Patent and Trademark Office (the “PTO”), and El Pollo Loco </w:t>
      </w:r>
      <w:r>
        <w:rPr>
          <w:rFonts w:ascii="Arial" w:cs="Arial" w:eastAsia="Arial" w:hAnsi="Arial"/>
          <w:sz w:val="14"/>
          <w:szCs w:val="14"/>
          <w:color w:val="auto"/>
        </w:rPr>
        <w:t>®</w:t>
      </w:r>
      <w:r>
        <w:rPr>
          <w:rFonts w:ascii="Arial" w:cs="Arial" w:eastAsia="Arial" w:hAnsi="Arial"/>
          <w:sz w:val="17"/>
          <w:szCs w:val="17"/>
          <w:color w:val="auto"/>
        </w:rPr>
        <w:t xml:space="preserve"> in approximately 42 foreign countries. In addition, the El Pollo Loco logo, website name and address, and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Rubio’s, and Taco Cabana, among others, and with chicken-specialty QSRs and Mexican QSRs, such as Chick-fil-A, Church’s Chicken, KFC, Popeyes Louisiana Kitchen, and Taco Bell, among others.</w:t>
      </w:r>
    </w:p>
    <w:p>
      <w:pPr>
        <w:spacing w:after="0" w:line="178"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We believe that competition within the fast 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40"/>
        <w:spacing w:after="0" w:line="287"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underground storage tanks.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any contamination. Although we lease most of our properties, and, when we own, we obtain certain assurances from the prior owner or often obtain indemnity agreements from third parties, we cannot assure you that we will not be liable for environmental conditions relating to our prior, existing, or future restaurants or restaurant sites. If we were found liable for the cost of remediation of contamination at, or emanating from, any of our properties, our operating expenses would likely increase and our operating results would likely be materially and adversely affected.</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extensive federal, state, and local government regulations, including those relating to, among other things, public health and safety, zoning and fire codes, and franchising. Failures to obtain or retain food or 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development and construction of additional restaurants will be subject to compliance with applicable zoning, land use and environmental regulations. We believe that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overtime, unemployment tax rates, workers’ compensation rates, citizenship requirements, and other working requirements and conditions. A significant portion of our hourly staff is paid at rates consistent with the applicable federal, state, or local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regulatory and compliance risks that we face, see Item 1A, “Risk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EMV tokenized high speed credit and gift card processing hardware. Our point-of-sale system is used to collect daily transaction data, which provides daily sales and product mix information that we actively analyze.</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28, 2016, we had approximately 5,355 employees, of whom approximately 5,191 were hourly restaurant employees comprised of 4,241 crewmembers, 210 general managers, 226 assistant managers, 388 shift leaders, and 126 employees in limited-time roles as acting managers or as managers in training. The remaining 164 employees were corporate and office personnel. None of our employees are part of a collective bargaining agreement, and we believe that our relationships with our employees are satisfactory.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make available free of charge on our Internet website our annual reports on Form 10-K, quarterly reports on Form 10-Q, current reports on Form 8-K, and amendments to those reports filed or furnished pursuant to Section 13(a) or 15(d) of the Securities Exchange Act of 1934, as amended (the “Exchange Act”) (15 U.S.C. 78m(a) or 78o(d)),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public may read and copy any materials that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could materially affect us in the future.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transactions and lower average check sizes in our restaurants. If the economy experiences another significant decline, our business, results of operations, and ability to comply with the terms of our secured revolving credit facility could be materially and adversely affected, and we and our franchisees might decelerate the number and timing of new restaurant openings. Deterioration in customer transactions or a reduction in average check size would negatively impact our revenues and our profitability and could result in further reductions in staff levels, additional impairment charges, and potential restaurant closures.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transactions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social factors, including regarding trade, immigration or customer preferences, could negatively impact our business.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is dependent upon continued customer acceptance of our Mexican-inspired food. Increases in tariffs, restrictions on trade, or other deterioration in American political or economic relations with Mexico, or a diminishment in American consumers’ interest in Mexican-inspired food, could harm our brand and profitability. Additionally, changes in trade, labor, or immigration policy could raise our input prices, or reduce the supply of immigrants who are in many cases our customers or employees, diminishing our sales and increasing our labor costs.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geographically concentrated in the greater Los Angeles area, and we could be negatively affected by conditions specific to that region.</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75% of our revenue in fiscal 2016 and approximately 79% in fiscal 2015.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transactions in our restaurants. As a result of our concentration in the greater Los Angeles area, we have been disproportionately affected by the above adverse economic conditions as compared to other national chain restaurants.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prolonged or severe inclement weather could affect our sales at restaurants in locations that experience such conditions, which could materially and adversely affect our business, financial condition, and results of operations. Weather conditions could impact our business more than other businesses in our industry because of our significant concentration of restaurants in the greater Los Angeles area. We may also suffer unexpected losses resulting from natural disasters or other catastrophic events affecting our areas of operation,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42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18 new company-operated restaurants in fiscal 2016 and plan to open an estimated 15 to 20 in fiscal 2017. Our franchisees opened 13 new restaurants in fiscal 2016 and plan to open 8 to 12 in fiscal 2017. The ability to open new restaurants is dependent upon a number of factors, many of which are beyond our control, including our and our franchisees’ abilities to:</w:t>
      </w:r>
    </w:p>
    <w:p>
      <w:pPr>
        <w:spacing w:after="0" w:line="79"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18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fiscal 2016, we determined that the carrying value of the assets of nine restaurants, in Arizona, California and Texas, may not be recoverable. As a result, we recorded a $8.3 million expense related to the impairment of the assets of the nine restaurants. We continue to monitor the recoverability of the carrying value of the assets of several other restaurants.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Changes in food and supply costs, especially for chicken, could adversely affect our business, financial condition, and results of operations.</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including tariffs and other import restrictions on foreign produce and other goods. At times the costs of many foods for humans and animals, including corn, wheat, corn flour and other flour, rice, and cooking oil, have increased markedly, resulting in upward pricing pressures on almost all of our raw ingredients, including chicken and other meats, and increasing our food costs. Environmental and weather-related issues, such as freezes and drought, and climate change, may also lead to increases, temporary or permanent, or spikes in the prices of some ingredients, such as produce and meat. Issues affecting the availability of produce, poultry, or other proteins such as shrimp, including blight, disease, and overfishing, have in the past and may in the future also raise their prices. Any increase in the prices of the ingredients most critical to our menu, such as chicken,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Any such changes to our menu prices or available menu could negatively impact our restaurant transactions, business, and comparable restaurant sales during the shortage and thereafter.</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principal food product is chicken. In fiscal 2016, 2015, and 2014, the cost of chicken included in our product cost was approximately 12.4%, 13.4%, and 12.6%,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 major driver of the price of corn, which is the primary feed source for chicken, has been the increasing demand for corn by the ethanol industry as an alternative fuel source, as most ethanol plants in the United States primarily use corn to make ethanol. This increased demand on the nation’s corn crop has had and may continue to have an unfavorable impact on chicken prices. Additionally, environmental and animal rights regulations or voluntary programs could increase the cost or supply of chicken and other foods. We occasionally ask our suppliers to use futures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 could be materially and adversely affected, at both company-operated and franchised restaurants.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from time to time, faced with negative publicity at one or more of our restaurants relating to (i) food quality; (ii) the safety, sanitation, and welfare of chicken, which is our principal food product; (iii) restaurant facilities; (iv) customer complaints or litigation alleging illness or injury; (v) health inspection scores; (vi) integrity of our or our suppliers’ food processing and other policies, practices, and procedures; (vii) employee relationships; or (viii) other matters. Negative publicity 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For example, we, or other chicken purveyors or restaurant companies generally, could come under criticism from animal rights and welfare activists for our business practices or those of our suppliers. Such criticisms could impair our brand, our restaurant sales, our hiring, our expansion plans, and the performance of our franchisees. If we changed our practices because of concerns about animal welfare, or in response to such criticisms, our costs might increase, or we might have to change our suppliers or our menu.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 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quick-service restaurants unrelated to us could likewise create negative publicity, which could negatively impact consumer behavior towards us.</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cannot guarantee that our internal controls and training will be fully effective in preventing all food-borne illnesses.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 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2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incur losses in the future.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Although we have exhibited positive net income in 2014 to 2016, before fiscal 2014, we incurred net losses in each of the preceding seven fiscal years. We may incur net losses in the future, and we cannot guarantee that we will sustain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comply with our debt covenants, and the volatile credit and capital markets, could have material adverse effects on our financial condition.</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ability to manage our debt is dependent upon our level of positive cash flow from company-operated and franchised restaurants, net of costs. An economic downturn could negatively impact our cash flow. Credit and capital markets can be volatile, making it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secured revolving credit facility or to have sufficient liquidity to make interest and other payments required by our debt could result in a default on our debt and acceleration of our borrowings, which would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level of indebtedness could materially and adversely affect our business, financial condition, and results of operations.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substantial debt service obligations. At December 28, 2016, our total debt was approximately $104.5 million (including capital lease obligations), and we had $87.9 million of credit available under our secured revolving credit facility, which was reduced by approximately $8.1 million from outstanding letters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significant effects on our business, such as:</w:t>
      </w:r>
    </w:p>
    <w:p>
      <w:pPr>
        <w:spacing w:after="0" w:line="117" w:lineRule="exact"/>
        <w:rPr>
          <w:sz w:val="20"/>
          <w:szCs w:val="20"/>
          <w:color w:val="auto"/>
        </w:rPr>
      </w:pPr>
    </w:p>
    <w:p>
      <w:pPr>
        <w:ind w:left="520" w:right="24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62"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62"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with less debt; and</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2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Any of these competitive factors may materially and adversely affect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there could be a material adverse effect on our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rely in part on our franchisees and the manner in which they operate their locations to develop and promote our business. As of December 28, 2016, our top 10 franchisees operated over 66% of our franchised restaurants and two franchisees operated over 36%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December 28, 2016, we had executed development agreements that represent commitments to open 49 franchised restaurants at various dates through 2019. Although we have developed criteria to evaluate and screen prospective developers and franchisees, we cannot be certain that the developers and franchisees that we select will have the business acumen or financial resources necessary to 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in the future as we continue to offer 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customers’ credit and debit card data, we could be exposed to data loss, litigation, liability, and reputational damage.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accept electronic payment cards from our customers in our restaurants. For the fiscal year ended December 28, 2016, approximately 51%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 security breaches in this respect, we may in the future become subject to claims for purportedly fraudulent transactions arising out of the 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and compliance with those changes may result in cost increases due to necessary system and process changes.</w:t>
      </w:r>
    </w:p>
    <w:p>
      <w:pPr>
        <w:spacing w:after="0" w:line="2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We have registered El Pollo Loco </w:t>
      </w:r>
      <w:r>
        <w:rPr>
          <w:rFonts w:ascii="Arial" w:cs="Arial" w:eastAsia="Arial" w:hAnsi="Arial"/>
          <w:sz w:val="13"/>
          <w:szCs w:val="13"/>
          <w:color w:val="auto"/>
        </w:rPr>
        <w:t>®</w:t>
      </w:r>
      <w:r>
        <w:rPr>
          <w:rFonts w:ascii="Arial" w:cs="Arial" w:eastAsia="Arial" w:hAnsi="Arial"/>
          <w:sz w:val="16"/>
          <w:szCs w:val="16"/>
          <w:color w:val="auto"/>
        </w:rPr>
        <w:t xml:space="preserve">, Pollo Bowl </w:t>
      </w:r>
      <w:r>
        <w:rPr>
          <w:rFonts w:ascii="Arial" w:cs="Arial" w:eastAsia="Arial" w:hAnsi="Arial"/>
          <w:sz w:val="13"/>
          <w:szCs w:val="13"/>
          <w:color w:val="auto"/>
        </w:rPr>
        <w:t>®</w:t>
      </w:r>
      <w:r>
        <w:rPr>
          <w:rFonts w:ascii="Arial" w:cs="Arial" w:eastAsia="Arial" w:hAnsi="Arial"/>
          <w:sz w:val="16"/>
          <w:szCs w:val="16"/>
          <w:color w:val="auto"/>
        </w:rPr>
        <w:t xml:space="preserve">, The Crazy Chicken </w:t>
      </w:r>
      <w:r>
        <w:rPr>
          <w:rFonts w:ascii="Arial" w:cs="Arial" w:eastAsia="Arial" w:hAnsi="Arial"/>
          <w:sz w:val="13"/>
          <w:szCs w:val="13"/>
          <w:color w:val="auto"/>
        </w:rPr>
        <w:t>®</w:t>
      </w:r>
      <w:r>
        <w:rPr>
          <w:rFonts w:ascii="Arial" w:cs="Arial" w:eastAsia="Arial" w:hAnsi="Arial"/>
          <w:sz w:val="16"/>
          <w:szCs w:val="16"/>
          <w:color w:val="auto"/>
        </w:rPr>
        <w:t>, and certain other names used by our restaurants as trademarks or service marks with the PTO and El Pollo Loco</w:t>
      </w:r>
      <w:r>
        <w:rPr>
          <w:rFonts w:ascii="Arial" w:cs="Arial" w:eastAsia="Arial" w:hAnsi="Arial"/>
          <w:sz w:val="13"/>
          <w:szCs w:val="13"/>
          <w:color w:val="auto"/>
        </w:rPr>
        <w:t>®</w:t>
      </w:r>
      <w:r>
        <w:rPr>
          <w:rFonts w:ascii="Arial" w:cs="Arial" w:eastAsia="Arial" w:hAnsi="Arial"/>
          <w:sz w:val="16"/>
          <w:szCs w:val="16"/>
          <w:color w:val="auto"/>
        </w:rPr>
        <w:t xml:space="preserve"> in approximately 42 foreign countries. In addition, the El Pollo Loco logo, website name and address, and Facebook, Twitter, Instagram and YouTube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 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80"/>
        <w:spacing w:after="0" w:line="277" w:lineRule="auto"/>
        <w:rPr>
          <w:sz w:val="20"/>
          <w:szCs w:val="20"/>
          <w:color w:val="auto"/>
        </w:rPr>
      </w:pPr>
      <w:r>
        <w:rPr>
          <w:rFonts w:ascii="Arial" w:cs="Arial" w:eastAsia="Arial" w:hAnsi="Arial"/>
          <w:sz w:val="18"/>
          <w:szCs w:val="18"/>
          <w:color w:val="auto"/>
        </w:rPr>
        <w:t>in the United States and in foreign countries will be adequate. In addition, the laws of some foreign countries do not protect intellectual property rights to the same extent as do the laws of the United States.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board of directors, executive officers, and key employees.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rely upon the accumulated knowledge, skills, and experience of the members of our board of directors, our executive officers, and our key employees. If they were to leave us or become incapacitated, we might suffer in our planning and execution of business strategy and operations, impacting our brand and financial results. We also do not maintain any key man life insurance policies for any of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2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lawsuits on behalf of purported classes. See Item 3, “Legal Proceedings.”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0" w:name="page21"/>
    <w:bookmarkEnd w:id="20"/>
    <w:p>
      <w:pPr>
        <w:ind w:right="40"/>
        <w:spacing w:after="0" w:line="277" w:lineRule="auto"/>
        <w:rPr>
          <w:sz w:val="20"/>
          <w:szCs w:val="20"/>
          <w:color w:val="auto"/>
        </w:rPr>
      </w:pPr>
      <w:r>
        <w:rPr>
          <w:rFonts w:ascii="Arial" w:cs="Arial" w:eastAsia="Arial" w:hAnsi="Arial"/>
          <w:sz w:val="18"/>
          <w:szCs w:val="18"/>
          <w:color w:val="auto"/>
        </w:rPr>
        <w:t>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a decrease in the labor supply due to changes in immigration policy including barriers to immigrants entering, working in, or remaining in the United States,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substantial number of hourly employees who are paid wage rates at or based on the applicable federal, state, or local minimum wage, and increases in the minimum wage will increase our labor costs and the labor costs of our franchisees. The federal minimum wage has been $7.25 per hour since July 24, 2009. From January 1, 2016, to December 31, 2016, the State of California (where most of our restaurants are located) had a minimum wage of $10.00 per hour. From January 1, 2008, to June 30, 2014, it had been $8.00 per hour and from July 1, 2014 to December 31, 2015, it had been $9.00 per hour. It rose to $10.50 per hour on January 1, 2017, and is scheduled to rise to (i) $11.00 per hour on January 1, 2018, (ii) $12.00 per hour on January 1, 2019, (iii) $13.00 per hour on January 1, 2020, (iv) $14.00 per hour on January 1, 2021, and (v) $15.00 per hour on January 1, 2022, subject, in each case (except for the case of $10.50 per hour), to the governor’s ability to pause any scheduled increase (“off-ramp”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right="18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July 1, 2020, $15.00, and (vi)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2016, approximately 75% of our revenue came from company-operated and franchised restaurants in the greater Los Angeles area, including 11% from the City of Los Angeles, 39%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500"/>
        <w:spacing w:after="0" w:line="277" w:lineRule="auto"/>
        <w:rPr>
          <w:sz w:val="20"/>
          <w:szCs w:val="20"/>
          <w:color w:val="auto"/>
        </w:rPr>
      </w:pPr>
      <w:r>
        <w:rPr>
          <w:rFonts w:ascii="Arial" w:cs="Arial" w:eastAsia="Arial" w:hAnsi="Arial"/>
          <w:sz w:val="18"/>
          <w:szCs w:val="18"/>
          <w:color w:val="auto"/>
        </w:rPr>
        <w:t>sufficiently qualified individuals, our business and our growth could be adversely affected. Competition for qualified employees could require us or our franchisees to pay higher wages, which could also result in higher labor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ends of their terms.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of our restaurant leases are non-cancelable and typically have initial terms of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 our operations do not meet their standards for initial grant or renewal. This risk will increase if there is a major change in the licensing requirements affecting our types of restaurants.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Patient Protection and Affordable Care Act of 2010 (the “PPACA”) requires employers such as us to provide adequate and affordable health insurance for all qualifying employees or to pay a monthly per-employee fee or penalty for non-compliance. Under current law, changes in government-mandated health care benefits under the PPACA are anticipated to remain constant over last year. In 2016, we experienced a marginal enrollment increase in our health plans with newly eligible employees. Because participation in the health plans by new, full-time employees was marginal, the cost increases did not result in modifications to our business practices. However, future cost increases may be material and any future modifications to our business practices may be disruptive to our operations and impact our ability to attract and retain personnel.</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Changes in health, safety, construction, labor, environmental, or other laws or regulations, including changes to or repeal of the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2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line="271"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While we believe that our food is generally healthier than that of our peers, customers may disagree or change their dining habits to avoid QSR-like restaurants altogether.</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2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17" w:lineRule="exact"/>
        <w:rPr>
          <w:sz w:val="20"/>
          <w:szCs w:val="20"/>
          <w:color w:val="auto"/>
        </w:rPr>
      </w:pPr>
    </w:p>
    <w:p>
      <w:pPr>
        <w:ind w:left="520" w:right="26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into the air and water, as well as waste handling and disposal practices for solid and hazardous wastes;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impose liability for the costs of cleaning up, and the damage resulting from, sites of past spills, disposals, or other releases of hazardous materials.</w:t>
      </w:r>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and adversely affected. See Item 1, “Business—Environmental Matters.”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entered into an income tax receivable agreement (the “TRA”) with our pre-IPO stockholders,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520"/>
        <w:spacing w:after="0" w:line="277" w:lineRule="auto"/>
        <w:rPr>
          <w:sz w:val="20"/>
          <w:szCs w:val="20"/>
          <w:color w:val="auto"/>
        </w:rPr>
      </w:pPr>
      <w:r>
        <w:rPr>
          <w:rFonts w:ascii="Arial" w:cs="Arial" w:eastAsia="Arial" w:hAnsi="Arial"/>
          <w:sz w:val="18"/>
          <w:szCs w:val="18"/>
          <w:color w:val="auto"/>
        </w:rPr>
        <w:t>Our payments under the TRA may be material. As of December 28, 2016, we had an accrued payable related to this agreement of approximately $38.7 million. In fiscal 2016, we paid $3.2 million to our pre-IPO stockholders under the TRA.</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Trimaran Pollo Partners, L.L.C. (“LLC”), owns approximately 43.5%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nine directors, including our chairman, are affiliated with Trimaran or Freeman Spogli.</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38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and we rely on our operating subsidiaries to provide us with the funds necessary to meet our financial obligations and to pay dividends.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8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Under our secured revolving credit facility, Holdings may not make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w:t>
      </w:r>
    </w:p>
    <w:p>
      <w:pPr>
        <w:spacing w:after="0" w:line="25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and of the Sarbanes-Oxley Act of 2002, as amended (the “Sarbanes-Oxley Act”), to the listing requirements of the NASDAQ Global Select market (the “NASDAQ”), and to other applicable securities statutes and regulations. These statutes and regulations have increased, and will continue to increase, our legal, accounting, and financial compliance costs, and have made, and will continue to make, some activities more time-consuming and costly, particularly after we cease to be an “emerging growth company,” as defined in the JOBS Act. For example, these statutes and regulations could make it more difficult and costly for us to obtain director and officer liability insurance, and we may be required to accept reduced policy limits and coverage or to incur substantial costs to maintain the same or similar coverage. These statutes and regulations could also make it more difficult for us to attract and retain qualified individuals to serve on our board of directors, on board committees, or as executive officers. Our management and other personnel devote a substantial amount of time to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1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being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could harm our results of operations.</w:t>
      </w:r>
    </w:p>
    <w:p>
      <w:pPr>
        <w:spacing w:after="0" w:line="29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right="80"/>
        <w:spacing w:after="0" w:line="264" w:lineRule="auto"/>
        <w:rPr>
          <w:sz w:val="20"/>
          <w:szCs w:val="20"/>
          <w:color w:val="auto"/>
        </w:rPr>
      </w:pPr>
      <w:r>
        <w:rPr>
          <w:rFonts w:ascii="Arial" w:cs="Arial" w:eastAsia="Arial" w:hAnsi="Arial"/>
          <w:sz w:val="18"/>
          <w:szCs w:val="18"/>
          <w:color w:val="auto"/>
        </w:rPr>
        <w:t>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increased stock price volatility.</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can remain an “emerging growth company” for up to five years from our IPO, or until the earliest of (a) the last day of the first fiscal year in which our annual gross revenues exceed $1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were not previously required to assess the effectiveness of our internal control over financial reporting; we have and may continue to identify deficiencies as we do so.</w:t>
      </w:r>
    </w:p>
    <w:p>
      <w:pPr>
        <w:spacing w:after="0" w:line="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internal control over financial reporting, starting with our second annual report. Prior to our second annual report, we were not subject to this requirement. Accordingly, as we continue to mature as a public company and follow the necessary procedures and practices related to internal control over financial reporting, we may identify deficiencies.</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particular, as disclosed under Item 9A, “Controls and Procedures,” in the first quarter of 2017, in the process of evaluating the effectiveness of our internal control over financial reporting, we identified material weaknesses, discussed in Item 9A, in our internal control over financial reporting as of December 28, 2016. These and future deficiencies or weaknesses, whether or not identified or remediated, or failure to achieve and maintain an effective internal control environment generally, could have a material adverse effect on our business, our finances and financial reporting, and our stock price.</w:t>
      </w:r>
    </w:p>
    <w:p>
      <w:pPr>
        <w:spacing w:after="0" w:line="2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Prior to our IPO, there was no public market for our common stock. Shares of our common stock were sold in our IPO in July 2014 at a price of $15.00 per share, and our common stock has subsequently traded as high as $41.70 and as low as $9.58. An active, liquid, and orderly market for our common stock may not be sustained, which could depress the trading price of our common stock or cause it to be highly volatile or subject to wide fluctuations. The market price of our common stock has fluctuated and may continue to fluctuate, or may decline significantly in the future. Some of the factors that could negatively affect our share price or result in fluctuations in the price or trading volume of our common stock include:</w:t>
      </w:r>
    </w:p>
    <w:p>
      <w:pPr>
        <w:spacing w:after="0" w:line="6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17"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increased indebtedness that we may incur in the future;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6" w:name="page27"/>
    <w:bookmarkEnd w:id="26"/>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17" w:lineRule="exact"/>
        <w:rPr>
          <w:rFonts w:ascii="Arial" w:cs="Arial" w:eastAsia="Arial" w:hAnsi="Arial"/>
          <w:sz w:val="18"/>
          <w:szCs w:val="18"/>
          <w:color w:val="auto"/>
        </w:rPr>
      </w:pPr>
    </w:p>
    <w:p>
      <w:pPr>
        <w:ind w:left="520" w:right="86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We are currently defending against such litigation. See Item 3, “Legal Proceedings”. Such litigation could result in substantial costs and a diversion of our management’s attention and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and the perception that these sales could occur could also depress the market price of our common stock or impede our ability to raise equity capital. No lock-up agreements presently are in effect. LLC presently owns approximately 43.5% of our outstanding common stock and could sell stock publicly either if the stock were registered or if the exemption requirements of Rule 144 were satisfied.</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issuance of additional common stock in connection with our incentive plan, acquisitions, or otherwise will dilute all other stockholdings.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2017, we had an aggregate of 158,632,653 shares of common stock authorized, unissued, and not reserved for incentive plan issuance.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all other stockholders.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right="80"/>
        <w:spacing w:after="0" w:line="277" w:lineRule="auto"/>
        <w:rPr>
          <w:sz w:val="20"/>
          <w:szCs w:val="20"/>
          <w:color w:val="auto"/>
        </w:rPr>
      </w:pPr>
      <w:r>
        <w:rPr>
          <w:rFonts w:ascii="Arial" w:cs="Arial" w:eastAsia="Arial" w:hAnsi="Arial"/>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difficult for, or prevent, a third party from acquiring control of us without the approval of our board of directors. Among other things, these provisions:</w:t>
      </w:r>
    </w:p>
    <w:p>
      <w:pPr>
        <w:spacing w:after="0" w:line="79"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allow a minority of stockholders to elect director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delegate the sole power to a majority of the board of directors to fix the number of directors;</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the power to our board of directors to fill any vacancy on our board of directors, whether such vacancy occurs as a result of an increase in the number of directors or otherwise;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17" w:lineRule="exact"/>
        <w:rPr>
          <w:rFonts w:ascii="Arial" w:cs="Arial" w:eastAsia="Arial" w:hAnsi="Arial"/>
          <w:sz w:val="18"/>
          <w:szCs w:val="18"/>
          <w:color w:val="auto"/>
        </w:rPr>
      </w:pPr>
    </w:p>
    <w:p>
      <w:pPr>
        <w:ind w:left="520" w:right="78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62" w:lineRule="exact"/>
        <w:rPr>
          <w:rFonts w:ascii="Arial" w:cs="Arial" w:eastAsia="Arial" w:hAnsi="Arial"/>
          <w:sz w:val="18"/>
          <w:szCs w:val="18"/>
          <w:color w:val="auto"/>
        </w:rPr>
      </w:pPr>
    </w:p>
    <w:p>
      <w:pPr>
        <w:ind w:left="520" w:right="100" w:hanging="512"/>
        <w:spacing w:after="0" w:line="31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28, 2016, our restaurant system consisted of 460 restaurants, comprised of 201 company-operated restaurants and 259 franchised restaurants, located in California, Arizona, Nevada, Texas, and Utah. In addition, we currently license our brand to two restaurants in the Philippines. We have not included these two licensed restaurants as part of our unit count as presented in this annual report. The table below sets forth the locations (by state) for all restaurants in operation.</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Franchised</w:t>
            </w: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Operated</w:t>
            </w:r>
          </w:p>
        </w:tc>
        <w:tc>
          <w:tcPr>
            <w:tcW w:w="12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51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California</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Arizona</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Texas</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Utah</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two or three renewal terms of five years.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8" w:name="page29"/>
    <w:bookmarkEnd w:id="28"/>
    <w:p>
      <w:pPr>
        <w:ind w:right="100"/>
        <w:spacing w:after="0" w:line="276" w:lineRule="auto"/>
        <w:rPr>
          <w:sz w:val="20"/>
          <w:szCs w:val="20"/>
          <w:color w:val="auto"/>
        </w:rPr>
      </w:pPr>
      <w:r>
        <w:rPr>
          <w:rFonts w:ascii="Arial" w:cs="Arial" w:eastAsia="Arial" w:hAnsi="Arial"/>
          <w:sz w:val="17"/>
          <w:szCs w:val="17"/>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three to franchisees. In addition, we operate 186 company-operated restaurants on leased real estate, an owned operating unit with additional parking on leased real estate, and have another 16 leased sites that are subleased or assigned to franchisees who operate El Pollo Loco restaurants. We also have one closed unit and two units subleased for uses other than El Pollo Loco.</w:t>
      </w:r>
    </w:p>
    <w:p>
      <w:pPr>
        <w:spacing w:after="0" w:line="17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lease our headquarters, consisting of approximately 29,880 square feet in Costa Mesa, California, for a term expiring in 2023, plus one three-year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3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has been submitted for court approval. Purported class actions alleging wage and hour violations are commonly filed against California employers, and we fully expect to have to defend against similar lawsuits in the future.</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and filed an amended complaint on August 22, 2016. Defendants intend to vigorously defend against the claims asserted.</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or about November 5, 2015, a purported Holdings shareholder filed a derivative complaint on behalf of Holdings in the Court of Chancery of the State of Delaware against certain Holdings directors and officers, and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 Pollo Loco Holdings, Inc.</w:t>
      </w:r>
      <w:r>
        <w:rPr>
          <w:rFonts w:ascii="Arial" w:cs="Arial" w:eastAsia="Arial" w:hAnsi="Arial"/>
          <w:sz w:val="18"/>
          <w:szCs w:val="18"/>
          <w:color w:val="auto"/>
        </w:rPr>
        <w:t>, discussed above. A second purported Holdings shareholder filed a derivative complaint on or about September 23, 2016, allegedly on behalf of Holdings in the same venue naming the same defendants with substantially the same allegations arising from the same set of facts.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6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has been listed on the NASDAQ under the symbol “LOCO” since July 25, 2014. Prior to that date, there was no established public trading market for our common stock.</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intraday sale prices for our common stock on the NASDAQ, as reported by the NASDAQ. Such quotations represent interdealer prices without retail markup, markdown, or commission, and may not necessarily represent actual transactions.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2015:</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First Quarter (January 1, 2015-April 1,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 (April 2, 2015-July 1, 2015)</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Third Quarter (July 2, 2015-September 30, 2015)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 (October 1, 2015-December 30, 2015)</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Fiscal 2016:</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First Quarter (December 31, 2015-March 30, 2016)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Second Quarter (March 31, 2016-June 29, 2016)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Third Quarter (June 30, 2016-September 28,2016)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Fourth Quarter (September 29, 2016-December 28, 2016)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2017, the closing price per share of our common stock on the NASDAQ was $12.50.</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As of February 28, 2017, there were approximately 11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 As of the same date, there were approximately 24,632 registered and beneficial accounts.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expect to pay dividends in the foreseeable future because we intend to use cash flow generated by operations to grow our business. Any future determination otherwise will be at the discretion of our board of directors and depend upon our financial condition, results of operations, capital requirements, and other factors. In addition, the 2014 Revolver (defined below) restricts our ability to pay dividends. See Item 7, “Management’s Discussion and Analysis of Financial Condition and Results of Operations-Liquidity and Capital Resources-Debt and Other Obligations-Current Credit Agreement, “Item 1A, “Risk Factors—Risks Related to Ownership of Our Common Stock,” and Note 1 to our consolidated financial statements included elsewhere in this report.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the quarterly period ended December 28, 2016, neither we nor any affiliated purchaser made or had made on our or its behalf any purchases of equity securities, including for exercise price and tax withholdings related to awards under our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graph and table illustrate the total return from July 25, 2014, through December 28, 2016, for (i) our common stock, (ii) the NASDAQ Composite Total Return Index, and (iii) the Standard and Poor’s Supercomposite Restaurants Index, assuming the investment of $100 at the beginning of the period (at the closing price on our first day of trading of $24.03), reinvestment of dividends, and no transaction costs.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graph and table are furnished and not filed with the SEC, and are not incorporated by reference into any other filing. They are not a forecast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134620</wp:posOffset>
            </wp:positionV>
            <wp:extent cx="5600065" cy="4081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06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NASDAQ</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S&amp;P</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66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LOCO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Supercomposite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w w:val="96"/>
              </w:rPr>
              <w:t>Composite</w:t>
            </w:r>
          </w:p>
        </w:tc>
        <w:tc>
          <w:tcPr>
            <w:tcW w:w="1440" w:type="dxa"/>
            <w:vAlign w:val="bottom"/>
            <w:gridSpan w:val="4"/>
          </w:tcPr>
          <w:p>
            <w:pPr>
              <w:ind w:left="200"/>
              <w:spacing w:after="0" w:line="158" w:lineRule="exact"/>
              <w:rPr>
                <w:sz w:val="20"/>
                <w:szCs w:val="20"/>
                <w:color w:val="auto"/>
              </w:rPr>
            </w:pPr>
            <w:r>
              <w:rPr>
                <w:rFonts w:ascii="Arial" w:cs="Arial" w:eastAsia="Arial" w:hAnsi="Arial"/>
                <w:sz w:val="14"/>
                <w:szCs w:val="14"/>
                <w:b w:val="1"/>
                <w:bCs w:val="1"/>
                <w:color w:val="auto"/>
              </w:rPr>
              <w:t>Restaurants Index</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July 25, 2014</w:t>
            </w:r>
          </w:p>
        </w:tc>
        <w:tc>
          <w:tcPr>
            <w:tcW w:w="2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24, 2014</w:t>
            </w:r>
          </w:p>
        </w:tc>
        <w:tc>
          <w:tcPr>
            <w:tcW w:w="2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102.61</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2014</w:t>
            </w:r>
          </w:p>
        </w:tc>
        <w:tc>
          <w:tcPr>
            <w:tcW w:w="2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110.61</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1, 2015</w:t>
            </w:r>
          </w:p>
        </w:tc>
        <w:tc>
          <w:tcPr>
            <w:tcW w:w="2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113.95</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105.30</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30, 2015</w:t>
            </w:r>
          </w:p>
        </w:tc>
        <w:tc>
          <w:tcPr>
            <w:tcW w:w="2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115.81</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March 30, 2016</w:t>
            </w:r>
          </w:p>
        </w:tc>
        <w:tc>
          <w:tcPr>
            <w:tcW w:w="2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111.68</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29, 2016</w:t>
            </w:r>
          </w:p>
        </w:tc>
        <w:tc>
          <w:tcPr>
            <w:tcW w:w="2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109.97</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September 28, 2016</w:t>
            </w:r>
          </w:p>
        </w:tc>
        <w:tc>
          <w:tcPr>
            <w:tcW w:w="2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122.74</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28, 2016</w:t>
            </w:r>
          </w:p>
        </w:tc>
        <w:tc>
          <w:tcPr>
            <w:tcW w:w="25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125.90</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80" w:type="dxa"/>
            <w:vAlign w:val="bottom"/>
          </w:tcPr>
          <w:p>
            <w:pPr>
              <w:jc w:val="right"/>
              <w:ind w:right="59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following tables contain selected historical consolidated financial data as of and for the last five fiscal years, derived from our audited consolidated financial statements. Not all periods shown are discussed in this Annual Report. You should read these tables in conjunction with Item 7, “Management’s Discussion and Analysis of Financial Condition and Results of Operations,” and our audited consolidated financial statements and the notes thereto.</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7"/>
              </w:rPr>
              <w:t>Fiscal Year</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 Data: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355,468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332,040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322,516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Franchise revenue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operations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Food and paper costs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Occupancy and other operating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Gain on recovery of insurance proceeds, lost profits</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Company restaurant expenses</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260,125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232,408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220,470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Expenses related to fire loss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 property,</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equipment and expenses</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Asset impairment and closed-store reserves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306,233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disposition of restaurants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Early extinguishment of debt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Expenses related to selling shareholders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44,911</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(20,545)</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(15,472)</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(20,857)</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(1,401)</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24,054</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42,463</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(16,873)</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 income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share</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38,357,805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37,949,316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32,285,484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28,712,622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28,712,194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39,026,950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39,039,558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34,346,241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28,712,622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28,712,194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49,299</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(35,202)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(30,835)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(21,401)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(14,993)</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(18,030)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(32,534)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(10,385)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r>
      <w:tr>
        <w:trPr>
          <w:trHeight w:val="432"/>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1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Data—Consolidated (at period end):</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2,168</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6,101</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11,499</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17,015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21,487</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property </w:t>
            </w:r>
            <w:r>
              <w:rPr>
                <w:rFonts w:ascii="Arial" w:cs="Arial" w:eastAsia="Arial" w:hAnsi="Arial"/>
                <w:sz w:val="15"/>
                <w:szCs w:val="15"/>
                <w:color w:val="auto"/>
              </w:rPr>
              <w:t>(1)</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102,421</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64,808</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471,305</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461,028</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455,306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416,942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417,898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15"/>
                <w:szCs w:val="15"/>
                <w:color w:val="auto"/>
              </w:rPr>
              <w:t>(2)</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123,638</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274,621</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265,182</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244,633</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210,400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48,536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64,587</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property consists of property owned, net of accumulated depreciation and amortization.</w:t>
      </w:r>
    </w:p>
    <w:p>
      <w:pPr>
        <w:spacing w:after="0" w:line="23" w:lineRule="exact"/>
        <w:rPr>
          <w:rFonts w:ascii="Arial" w:cs="Arial" w:eastAsia="Arial" w:hAnsi="Arial"/>
          <w:sz w:val="18"/>
          <w:szCs w:val="18"/>
          <w:color w:val="auto"/>
        </w:rPr>
      </w:pPr>
    </w:p>
    <w:p>
      <w:pPr>
        <w:ind w:left="520" w:right="400" w:hanging="512"/>
        <w:spacing w:after="0" w:line="25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debt consists of borrowings under the 2014 Revolver, 2013 Credit Agreements, and 2011 Financing Agreements (each, as defined in Item 7, “Management’s Discussion and Analysis of Financial Condition and Results of Operations—Liquidity and Capital Resources—Debt and Other Obligations”), and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Item 6, “Selected Financial Data,” and our consolidated financial statements and the notes thereto included elsewhere in this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We assume no obligation to update any of these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use a 52- or 53-week fiscal year ending on the last Wednesday of each calendar year. Fiscal 2014, 2015, and 2016 ended on December 31, 2014, December 30, 2015 and December 28, 2016,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2015 and 2016 were 52-week fiscal years. Fiscal 2014 was a 53-week fiscal year. 53-week years may cause revenues, expenses, and other results of operations to be higher due to the additional week of operations. Fiscal years are identified in this report according to the calendar years in which they ended. For example, references to fiscal 2016 refer to the fiscal year ended December 28,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in front of our customers and operates in the LSR segment. We believe that we offer the quality of food and dining experience typical of fast casual restaurants while providing the speed, convenience, and value typical of traditional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4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28, 2016, we had 460 locations in five states. In fiscal 2016, we opened 18 new company-operated and 13 new franchised restaurants across Arizona, California, Nevada, Utah and Texas. In fiscal 2015, we opened 14 new company-operated and five new franchised restaurants across Arizona, California, Nevada and Texas. In 2017, we intend to open 15 to 20 new company-operated and 8 to 12 new franchised restaurants in Arizona, California, Nevada, Utah and Texas. Over the long term, we plan to grow the number of El Pollo Loco restaurants by 8%-10% annually. To increase comparable restaurant sales, we plan to increase customer frequency, attract new customers, and improve per-person spend. These growth rates are not guaranteed. On October 3, 2016, the Company announced a two unit franchise development agreement with Listo Way Group LLC to develop El Pollo Loco restaurants in Lafayette, Louisiana.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system-wide sales, comparable restaurant sales, company-operated average unit volumes, restaurant contribution, restaurant contribution margin, new restaurant openings, EBITDA, and Adjusted EBITDA. In fiscal 2016, our restaurants generated company-operated restaurant revenue of $355.5 million and system-wide sales of $795.4 million, and system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5" w:name="page36"/>
    <w:bookmarkEnd w:id="35"/>
    <w:p>
      <w:pPr>
        <w:ind w:right="280"/>
        <w:spacing w:after="0" w:line="312" w:lineRule="auto"/>
        <w:rPr>
          <w:sz w:val="20"/>
          <w:szCs w:val="20"/>
          <w:color w:val="auto"/>
        </w:rPr>
      </w:pPr>
      <w:r>
        <w:rPr>
          <w:rFonts w:ascii="Arial" w:cs="Arial" w:eastAsia="Arial" w:hAnsi="Arial"/>
          <w:sz w:val="16"/>
          <w:szCs w:val="16"/>
          <w:color w:val="auto"/>
        </w:rPr>
        <w:t>comparable sales increased 0.9%, consisting of company-operated restaurant comparable sales growth of 0.6% and franchised comparable sales growth of 1.1%. The company-operated comparable sales increase consisted of a 0.3% transaction increase and a 0.3% check growth. In fiscal 2016, for company-operated restaurants, our annual AUV was $1.9 million, restaurant contribution margin was 20.5%, and Adjusted EBITDA was $65.6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Sales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332,040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Franchise revenue</w:t>
            </w:r>
          </w:p>
        </w:tc>
        <w:tc>
          <w:tcPr>
            <w:tcW w:w="1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Franchise revenue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(23,017)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Sales from franchised restaurants</w:t>
            </w:r>
          </w:p>
        </w:tc>
        <w:tc>
          <w:tcPr>
            <w:tcW w:w="1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System-wide sales</w:t>
            </w:r>
          </w:p>
        </w:tc>
        <w:tc>
          <w:tcPr>
            <w:tcW w:w="12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28, 2016, December 30, 2015 and December 31, 2014, there were 409, 397, and 397 comparable restaurants, 169, 160, and 160 company-operated and 240, 237 and 237 franchised,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7"/>
              </w:rPr>
              <w:t>Fiscal Year</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revenue</w:t>
            </w:r>
          </w:p>
        </w:tc>
        <w:tc>
          <w:tcPr>
            <w:tcW w:w="1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355,468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332,040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322,516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Company restaurant expenses</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282,450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260,125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251,795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Restaurant contribution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Restaurant contribution margin (%)</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EBITDA represents net income before interest expense, provision (benefit) for income taxes, depreciation, and amortization. Adjusted EBITDA represents net income before interest expense, provision (benefit)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ind w:right="8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Non-GAAP adjustments: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(63,008)</w:t>
            </w: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4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61,710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9,055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15"/>
                <w:szCs w:val="15"/>
                <w:color w:val="auto"/>
              </w:rPr>
              <w:t>(a)</w:t>
            </w:r>
          </w:p>
        </w:tc>
        <w:tc>
          <w:tcPr>
            <w:tcW w:w="4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(b)</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on disposal of assets </w:t>
            </w:r>
            <w:r>
              <w:rPr>
                <w:rFonts w:ascii="Arial" w:cs="Arial" w:eastAsia="Arial" w:hAnsi="Arial"/>
                <w:sz w:val="15"/>
                <w:szCs w:val="15"/>
                <w:color w:val="auto"/>
              </w:rPr>
              <w:t>(c)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Expenses related to fire loss </w:t>
            </w:r>
            <w:r>
              <w:rPr>
                <w:rFonts w:ascii="Arial" w:cs="Arial" w:eastAsia="Arial" w:hAnsi="Arial"/>
                <w:sz w:val="15"/>
                <w:szCs w:val="15"/>
                <w:color w:val="auto"/>
              </w:rPr>
              <w:t>(d)</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8"/>
              </w:rPr>
              <w:t>Gain on recovery of insurance proceeds, property, equipment,</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expenses</w:t>
            </w:r>
            <w:r>
              <w:rPr>
                <w:rFonts w:ascii="Arial" w:cs="Arial" w:eastAsia="Arial" w:hAnsi="Arial"/>
                <w:sz w:val="15"/>
                <w:szCs w:val="15"/>
                <w:color w:val="auto"/>
              </w:rPr>
              <w:t>(d)</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Asset impairment and closed-store reserves </w:t>
            </w:r>
            <w:r>
              <w:rPr>
                <w:rFonts w:ascii="Arial" w:cs="Arial" w:eastAsia="Arial" w:hAnsi="Arial"/>
                <w:sz w:val="15"/>
                <w:szCs w:val="15"/>
                <w:color w:val="auto"/>
              </w:rPr>
              <w:t>(e)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Early extinguishment of debt </w:t>
            </w:r>
            <w:r>
              <w:rPr>
                <w:rFonts w:ascii="Arial" w:cs="Arial" w:eastAsia="Arial" w:hAnsi="Arial"/>
                <w:sz w:val="15"/>
                <w:szCs w:val="15"/>
                <w:color w:val="auto"/>
              </w:rPr>
              <w:t>(f)</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Gain on disposition of restaurants </w:t>
            </w:r>
            <w:r>
              <w:rPr>
                <w:rFonts w:ascii="Arial" w:cs="Arial" w:eastAsia="Arial" w:hAnsi="Arial"/>
                <w:sz w:val="15"/>
                <w:szCs w:val="15"/>
                <w:color w:val="auto"/>
              </w:rPr>
              <w:t>(g)</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(2,658)</w:t>
            </w: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Expense related to selling shareholders </w:t>
            </w:r>
            <w:r>
              <w:rPr>
                <w:rFonts w:ascii="Arial" w:cs="Arial" w:eastAsia="Arial" w:hAnsi="Arial"/>
                <w:sz w:val="15"/>
                <w:szCs w:val="15"/>
                <w:color w:val="auto"/>
              </w:rPr>
              <w:t>(h)</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Income tax receivable agreement expense </w:t>
            </w:r>
            <w:r>
              <w:rPr>
                <w:rFonts w:ascii="Arial" w:cs="Arial" w:eastAsia="Arial" w:hAnsi="Arial"/>
                <w:sz w:val="15"/>
                <w:szCs w:val="15"/>
                <w:color w:val="auto"/>
              </w:rPr>
              <w:t>(i)</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credit expense </w:t>
            </w:r>
            <w:r>
              <w:rPr>
                <w:rFonts w:ascii="Arial" w:cs="Arial" w:eastAsia="Arial" w:hAnsi="Arial"/>
                <w:sz w:val="15"/>
                <w:szCs w:val="15"/>
                <w:color w:val="auto"/>
              </w:rPr>
              <w:t>(j)</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 xml:space="preserve">Securities class action legal expense </w:t>
            </w:r>
            <w:r>
              <w:rPr>
                <w:rFonts w:ascii="Arial" w:cs="Arial" w:eastAsia="Arial" w:hAnsi="Arial"/>
                <w:sz w:val="15"/>
                <w:szCs w:val="15"/>
                <w:color w:val="auto"/>
              </w:rPr>
              <w:t>(k)</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Pre-opening costs </w:t>
            </w:r>
            <w:r>
              <w:rPr>
                <w:rFonts w:ascii="Arial" w:cs="Arial" w:eastAsia="Arial" w:hAnsi="Arial"/>
                <w:sz w:val="15"/>
                <w:szCs w:val="15"/>
                <w:color w:val="auto"/>
              </w:rPr>
              <w:t>(l)</w:t>
            </w:r>
          </w:p>
        </w:tc>
        <w:tc>
          <w:tcPr>
            <w:tcW w:w="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520" w:right="24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management fees and other out-of-pocket costs paid to affiliates of Trimaran and Freeman Spogli up through our IPO. This agreement was cancelled in conjunction with the IPO.</w:t>
      </w:r>
    </w:p>
    <w:p>
      <w:pPr>
        <w:ind w:left="520" w:right="4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520" w:right="60" w:hanging="512"/>
        <w:spacing w:after="0" w:line="26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2015, the Company disposed of $0.1 million of assets related to the fire. The restaurant was reopened for business on March 14, 2016.</w:t>
      </w:r>
    </w:p>
    <w:p>
      <w:pPr>
        <w:spacing w:after="0" w:line="1" w:lineRule="exact"/>
        <w:rPr>
          <w:rFonts w:ascii="Arial" w:cs="Arial" w:eastAsia="Arial" w:hAnsi="Arial"/>
          <w:sz w:val="17"/>
          <w:szCs w:val="17"/>
          <w:color w:val="auto"/>
        </w:rPr>
      </w:pPr>
    </w:p>
    <w:p>
      <w:pPr>
        <w:ind w:left="520" w:right="80" w:hanging="512"/>
        <w:spacing w:after="0" w:line="25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assets and closing restaurants. During fiscal 2016, the Company determined that the carrying value of the assets of nine restaurants, in Arizona, California and Texas, may not be recoverable. As a result, the Company recorded a $8.3 million expense related to the impairment of the assets of the nine restaurants. The Company continues to monitor the recoverability of the carrying value of the assets of several other restaurants, opened between 2014 and 2016.</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left="520" w:right="420" w:hanging="512"/>
        <w:spacing w:after="0" w:line="25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associated with our debt refinancing transactions in December 2014 and the repayment of our 2013 Second Lien Term Loan with a portion of the proceeds of our IPO in July 2014.</w:t>
      </w:r>
    </w:p>
    <w:p>
      <w:pPr>
        <w:spacing w:after="0" w:line="1"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September 24, 2014, we completed the sale of six company-operated restaurants in the greater San Antonio area. This sale resulted in cash proceeds of $5.4 million, a decrement to goodwill of $0.7 million and a net gain of $2.7 million. These six restaurants are now franchised. 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statements of income. This restaurant is now included in our franchised restaurant totals.</w:t>
      </w:r>
    </w:p>
    <w:p>
      <w:pPr>
        <w:spacing w:after="0" w:line="2"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 Costs related to the sale, in the second quarter of 2015, of 5.4 million shares of common stock in a block trade to various investors, by our largest shareholder, which was at that time our majority shareholder, pursuant to Rule 144 under the Securities Act. This shareholder owns stock in us not registered under the Securities Act. Under our stockholders agreement, this shareholder may require us to register stock in us that it owns, under the Securities Act. In that event, we are responsible for all registration expenses. In lieu of the shareholder’s exercise of its registration rights, we agreed to bear the expenses incident to the shareholder’s sale of these shares using Rule 144. (2) Costs related to our secondary offering of stock on November 25, 2014.</w:t>
      </w:r>
    </w:p>
    <w:p>
      <w:pPr>
        <w:spacing w:after="0" w:line="2" w:lineRule="exact"/>
        <w:rPr>
          <w:rFonts w:ascii="Arial" w:cs="Arial" w:eastAsia="Arial" w:hAnsi="Arial"/>
          <w:sz w:val="18"/>
          <w:szCs w:val="18"/>
          <w:color w:val="auto"/>
        </w:rPr>
      </w:pPr>
    </w:p>
    <w:p>
      <w:pPr>
        <w:ind w:left="520" w:right="140" w:hanging="512"/>
        <w:spacing w:after="0" w:line="265"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In fiscal 2016, the income tax receivable agreement expense consisted of the amortization of interest expense related to our total expected TRA payments.</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the cost to obtain the tax credits recorded in the third and fourth quarters of 2014.</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costs related to a securities class action lawsuit. See Item 3, “Legal Proceedings”.</w:t>
      </w:r>
    </w:p>
    <w:p>
      <w:pPr>
        <w:spacing w:after="0" w:line="9" w:lineRule="exact"/>
        <w:rPr>
          <w:rFonts w:ascii="Arial" w:cs="Arial" w:eastAsia="Arial" w:hAnsi="Arial"/>
          <w:sz w:val="18"/>
          <w:szCs w:val="18"/>
          <w:color w:val="auto"/>
        </w:rPr>
      </w:pPr>
    </w:p>
    <w:p>
      <w:pPr>
        <w:ind w:left="520" w:right="40" w:hanging="512"/>
        <w:spacing w:after="0" w:line="273"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fiscal 2016, 2015, and 2014, comparable restaurant sales system-wide increased 0.9%, 2.2%, and 7.0%,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0.6% in fiscal 2016, 1.0% in fiscal 2015, and 5.8% in fiscal 2014. In fiscal 2016, the increase in company-operated comparable restaurant sales was primarily the result of an increase in average check size of 0.3% and an increase in transactions of 0.3%. In fiscal 2015, the increase in company-operated comparable restaurant sales was primarily the result of an increase in average check size of 2.9% offset by a decrease in transactions of 1.9%. In fiscal 2014, the increase in company-operated comparable restaurant sales was driven by an increase in average check size of 3.3% and by transaction growth of 2.5%. In fiscal 2016, 2015, and 2014, comparable restaurant sales at franchised restaurants increased 1.1%, 3.1%, and 8.0%,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Since 2011, we have focused on repositioning our brand, improving operational efficiency and brand awareness, strengthening our management team, and refinancing our indebtedness in preparation for future growth. New restaurant development is expected to be a key driver of our growth strategy. In fiscal 2016, we opened 18 company-operated restaurants, and our franchisees opened 13 new restaurants. From time to time, we and our franchisees close restaurants. In fiscal 2016, the Company and our franchisees each closed two restaurants. Our restaurant counts at the beginning and end of each of the last three years were as follows:</w:t>
      </w:r>
    </w:p>
    <w:p>
      <w:pPr>
        <w:spacing w:after="0" w:line="193"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Fiscal Year</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460" w:type="dxa"/>
            <w:vAlign w:val="bottom"/>
            <w:gridSpan w:val="2"/>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Openings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Restaurant sale to franchisee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Closures</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Restaurants at end of period</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201</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Franchised restaurant activity: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247</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Openings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Restaurant sale to franchisee</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Closures</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Restaurants at end of period</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259</w:t>
            </w: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restaurant activity: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433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Openings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Closures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Restaurants at end of period</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December 28, 2016, together we had remodeled 106 company-operated and 183 franchised restaurants, or 289 system-wide, over 75% of our restaurant system due to be remodeled. Remodeling is a use of cash and has implications for our net property and depreciation line items on our consolidated balance sheets and statements of income, among others. The cost of our restaurant remodels varies depending on the scope of work required, but on average the investment is $0.3 to $0.4 million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Refinancing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2014, we refinanced our $15.0 million first lien revolving credit facility (the “2013 Revolver”) and a $190.0 million first lien term loan facility (the “2013 First Lien Term Loan,” and, together with the 2013 Revolver, the “2013 First Lien Credit Agreement”) by entering into a $200.0 million first lien revolving credit facility (the “2014 Revolver”) (such refinancing, the “2014 Refinancing”). The 2014 Revolver carries longer maturities and lower interest rates than the indebtedness that it replaced. The 2014 refinancing combined with the pre-payment of $42.0 million on the 2014 Revolver in 2015, resulted in a reduction of interest expense of $14.3 million in 2015 compared to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Refinancing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2013, we refinanced our $12.5 million first lien revolving credit facility, $170.0 million first lien term loan facility, and $105.0 million 17% Second Priority Senior Secured Notes due 2018 (collectively, the “2011 Financing Agreements”) by entering into the 2013 First Lien Credit Agreement and a $100.0 million second lien term loan facility (the “2013 Second Lien Term Loan,” and, together with the 2013 First Lien Credit Agreement, the “2013 Credit Agreements”) (such refinancing, the “2013 Refinancing”). The 2013 Credit Agreements carried longer maturities and lower interest rates than the indebtedness that they replaced. Following the completion of the 2013 Refinancing, our interest expense declined by approximately $17.8 million on an annualized basis, or approximately 49% of our $36.3 million of interest expense in fiscal 2013. We repaid in full the 2013 Second Lien Term Loan with the majority of the net proceeds from our IPO.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to our consolidated financial statements included elsewhere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Franchise fees and area development fees are recognized as income when all material services or conditions relating to the sale of the franchise have been substantially performed or satisfied by us. Both franchise fees and area development fees generally are recognized as income upon the opening of a franchised restaurant or upon termination of the related agreements.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28, 2016, we performed a qualitative assessment and concluded that the fair value of the reporting unit to which goodwill was assigned exceeded our book equity. Accordingly, we did not identify any goodwill impairment.</w:t>
      </w:r>
    </w:p>
    <w:p>
      <w:pPr>
        <w:spacing w:after="0" w:line="18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We perform an annual impairment test for indefinite-lived intangible assets during the fourth fiscal quarter of each year, or more frequently if impairment indicators arise. For our impairment test for indefinite-lived intangible assets at December 28, 2016, we performed a qualitative assessment and concluded that the fair value of the indefinite-lived intangible assets exceeded their carrying value and that there was no impairment.</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28, 2016, we had federal and state net operating loss (“NOL”) carryforwards of $73.8 million and $52.1 million, respectively. These Federal and State NOLs expire beginning in 2028 and 2025, respectively.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valuation allowance is required when there is significant uncertainty as to the realizability of deferred tax assets.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5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25, 2013, we maintained a full valuation allowance against our deferred tax assets. After evaluating all of the positive and negative evidence, including our continued income from operations, reduction in interest expense resulting from the 2014 and 2013 refinancing of debt and from our completed IPO and the resultant repayment of the 2013 Second Lien Term Loan, we concluded that it was more likely than not that our deferred tax assets would be recovered. As a result, in fiscal 2014, we released our valuation allowance totaling approximately $65.0 million. We had previously maintained a full valuation allowance on our deferred tax assets, as we had been experiencing continuing taxable losses. In 2015, a valuation allowance of $2.9 million was established to reserve against the potential that certain tax credits may not be utilized prior to the date they expire. In 2016, the valuation allowance increased by $0.4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reevaluate the continued need for either a full or partial valuation allowance. Relevant factors include:</w:t>
      </w:r>
    </w:p>
    <w:p>
      <w:pPr>
        <w:spacing w:after="0" w:line="11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We are permitted to make TRA payments under the 2014 Revolver. In fiscal 2014, we incurred charges totaling approximately $41.4 million relating to the present value of our total estimated TRA payments. The TRA charge of $41.4 million is a permanent add-back to the Company’s taxable income that resulted in approximately $14.0 million of tax expense for 2014. In fiscal 2016 and 2015, we incurred charges of $0.4 million and $0.2 million, respectively, related to the amortization of the present value of the TRA obligation.</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in fiscal 2014, we applied for various tax credits that resulted in $6.7 million of additional deferred tax assets and tax benefits. As of fiscal 2016, the deferred asset balance for various tax credits was $5.9 million. The fiscal 2016 provision includes a $3.3 million valuation allowance against our deferred tax asset, resulting from certain tax credits that may not be realizable prior to the time the credits expire. Also, in fiscal 2016, federal work opportunity tax credits (“WOTC”) of approximately $0.4 million were generated.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measure and recognize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In fiscal 2016, the Company granted 329,673 options with an exercise price equal to the fair market value of the common stock on the date of grant. The options granted in fiscal 2016 and 2014 had a four-year vesting period. No options were granted in fiscal 2015. For options that were based on performance requirements, costs were recognized over the periods to which the performance criteria related. On November 15, 2016, the board of directors modified the vesting of the remaining performance based stock options to instead vest based solely on time. As of December 28, 2016, there were no remaining performance based stock options outstanding. In order to calculate our stock options’ fair values and the associated compensation costs for share-based awards, we utilize the Black–Scholes option pricing model.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are described in Note 2 to our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proceeds from our IPO in July 2014 were primarily used to repay the 2013 Second Lien Term Loan. In December 2014, we refinanced our then-existing debt, replacing the 2013 Revolver and the 2013 First Lien Term Loan with the 2014 Revolver. As a result of the repayment of the 2013 Second Lien Term Loan and the 2014 Refinancing, in fiscal 2014 we incurred charges for prepayment penalties and fees, call premium, accelerated accretion, and write-off of deferred financing costs and fees and of unamortized discount.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consists of federal and state taxes on our income.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2016 Compared to Fiscal Year 2015</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28, 2016, and December 30, 2015, in absolute terms and expressed as a percentage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Fiscal Year</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center"/>
              <w:ind w:left="353"/>
              <w:spacing w:after="0" w:line="133" w:lineRule="exact"/>
              <w:rPr>
                <w:sz w:val="20"/>
                <w:szCs w:val="20"/>
                <w:color w:val="auto"/>
              </w:rPr>
            </w:pPr>
            <w:r>
              <w:rPr>
                <w:rFonts w:ascii="Arial" w:cs="Arial" w:eastAsia="Arial" w:hAnsi="Arial"/>
                <w:sz w:val="14"/>
                <w:szCs w:val="14"/>
                <w:b w:val="1"/>
                <w:bCs w:val="1"/>
                <w:color w:val="auto"/>
                <w:w w:val="89"/>
              </w:rPr>
              <w:t>2015</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4"/>
              </w:rPr>
              <w:t>(52-Weeks)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91"/>
              </w:rPr>
              <w:t>(52-Weeks)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 Data:</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Company-operated restaurant revenue</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355,468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23,428</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Franchise revenue</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380,123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Cost of operations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105,917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5"/>
                <w:szCs w:val="15"/>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69,977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 xml:space="preserve">Gain on recovery of insurance proceeds, lost profits </w:t>
            </w:r>
            <w:r>
              <w:rPr>
                <w:rFonts w:ascii="Arial" w:cs="Arial" w:eastAsia="Arial" w:hAnsi="Arial"/>
                <w:sz w:val="15"/>
                <w:szCs w:val="15"/>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5"/>
                <w:szCs w:val="15"/>
                <w:color w:val="auto"/>
              </w:rPr>
              <w:t>(1)</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282,450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260,125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22,325</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Expenses related to fire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Gain on recovery of insurance proceeds, property,</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equipment and expenses</w:t>
            </w:r>
          </w:p>
        </w:tc>
        <w:tc>
          <w:tcPr>
            <w:tcW w:w="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impairment and closed-store reserves</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345,522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306,233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39,289</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disposition of restaurants</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receivable agreement expense</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(13,789)</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(12,783)</w:t>
            </w: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(20,857)</w:t>
            </w:r>
          </w:p>
        </w:tc>
        <w:tc>
          <w:tcPr>
            <w:tcW w:w="2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8,074</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fiscal 2016, company-operated restaurant revenue increased $23.4 million, or 7.1%, due to $25.0 million of additional sales from new restaurants. In addition, company-operated revenue was favorably impacted by an increase in company-operated comparable restaurant sales of $1.8 million, or 0.6%. The growth in company-operated comparable restaurant sales was due primarily to an increase in average check size of 0.3% and an increase in transactions of 0.3% compared to the prior year. The increase in company-operated restaurant revenue was partially offset by $3.4 million of lost sales from closed restaurants.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2016, franchise revenue increased $1.6 million, or 7.1%. This increase was due primarily to an increase in franchised comparable restaurant sales of 1.1%, and $0.6 million in higher point of sales revenue, resulting primarily from additional franchise units.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Food and paper costs increased $1.3 million in fiscal 2016, due to a $0.9 million increase in food costs and a $0.4 million increase in paper costs. This increase was due primarily to higher restaurant revenue, partially offset by lower commodity costs, resulting primarily from lower chicken expense. Food and paper costs as a percentage of company-operated restaurant revenue were 30.2% in fiscal 2016, compared to 31.9% in fiscal 2015. This decrease in percentage was due primarily to the lower commodity costs, noted above, and increases in average check size, due to menu price increases at the end of 2015 and during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Payroll and benefit expenses increased $13.2 million in fiscal 2016. This increase was due primarily to additional labor needs arising from the opening of 18 new restaurants in fiscal 2016 and 14 new restaurants in fiscal 2015, and minimum wage increases in California in January 2016 and Los Angeles in July 2016. This was partially offset by lower workers compensation expense due to lower claims activity. Payroll and benefit expenses as a percentage of company-operated restaurant revenue were 27.4% in fiscal 2016, compared to 25.4% in fiscal 2015. This increase was primarily due to the minimum wage increases and incremental labor required for the new restaurant openings, noted above, partially offset by lower worker’s compensation expense and higher restaurant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Occupancy and other operating expenses increased $8.3 million in fiscal 2016. This increase was primarily due to (i) a $3.3 million increase in other operating expenses, resulting primarily from the new restaurants opened in fiscal 2016 and 2015, and an increase in travel and restaurant security costs, (ii) a $3.2 million increase in occupancy costs, largely related to additional rent due to the additional stores, (iii) a $0.9 million increase in advertising and (iv) a $0.9 million increase in repair and maintenance costs. Occupancy and other operating expenses as a percentage of company-operated restaurant revenue was 22.0% in fiscal 2016, compared to 21.1% in fiscal 2015. This increase was primarily related to the higher costs noted above, partially offset by higher restaurant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Recovery of Insurance Proceeds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2015, the Company disposed of $0.1 million of assets related to the fire. The restaurant was reopened for business on March 14,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 and administrative expenses increased $5.7 million in fiscal 2016. The increase was due primarily to (i) a $2.0 million increase in legal expense related primarily to the securities class action litigation, (ii) a $1.2 million increase in restaurant pre-opening costs, (iii) a $0.9 million increase in payroll expense, due primarily to an increase in corporate employees, partially offset by a reduction in the accrual for the expected payments related to the Company’s annual bonus program and (iv) a $1.6 million increase in other general and administrative costs primarily related to increases in professional fees, stock option expense, dead-site costs and travel. General and administrative expenses as a percentage of total revenue were 9.1% in fiscal 2016, compared to 8.2% in fiscal 2015. This increase was due primarily to the higher costs, noted above, partially offset by higher restaurant revenue.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Closed-Store Reserves</w:t>
      </w:r>
    </w:p>
    <w:p>
      <w:pPr>
        <w:spacing w:after="0" w:line="117"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 The Company continues to monitor the recoverability of the carrying value of the assets of several other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statements of income. This restaurant is now included in our franchised restaurant totals.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net, decreased $0.6 million in fiscal 2016. This decrease was due primarily to pre-payments on the 2014 Revolver, reducing our outstanding balance to $104.0 million as of December 28, 2016 compared to an outstanding balance of $123.0 million as of December 30,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Selling Shareholders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2016 and 2015, we incurred income tax receivable agreement expense of $0.4 million and $0.2 million respectively, resulting from the amortization of interest expense related to our total expected TRA payments, changes in estimates for actual tax returns filed and an adjustment to the expected TRA liability, due to the expected realization of various pre-IPO tax credits. We are permitted to make TRA payments under the 2014 Revolver. In fiscal 2016, we paid $3.2 million to our pre-IPO stockholders under the TRA.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fiscal 2016, we recorded an income tax provision of $12.8 million, compared to $20.9 million in fiscal 2015, reflecting an estimated effective tax rate of 41.1% and 46.4%, respectively. The lower effective tax rate resulted primarily from a $2.9 million valuation allowance against our deferred tax assets recorded in fiscal 2015, compared to an additional valuation allowance of $0.4 million recorded in fiscal 2016. The valuation allowance against our deferred tax assets resulted from certain tax credits that may not be realizable prior to the time the credits expire.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Fiscal Year 2015 Compared to Fiscal Year 2014</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operating results for the fiscal years ended December 30, 2015 and December 31, 2014, in absolute terms and expressed as a percentage of total revenue, with the exception of cost of operations and company restaurant expenses, which are expressed as a percentage of company-operated restaurant revenue, are compared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Fiscal Year</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left="353"/>
              <w:spacing w:after="0" w:line="147"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4"/>
              </w:rPr>
              <w:t>(52-Weeks)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91"/>
              </w:rPr>
              <w:t>(53-Weeks)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Income Data:</w:t>
            </w:r>
          </w:p>
        </w:tc>
        <w:tc>
          <w:tcPr>
            <w:tcW w:w="5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Company-operated restaurant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322,516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9,524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revenue</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355,057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344,861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10,196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Cost of operations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5"/>
                <w:szCs w:val="15"/>
                <w:color w:val="auto"/>
              </w:rPr>
              <w:t>(1)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102,611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5"/>
                <w:szCs w:val="15"/>
                <w:color w:val="auto"/>
              </w:rPr>
              <w:t>(1)</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84,231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5"/>
                <w:szCs w:val="15"/>
                <w:color w:val="auto"/>
              </w:rPr>
              <w:t>(1)</w:t>
            </w:r>
          </w:p>
        </w:tc>
        <w:tc>
          <w:tcPr>
            <w:tcW w:w="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5"/>
                <w:szCs w:val="15"/>
                <w:color w:val="auto"/>
              </w:rPr>
              <w:t>(1)</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Franchise expenses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(248)</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on disposal of assets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Asset impairment and closed-store reserves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306,233</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298,235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disposition of restaurants</w:t>
            </w:r>
          </w:p>
        </w:tc>
        <w:tc>
          <w:tcPr>
            <w:tcW w:w="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(14,355)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Early extinguishment of debt</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(9,718)</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Expenses related to selling shareholders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tax receivable agreement expense</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(41,226)</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Income (loss) before (provision) benefit for income</w:t>
            </w: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taxes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(20,545)</w:t>
            </w:r>
          </w:p>
        </w:tc>
        <w:tc>
          <w:tcPr>
            <w:tcW w:w="2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65,456</w:t>
            </w: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(20,857)</w:t>
            </w:r>
          </w:p>
        </w:tc>
        <w:tc>
          <w:tcPr>
            <w:tcW w:w="2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(83,865)</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5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24,054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42,463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(18,409</w:t>
            </w:r>
          </w:p>
        </w:tc>
        <w:tc>
          <w:tcPr>
            <w:tcW w:w="22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1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fiscal 2015, company-operated restaurant revenue increased $9.5 million, or 3.0%, due to an increase in company-operated comparable restaurant sales of $3.1 million, or 1.0%. The growth in company-operated comparable restaurant sales was due primarily to an increase in average check size of 2.9% offset by a decrease in transactions of 1.9% compared to the prior year. Company-operated restaurant revenue was also favorably impacted by $16.3 million of additional sales from new restaurants, and was partially offset by $5.5 million of lost sales from closed restaurants and $4.6 million for the additional week of operations, in fiscal 2014, in a 53-week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fiscal 2015, franchise revenue increased $0.7 million, or 3.0%. This increase was due primarily to increases in franchised comparable restaurant sales of 2.2%, $0.5 million in higher point of sales revenue, resulting primarily from additional franchise units, and $0.3 million in higher franchise development and agreement renewal fees. This increase was partially offset by a $1.3 million decrease in sublease income, resulting from the expiration or buy out, in the prior year, of sublease agreements.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Food and paper costs increased $3.3million in fiscal 2015, due to a $3.7 million increase in food costs and a $0.4 million decrease in paper costs. This increase was due primarily to higher sales volume and to higher commodity costs, offset by lower packaging costs. Food and paper costs as a percentage of company-operated restaurant revenue were 31.9% in fiscal 2015, compared to 31.8% in fiscal 2014. This increase in percentage was due to higher commodity costs, offset by increases in average check size, due to menu price increases in the third and fourth quarter of 2014 and the first and fourth quarters of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Payroll and benefit expenses increased $3.6 million in fiscal 2015. This increase was due primarily to additional labor needs arising from the opening of 14 new restaurants in fiscal 2015 and 11 new restaurants in fiscal 2014, a minimum wage increase in California in the third quarter of fiscal 2014 and increased medical and workers compensation expense, resulting primarily from increased claims activity. Payroll and benefit expenses as a percentage of company-operated restaurant revenue were 25.4% in fiscal 2015, compared to 25.0% in fiscal 2014. This increase was due primarily to the increase in medical and workers compensation expense noted above, partially offset by menu price increases.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Occupancy and other operating expenses increased $1.4 million in fiscal 2015. This increase was due primarily to (i) a $1.3 million increase in occupancy costs, due primarily to increased rent, as a result of new restaurants opened in fiscal 2015 and 2014, (ii) a $0.3 million increase in advertising costs, and (iii) a $0.2 million increase in operating expense, resulting primarily from higher credit and debit card processing fees. These increases were partially offset by a $0.4 million decrease in utility costs, due primarily to lower gas costs. Occupancy and other operating expenses as a percentage of company-operated restaurant revenue were 21.1% in fiscal 2015, compared to 21.3% in fiscal 2014. This decrease was primarily due to the lower utility costs noted above.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General and administrative expenses decreased $0.5million in fiscal 2015. The decrease was due primarily to (i) a $1.0 million capitalization of internal costs related to site selection and construction activities, (ii) a $0.6 million decrease in stock option expense, due primarily to certain options that were fully expensed in the prior year and the reversal of expense in the current year related to various performance based options that are not expected to meet their specific performance criteria and (iii) a $0.2 million decrease in payroll expense, due primarily to a reduction in the accrual for the expected payments related to the Company’s annual bonus program, partially offset by an increase in medical expense and an increase in corporate employees. These decreases in expense were partially offset by a $0.9 million increase in legal expense, resulting primarily from expense related to a securities class action case and a</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$0.2 million increase in restaurant opening costs, due primarily to increased company-operated restaurant openings in 2015 as compared to 2014. General and administrative expenses as a percentage of total revenue were 8.2% in fiscal 2015, compared to 8.6% in fiscal 2014. This decrease was due primarily to the reduction in costs noted above, and increased revenue.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24, 2014, we completed the sale of six company-operated restaurants in the greater San Antonio area to AA Pollo, resulting in cash proceeds of $5.4 million. Goodwill was decremented by $0.7 million, based on a calculation of the fair value of the restaurants sold relative to the fair value of the reporting unit retained. We recognized a net gain of $2.7 million on this transaction, which is recorded as a gain on disposition of restaurants in the accompanying statements of income. These six restaurants are now included in our franchised restaurant totals.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Interest expense, net, decreased $14.4 million in fiscal 2015. This decrease was due primarily to (i) the repayment of the 2013 Second Lien Term Loan with IPO proceeds in July 2014, (ii) the 2014 Refinancing in the fourth quarter of fiscal 2014, which further reduced the interest rate on our debt and (iii) the pre-payment of $42.0 million on the 2014 Revolver in fiscal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Early Extinguishment of Debt</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proceeds from our IPO in July 2014 were primarily used to repay the 2013 Second Lien Term Loan. In conjunction with this repayment, we incurred, in fiscal 2014, an extinguishment of debt charge of $5.1 million, consisting of $1.5 million in call premium, $2.7 million related to the write-off of remaining unamortized deferred finance costs, and $0.9 million relating to the write-off of unamortized discount. In December 2014, in conjunction with our 2014 Refinancing, the 2013 First Lien Term Loan was repaid in full, which resulted in a $4.6 million extinguishment of debt charge, consisting of $3.9 million related to the write-off of deferred financing costs and $0.7 million related to the write-off of unamortized discount.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Related to Selling Shareholders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 After our IPO in July 2014, we had a follow-on offering of shares on November 25, 2014. In conjunction with this secondary offering, we incurred approximately $0.7 million in charges for underwriting discounts, commissions, and professional fees and expenses related to this transaction.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2014, we incurred charges totaling approximately $41.4 million relating to the present value of our total estimated TRA payments. In fiscal 2015, we incurred income tax receivable agreement expense of $0.2 million, resulting from the amortization of interest expense related to our total expected TRA payments, changes in estimates for actual tax returns filed and an adjustment to the expected TRA liability, due to the expected realization of various pre-IPO tax credits.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fiscal 2015, we recorded an income tax provision of $20.9 million, compared to an income tax benefit of $63.0 million in fiscal 2014. After evaluating all of the positive and negative evidence, including our continued profitability and the reduction in interest expense resulting from the 2013 Refinancing and from our completed IPO and the resultant repayment of the 2013 Second Lien Term Loan, we concluded that it was more likely than not that our deferred tax assets would be realized. As a result, in fiscal 2014, we released our valuation allowance of approximately $65.0 million. In addition, we applied for various tax credits that resulted in $6.7 million of additional deferred tax assets and tax benefits. The fiscal 2015 provision includes a $2.9 million valuation allowance against our deferred tax assets resulting from certain tax credits that may not be realizable prior to the time the credits expire.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discussion on the impact of inflation and changing prices on our net sales and revenues and on income from continuing operations, please refer to Item 7A, “Quantitative and Qualitative Disclosures About Market Risk-Inflation”.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and expansion plans for at least the next 12 months.</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July 30, 2014, we closed our IPO, the majority of the proceeds of which were used to repay our 2013 Second Lien Term Loan. In December 2014, we refinanced the 2013 First Lien Credit Agreement by entering into the 2014 Revolver, which carried a longer maturity and a lower interest rate than the indebtedness that it replaced.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presents summary cash flow information for the years indicated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7"/>
              </w:rPr>
              <w:t>Fiscal Year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49,299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57,971</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(35,202)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(30,835)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(18,030)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(32,534)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fiscal 2016, net cash provided by operating activities decreased by $8.7 million compared to fiscal 2015. This was due primarily to lower profitability, payment of the TRA, and other unfavorable working capital fluctuations.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fiscal 2015, net cash provided by operating activities increased by $31.9 million compared to fiscal 2014. This was due primarily to (i) lower interest payments, due to our IPO in July 2014, the majority of the proceeds of which were used to repay the 2013 Second Lien Term Loan, the 2014 refinancing, which carried lower interest rates and the pre-payment in 2015 of $42.0 million of the outstanding debt on the 2014 Revolver and (ii) the timing of payments in 2015 compared to 2014 related to rent, advertising and payments to our primary food distributor, due primarily to the impact of the 53rd week in 2014 and a change in 2014 of the payment terms to our primary food distributor to realize early payment discounts.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fiscal 2016, net cash used in investing activities increased by $4.4 million compared to fiscal 2015. This was primarily due to opening 18 new company restaurants in fiscal 2016 compared to 14 new restaurants in fiscal 2015. In fiscal 2016, we incurred capital expenditures of approximately $37.4 million, consisting of $29.9 million related to new restaurants, $1.6 million related to the remodeling of existing restaurants, and $5.9 million related to major maintenance and other corporate capital expenditures. Capital expenditures for these periods exclude unpaid purchases of property and equipment. This was partially offset by $1.5 million in proceeds from the sale of a restaurant and $0.7 million in insurance proceeds relating to the property and equipment fire damage incurred at one of our restaurants in November 2015.</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2015, net cash used in investing activities increased by $9.4 million compared to fiscal 2014. This was due primarily to increased capital expenditures related to new restaurants, and the sales proceeds from the San Antonio transaction received in fiscal 2014. In fiscal 2015, we incurred capital expenditures of approximately $30.8 million, consisting of $17.4 million related to new restaurants, $6.3 million related to the remodeling of existing restaurants, and $7.1 million related to maintenance, the capitalization of development costs and other corporate capital expenditures. Capital expenditures for these periods exclude unpaid purchases of property and equipment.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fiscal 2016, net cash used by financing activities decreased by $14.5 million compared to fiscal 2015. This was due primarily to the pre-payment of $19.0 million on the 2014 Revolver in 2016 compared to a pre-payment of $42.0 million in 2015, partially offset by the receipt of $3.3 million less related to the exercise of stock options in 2016 compared to 2015 and a decrease of $5.3 million in excess income tax benefit related to share-based compensation plans.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2015, net cash used by financing activities increased by $22.3 million compared to fiscal 2014. This was due primarily to the pre-payment of $42.0 million on the 2014 Revolver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December 28, 2016, $8.1 million of letters of credit were outstanding and $87.9 million was available to borrow under the revolving line of credit. The 2014 Revolver will mature on or about December 11,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spacing w:after="0" w:line="293" w:lineRule="auto"/>
        <w:rPr>
          <w:sz w:val="20"/>
          <w:szCs w:val="20"/>
          <w:color w:val="auto"/>
        </w:rPr>
      </w:pPr>
      <w:r>
        <w:rPr>
          <w:rFonts w:ascii="Arial" w:cs="Arial" w:eastAsia="Arial" w:hAnsi="Arial"/>
          <w:sz w:val="16"/>
          <w:szCs w:val="16"/>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2.0% to 2.4% during fiscal 2016 and 1.9% to 2.6% during fiscal 2015 and was 2.4% and 2.0% at December 28, 2016 and December 30, 2015, respectively.</w:t>
      </w:r>
    </w:p>
    <w:p>
      <w:pPr>
        <w:spacing w:after="0" w:line="16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December 28, 2016.</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53"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Agreements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 October 11, 2013, the Company refinanced its debt, with EPL entering into the 2013 Credit Agreements, including the 2013 First Lien Term Loan and the 2013 Second Lien Term Loan (together, the “2013 Term Loans”). The proceeds received from the 2013 Term Loans on October 11, 2013, plus $14.4 million of cash on hand, were used to pay off the 2011 Financing Agreements and to pay fees and expenses in connection therewith.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First Lien Credit Agreement</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First Lien Term Loan was issued at a discount of $1.0 million, and this discount was being accreted over the term of the loan, using the effective interest method. The unamortized discount at December 31, 2014, was $0.9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2013 First Lien Term Loan required quarterly principal payments of 0.25% be made commencing March 26, 2014.</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part of the 2014 Refinancing, the 2013 First Lien Term Loan was repaid in full, resulting in an expense of $3.9 million related to the remaining unamortized deferred finance costs and the write off of $0.7 million of unamortized discount. These costs were expensed, and are reflected in loss on early extinguishment of debt in the accompanying consolidated statements of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Second Lien Credit Agreement</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Second Lien Term Loan was issued at a discount of $1.0 million, and this discount was being accreted over the term of the loan, using the effective interest method. The unamortized discount at December 25, 2013, was $1.0 million.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20"/>
        <w:spacing w:after="0" w:line="259" w:lineRule="auto"/>
        <w:rPr>
          <w:sz w:val="20"/>
          <w:szCs w:val="20"/>
          <w:color w:val="auto"/>
        </w:rPr>
      </w:pPr>
      <w:r>
        <w:rPr>
          <w:rFonts w:ascii="Arial" w:cs="Arial" w:eastAsia="Arial" w:hAnsi="Arial"/>
          <w:sz w:val="18"/>
          <w:szCs w:val="18"/>
          <w:color w:val="auto"/>
        </w:rPr>
        <w:t>In conjunction with our IPO, the 2013 Second Lien Term Loan was repaid in full. In conjunction with the repayment of the 2013 Second Lien Term Loan, we incurred call premiums of $1.5 million. In addition, we expensed $2.7 million of the remaining unamortized deferred finance costs, and wrote off $0.9 million of unamortized discount. These costs were expensed, and are reflected in loss on early extinguishment of debt in the accompanying consolidated statements of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Arrangements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was for a notional amount of $30.0 million, with a cap rate of 3.0% based on 1 month USD LIBOR, which terminated on December 1, 2015. The second interest rate cap was for a notional amount of $120.0 million, with a cap rate of 3.0% based on 1 month USD LIBOR, which terminated on December 1, 2016. As of December 30, 2015, the amounts included in other assets in our consolidated balance sheets, related to these interest rate caps, were not material to our financial position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December 28,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1"/>
              </w:rPr>
              <w:t>Payments Due by Period</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8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2022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283,144</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23,884</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Income tax receivable agreement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Purchasing commitments—beverage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Purchasing commitments—chicken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40,540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28, 2016, December 30, 2015, and December 31, 2014, we had $8.1 million, $7.2 million, and $7.6 million, respectively, of borrowing capacity on the 2014 Revolver pledged as collateral to secure outstanding letters of credit.</w:t>
      </w:r>
    </w:p>
    <w:p>
      <w:pPr>
        <w:spacing w:after="0" w:line="356" w:lineRule="exact"/>
        <w:rPr>
          <w:sz w:val="20"/>
          <w:szCs w:val="20"/>
          <w:color w:val="auto"/>
        </w:rPr>
      </w:pPr>
    </w:p>
    <w:p>
      <w:pPr>
        <w:ind w:right="3800"/>
        <w:spacing w:after="0" w:line="378"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ind w:right="40"/>
        <w:spacing w:after="0" w:line="259" w:lineRule="auto"/>
        <w:rPr>
          <w:sz w:val="20"/>
          <w:szCs w:val="20"/>
          <w:color w:val="auto"/>
        </w:rPr>
      </w:pPr>
      <w:r>
        <w:rPr>
          <w:rFonts w:ascii="Arial" w:cs="Arial" w:eastAsia="Arial" w:hAnsi="Arial"/>
          <w:sz w:val="18"/>
          <w:szCs w:val="18"/>
          <w:color w:val="auto"/>
        </w:rPr>
        <w:t>We are exposed to market risk from changes in interest rates on our debt, which bears interest at USD LIBOR plus a margin between 1.75% and 2.50%. As of December 28, 2016, we had outstanding borrowings of $104.0 million and another $8.1 million of letters of credit in support of our insurance programs. A 1.0% increase in the effective interest rate applied to these borrowings would result in a pre-tax interest expense increase of $1.1 million on an annualized basis.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mitigate exposure to fluctuations in interest rates, in the past, when we have determined it appropriate, we have entered into interest rate caps, as discussed above under Item 7, “Management’s Discussion and Analysis of Financial Condition and Results of Operations—Liquidity and Capital Resources—Debt and Other Obligations—Hedging Arrangements.” At this time, due to reduced debt burden and the lowered rates of interest on our debt in recent years, we are not continuing to hedge our interest rate exposure.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Since January 1, 2017, the State of California (where most of our restaurants are located) has had a minimum wage of $10.50 per hour. In 2016 it was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t>$10.00 per hour. In 2015, it was $9.00 per hour. We also do substantial business in locales such as the City of Los Angeles and the County of Los Angeles that may have higher minimum wages. For details, see Item 1A, “Risk Factors-Risks Related to Our Business and Industry-If we or our franchisees face labor shortages or increased labor costs, our results of operations and growth could be adversely affected.”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prices under our purchasing commitments. In rapidly-fluctuating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 See Item 1A, “Risk Factors—Risks Related to Our Business and Industry—Changes in food and supply costs, especially for chicken, could adversely affect our business, financial condition and results of operations,” and Note 14 to our consolidated financial statements included elsewhere in this report.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988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64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4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rPr>
              <w:t>EL POLLO LOCO HOLDINGS, INC. AND SUBSIDIARIES</w:t>
            </w:r>
          </w:p>
        </w:tc>
        <w:tc>
          <w:tcPr>
            <w:tcW w:w="640" w:type="dxa"/>
            <w:vAlign w:val="bottom"/>
          </w:tcPr>
          <w:p>
            <w:pPr>
              <w:spacing w:after="0"/>
              <w:rPr>
                <w:sz w:val="24"/>
                <w:szCs w:val="24"/>
                <w:color w:val="auto"/>
              </w:rPr>
            </w:pPr>
          </w:p>
        </w:tc>
      </w:tr>
      <w:tr>
        <w:trPr>
          <w:trHeight w:val="432"/>
        </w:trPr>
        <w:tc>
          <w:tcPr>
            <w:tcW w:w="10800" w:type="dxa"/>
            <w:vAlign w:val="bottom"/>
            <w:gridSpan w:val="10"/>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640" w:type="dxa"/>
            <w:vAlign w:val="bottom"/>
          </w:tcPr>
          <w:p>
            <w:pPr>
              <w:spacing w:after="0"/>
              <w:rPr>
                <w:sz w:val="24"/>
                <w:szCs w:val="24"/>
                <w:color w:val="auto"/>
              </w:rPr>
            </w:pPr>
          </w:p>
        </w:tc>
      </w:tr>
      <w:tr>
        <w:trPr>
          <w:trHeight w:val="418"/>
        </w:trPr>
        <w:tc>
          <w:tcPr>
            <w:tcW w:w="10800" w:type="dxa"/>
            <w:vAlign w:val="bottom"/>
            <w:gridSpan w:val="10"/>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640" w:type="dxa"/>
            <w:vAlign w:val="bottom"/>
          </w:tcPr>
          <w:p>
            <w:pPr>
              <w:spacing w:after="0"/>
              <w:rPr>
                <w:sz w:val="24"/>
                <w:szCs w:val="24"/>
                <w:color w:val="auto"/>
              </w:rPr>
            </w:pPr>
          </w:p>
        </w:tc>
      </w:tr>
      <w:tr>
        <w:trPr>
          <w:trHeight w:val="190"/>
        </w:trPr>
        <w:tc>
          <w:tcPr>
            <w:tcW w:w="10800" w:type="dxa"/>
            <w:vAlign w:val="bottom"/>
            <w:gridSpan w:val="10"/>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Balance Sheets—December 28, 2016 and December 30, 2015</w:t>
              </w:r>
            </w:hyperlink>
          </w:p>
        </w:tc>
        <w:tc>
          <w:tcPr>
            <w:tcW w:w="53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80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Income—For the years ended December 28, 2016, December 30, 2015, and December 31, 2014</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57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800" w:type="dxa"/>
            <w:vAlign w:val="bottom"/>
            <w:gridSpan w:val="10"/>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Consolidated Statements of Changes in Stockholders’ Equity—For the years ended December 28, 2016, December 30, 2015, and December 31,</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2014</w:t>
              </w:r>
            </w:hyperlink>
          </w:p>
        </w:tc>
        <w:tc>
          <w:tcPr>
            <w:tcW w:w="3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4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800" w:type="dxa"/>
            <w:vAlign w:val="bottom"/>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Flows—For the years ended December 28, 2016, December 30, 2015 and December 31, 2014</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Notes to Consolidated Financial Statements</w:t>
              </w:r>
            </w:hyperlink>
          </w:p>
        </w:tc>
        <w:tc>
          <w:tcPr>
            <w:tcW w:w="604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885"/>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20" w:type="dxa"/>
            <w:vAlign w:val="bottom"/>
            <w:gridSpan w:val="4"/>
          </w:tcPr>
          <w:p>
            <w:pPr>
              <w:jc w:val="right"/>
              <w:ind w:right="31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5" w:name="page56"/>
    <w:bookmarkEnd w:id="5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El Pollo Loco Holdings, Inc. (“Company”) as of December 28, 2016 and December 30, 2015, and the related consolidated statements of income, changes in stockholders’ equity, and cash flows for each of the three years in the period ended December 28,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El Pollo Loco Holdings, Inc. at December 28, 2016 and December 30, 2015, and the results of its operations and its cash flows for each of the three years in the period ended December 28, 2016,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28, 2016</w:t>
            </w: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30, 2015</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5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840" w:type="dxa"/>
            <w:vAlign w:val="bottom"/>
            <w:gridSpan w:val="2"/>
            <w:shd w:val="clear" w:color="auto" w:fill="CFF0FC"/>
          </w:tcPr>
          <w:p>
            <w:pPr>
              <w:ind w:left="15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2,168</w:t>
            </w:r>
          </w:p>
        </w:tc>
        <w:tc>
          <w:tcPr>
            <w:tcW w:w="3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Restricted cash</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Accounts and other receivables, net</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6,919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Inventories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Prepaid expenses and other current assets</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Deferred tax assets</w:t>
            </w:r>
          </w:p>
        </w:tc>
        <w:tc>
          <w:tcPr>
            <w:tcW w:w="15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current assets</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35,885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Property and equipment owned, net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118,470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Property held under capital lease, net</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Goodwill</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248,674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Trademarks</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61,888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61,888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Other intangible assets, net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15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15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471,305</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2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 liabilities:</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Current portion of obligations under capital leases</w:t>
            </w:r>
          </w:p>
        </w:tc>
        <w:tc>
          <w:tcPr>
            <w:tcW w:w="184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144</w:t>
            </w:r>
          </w:p>
        </w:tc>
        <w:tc>
          <w:tcPr>
            <w:tcW w:w="3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11,637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Accrued salaries and vacation</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Accrued insurance</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Accrued income taxes payable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Accrued interest</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Accrued advertising</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Other accrued expenses and current liabilities</w:t>
            </w:r>
          </w:p>
        </w:tc>
        <w:tc>
          <w:tcPr>
            <w:tcW w:w="15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22,021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45,318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Revolver loan</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104,000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Obligations under capital leases, net of current portion</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Deferred taxes, net of current portion</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18,488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Other intangible liabilities, net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5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36,988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Total liabilities</w:t>
            </w:r>
          </w:p>
        </w:tc>
        <w:tc>
          <w:tcPr>
            <w:tcW w:w="15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206,123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216,395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Commitments and contingencies</w:t>
            </w:r>
          </w:p>
        </w:tc>
        <w:tc>
          <w:tcPr>
            <w:tcW w:w="1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$0.01 par value—100,000,000 shares authorized; none issued or</w:t>
            </w:r>
          </w:p>
        </w:tc>
        <w:tc>
          <w:tcPr>
            <w:tcW w:w="1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outstanding</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7120" w:type="dxa"/>
            <w:vAlign w:val="bottom"/>
          </w:tcPr>
          <w:p>
            <w:pPr>
              <w:spacing w:after="0"/>
              <w:rPr>
                <w:sz w:val="20"/>
                <w:szCs w:val="20"/>
                <w:color w:val="auto"/>
              </w:rPr>
            </w:pPr>
            <w:r>
              <w:rPr>
                <w:rFonts w:ascii="Arial" w:cs="Arial" w:eastAsia="Arial" w:hAnsi="Arial"/>
                <w:sz w:val="17"/>
                <w:szCs w:val="17"/>
                <w:color w:val="auto"/>
              </w:rPr>
              <w:t>Common stock, $0.01 par value—200,000,000 shares authorized; 38,473,772 and</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40"/>
              <w:spacing w:after="0"/>
              <w:rPr>
                <w:sz w:val="20"/>
                <w:szCs w:val="20"/>
                <w:color w:val="auto"/>
              </w:rPr>
            </w:pPr>
            <w:r>
              <w:rPr>
                <w:rFonts w:ascii="Arial" w:cs="Arial" w:eastAsia="Arial" w:hAnsi="Arial"/>
                <w:sz w:val="17"/>
                <w:szCs w:val="17"/>
                <w:color w:val="auto"/>
              </w:rPr>
              <w:t>38,284,435 shares issued and outstanding</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371,843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7"/>
                <w:szCs w:val="17"/>
                <w:color w:val="auto"/>
              </w:rPr>
              <w:t>Accumulated deficit</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(107,046)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(125,385)</w:t>
            </w:r>
          </w:p>
        </w:tc>
        <w:tc>
          <w:tcPr>
            <w:tcW w:w="0" w:type="dxa"/>
            <w:vAlign w:val="bottom"/>
          </w:tcPr>
          <w:p>
            <w:pPr>
              <w:spacing w:after="0"/>
              <w:rPr>
                <w:sz w:val="1"/>
                <w:szCs w:val="1"/>
                <w:color w:val="auto"/>
              </w:rPr>
            </w:pPr>
          </w:p>
        </w:tc>
      </w:tr>
      <w:tr>
        <w:trPr>
          <w:trHeight w:val="210"/>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stockholders’ equity</w:t>
            </w:r>
          </w:p>
        </w:tc>
        <w:tc>
          <w:tcPr>
            <w:tcW w:w="15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265,182</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244,633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5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471,305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63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December 28,</w:t>
            </w:r>
          </w:p>
        </w:tc>
        <w:tc>
          <w:tcPr>
            <w:tcW w:w="8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December 30,</w:t>
            </w: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1"/>
              <w:spacing w:after="0" w:line="158"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1"/>
              <w:spacing w:after="0" w:line="158"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1"/>
              <w:spacing w:after="0" w:line="158"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355,468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332,040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Franchise revenue</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380,123</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355,057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Cost of operations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Food and paper costs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Labor and related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84,231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Occupancy and other operating expenses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recovery of insurance proceeds, lost profits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282,450</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260,125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fire loss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20" w:type="dxa"/>
            <w:vAlign w:val="bottom"/>
            <w:gridSpan w:val="2"/>
          </w:tcPr>
          <w:p>
            <w:pPr>
              <w:spacing w:after="0"/>
              <w:rPr>
                <w:sz w:val="20"/>
                <w:szCs w:val="20"/>
                <w:color w:val="auto"/>
              </w:rPr>
            </w:pPr>
            <w:r>
              <w:rPr>
                <w:rFonts w:ascii="Arial" w:cs="Arial" w:eastAsia="Arial" w:hAnsi="Arial"/>
                <w:sz w:val="18"/>
                <w:szCs w:val="18"/>
                <w:color w:val="auto"/>
              </w:rPr>
              <w:t>Gain on recovery of insurance proceeds, property,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140"/>
              <w:spacing w:after="0"/>
              <w:rPr>
                <w:sz w:val="20"/>
                <w:szCs w:val="20"/>
                <w:color w:val="auto"/>
              </w:rPr>
            </w:pPr>
            <w:r>
              <w:rPr>
                <w:rFonts w:ascii="Arial" w:cs="Arial" w:eastAsia="Arial" w:hAnsi="Arial"/>
                <w:sz w:val="18"/>
                <w:szCs w:val="18"/>
                <w:color w:val="auto"/>
              </w:rPr>
              <w:t>equipment and expenses</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 and closed-store reserves</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8,554</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345,522</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306,233</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Gain on disposition of restaurants</w:t>
            </w: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34,629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expense—net of interest income of $28, $49, and $63 for the years</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ended December 28, 2016, December 30, 2015, and December 31, 2014,</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Early extinguishment of debt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related to selling shareholders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tax receivable agreement expense</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(provision) benefit for income</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31,122</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(20,545)</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(12,783)</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(20,857)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shares used in computing net income per share:</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38,357,805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37,949,316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32,285,484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39,026,950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39,039,558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34,346,241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50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25, 2013</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28,712,622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240,151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 initial public offering, net of</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costs of $10,914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8,214,286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493,542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related to share-based</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 plans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42,463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31,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37,420,450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359,465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(149,439)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Excess income tax benefit related to share-based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compensation plans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30, 2015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38,284,435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369,635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(125,385)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Issuance of common stock related to restricted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41,611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Excess income tax benefit related to share-based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compensation plans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 December 28,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38,473,772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(107,046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7"/>
              </w:rPr>
              <w:t>December 30,</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tcBorders>
              <w:bottom w:val="single" w:sz="8" w:color="auto"/>
            </w:tcBorders>
          </w:tcPr>
          <w:p>
            <w:pPr>
              <w:spacing w:after="0" w:line="140" w:lineRule="exact"/>
              <w:rPr>
                <w:sz w:val="20"/>
                <w:szCs w:val="20"/>
                <w:color w:val="auto"/>
              </w:rPr>
            </w:pPr>
            <w:r>
              <w:rPr>
                <w:rFonts w:ascii="Arial" w:cs="Arial" w:eastAsia="Arial" w:hAnsi="Arial"/>
                <w:sz w:val="13"/>
                <w:szCs w:val="13"/>
                <w:b w:val="1"/>
                <w:bCs w:val="1"/>
                <w:color w:val="auto"/>
                <w:w w:val="86"/>
              </w:rPr>
              <w:t>For the Years Ended</w:t>
            </w:r>
          </w:p>
        </w:tc>
        <w:tc>
          <w:tcPr>
            <w:tcW w:w="6500" w:type="dxa"/>
            <w:vAlign w:val="bottom"/>
          </w:tcPr>
          <w:p>
            <w:pPr>
              <w:spacing w:after="0"/>
              <w:rPr>
                <w:sz w:val="13"/>
                <w:szCs w:val="13"/>
                <w:color w:val="auto"/>
              </w:rPr>
            </w:pPr>
          </w:p>
        </w:tc>
        <w:tc>
          <w:tcPr>
            <w:tcW w:w="13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December 28, 2016</w:t>
            </w:r>
          </w:p>
        </w:tc>
        <w:tc>
          <w:tcPr>
            <w:tcW w:w="120" w:type="dxa"/>
            <w:vAlign w:val="bottom"/>
          </w:tcPr>
          <w:p>
            <w:pPr>
              <w:spacing w:after="0"/>
              <w:rPr>
                <w:sz w:val="13"/>
                <w:szCs w:val="13"/>
                <w:color w:val="auto"/>
              </w:rPr>
            </w:pPr>
          </w:p>
        </w:tc>
        <w:tc>
          <w:tcPr>
            <w:tcW w:w="920" w:type="dxa"/>
            <w:vAlign w:val="bottom"/>
          </w:tcPr>
          <w:p>
            <w:pPr>
              <w:jc w:val="right"/>
              <w:ind w:right="328"/>
              <w:spacing w:after="0" w:line="140" w:lineRule="exact"/>
              <w:rPr>
                <w:sz w:val="20"/>
                <w:szCs w:val="20"/>
                <w:color w:val="auto"/>
              </w:rPr>
            </w:pPr>
            <w:r>
              <w:rPr>
                <w:rFonts w:ascii="Arial" w:cs="Arial" w:eastAsia="Arial" w:hAnsi="Arial"/>
                <w:sz w:val="13"/>
                <w:szCs w:val="13"/>
                <w:b w:val="1"/>
                <w:bCs w:val="1"/>
                <w:color w:val="auto"/>
              </w:rPr>
              <w:t>2015</w:t>
            </w:r>
          </w:p>
        </w:tc>
        <w:tc>
          <w:tcPr>
            <w:tcW w:w="280" w:type="dxa"/>
            <w:vAlign w:val="bottom"/>
          </w:tcPr>
          <w:p>
            <w:pPr>
              <w:spacing w:after="0"/>
              <w:rPr>
                <w:sz w:val="13"/>
                <w:szCs w:val="13"/>
                <w:color w:val="auto"/>
              </w:rPr>
            </w:pPr>
          </w:p>
        </w:tc>
        <w:tc>
          <w:tcPr>
            <w:tcW w:w="11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7"/>
              </w:rPr>
              <w:t>December 31, 2014</w:t>
            </w:r>
          </w:p>
        </w:tc>
        <w:tc>
          <w:tcPr>
            <w:tcW w:w="0" w:type="dxa"/>
            <w:vAlign w:val="bottom"/>
          </w:tcPr>
          <w:p>
            <w:pPr>
              <w:spacing w:after="0"/>
              <w:rPr>
                <w:sz w:val="1"/>
                <w:szCs w:val="1"/>
                <w:color w:val="auto"/>
              </w:rPr>
            </w:pPr>
          </w:p>
        </w:tc>
      </w:tr>
      <w:tr>
        <w:trPr>
          <w:trHeight w:val="149"/>
        </w:trPr>
        <w:tc>
          <w:tcPr>
            <w:tcW w:w="76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18,339</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24,054</w:t>
            </w:r>
          </w:p>
        </w:tc>
        <w:tc>
          <w:tcPr>
            <w:tcW w:w="2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42,463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Adjustments to reconcile changes in net income to net cash provided by operating activities:</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13,092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accretion</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Fire insurance proceeds for expenses paid and lost profit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receivable agreement expense</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Gain on disposition of restaurants</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on disposal of assets</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Gain on recovery of insurance proceeds, property, equipment and expenses</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Gain on recovery of insurance proceeds, lost profits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Impairment of property and equipment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Closed-store reserves</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(89)</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favorable and unfavorable leases, net</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(156)</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Excess income tax benefit related to share-based compensation plans</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(5,420)</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Deferred income taxes, net</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12,390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15,249</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(67,001)</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Payment related to tax receivable agreement</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Accounts and other receivables, net</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(3,065)</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taxes receivable/payable</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5,589</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(4,579)</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2,317</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Accrued salaries and vacation</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(1,311)</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Accrued insurance</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Other accrued expenses and liabilities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(325)</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156"/>
        </w:trPr>
        <w:tc>
          <w:tcPr>
            <w:tcW w:w="76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49,299</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57,971</w:t>
            </w:r>
          </w:p>
        </w:tc>
        <w:tc>
          <w:tcPr>
            <w:tcW w:w="2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26,085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Proceeds from disposition of restaurant</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1,465</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Proceeds from fire insurance for property and equipment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Proceeds from disposition of assets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(37,410)</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(30,835)</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(26,836)</w:t>
            </w:r>
          </w:p>
        </w:tc>
        <w:tc>
          <w:tcPr>
            <w:tcW w:w="0" w:type="dxa"/>
            <w:vAlign w:val="bottom"/>
          </w:tcPr>
          <w:p>
            <w:pPr>
              <w:spacing w:after="0"/>
              <w:rPr>
                <w:sz w:val="1"/>
                <w:szCs w:val="1"/>
                <w:color w:val="auto"/>
              </w:rPr>
            </w:pPr>
          </w:p>
        </w:tc>
      </w:tr>
      <w:tr>
        <w:trPr>
          <w:trHeight w:val="156"/>
        </w:trPr>
        <w:tc>
          <w:tcPr>
            <w:tcW w:w="76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flows used in investing activities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(35,202)</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(30,835)</w:t>
            </w:r>
          </w:p>
        </w:tc>
        <w:tc>
          <w:tcPr>
            <w:tcW w:w="2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(21,401)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Proceeds from borrowings on revolver and term loans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Payments on revolver loan</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(42,000)</w:t>
            </w:r>
          </w:p>
        </w:tc>
        <w:tc>
          <w:tcPr>
            <w:tcW w:w="2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Proceeds from issuance of common stock for initial public offering, net of expenses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Proceeds from issuance of common stock upon exercise of stock options, net of expenses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Payment of call premium on notes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Payment of obligations under capital leases</w:t>
            </w:r>
          </w:p>
        </w:tc>
        <w:tc>
          <w:tcPr>
            <w:tcW w:w="3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Repayments on senior secured notes</w:t>
            </w:r>
          </w:p>
        </w:tc>
        <w:tc>
          <w:tcPr>
            <w:tcW w:w="3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(290,000)</w:t>
            </w: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Deferred financing costs for Revolver</w:t>
            </w:r>
          </w:p>
        </w:tc>
        <w:tc>
          <w:tcPr>
            <w:tcW w:w="3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Excess income tax benefit related to share-based compensation plans</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5,420</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2"/>
          </w:tcPr>
          <w:p>
            <w:pPr>
              <w:spacing w:after="0"/>
              <w:rPr>
                <w:sz w:val="20"/>
                <w:szCs w:val="20"/>
                <w:color w:val="auto"/>
              </w:rPr>
            </w:pPr>
            <w:r>
              <w:rPr>
                <w:rFonts w:ascii="Arial" w:cs="Arial" w:eastAsia="Arial" w:hAnsi="Arial"/>
                <w:sz w:val="14"/>
                <w:szCs w:val="14"/>
                <w:color w:val="auto"/>
              </w:rPr>
              <w:t>Amendment fee</w:t>
            </w:r>
          </w:p>
        </w:tc>
        <w:tc>
          <w:tcPr>
            <w:tcW w:w="3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56"/>
        </w:trPr>
        <w:tc>
          <w:tcPr>
            <w:tcW w:w="76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flows used in financing activities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(18,030)</w:t>
            </w:r>
          </w:p>
        </w:tc>
        <w:tc>
          <w:tcPr>
            <w:tcW w:w="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(32,534)</w:t>
            </w:r>
          </w:p>
        </w:tc>
        <w:tc>
          <w:tcPr>
            <w:tcW w:w="2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(10,200)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Decrease in cash and cash equivalents</w:t>
            </w:r>
          </w:p>
        </w:tc>
        <w:tc>
          <w:tcPr>
            <w:tcW w:w="3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(3,933)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(5,398)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(5,516)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3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6,101</w:t>
            </w:r>
          </w:p>
        </w:tc>
        <w:tc>
          <w:tcPr>
            <w:tcW w:w="2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11,499</w:t>
            </w:r>
          </w:p>
        </w:tc>
        <w:tc>
          <w:tcPr>
            <w:tcW w:w="2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17,015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2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2,168</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6,101</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11,499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3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Cash paid for interest, net of capitalized interest</w:t>
            </w:r>
          </w:p>
        </w:tc>
        <w:tc>
          <w:tcPr>
            <w:tcW w:w="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3,086</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3,487</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20,224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20" w:type="dxa"/>
            <w:vAlign w:val="bottom"/>
            <w:tcBorders>
              <w:bottom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Cash paid during the year for income taxes, net</w:t>
            </w:r>
          </w:p>
        </w:tc>
        <w:tc>
          <w:tcPr>
            <w:tcW w:w="34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171</w:t>
            </w: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18</w:t>
            </w:r>
          </w:p>
        </w:tc>
        <w:tc>
          <w:tcPr>
            <w:tcW w:w="2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and financing activity</w:t>
            </w: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Unpaid purchases of property and equipment</w:t>
            </w: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5,158</w:t>
            </w: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3,201</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1,235</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Cashless stock option exercise</w:t>
            </w: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gridSpan w:val="2"/>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w:t>
      </w:r>
      <w:r>
        <w:rPr>
          <w:rFonts w:ascii="Arial" w:cs="Arial" w:eastAsia="Arial" w:hAnsi="Arial"/>
          <w:sz w:val="15"/>
          <w:szCs w:val="15"/>
          <w:color w:val="auto"/>
        </w:rPr>
        <w:t>®</w:t>
      </w:r>
      <w:r>
        <w:rPr>
          <w:rFonts w:ascii="Arial" w:cs="Arial" w:eastAsia="Arial" w:hAnsi="Arial"/>
          <w:sz w:val="18"/>
          <w:szCs w:val="18"/>
          <w:color w:val="auto"/>
        </w:rPr>
        <w:t>. The restaurants, which are located principally in California but also in Arizona, Nevada, Texas, and Utah, specialize in flame-grilled chicken in a wide variety of contemporary Mexican-influenced entrees, including specialty chicken burritos, chicken quesadillas, chicken tortilla soup, Pollo Bowls and Pollo Salads. At December 28, 2016, the Company operated 201 (137 in the greater Los Angeles area) and franchised 259 (138 in the greater Los Angeles area) El Pollo Loco restaurants. In addition, the Company currently licenses two restaurants in the Philippines. The Company’s largest stockholder is Trimaran Pollo Partners, L.L.C. (“LLC”), which is controlled by affiliates of Trimaran Capital, L.L.C. LLC acquired Chicken Acquisition Corp. (“CAC”), a predecessor of Holdings, on November 17, 2005 (the “Acquisition”) and has a 43.5% ownership interest as of December 28, 2016. LLC’s only material asset is its investment in Holdings.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to the general public through either company or franchised restaurants.</w:t>
      </w:r>
    </w:p>
    <w:p>
      <w:pPr>
        <w:spacing w:after="0" w:line="356" w:lineRule="exact"/>
        <w:rPr>
          <w:sz w:val="20"/>
          <w:szCs w:val="20"/>
          <w:color w:val="auto"/>
        </w:rPr>
      </w:pPr>
    </w:p>
    <w:p>
      <w:pPr>
        <w:ind w:right="6500" w:firstLine="8"/>
        <w:spacing w:after="0" w:line="378"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Liquidity</w:t>
      </w:r>
    </w:p>
    <w:p>
      <w:pPr>
        <w:ind w:right="20"/>
        <w:spacing w:after="0" w:line="273" w:lineRule="auto"/>
        <w:rPr>
          <w:sz w:val="20"/>
          <w:szCs w:val="20"/>
          <w:color w:val="auto"/>
        </w:rPr>
      </w:pPr>
      <w:r>
        <w:rPr>
          <w:rFonts w:ascii="Arial" w:cs="Arial" w:eastAsia="Arial" w:hAnsi="Arial"/>
          <w:sz w:val="17"/>
          <w:szCs w:val="17"/>
          <w:color w:val="auto"/>
        </w:rPr>
        <w:t>The Company’s principal liquidity requirements are to service its debt and meet capital expenditure needs. At December 28, 2016, the Company’s total debt (including capital lease liabilities) was $104.5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$2.2 million at December 28, 2016 and available borrowings under the 2014 Revolver (which availability was $87.9 million at December 28, 2016) will be adequate to meet the Company’s liquidity needs for the next 12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uses a 52- or 53-week fiscal year ending on the last Wednesday of each calendar year. Fiscal 2014, 2015, and 2016 ended on December 31, 2014, December 30, 2015 and December 28, 2016,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2015 and 2016 were 52-week fiscal years. Fiscal 2014 was a 53-week year. 53-week years may cause revenues, expenses, and other results of operations to be higher due to the additional week of operations.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closed-store reserves, stock-based compensation, income tax receivable agreement liability, and income tax valuation allowances.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28, 2016, the Company completed five new store openings and three franchisees each completed a new store opening.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On each of January 17, 2017 and February 17, 2017, the Company made a prepayment of $1.5 million on the 2014 Revolver.</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Subsequent to December 28, 2016, the Company decided to close one restaurant in Texas and one restaurant in Arizona, which were previously impaired during the third quarter of 2016. These restaurants closed on February 22, 2017 and are expected to result in a closed-store reserve of $0.8 million in the first quarter of 2017.</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Company evaluated subsequent events that have occurred after December 28, 2016, and determined that there were no other events or transactions occurring during this reporting period that require recognition or disclosure in the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had one supplier for which amounts due at December 28, 2016 totaled 16% of the Company’s accounts payable. As of December 30, 2015, the Company had two suppliers for which amounts due totaled 12% and 11% of the Company’s accounts payable. Purchases from the Company’s largest supplier totaled 33% of the Company’s purchases for fiscal 2016, and 36% for both fiscal 2015 and fiscal 2014. Purchases from the Company’s second largest supplier did not exceed 10% for fiscal 2016, 2015 and 2014. In fiscal 2016, 2015, and 2014, Company-operated and franchised restaurants in the greater Los Angeles area generated, in the aggregate, approximately 75%, 79%, and 80%, respectively, of total revenue.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Accounts and other receivables consist primarily of royalties, advertising and sublease rent and related amounts receivable from franchisees which are due on a monthly basis that may differ from the Company’s month-end dates as well as credit/debit card receivables. The need for an allowance for doubtful accounts is reviewed on a specific identification basis and takes into consideration past due balances and the financial strength of the obligor. Bad debt expense was immaterial for the years ended December 28, 2016, December 30, 2015, and December 31, 2014.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principally of food, beverages and paper supplies and are valued at the lower of average cost or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Owned, Net</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estimated useful service lives are as follows: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3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Land improvements</w:t>
            </w:r>
          </w:p>
        </w:tc>
        <w:tc>
          <w:tcPr>
            <w:tcW w:w="3760" w:type="dxa"/>
            <w:vAlign w:val="bottom"/>
          </w:tcPr>
          <w:p>
            <w:pPr>
              <w:jc w:val="right"/>
              <w:spacing w:after="0"/>
              <w:rPr>
                <w:sz w:val="20"/>
                <w:szCs w:val="20"/>
                <w:color w:val="auto"/>
              </w:rPr>
            </w:pPr>
            <w:r>
              <w:rPr>
                <w:rFonts w:ascii="Arial" w:cs="Arial" w:eastAsia="Arial" w:hAnsi="Arial"/>
                <w:sz w:val="18"/>
                <w:szCs w:val="18"/>
                <w:color w:val="auto"/>
              </w:rPr>
              <w:t>3—30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3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Restaurant equipment</w:t>
            </w:r>
          </w:p>
        </w:tc>
        <w:tc>
          <w:tcPr>
            <w:tcW w:w="3760" w:type="dxa"/>
            <w:vAlign w:val="bottom"/>
          </w:tcPr>
          <w:p>
            <w:pPr>
              <w:jc w:val="right"/>
              <w:spacing w:after="0"/>
              <w:rPr>
                <w:sz w:val="20"/>
                <w:szCs w:val="20"/>
                <w:color w:val="auto"/>
              </w:rPr>
            </w:pPr>
            <w:r>
              <w:rPr>
                <w:rFonts w:ascii="Arial" w:cs="Arial" w:eastAsia="Arial" w:hAnsi="Arial"/>
                <w:sz w:val="18"/>
                <w:szCs w:val="18"/>
                <w:color w:val="auto"/>
              </w:rPr>
              <w:t>3—10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Other equipment</w:t>
            </w:r>
          </w:p>
        </w:tc>
        <w:tc>
          <w:tcPr>
            <w:tcW w:w="3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760" w:type="dxa"/>
            <w:vAlign w:val="bottom"/>
          </w:tcPr>
          <w:p>
            <w:pPr>
              <w:jc w:val="right"/>
              <w:spacing w:after="0"/>
              <w:rPr>
                <w:sz w:val="20"/>
                <w:szCs w:val="20"/>
                <w:color w:val="auto"/>
              </w:rPr>
            </w:pPr>
            <w:r>
              <w:rPr>
                <w:rFonts w:ascii="Arial" w:cs="Arial" w:eastAsia="Arial" w:hAnsi="Arial"/>
                <w:sz w:val="18"/>
                <w:szCs w:val="18"/>
                <w:color w:val="auto"/>
              </w:rPr>
              <w:t>Shorter of useful life or lease term</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capitalizes certain directly attributable costs in conjunction with site selection that relate to specific sites for planned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income. The Company capitalized internal costs related to site selection and construction activities of $1.6 million and $1.1 million for the years ended December 28, 2016 and December 30, 2015, respectively. Internal costs related to site selection and construction activities were immaterial during the year ended December 31, 2014. Capitalized internal interest costs related to site selection and construction activities were $0.2 million for the year ended December 28, 2016 and immaterial for the years ended December 30, 2015, and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6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the Company recognized expense related to the impairment of the assets of nine restaurants during the year ended December 28, 2016, upon completion of the qualitative assessment, the Company did not identify any indicators of potential impairment for its goodwill or indefinite-lived intangible assets. Furthermore, the Company did not identify any indicators of potential impairment during the years ended December 30, 2015, or December 31, 2014, and thus no impairment was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Definite lived intangible assets consist of the value allocated to the Company’s favorable and unfavorable leasehold interests that resulted from the Acquisition.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remaining life of the leases. This amount is shown as other intangible assets, net, on the accompanying consolidated balance sheets.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remaining life of the leases. This amount is shown as other intangible liabilities, net, on the accompanying consolidated balance sheets.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Intangible assets and liabilities with a definite life are amortized using the straight-line method over the remaining useful lives at the date of acquisition as follows: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leasehold interests</w:t>
            </w:r>
          </w:p>
        </w:tc>
        <w:tc>
          <w:tcPr>
            <w:tcW w:w="334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9"/>
              </w:rPr>
              <w:t>1 to 18 years (remaining lease term)</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Unfavorable leasehold interest liability</w:t>
            </w:r>
          </w:p>
        </w:tc>
        <w:tc>
          <w:tcPr>
            <w:tcW w:w="3340" w:type="dxa"/>
            <w:vAlign w:val="bottom"/>
          </w:tcPr>
          <w:p>
            <w:pPr>
              <w:ind w:left="720"/>
              <w:spacing w:after="0"/>
              <w:rPr>
                <w:sz w:val="20"/>
                <w:szCs w:val="20"/>
                <w:color w:val="auto"/>
              </w:rPr>
            </w:pPr>
            <w:r>
              <w:rPr>
                <w:rFonts w:ascii="Arial" w:cs="Arial" w:eastAsia="Arial" w:hAnsi="Arial"/>
                <w:sz w:val="18"/>
                <w:szCs w:val="18"/>
                <w:color w:val="auto"/>
                <w:w w:val="89"/>
              </w:rPr>
              <w:t>1 to 20 years (remaining lease term)</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Deferred financing fees are capitalized and amortized over the period of the loan on a straight-line basis, which approximates the effective interest method. Included in other assets are fees (net of accumulated amortization), related to the revolver, of $0.9 million and $1.2 million as of December 28, 2016 and December 30, 2015, respectively. Amortization expense for deferred financing costs was $0.3 million, $0.3 million and $1.3 million for the years ended December 28, 2016, December 30, 2015, and December 31, 2014, respectively, and is reflected as a component of interest expense in the accompanying consolidated statements of income. In conjunction with the 2014 repayment and refinancing of the Company’s debt, $6.6 million of unamortized deferred financing costs related to the 2013 Credit Agreements were written off. See Notes 6 and 7 for further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Based on the results of this analysis, the Company recorded non-cash impairment charges of $8.4 million, $0.2 million and $0.3 million for the years ended December 28, 2016, December 30, 2015, and December 31, 2014, respectively, primarily related to the carrying value of the assets of nine restaurants in Arizona, California and Texas, in fiscal 2016, one restaurant in California, in fiscal 2015 and one restaurant in California, in fiscal 2014, which may not be recoverable. The Company continues to monitor the recoverability of the carrying value of the assets of several other restaurants on an ongoing basis.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28, 2016 and December 30, 2015, the Company had accrued $5.4 and $5.0, respectively, and such amounts are reflected as accrued insurance in the accompanying consolidated balance sheets. The expense for such reserves for the years ended December 28, 2016, December 30, 2015, and December 31, 2014 totaled $7.2 million, $7.9 million, and $5.6 million, respectively. These amounts are included in labor and related expenses and general and administrative expenses on the accompanying consolidated statements of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and Franchise Revenue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$7.4 million, $7.4 million and $7.2 million during the years ended December 28, 2016, December 30, 2015, and December 31, 2014, respectively. Franchise revenue consists of franchise royalties, initial franchise fees, license fees due from franchisees, IT support services and rental income for leases and subleases to franchisees. Franchise royalties are based upon a percentage of net sales of the franchisee and are recorded as income as such sales are earned by the franchisees. Initial franchise and license fees are recognized when all material obligations have been performed and conditions have been satisfied, typically when operations of the franchised restaurant have commenced. Initial franchise fees recognized during the years ended December 28, 2016, December 30, 2015, and December 31, 2014, totaled $0.4 million, $0.8 million, and $0.6 million, respectively. The Company recognizes renewal fees when a renewal agreement with a franchisee becomes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created, generally when the associated revenue is recognized. Advertising expense, which is a component of occupancy and other operating expenses, was $14.7 million, $13.9 million and $13.5 million for the years ended December 28, 2016, December 30, 2015, and December 31, 2014, respectively, and is in addition to $19.3 million, $18.5 million and $17.6 million, respectively, funded by the franchisees’ advertising fees.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nil and $0.2 million at December 28, 2016 and December 30, 2015, respectively. Fees received subsequent to provided service are included in accounts receivable and current assets and were $0.1 and nil at December 28, 2016 and December 30, 2015, respectively. Pursuant to the Company’s Franchise Disclosure Document, company-operated restaurants contribute to the advertising fund on the same basis as franchised restaurants. At December 28, 2016, the Company was obligated to spend $0.1 million less in future periods to comply with this requirement.</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income, were $2.6 million, $1.5 million and $1.2 million for the years ended December 28, 2016, December 30, 2015, and December 31, 2014,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Area Development Fees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receives area development fees from franchisees when they execute multi-unit area development agreements. The Company does not recognize revenue from the agreements until the related restaurants open or at the time the development agreements expire, if the required units are not opened. Unrecognized area development fees totaled $0.9 million at both December 28, 2016 and December 30, 2015, and are included in other accrued expenses and current liabilities and other noncurrent liabilities in the accompanying consolidated balance sheets. As of December 28, 2016, the Company had executed development agreements that represent commitments to open 49 franchised restaurants at various dates through 2019.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Rent expense for the Company’s operating leases, which generally have escalating rents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 operating expenses on the consolidated statements of income. The difference between rent expense and rent paid is recorded as deferred rent, which is included in other noncurrent liabilities in the accompanying consolidated balance sheets. Percentage rent expenses are recorded based on estimated sales or gross margin for respective restaurants over the contingency period.</w:t>
      </w:r>
    </w:p>
    <w:p>
      <w:pPr>
        <w:spacing w:after="0" w:line="15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income, for fiscal 2016, as a reduction of company restaurant expenses. The Company received from the insurance company cash of $1.4 million, net of the insurance deductible, during fiscal 2016. In 2015, the Company disposed of $0.1 million of assets related to the fire. The restaurant was reopened for business on March 14,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it is required to file.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policy is to recognize interest or penalties related to income tax matters in income tax expense. The Company had no accrual for interest or penalties at December 28, 2016 or December 30, 2015, and did not recognize interest or penalties during the years ended December 28, 2016, December 30, 2015, and December 31, 2014, since there were no material unrecognized tax benefits. Management believes no material change to the amount of unrecognized tax benefits will occur within the next twelve months.</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On July 30, 2014, the Company entered into an Income Tax Receivable Agreement (the “TRA”). The TRA calls for the Company to pay to its pre-IPO stockholders 85% of the savings in cash that the Company realizes in its taxes as a result of utilizing its net operating losses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and other tax attributes attributable to preceding periods. In fiscal 2015, the Company incurred a charge of approximately $41.4 million relating to the present value of its total expected TRA payments. As of December 28, 2016, the Company had accrued $38.7 million relating to expected TRA payments, of which $12.4 million was included in other accrued expenses and current liabilities and $26.3 million was included in other noncurrent liabilities on the consolidated balance sheets. In fiscal 2016, we paid $3.2 million to our pre-IPO stockholders under the TRA.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28, 2016 and December 30, 2015, the Company had no assets and liabilities measured at fair value on a recurring basis, except for one interest rate cap at December 30, 2015 (which was a Level 3 asset), which was not material.</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28, 2016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3"/>
              </w:rPr>
              <w:t>Fair Value Measurements Using</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42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3"/>
            <w:vMerge w:val="restart"/>
          </w:tcPr>
          <w:p>
            <w:pPr>
              <w:jc w:val="center"/>
              <w:ind w:right="670"/>
              <w:spacing w:after="0"/>
              <w:rPr>
                <w:sz w:val="20"/>
                <w:szCs w:val="20"/>
                <w:color w:val="auto"/>
              </w:rPr>
            </w:pPr>
            <w:r>
              <w:rPr>
                <w:rFonts w:ascii="Arial" w:cs="Arial" w:eastAsia="Arial" w:hAnsi="Arial"/>
                <w:sz w:val="14"/>
                <w:szCs w:val="14"/>
                <w:b w:val="1"/>
                <w:bCs w:val="1"/>
                <w:color w:val="auto"/>
                <w:w w:val="92"/>
              </w:rPr>
              <w:t>Level 2</w:t>
            </w: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owned, net</w:t>
            </w:r>
          </w:p>
        </w:tc>
        <w:tc>
          <w:tcPr>
            <w:tcW w:w="118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shd w:val="clear" w:color="auto" w:fill="CFF0FC"/>
          </w:tcPr>
          <w:p>
            <w:pPr>
              <w:jc w:val="right"/>
              <w:ind w:right="159"/>
              <w:spacing w:after="0"/>
              <w:rPr>
                <w:sz w:val="20"/>
                <w:szCs w:val="20"/>
                <w:color w:val="auto"/>
              </w:rPr>
            </w:pPr>
            <w:r>
              <w:rPr>
                <w:rFonts w:ascii="Arial" w:cs="Arial" w:eastAsia="Arial" w:hAnsi="Arial"/>
                <w:sz w:val="18"/>
                <w:szCs w:val="18"/>
                <w:color w:val="auto"/>
              </w:rPr>
              <w:t>1,614</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30, 2015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3"/>
              </w:rPr>
              <w:t>Fair Value Measurements Using</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gridSpan w:val="2"/>
            <w:vMerge w:val="restart"/>
          </w:tcPr>
          <w:p>
            <w:pPr>
              <w:jc w:val="right"/>
              <w:ind w:right="81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3"/>
            <w:vMerge w:val="restart"/>
          </w:tcPr>
          <w:p>
            <w:pPr>
              <w:jc w:val="center"/>
              <w:ind w:right="670"/>
              <w:spacing w:after="0"/>
              <w:rPr>
                <w:sz w:val="20"/>
                <w:szCs w:val="20"/>
                <w:color w:val="auto"/>
              </w:rPr>
            </w:pPr>
            <w:r>
              <w:rPr>
                <w:rFonts w:ascii="Arial" w:cs="Arial" w:eastAsia="Arial" w:hAnsi="Arial"/>
                <w:sz w:val="14"/>
                <w:szCs w:val="14"/>
                <w:b w:val="1"/>
                <w:bCs w:val="1"/>
                <w:color w:val="auto"/>
                <w:w w:val="92"/>
              </w:rPr>
              <w:t>Level 2</w:t>
            </w:r>
          </w:p>
        </w:tc>
        <w:tc>
          <w:tcPr>
            <w:tcW w:w="1320" w:type="dxa"/>
            <w:vAlign w:val="bottom"/>
            <w:gridSpan w:val="3"/>
            <w:vMerge w:val="restart"/>
          </w:tcPr>
          <w:p>
            <w:pPr>
              <w:jc w:val="right"/>
              <w:ind w:right="705"/>
              <w:spacing w:after="0"/>
              <w:rPr>
                <w:sz w:val="20"/>
                <w:szCs w:val="20"/>
                <w:color w:val="auto"/>
              </w:rPr>
            </w:pPr>
            <w:r>
              <w:rPr>
                <w:rFonts w:ascii="Arial" w:cs="Arial" w:eastAsia="Arial" w:hAnsi="Arial"/>
                <w:sz w:val="14"/>
                <w:szCs w:val="14"/>
                <w:b w:val="1"/>
                <w:bCs w:val="1"/>
                <w:color w:val="auto"/>
              </w:rPr>
              <w:t>Level 3</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owned, net</w:t>
            </w:r>
          </w:p>
        </w:tc>
        <w:tc>
          <w:tcPr>
            <w:tcW w:w="118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31, 2014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3"/>
              </w:rPr>
              <w:t>Fair Value Measurements Using</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gridSpan w:val="2"/>
            <w:vMerge w:val="restart"/>
          </w:tcPr>
          <w:p>
            <w:pPr>
              <w:jc w:val="right"/>
              <w:ind w:right="81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3"/>
            <w:vMerge w:val="restart"/>
          </w:tcPr>
          <w:p>
            <w:pPr>
              <w:jc w:val="center"/>
              <w:ind w:right="670"/>
              <w:spacing w:after="0"/>
              <w:rPr>
                <w:sz w:val="20"/>
                <w:szCs w:val="20"/>
                <w:color w:val="auto"/>
              </w:rPr>
            </w:pPr>
            <w:r>
              <w:rPr>
                <w:rFonts w:ascii="Arial" w:cs="Arial" w:eastAsia="Arial" w:hAnsi="Arial"/>
                <w:sz w:val="14"/>
                <w:szCs w:val="14"/>
                <w:b w:val="1"/>
                <w:bCs w:val="1"/>
                <w:color w:val="auto"/>
                <w:w w:val="92"/>
              </w:rPr>
              <w:t>Level 2</w:t>
            </w:r>
          </w:p>
        </w:tc>
        <w:tc>
          <w:tcPr>
            <w:tcW w:w="1320" w:type="dxa"/>
            <w:vAlign w:val="bottom"/>
            <w:gridSpan w:val="3"/>
            <w:vMerge w:val="restart"/>
          </w:tcPr>
          <w:p>
            <w:pPr>
              <w:jc w:val="right"/>
              <w:ind w:right="705"/>
              <w:spacing w:after="0"/>
              <w:rPr>
                <w:sz w:val="20"/>
                <w:szCs w:val="20"/>
                <w:color w:val="auto"/>
              </w:rPr>
            </w:pPr>
            <w:r>
              <w:rPr>
                <w:rFonts w:ascii="Arial" w:cs="Arial" w:eastAsia="Arial" w:hAnsi="Arial"/>
                <w:sz w:val="14"/>
                <w:szCs w:val="14"/>
                <w:b w:val="1"/>
                <w:bCs w:val="1"/>
                <w:color w:val="auto"/>
              </w:rPr>
              <w:t>Level 3</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owned, net</w:t>
            </w:r>
          </w:p>
        </w:tc>
        <w:tc>
          <w:tcPr>
            <w:tcW w:w="1180" w:type="dxa"/>
            <w:vAlign w:val="bottom"/>
            <w:tcBorders>
              <w:top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fiscal 2016, 2015 and 2014, the Company recorded $8.4 million, $0.2 million and $0.3 million, respectively, of expenses related to the impairment of assets. This was primarily due to the determination that the carrying value of the assets of nine restaurants in Arizona, California and Texas, in fiscal 2016, one restaurant in California, in fiscal 2015, and one restaurant in California, in fiscal 2014, may not be recoverable. In addition, in fiscal 2014, we determined that $0.7 million of our goodwill should be decremented for the sale of our San Antonio restaurants. These impairment charges resulted primarily from our annual impairment testing of long-lived assets. The fair value measurements used in these impairment evaluations were based on discounted cash flow estimates using unobservable Level 3 inputs, based on market assumptions.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amounts of cash and cash equivalents, restricted cash,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Accounting literature requires the recognition of compensation expense using a fair-value based method for costs related to all share-based payments including stock options and stock issued under the Company’s employee stock plans. The guidance also requires companies to estimate the fair value of share-based payment awards on the date of grant using an option pricing model. The cost is recognized on a straight-line basis over the period during which an employee is required to provide service, usually the vesting period. For options that are based on a performance requirement, the cost is recognized on an accelerated basis over the period to which the performance criteria relate.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165"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which is intended to simplify several aspects of the accounting for share-based payment transactions, including the income tax consequences, classification of awards as either equity or liabilities, and classification on the statements of cash flows. ASU 2016-09 is effective for annual periods beginning after December 15, 2016, and interim periods therein. Although early application is permitted, we will adopt these provisions prospectively in the first quarter of fiscal 2017. The adoption will impact the Company’s tax provision, cash flows from operating activities, cash flows from financing activities and potentially diluted EPS. The total impact could be influenced by the future market price of the Company’s common stock, employee exercise behavior and the Company’s tax rate.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$283 million of operating lease obligations as of December 28, 2016 and upon adoption of this standard will record a ROU asset and lease liability for present value of these leases, which will have a material impact on the balance sheet. However, the statement of income recognition of lease expense is not expected to change from the current methodology.</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that fiscal year. The adoption of ASU 2016-01 is not expected to have a significant impact on the Company’s consolidated financial position or results of operations.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sheets.</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In addition, the FASB has issued the following Technical Corrections, Practical Expedients and Improvements to Topic 606, Revenue from Contracts with Customers: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16, 2016.</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on the nature of the Company’s business, the adoption of ASU No. 2014-09, or any of the subsequent related ASU’s, are not expected to impact the majority of its revenue streams. The Company is currently in the process of evaluating current accounting policies to identify potential differences for the remaining revenue streams and, while the Company does anticipate some changes to revenue recognition for certain franchisee and development agreements, it does not currently believe the adoption of ASU 2014-09 will have a material impact to its consolidated financial position or results of operations. In addition, the Company is currently determining the transition method and disclosure requirements, and plans on finishing its analysis by the end of fiscal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Company has adopted ASU 2014-15 in fiscal 2016 and is using this guidance to assess going concern.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July 11, 2014, EPL and LLC entered into a Franchise Development Option Agreement relating to development of our restaurants in the New York– 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28,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30, 2015</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125,159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111,349</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property and equipment</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58,525</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186,914</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(96,382)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(84,493)</w:t>
            </w:r>
          </w:p>
        </w:tc>
      </w:tr>
      <w:tr>
        <w:trPr>
          <w:trHeight w:val="223"/>
        </w:trPr>
        <w:tc>
          <w:tcPr>
            <w:tcW w:w="42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102,421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Depreciation expense was $16.1 million, $13.1 million and $11.5 million for the years ended December 28, 2016, December 30, 2015, and December 31, 2014, respectively. The gross value of assets under capital leases for buildings and improvements was $1.6 million at December 28, 2016 and December 30, 2015. Accumulated depreciation for assets under capital leases was $1.5 million for the years ended December 28, 2016 and December 30, 2015. For the year ended December 28, 2016, capital expenditures totaled $37.4 million, which consisted of $1.6 million for restaurant remodeling, $29.9 million for new restaurant expenditures and $5.9 million of other capital maintenance expenditures. For the year ended December 30, 2015, capital expenditures totaled $30.8 million, including $6.3 million for restaurant remodeling, $17.4 million for new restaurant expenditures and $7.1 million of other capital maintenance expenditures. Capital expenditures for these periods exclude unpaid purchases of property and equipment.</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$8.4 million, $0.2 million, and $0.3 million for the years ended December 28, 2016, December 30, 2015, and December 31, 2014,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 AND LIABILITIES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September 24, 2014, we completed an agreement to sell six company-operated restaurants in the greater San Antonio area to AA Pollo, Inc., resulting in cash proceeds of $5.4 million. Goodwill was decremented by $0.7 million, based on a calculation of the fair value of the restaurants sold relative to the fair value of the portion of the reporting unit retained. We recognized a net gain of $2.7 million on this transaction, which is recorded as a gain on disposition of restaurants in the accompanying statements of income. These six restaurants are now franchised. There have been no impairment losses to goodwill life to date.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Domestic trademarks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28,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30, 2015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120,700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impairment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(58,812)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w w:val="93"/>
              </w:rPr>
              <w:t>Other intangible assets subject to amortization consist of the following (in thousands):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28, 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30, 2015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Favorable leasehold interest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favorable leasehold interest, net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1720"/>
              <w:spacing w:after="0"/>
              <w:rPr>
                <w:sz w:val="20"/>
                <w:szCs w:val="20"/>
                <w:color w:val="auto"/>
              </w:rPr>
            </w:pPr>
            <w:r>
              <w:rPr>
                <w:rFonts w:ascii="Arial" w:cs="Arial" w:eastAsia="Arial" w:hAnsi="Arial"/>
                <w:sz w:val="18"/>
                <w:szCs w:val="18"/>
                <w:color w:val="auto"/>
              </w:rPr>
              <w:t>Unfavorable leasehold interest liability</w:t>
            </w:r>
          </w:p>
        </w:tc>
        <w:tc>
          <w:tcPr>
            <w:tcW w:w="2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720"/>
              <w:spacing w:after="0"/>
              <w:rPr>
                <w:sz w:val="20"/>
                <w:szCs w:val="20"/>
                <w:color w:val="auto"/>
              </w:rPr>
            </w:pPr>
            <w:r>
              <w:rPr>
                <w:rFonts w:ascii="Arial" w:cs="Arial" w:eastAsia="Arial" w:hAnsi="Arial"/>
                <w:sz w:val="18"/>
                <w:szCs w:val="18"/>
                <w:color w:val="auto"/>
              </w:rPr>
              <w:t>Unfavorable leasehold interest liability, net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Favorable Leasehold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Years Ending</w:t>
            </w:r>
          </w:p>
        </w:tc>
        <w:tc>
          <w:tcPr>
            <w:tcW w:w="356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Leasehold</w:t>
            </w:r>
          </w:p>
        </w:tc>
        <w:tc>
          <w:tcPr>
            <w:tcW w:w="0" w:type="dxa"/>
            <w:vAlign w:val="bottom"/>
          </w:tcPr>
          <w:p>
            <w:pPr>
              <w:spacing w:after="0"/>
              <w:rPr>
                <w:sz w:val="1"/>
                <w:szCs w:val="1"/>
                <w:color w:val="auto"/>
              </w:rPr>
            </w:pPr>
          </w:p>
        </w:tc>
      </w:tr>
      <w:tr>
        <w:trPr>
          <w:trHeight w:val="178"/>
        </w:trPr>
        <w:tc>
          <w:tcPr>
            <w:tcW w:w="132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72"/>
              <w:spacing w:after="0" w:line="158"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17"/>
        </w:trPr>
        <w:tc>
          <w:tcPr>
            <w:tcW w:w="4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December 27, 2017</w:t>
            </w:r>
          </w:p>
        </w:tc>
        <w:tc>
          <w:tcPr>
            <w:tcW w:w="280" w:type="dxa"/>
            <w:vAlign w:val="bottom"/>
            <w:tcBorders>
              <w:top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December 26, 2018</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25, 2019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December 30, 2020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29, 2021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amortization expense for the years ended December 28, 2016, December 30, 2015, and December 31, 2014 was $0.2 million, $0.2 million, and $0.2 million, respectively. The remaining weighted average amortization periods of the favorable leasehold interest and the unfavorable leasehold liability are four years and five years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in excess of a defined amount. Initial terms of land and restaurant building leases generally have terms of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future lease obligations at December 28, 2016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Capital Leases</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6"/>
              </w:rPr>
              <w:t>Operating Leases</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Minimum</w:t>
            </w:r>
          </w:p>
        </w:tc>
        <w:tc>
          <w:tcPr>
            <w:tcW w:w="120" w:type="dxa"/>
            <w:vAlign w:val="bottom"/>
          </w:tcPr>
          <w:p>
            <w:pPr>
              <w:spacing w:after="0"/>
              <w:rPr>
                <w:sz w:val="11"/>
                <w:szCs w:val="11"/>
                <w:color w:val="auto"/>
              </w:rPr>
            </w:pPr>
          </w:p>
        </w:tc>
        <w:tc>
          <w:tcPr>
            <w:tcW w:w="82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Minimum</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5"/>
          </w:tcPr>
          <w:p>
            <w:pPr>
              <w:jc w:val="center"/>
              <w:ind w:right="86"/>
              <w:spacing w:after="0" w:line="133" w:lineRule="exact"/>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1"/>
                <w:szCs w:val="11"/>
                <w:color w:val="auto"/>
              </w:rPr>
            </w:pPr>
          </w:p>
        </w:tc>
        <w:tc>
          <w:tcPr>
            <w:tcW w:w="10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7"/>
              </w:rPr>
              <w:t>Minimum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For the Years Ending</w:t>
            </w:r>
          </w:p>
        </w:tc>
        <w:tc>
          <w:tcPr>
            <w:tcW w:w="2820" w:type="dxa"/>
            <w:vAlign w:val="bottom"/>
            <w:gridSpan w:val="2"/>
            <w:vMerge w:val="restart"/>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2"/>
                <w:szCs w:val="12"/>
                <w:color w:val="auto"/>
              </w:rPr>
            </w:pP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Sublease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right="86"/>
              <w:spacing w:after="0" w:line="149" w:lineRule="exact"/>
              <w:rPr>
                <w:sz w:val="20"/>
                <w:szCs w:val="20"/>
                <w:color w:val="auto"/>
              </w:rPr>
            </w:pPr>
            <w:r>
              <w:rPr>
                <w:rFonts w:ascii="Arial" w:cs="Arial" w:eastAsia="Arial" w:hAnsi="Arial"/>
                <w:sz w:val="14"/>
                <w:szCs w:val="14"/>
                <w:b w:val="1"/>
                <w:bCs w:val="1"/>
                <w:color w:val="auto"/>
                <w:w w:val="85"/>
              </w:rPr>
              <w:t>Lease</w:t>
            </w:r>
          </w:p>
        </w:tc>
        <w:tc>
          <w:tcPr>
            <w:tcW w:w="22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Sublease</w:t>
            </w:r>
          </w:p>
        </w:tc>
        <w:tc>
          <w:tcPr>
            <w:tcW w:w="0" w:type="dxa"/>
            <w:vAlign w:val="bottom"/>
          </w:tcPr>
          <w:p>
            <w:pPr>
              <w:spacing w:after="0"/>
              <w:rPr>
                <w:sz w:val="1"/>
                <w:szCs w:val="1"/>
                <w:color w:val="auto"/>
              </w:rPr>
            </w:pPr>
          </w:p>
        </w:tc>
      </w:tr>
      <w:tr>
        <w:trPr>
          <w:trHeight w:val="178"/>
        </w:trPr>
        <w:tc>
          <w:tcPr>
            <w:tcW w:w="580" w:type="dxa"/>
            <w:vAlign w:val="bottom"/>
            <w:vMerge w:val="continue"/>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Payments</w:t>
            </w:r>
          </w:p>
        </w:tc>
        <w:tc>
          <w:tcPr>
            <w:tcW w:w="120" w:type="dxa"/>
            <w:vAlign w:val="bottom"/>
          </w:tcPr>
          <w:p>
            <w:pPr>
              <w:spacing w:after="0"/>
              <w:rPr>
                <w:sz w:val="15"/>
                <w:szCs w:val="15"/>
                <w:color w:val="auto"/>
              </w:rPr>
            </w:pPr>
          </w:p>
        </w:tc>
        <w:tc>
          <w:tcPr>
            <w:tcW w:w="82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106"/>
              <w:spacing w:after="0" w:line="158" w:lineRule="exact"/>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5"/>
                <w:szCs w:val="15"/>
                <w:color w:val="auto"/>
              </w:rPr>
            </w:pPr>
          </w:p>
        </w:tc>
        <w:tc>
          <w:tcPr>
            <w:tcW w:w="116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14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December 27, 2017</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23,884</w:t>
            </w:r>
          </w:p>
        </w:tc>
        <w:tc>
          <w:tcPr>
            <w:tcW w:w="2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1,091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December 26, 2018</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23,831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December 25, 2019</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22,811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December 30, 2020</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21,604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December 29, 2021</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20,464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Borders>
              <w:bottom w:val="single" w:sz="8" w:color="CFF0FC"/>
            </w:tcBorders>
            <w:gridSpan w:val="5"/>
          </w:tcPr>
          <w:p>
            <w:pPr>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170,550</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283,144</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6"/>
            <w:vMerge w:val="restart"/>
          </w:tcPr>
          <w:p>
            <w:pPr>
              <w:ind w:left="580"/>
              <w:spacing w:after="0"/>
              <w:rPr>
                <w:sz w:val="20"/>
                <w:szCs w:val="20"/>
                <w:color w:val="auto"/>
              </w:rPr>
            </w:pPr>
            <w:r>
              <w:rPr>
                <w:rFonts w:ascii="Arial" w:cs="Arial" w:eastAsia="Arial" w:hAnsi="Arial"/>
                <w:sz w:val="18"/>
                <w:szCs w:val="18"/>
                <w:color w:val="auto"/>
              </w:rPr>
              <w:t>Less: imputed interest (11.0% to 14.8%)</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6"/>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Present value of capital lease obligations</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5"/>
          </w:tcPr>
          <w:p>
            <w:pPr>
              <w:spacing w:after="0"/>
              <w:rPr>
                <w:sz w:val="20"/>
                <w:szCs w:val="20"/>
                <w:color w:val="auto"/>
              </w:rPr>
            </w:pPr>
            <w:r>
              <w:rPr>
                <w:rFonts w:ascii="Arial" w:cs="Arial" w:eastAsia="Arial" w:hAnsi="Arial"/>
                <w:sz w:val="18"/>
                <w:szCs w:val="18"/>
                <w:color w:val="auto"/>
              </w:rPr>
              <w:t>Less: current maturities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6"/>
            <w:vMerge w:val="restart"/>
          </w:tcPr>
          <w:p>
            <w:pPr>
              <w:spacing w:after="0"/>
              <w:rPr>
                <w:sz w:val="20"/>
                <w:szCs w:val="20"/>
                <w:color w:val="auto"/>
              </w:rPr>
            </w:pPr>
            <w:r>
              <w:rPr>
                <w:rFonts w:ascii="Arial" w:cs="Arial" w:eastAsia="Arial" w:hAnsi="Arial"/>
                <w:sz w:val="18"/>
                <w:szCs w:val="18"/>
                <w:color w:val="auto"/>
              </w:rPr>
              <w:t>Net rent expense is as follows (in thousands):</w:t>
            </w: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6"/>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60" w:type="dxa"/>
            <w:vAlign w:val="bottom"/>
            <w:vMerge w:val="restart"/>
          </w:tcPr>
          <w:p>
            <w:pPr>
              <w:spacing w:after="0"/>
              <w:rPr>
                <w:sz w:val="24"/>
                <w:szCs w:val="2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230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December 28,</w:t>
            </w:r>
          </w:p>
        </w:tc>
        <w:tc>
          <w:tcPr>
            <w:tcW w:w="80" w:type="dxa"/>
            <w:vAlign w:val="bottom"/>
          </w:tcPr>
          <w:p>
            <w:pPr>
              <w:spacing w:after="0"/>
              <w:rPr>
                <w:sz w:val="24"/>
                <w:szCs w:val="24"/>
                <w:color w:val="auto"/>
              </w:rPr>
            </w:pPr>
          </w:p>
        </w:tc>
        <w:tc>
          <w:tcPr>
            <w:tcW w:w="1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5"/>
          </w:tcPr>
          <w:p>
            <w:pPr>
              <w:jc w:val="center"/>
              <w:ind w:left="375"/>
              <w:spacing w:after="0" w:line="158"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3"/>
          </w:tcPr>
          <w:p>
            <w:pPr>
              <w:jc w:val="right"/>
              <w:ind w:right="5"/>
              <w:spacing w:after="0" w:line="15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347"/>
              <w:spacing w:after="0" w:line="158"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Base rent</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4"/>
              </w:rPr>
              <w:t>22,089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19,944</w:t>
            </w: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gridSpan w:val="2"/>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19,067</w:t>
            </w: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Contingent rent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sublease income</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gridSpan w:val="5"/>
          </w:tcPr>
          <w:p>
            <w:pPr>
              <w:ind w:left="560"/>
              <w:spacing w:after="0"/>
              <w:rPr>
                <w:sz w:val="20"/>
                <w:szCs w:val="20"/>
                <w:color w:val="auto"/>
              </w:rPr>
            </w:pPr>
            <w:r>
              <w:rPr>
                <w:rFonts w:ascii="Arial" w:cs="Arial" w:eastAsia="Arial" w:hAnsi="Arial"/>
                <w:sz w:val="18"/>
                <w:szCs w:val="18"/>
                <w:color w:val="auto"/>
              </w:rPr>
              <w:t>Net rent expense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19,758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17,420</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15,845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Base rent and contingent rent are included in occupancy and other operating expenses, while sublease income is included in franchise revenue in the accompanying consolidated statements of income. Sublease income includes contingent rental income of $1.0 million, $1.1 million, and $1.6 million for fiscal 2016, 2015, and 2014, respectively.</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lessor for certain property, facilities and equipment owned by the Company and leased to others, principally franchisees, under noncancelable leases with initial terms ranging from three to nine years. The lease agreements generally provide for a fixed base rent and, in some instances, contingent rent based on a percentage of gross operating profit or net revenues. Total rental income included in franchise revenue in the accompanying consolidated statements of income for leased property was $0.5 million, $0.4 million and $0.4 million for fiscal 2016, 2015, and 2014, respectively.</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Minimum future rental income for company-operated properties under noncancelable operating leases, which is recorded on a straight-line basis, in effect as of December 28, 2016,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2300"/>
              <w:spacing w:after="0"/>
              <w:rPr>
                <w:sz w:val="20"/>
                <w:szCs w:val="20"/>
                <w:color w:val="auto"/>
              </w:rPr>
            </w:pPr>
            <w:r>
              <w:rPr>
                <w:rFonts w:ascii="Arial" w:cs="Arial" w:eastAsia="Arial" w:hAnsi="Arial"/>
                <w:sz w:val="14"/>
                <w:szCs w:val="14"/>
                <w:b w:val="1"/>
                <w:bCs w:val="1"/>
                <w:color w:val="auto"/>
              </w:rPr>
              <w:t>For the Years Ending</w:t>
            </w:r>
          </w:p>
        </w:tc>
        <w:tc>
          <w:tcPr>
            <w:tcW w:w="2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27, 2017</w:t>
            </w:r>
          </w:p>
        </w:tc>
        <w:tc>
          <w:tcPr>
            <w:tcW w:w="30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December 26, 2018</w:t>
            </w: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25, 2019</w:t>
            </w:r>
          </w:p>
        </w:tc>
        <w:tc>
          <w:tcPr>
            <w:tcW w:w="2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December 30, 2020</w:t>
            </w:r>
          </w:p>
        </w:tc>
        <w:tc>
          <w:tcPr>
            <w:tcW w:w="2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29, 2021</w:t>
            </w:r>
          </w:p>
        </w:tc>
        <w:tc>
          <w:tcPr>
            <w:tcW w:w="2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6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future minimum rental income</w:t>
            </w:r>
          </w:p>
        </w:tc>
        <w:tc>
          <w:tcPr>
            <w:tcW w:w="26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20" w:type="dxa"/>
            <w:vAlign w:val="bottom"/>
            <w:vMerge w:val="restart"/>
          </w:tcPr>
          <w:p>
            <w:pPr>
              <w:jc w:val="right"/>
              <w:ind w:right="1990"/>
              <w:spacing w:after="0"/>
              <w:rPr>
                <w:sz w:val="20"/>
                <w:szCs w:val="20"/>
                <w:color w:val="auto"/>
              </w:rPr>
            </w:pPr>
            <w:r>
              <w:rPr>
                <w:rFonts w:ascii="Arial" w:cs="Arial" w:eastAsia="Arial" w:hAnsi="Arial"/>
                <w:sz w:val="18"/>
                <w:szCs w:val="18"/>
                <w:color w:val="auto"/>
              </w:rPr>
              <w:t>70</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CURRENT CREDIT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December 28, 2016, $8.1 million of letters of credit and $104.0 million of the revolving line of credit were outstanding. The amount available under the revolving line of credit was $87.9 million at December 28, 2016. The 2014 Revolver will mature on or about December 11, 2019.</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margin was initially set at 2.00% for LIBOR loans and at 1.00% for base rate loans until the delivery of financial statements and a compliance certificate for the first quarter of 2015. The interest rate range was 2.0% to 2.4% during fiscal 2016 and 1.9% to 2.6% during fiscal 2015 and was 2.4% and 2.0% at December 28, 2016 and December 30, 2015, respectively.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December 28, 2016. See Note 1 for restrictions on the payment of dividends under the 2014 Revolver.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Costs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Transaction costs of $1.5 million were incurred in connection with the December 11, 2014 refinancing and were capitalized and are included in other assets in the accompanying consolidated balance sheets and the related amortization is reflected as a component of interest expense, net, in the accompanying consolidated financial statements. As of December 28, 2016 and December 30, 2015 the Company had $1.2 million and $0.9 million, respectively, of transaction costs remaining in other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required principal payments prior to maturity for the 2014 Revolver.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PRIOR CREDIT AGREEMENTS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11, 2013, the Company refinanced its debt, with EPL entering into (i) a new first lien credit agreement (the “2013 First Lien Credit Agreement”) that included a $190 million senior secured term loan (the “2013 First Lien Term Loan”) and a senior secured revolving credit facility of $15 million (the “2013 Revolver”) that, in each case, was to mature in October 2018, and (ii) a new second lien credit agreement (the “2013 Second Lien Credit Agreement” and, together with the 2013 First Lien Credit Agreement, the “2013 Credit Agreements”) that included a $100 million second lien term loan (the “2013 Second Lien Term Loan” and, together with the 2013 First Lien Term Loan, the “2013 Term Loans”) that was to mature in April 2019. The proceeds received from the 2013 Term Loans on October 11, 2013, plus $14.4 million of cash on hand, were used to pay off the senior secured first lien credit facility due July 2017 and 17% second priority senior secured notes due January 2018 (collectively, the “2011 Financing Agreements”) and to pay fees and expenses in connection therewith.</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2013 Credit Agreements were executed with Intermediate as guarantor, Jefferies Finance LLC as administrative agent, collateral agent, and a lender, and, solely with respect to the 2013 First Lien Credit Agreement, General Electric Capital Corporation as issuing bank, swing line lender, and a lender, and GE Capital Bank as a lender.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Alternate Base Rate elections on a monthly basis and on loan amounts bearing interest based on LIBOR at the end of each interest period in effect, provided that with respect to LIBOR interest periods longer than three months, interest was payable at three-month intervals. The 2013 First Lien Term Loan was issued at a discount of $1.0 million, and this discount was being accreted over the term of the loan, using the effective interest method. The unamortized discount at December 25, 2013 was $0.9 million.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2013 First Lien Term Loan required that quarterly principal payments of 0.25% be made commencing March 26, 2014. Obligations under the 2013 First Lien Credit Agreement were secured by a first priority lien on substantially all of EPL’s and Intermediate’s assets.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2013 Revolver provided for a $15 million revolving line of credit. At December 25, 2013, $7.3 million of letters of credit were outstanding and $7.7 million was available to borrow under the revolving line of credit.</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conjunction with the December 11, 2014, refinancing of EPL’s debt, the 2013 First Lien Term Loan was repaid in full, resulting in an expense of $3.9 million related to the remaining unamortized deferred finance costs and the write off of $0.7 million of unamortized discount. These costs were expensed and were reflected in loss on early extinguishment of debt in the accompanying consolidated statements of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three-month intervals. The 2013 Second Lien Term Loan was issued at a discount of $1.0 million, and this discount was being accreted over the term of the loan, using the effective interest method. The unamortized discount at December 25, 2013 was $1.0 million. The 2013 Second Lien Term Loan and the related guarantees were secured by a second-priority lien on substantially all of the assets and equity interests of EPL and Intermediate, subject to certain exceptions, which were also used to secure the 2013 First Lien Term Loan on a first-priority basis.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conjunction with the Company’s IPO, the 2013 Second Lien Term Loan was repaid in full. In conjunction with the repayment of the 2013 Second Lien Term Loan, the Company incurred call premiums of $1.5 million. In addition, the Company expensed $2.7 million of the remaining unamortized deferred finance costs and wrote off $0.9 million of unamortized discount. These costs were expensed and were reflected in loss on early extinguishment of debt in the accompanying consolidated statements of income.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Arrangements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our credit agreements, we entered into two interest rate caps with Wells Fargo Bank, N.A. The first interest rate cap was for a notional amount of $30.0 million, with a cap rate of 3.0% based on 1 month USD LIBOR, which terminated on December 1, 2015. The second interest rate cap was for a notional amount of $120.0 million, with a cap rate of 3.0% based on 1 month USD LIBOR, which terminated on December 1, 2016. As of December 30, 2015, the amounts included in other assets in our consolidated balance sheets, related to these interest rate caps, were not material to our financial position or results of operations.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December 28,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2015</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sales and property taxes</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Gift card liability</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Total other accrued expenses and current liabilities</w:t>
            </w:r>
          </w:p>
        </w:tc>
        <w:tc>
          <w:tcPr>
            <w:tcW w:w="1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vMerge w:val="restart"/>
          </w:tcPr>
          <w:p>
            <w:pPr>
              <w:jc w:val="right"/>
              <w:ind w:right="7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28, 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2015</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Income tax receivable agreement payable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33,930</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8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43,367</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based on the following components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31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gridSpan w:val="2"/>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income taxes:</w:t>
            </w:r>
          </w:p>
        </w:tc>
        <w:tc>
          <w:tcPr>
            <w:tcW w:w="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Total current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Total deferred</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12,390</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Charge in lieu of tax (attributable to stock options)</w:t>
            </w:r>
          </w:p>
        </w:tc>
        <w:tc>
          <w:tcPr>
            <w:tcW w:w="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3"/>
          </w:tcPr>
          <w:p>
            <w:pPr>
              <w:spacing w:after="0"/>
              <w:rPr>
                <w:sz w:val="20"/>
                <w:szCs w:val="20"/>
                <w:color w:val="auto"/>
              </w:rPr>
            </w:pPr>
            <w:r>
              <w:rPr>
                <w:rFonts w:ascii="Arial" w:cs="Arial" w:eastAsia="Arial" w:hAnsi="Arial"/>
                <w:sz w:val="18"/>
                <w:szCs w:val="18"/>
                <w:color w:val="auto"/>
              </w:rPr>
              <w:t>Tax provision for income taxes</w:t>
            </w:r>
          </w:p>
        </w:tc>
        <w:tc>
          <w:tcPr>
            <w:tcW w:w="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federal income tax rate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Years Ended</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28,</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30,</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1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10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140" w:type="dxa"/>
            <w:vAlign w:val="bottom"/>
          </w:tcPr>
          <w:p>
            <w:pPr>
              <w:jc w:val="right"/>
              <w:ind w:right="354"/>
              <w:spacing w:after="0" w:line="15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40" w:type="dxa"/>
            <w:vAlign w:val="bottom"/>
            <w:tcBorders>
              <w:bottom w:val="single" w:sz="8" w:color="CFF0FC"/>
            </w:tcBorders>
            <w:shd w:val="clear" w:color="auto" w:fill="000000"/>
          </w:tcPr>
          <w:p>
            <w:pPr>
              <w:spacing w:after="0" w:line="20" w:lineRule="exact"/>
              <w:rPr>
                <w:sz w:val="1"/>
                <w:szCs w:val="1"/>
                <w:color w:val="auto"/>
              </w:rPr>
            </w:pPr>
          </w:p>
        </w:tc>
        <w:tc>
          <w:tcPr>
            <w:tcW w:w="37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Statutory federal income tax rate of 35% applied to</w:t>
            </w: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earnings before income taxes and extraordinary items</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State tax benefit (net of federal benefit)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tax credits</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TRA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WOTC Credit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3"/>
            <w:vMerge w:val="continue"/>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has evaluated the available evidence supporting the realization of its gross deferred tax assets. After evaluating all of the positive and negative evidence, including the Company’s continued income from operations, the reduction in interest expense resulting from the 2014 and 2013 debt refinancing and from the Company’s IPO and the resultant payoff of the 2013 Second Lien Term Loan, the Company concluded that it is more likely than not that its deferred tax assets will be realized. As a result, in fiscal 2014, the Company released its valuation allowance of approximately $65.0 million, which was recorded as a benefit to income taxes. We had previously maintained a full valuation allowance on our deferred tax assets, as we had been experiencing continuing taxable losses, and accordingly did not recognize a benefit for NOL carryforwards or other deferred tax assets. In fiscal 2015, a valuation allowance of $2.9 million was established to reserve against the potential that certain tax credits may not be utilized prior the date they expire. In fiscal 2016, the valuation allowance increased by $0.4 million. As of December 28, 2016 the total valuation allowance was $3.3 million.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In fiscal 2014, the Company incurred a charge of approximately $41.4 million related to the present value of its total expected TRA payments. The TRA charge of $41.4 million is a permanent add-back to the Company’s taxable income and resulted in approximately $0.4 million of tax expense in fiscal 2016, $0.1 million of tax expense in fiscal 2015, and $14.0 million of tax expense in fiscal 2014. In fiscal 2016, we paid $3.2 million to our pre-IPO stockholders under the TRA</w:t>
      </w:r>
    </w:p>
    <w:p>
      <w:pPr>
        <w:spacing w:after="0" w:line="1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fiscal 2014, the Company applied for California Enterprise Zone (“EZ”) credits, resulting in approximately $11.1 million of California tax credits and approximately $6.5 million of additional deferred tax assets and tax benefits. As of fiscal 2016, the deferred tax assets related to California Enterprise Zone credits are $5.9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28,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30, 2015</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assets:</w:t>
            </w:r>
          </w:p>
        </w:tc>
        <w:tc>
          <w:tcPr>
            <w:tcW w:w="1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Capital leases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Accrued legal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Accrued workers’ compensation</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Enterprise zone and other credits</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Net operating losses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45,081</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65,415</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(2,920)</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62,495</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Deferred liabilities: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(8,809)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(8,557)</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Trademark</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(26,463)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(26,525)</w:t>
            </w: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(761)</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Fixed asset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(1,758)</w:t>
            </w: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(5,087)</w:t>
            </w:r>
          </w:p>
        </w:tc>
      </w:tr>
      <w:tr>
        <w:trPr>
          <w:trHeight w:val="223"/>
        </w:trPr>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liabilities</w:t>
            </w:r>
          </w:p>
        </w:tc>
        <w:tc>
          <w:tcPr>
            <w:tcW w:w="1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80" w:type="dxa"/>
            <w:vAlign w:val="bottom"/>
            <w:tcBorders>
              <w:bottom w:val="single" w:sz="8" w:color="CFF0FC"/>
            </w:tcBorders>
          </w:tcPr>
          <w:p>
            <w:pPr>
              <w:spacing w:after="0"/>
              <w:rPr>
                <w:sz w:val="19"/>
                <w:szCs w:val="19"/>
                <w:color w:val="auto"/>
              </w:rPr>
            </w:pPr>
          </w:p>
        </w:tc>
      </w:tr>
      <w:tr>
        <w:trPr>
          <w:trHeight w:val="223"/>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amounts mentioned above have been classified on the accompanying consolidated balance sheets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28,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30, 2015</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1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Assets (liabilities)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21,457</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21,656</w:t>
            </w:r>
          </w:p>
        </w:tc>
        <w:tc>
          <w:tcPr>
            <w:tcW w:w="8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Assets (liabilities)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(14,040)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r>
      <w:tr>
        <w:trPr>
          <w:trHeight w:val="223"/>
        </w:trPr>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December 28, 2016, the Company has federal and state NOL carryforwards of approximately $73.8 million and $52.1 million, respectively, which expire beginning in 2028 and 2025, respectively. The Company also has state enterprise zone credits of approximately $11.0 million, which expire in 2023, federal WOTC of approximately $0.4 million, and federal and state alternative minimum tax ("AMT") credits of approximately $0.7 million, which carry forward indefinitely. In fiscal 2014, the Company completed a section 382 analysis and determined that all of the Company's NOL carryforwards and other tax attributes are subject to limitation under section 382 of the Internal Revenue Code of 1986 (the “Code”) and similar state law provisions. However, that limitation did not impact the Company's 2016 or 2015 year tax liability.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elected to utilize the tax-law-ordering approach with respect to excess share-based compensation deductions. Under this approach, the utilization of excess tax deductions associated with share-based awards is dictated by provisions in the tax law that identify the sequence in which such benefits are utilized for tax purposes. In fiscal 2016 and 2015, the Company recognized excess tax deductions of approximately $1.0 million and $15.0 million, respectively. The associated windfall tax benefits of approximately $0.2 million and $5.4 million, respectively, were recorded in additional paid-in-capital ("APIC") pursuant to the tax-law-ordering approach.</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Recently enacted tax laws may also affect the tax provision on the Company's consolidated financial statements. For example, the state of California passed a law which mandates the use of a single sales factor apportionment formula for tax years beginning on or after January 1, 2013. As of December 28, 2016, we held a related $3.3 million valuation allowance against the state deferred tax asset.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December 28, 2016, December 30, 2015, and December 31, 2014, the Company had no accrual for unrecognized tax benefits. Consequently, no interest or penalties have been accrued by the Company. The Company believes that no significant changes to the amount of unrecognized tax benefits will occur within the next twelve months.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 is no longer subject to U.S. examination for years before 2013 by the federal taxing authority, and for years before 2012 by state taxing authorities.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28, 2016, December 30, 2015, and December 31, 2014 were $0.6 million, $0.5, million and $0.5 million, respectively.</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At December 28, 2016, options to purchase 2,191,728 shares of common stock of the Company were outstanding, including 1,746,501 vested and 445,227 unvested. Unvested options vest over time, or upon our achieving annual financial goals. However, the compensation committee of the board of directors, as administrator of the Company’s 2014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28, 2016, 1,611,718 options remained outstanding. In fiscal 2016, the Company granted 329,673 options with an exercise price equal to the fair market value of the common stock on the date of grant. The options granted in fiscal 2016 had a four-year vesting period. No options were granted in fiscal 2015. Of the total options granted in fiscal 2014, 50% were performance based and vested according to whether certain financial targets were met, and the remaining 50% vested over a term of four. On November 15, 2016, the board of directors approved the modification of the remaining performance based stock options granted in 2014 and 2013 to vest based solely on time. As a result, a) 17,380 performance based stock options that did not vest in fiscal 2015 based on performance targets not being met, vested as of November 15, 2016; b) 80,799 performance based stock options that would not have vested based on 2016 performance targets vested as of December 28, 2016; and c) 17,378 performance based stock options that were not expected to vest based on the 2017 performance target will vest at the end of fiscal 2017, subject to continued employment of the option holder and the other terms and conditions of the 2014 Stock Option Plan. The Company recorded $0.6 million as compensation expense in fiscal 2016 as a result of this stock option modification. As of December 28, 2016, there were no remaining performance based stock options and 2,191,728 time based stock options outstanding. The options generally expire 10 years from the date of grant. Changes in stock options for the years ended December 28, 2016 and December 30, 2015, are as follows:</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2014</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3,070,176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Grants</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(863,247)</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(55,715)</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30, 2015</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2,151,214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Grants</w:t>
            </w:r>
          </w:p>
        </w:tc>
        <w:tc>
          <w:tcPr>
            <w:tcW w:w="1480" w:type="dxa"/>
            <w:vAlign w:val="bottom"/>
          </w:tcPr>
          <w:p>
            <w:pPr>
              <w:jc w:val="right"/>
              <w:spacing w:after="0"/>
              <w:rPr>
                <w:sz w:val="20"/>
                <w:szCs w:val="20"/>
                <w:color w:val="auto"/>
              </w:rPr>
            </w:pPr>
            <w:r>
              <w:rPr>
                <w:rFonts w:ascii="Arial" w:cs="Arial" w:eastAsia="Arial" w:hAnsi="Arial"/>
                <w:sz w:val="18"/>
                <w:szCs w:val="18"/>
                <w:color w:val="auto"/>
              </w:rPr>
              <w:t>347,053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(147,726)</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(158,813)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28, 2016</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28, 2016</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2,184,755</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28, 2016</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1,746,501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at December 28, 2016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7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right"/>
              <w:ind w:right="315"/>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111,305</w:t>
            </w: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90,166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1,611,718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1,569,437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11.94 - 13.52</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329,673</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139,032</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$4.09 - $15.00</w:t>
            </w: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2,191,728</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1,746,501</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intrinsic value of options outstanding and options exercisable, calculated as the difference between the market value as of December 28, 2016 and the exercise price, are $12.0 million and $11.4 million, respectively. The intrinsic value of options exercised, calculated as the difference between the market value on the date of exercise and the exercise price, was $0.9 million, $14.9 million and $11.5 million for fiscal years 2016, 2015 and 2014,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Options are accounted for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The Company has authorized 4,402,240 shares of common stock for issuance in connection with stock options. As of December 28, 2016, 665,095 shares were available for grant.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estimated using four publicly-traded companies in our market category. These are selected based on similarities of market capitalization, size, and other financial and operational characteristics. Volatility is calculated by taking the historical daily closing equity prices of our peer companies, prior to the grant date, over a period equal to the expected term.</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2016 was $4.13 per share using the Black–Scholes model with the following weighted-average assumptions used to value the option grants: expected volatility of 32.4%, expected term of 5.75 years, risk-free interest rate of 1.13% to 1.76%, and expected dividend yield of 0%.</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2014 was $6.23 per share using the Black–Scholes model with the following weighted-average assumptions used to value the option grants: expected volatility of 32.4% to 41.0, expected term of 5.75 years, risk-free interest rates of 1.70% to 1.72%, and expected dividend yield of 0%.</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years ended December 28, 2016, December 30, 2015 and December 31, 2014, the Company recognized share-based compensation expense of $0.9 million, $0.5 million and $1.1 million, respectively. These expenses were included in general and administrative expenses consistent with the salary expense for the related optionees in the accompanying consolidated statements of income.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28, 2016, we had total unrecognized compensation expense of $1.2 million related to unvested stock options and restricted shares, which the Company expects to recognize over a weighted average period of 2.9 years.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above assumptions generally require significant judgment. If in the future we determine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2016, 2015 and 2014. We will continue to use significant judgment in evaluating the expected term, volatility, and forfeiture rate related to our stock-based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fiscal 2016, we granted five of our directors restricted share grants for 3,903 shares each (for two directors) and 3,699 each (for three directors), with the amounts varying due to different grant date schedules, and we granted two employees grants for 5,178 shares each.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3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fiscal 2015, we granted three of our directors restricted share grants for 2,636 shares each. Restricted share grants for directors were equivalent to $50,000 divided by the stock’s value on the date of grant, which in fiscal 2016 and fiscal 2015 was deemed to be the preceding day’s closing price. These grants vest based on continued service over three years for directors and four years for employees. We base the amount of unearned compensation recorded on the market value of the shares on the date of issuance. In fiscal 2016, 2015, and 2014 the Company recognized share-based compensation expense of $0.2 million, $0.1 million, and less than $0.1 million, respectively. This expense was included in general and administrative expenses in the accompanying consolidated statements of income. As of December 28, 2016, there was total unrecognized compensation expense of $0.5 million related to unvested restricted shares, which the Company expects to recognize over a weighted-average period of 2.5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for the years ended December 28, 2016 and December 30, 2015,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shares at December 31, 2014</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7,908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Released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shares at December 30, 2015</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29,259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Released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(4,859)</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shares at December 28, 2016</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years ended December 28, 2016, December 30, 2015, and December 31, 2014.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288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December 28,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56"/>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356"/>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1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42,463</w:t>
            </w: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1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Weighted-average shares outstanding—Basic</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38,357,805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37,949,316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32,285,484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left w:val="single" w:sz="8" w:color="CFF0FC"/>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39,026,950</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39,039,558</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34,346,241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ind w:left="1140"/>
              <w:spacing w:after="0"/>
              <w:rPr>
                <w:sz w:val="20"/>
                <w:szCs w:val="20"/>
                <w:color w:val="auto"/>
              </w:rPr>
            </w:pPr>
            <w:r>
              <w:rPr>
                <w:rFonts w:ascii="Arial" w:cs="Arial" w:eastAsia="Arial" w:hAnsi="Arial"/>
                <w:sz w:val="18"/>
                <w:szCs w:val="18"/>
                <w:color w:val="auto"/>
              </w:rPr>
              <w:t>Net income per share—Basic</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4"/>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per share—Diluted</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4"/>
            <w:vMerge w:val="restart"/>
          </w:tcPr>
          <w:p>
            <w:pPr>
              <w:ind w:left="1140"/>
              <w:spacing w:after="0"/>
              <w:rPr>
                <w:sz w:val="20"/>
                <w:szCs w:val="20"/>
                <w:color w:val="auto"/>
              </w:rPr>
            </w:pPr>
            <w:r>
              <w:rPr>
                <w:rFonts w:ascii="Arial" w:cs="Arial" w:eastAsia="Arial" w:hAnsi="Arial"/>
                <w:sz w:val="18"/>
                <w:szCs w:val="18"/>
                <w:color w:val="auto"/>
                <w:w w:val="99"/>
              </w:rPr>
              <w:t>Anti-dilutive securities not considered in diluted EPS</w:t>
            </w: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gridSpan w:val="4"/>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calculation</w:t>
            </w: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468,705</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214,411</w:t>
            </w: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gridSpan w:val="4"/>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0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vMerge w:val="restart"/>
          </w:tcPr>
          <w:p>
            <w:pPr>
              <w:spacing w:after="0"/>
              <w:rPr>
                <w:sz w:val="24"/>
                <w:szCs w:val="2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For the Years Ended</w:t>
            </w:r>
          </w:p>
        </w:tc>
        <w:tc>
          <w:tcPr>
            <w:tcW w:w="2880" w:type="dxa"/>
            <w:vAlign w:val="bottom"/>
            <w:vMerge w:val="restart"/>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December 28,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December 30,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shares outstanding—Basic</w:t>
            </w:r>
          </w:p>
        </w:tc>
        <w:tc>
          <w:tcPr>
            <w:tcW w:w="1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left w:val="single" w:sz="8" w:color="CFF0FC"/>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38,357,805</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37,949,316</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32,285,484</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Dilutive effect of stock options and restricted shares</w:t>
            </w: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669,145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1,090,242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2,060,757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shares outstanding—Diluted</w:t>
            </w: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left w:val="single" w:sz="8" w:color="CFF0FC"/>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39,026,950</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39,039,558</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34,346,241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40" w:type="dxa"/>
            <w:vAlign w:val="bottom"/>
            <w:vMerge w:val="restart"/>
          </w:tcPr>
          <w:p>
            <w:pPr>
              <w:jc w:val="right"/>
              <w:ind w:right="6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7700" w:firstLine="8"/>
        <w:spacing w:after="0" w:line="378" w:lineRule="auto"/>
        <w:tabs>
          <w:tab w:leader="none" w:pos="27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40"/>
        <w:spacing w:after="0" w:line="272" w:lineRule="auto"/>
        <w:rPr>
          <w:sz w:val="20"/>
          <w:szCs w:val="20"/>
          <w:color w:val="auto"/>
        </w:rPr>
      </w:pPr>
      <w:r>
        <w:rPr>
          <w:rFonts w:ascii="Arial" w:cs="Arial" w:eastAsia="Arial" w:hAnsi="Arial"/>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have executed a Stipulation of Class Settlement and Release which has been submitted for court approval. Purported class actions alleging wage and hour violations are commonly filed against California employers, and we fully expect to have to defend against similar lawsuits in the future.</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On July 25, 2016, the Court issued an order granting, without prejudice, Holdings’ Motion to Dismiss plaintiff’s complaint for failure to state a claim. Plaintiffs were granted leave to amend their complaint, and filed an amended complaint on August 22, 2016. Defendants intend to vigorously defend against the claims asserted.</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or about November 5, 2015, a purported Holdings shareholder filed a derivative complaint on behalf of Holdings in the Court of Chancery of the State of Delaware against certain Holdings directors and officers, and LLC.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 Pollo Loco Holdings, Inc.</w:t>
      </w:r>
      <w:r>
        <w:rPr>
          <w:rFonts w:ascii="Arial" w:cs="Arial" w:eastAsia="Arial" w:hAnsi="Arial"/>
          <w:sz w:val="18"/>
          <w:szCs w:val="18"/>
          <w:color w:val="auto"/>
        </w:rPr>
        <w:t>, discussed above. A second purported Holdings shareholder filed a derivative complaint on or about September 23, 2016, allegedly on behalf of Holdings in the same venue naming the same defendants with substantially the same allegations arising from the same set of facts.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volume of purchases for system-wide restaurants which will vary according to their demand for beverage syrup. These contracts have terms extending into 2017 with an estimated Company obligation totaling $7.5 million as of December 28,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28, 2016, the Company’s total estimated commitment to purchase chicken was $40.5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December 28, 2016, the potential amount of undiscounted payments the Company could be required to make in the event of non-payment by the primary lessee was $1.1 million. The present value of these potential payments discounted at the Company’s estimated pre-tax cost of debt at December 28, 2016 was $1.0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LLC owns approximately 43.5%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November 18, 2005, the Company entered into a Monitoring and Management Services Agreement (the “Agreement”) with Trimaran Fund Management, L.L.C. (“Fund Management”), an affiliate of Trimaran and of certain directors, which provided for annual fees of $0.5 million and reasonable expenses. This Agreement was amended on December 26, 2007 to add an affiliate of Freeman Spogli, Freeman Spogli &amp; Co. V, L.P., as a party sharing in the fees payable under the Agreement. During the year ended December 31, 2014, $0.3 million was paid pursuant to this Agreement. This amount was included in general and administrative expenses in the accompanying consolidated statements of income. The Agreement terminated as of the Company’s IPO.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SPLIT, AUTHORIZATION OF ADDITIONAL SHARES, AND INITIAL PUBLIC OFFERING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14, 2014, Holdings amended its certificate of incorporation to increase the number of shares that Holdings is authorized to issue to 200 million shares of common stock, par value $0.01 per share. The amendment of the certificate of incorporation effected an internal recapitalization pursuant to which Holdings effected an 8.56381-for-1 stock split on its outstanding common stock.</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Accordingly, all common share and per share amounts in the consolidated financial statements and these notes thereto have been adjusted to reflect the 8.56381-for-1 stock split as though it occurred at the beginning of the initial period presented.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24, 2014, Holdings amended and restated its certificate of incorporation to, among other things, increase its authorized share count to 300,000,000 shares of stock, including 200,000,000 shares of common stock and 100,000,000 shares of preferred stock, each par value $0.01 per share. On July 30, 2014, Holdings completed its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 S-1, the Company received net IPO proceeds of approximately $112.3 million. The Company used these proceeds primarily to repay in whole a $100.0 million second lien term loan (the “Second Lien Term Loan”).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 sets forth a summary of our unaudited quarterly operating results for each of the last eight quarters in the period ended December 28, 2016.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vMerge w:val="restart"/>
          </w:tcPr>
          <w:p>
            <w:pPr>
              <w:spacing w:after="0"/>
              <w:rPr>
                <w:sz w:val="20"/>
                <w:szCs w:val="20"/>
                <w:color w:val="auto"/>
              </w:rPr>
            </w:pPr>
            <w:r>
              <w:rPr>
                <w:rFonts w:ascii="Arial" w:cs="Arial" w:eastAsia="Arial" w:hAnsi="Arial"/>
                <w:sz w:val="13"/>
                <w:szCs w:val="13"/>
                <w:b w:val="1"/>
                <w:bCs w:val="1"/>
                <w:color w:val="auto"/>
              </w:rPr>
              <w:t>(Dollar amounts in thousands, except</w:t>
            </w:r>
          </w:p>
        </w:tc>
        <w:tc>
          <w:tcPr>
            <w:tcW w:w="9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77"/>
              <w:spacing w:after="0"/>
              <w:rPr>
                <w:sz w:val="20"/>
                <w:szCs w:val="20"/>
                <w:color w:val="auto"/>
              </w:rPr>
            </w:pPr>
            <w:r>
              <w:rPr>
                <w:rFonts w:ascii="Arial" w:cs="Arial" w:eastAsia="Arial" w:hAnsi="Arial"/>
                <w:sz w:val="13"/>
                <w:szCs w:val="13"/>
                <w:b w:val="1"/>
                <w:bCs w:val="1"/>
                <w:color w:val="auto"/>
              </w:rPr>
              <w:t>2016</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b w:val="1"/>
                <w:bCs w:val="1"/>
                <w:color w:val="auto"/>
              </w:rPr>
              <w:t>2015</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rPr>
              <w:t>Dec.</w:t>
            </w:r>
          </w:p>
        </w:tc>
        <w:tc>
          <w:tcPr>
            <w:tcW w:w="800" w:type="dxa"/>
            <w:vAlign w:val="bottom"/>
          </w:tcPr>
          <w:p>
            <w:pPr>
              <w:ind w:left="400"/>
              <w:spacing w:after="0"/>
              <w:rPr>
                <w:sz w:val="20"/>
                <w:szCs w:val="20"/>
                <w:color w:val="auto"/>
              </w:rPr>
            </w:pPr>
            <w:r>
              <w:rPr>
                <w:rFonts w:ascii="Arial" w:cs="Arial" w:eastAsia="Arial" w:hAnsi="Arial"/>
                <w:sz w:val="13"/>
                <w:szCs w:val="13"/>
                <w:b w:val="1"/>
                <w:bCs w:val="1"/>
                <w:color w:val="auto"/>
              </w:rPr>
              <w:t>Sept.</w:t>
            </w:r>
          </w:p>
        </w:tc>
        <w:tc>
          <w:tcPr>
            <w:tcW w:w="1320" w:type="dxa"/>
            <w:vAlign w:val="bottom"/>
          </w:tcPr>
          <w:p>
            <w:pPr>
              <w:jc w:val="right"/>
              <w:ind w:right="337"/>
              <w:spacing w:after="0"/>
              <w:rPr>
                <w:sz w:val="20"/>
                <w:szCs w:val="20"/>
                <w:color w:val="auto"/>
              </w:rPr>
            </w:pPr>
            <w:r>
              <w:rPr>
                <w:rFonts w:ascii="Arial" w:cs="Arial" w:eastAsia="Arial" w:hAnsi="Arial"/>
                <w:sz w:val="13"/>
                <w:szCs w:val="13"/>
                <w:b w:val="1"/>
                <w:bCs w:val="1"/>
                <w:color w:val="auto"/>
              </w:rPr>
              <w:t>June</w:t>
            </w:r>
          </w:p>
        </w:tc>
        <w:tc>
          <w:tcPr>
            <w:tcW w:w="1160" w:type="dxa"/>
            <w:vAlign w:val="bottom"/>
            <w:gridSpan w:val="2"/>
          </w:tcPr>
          <w:p>
            <w:pPr>
              <w:ind w:left="400"/>
              <w:spacing w:after="0"/>
              <w:rPr>
                <w:sz w:val="20"/>
                <w:szCs w:val="20"/>
                <w:color w:val="auto"/>
              </w:rPr>
            </w:pPr>
            <w:r>
              <w:rPr>
                <w:rFonts w:ascii="Arial" w:cs="Arial" w:eastAsia="Arial" w:hAnsi="Arial"/>
                <w:sz w:val="13"/>
                <w:szCs w:val="13"/>
                <w:b w:val="1"/>
                <w:bCs w:val="1"/>
                <w:color w:val="auto"/>
              </w:rPr>
              <w:t>Mar</w:t>
            </w:r>
          </w:p>
        </w:tc>
        <w:tc>
          <w:tcPr>
            <w:tcW w:w="880" w:type="dxa"/>
            <w:vAlign w:val="bottom"/>
          </w:tcPr>
          <w:p>
            <w:pPr>
              <w:ind w:left="280"/>
              <w:spacing w:after="0"/>
              <w:rPr>
                <w:sz w:val="20"/>
                <w:szCs w:val="20"/>
                <w:color w:val="auto"/>
              </w:rPr>
            </w:pPr>
            <w:r>
              <w:rPr>
                <w:rFonts w:ascii="Arial" w:cs="Arial" w:eastAsia="Arial" w:hAnsi="Arial"/>
                <w:sz w:val="13"/>
                <w:szCs w:val="13"/>
                <w:b w:val="1"/>
                <w:bCs w:val="1"/>
                <w:color w:val="auto"/>
              </w:rPr>
              <w:t>Dec.</w:t>
            </w:r>
          </w:p>
        </w:tc>
        <w:tc>
          <w:tcPr>
            <w:tcW w:w="760" w:type="dxa"/>
            <w:vAlign w:val="bottom"/>
          </w:tcPr>
          <w:p>
            <w:pPr>
              <w:ind w:left="380"/>
              <w:spacing w:after="0"/>
              <w:rPr>
                <w:sz w:val="20"/>
                <w:szCs w:val="20"/>
                <w:color w:val="auto"/>
              </w:rPr>
            </w:pPr>
            <w:r>
              <w:rPr>
                <w:rFonts w:ascii="Arial" w:cs="Arial" w:eastAsia="Arial" w:hAnsi="Arial"/>
                <w:sz w:val="13"/>
                <w:szCs w:val="13"/>
                <w:b w:val="1"/>
                <w:bCs w:val="1"/>
                <w:color w:val="auto"/>
              </w:rPr>
              <w:t>Sept.</w:t>
            </w:r>
          </w:p>
        </w:tc>
        <w:tc>
          <w:tcPr>
            <w:tcW w:w="1240" w:type="dxa"/>
            <w:vAlign w:val="bottom"/>
          </w:tcPr>
          <w:p>
            <w:pPr>
              <w:jc w:val="right"/>
              <w:ind w:right="317"/>
              <w:spacing w:after="0"/>
              <w:rPr>
                <w:sz w:val="20"/>
                <w:szCs w:val="20"/>
                <w:color w:val="auto"/>
              </w:rPr>
            </w:pPr>
            <w:r>
              <w:rPr>
                <w:rFonts w:ascii="Arial" w:cs="Arial" w:eastAsia="Arial" w:hAnsi="Arial"/>
                <w:sz w:val="13"/>
                <w:szCs w:val="13"/>
                <w:b w:val="1"/>
                <w:bCs w:val="1"/>
                <w:color w:val="auto"/>
              </w:rPr>
              <w:t>July</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Apr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rPr>
          <w:sz w:val="20"/>
          <w:szCs w:val="20"/>
          <w:color w:val="auto"/>
        </w:rPr>
      </w:pPr>
      <w:r>
        <w:rPr>
          <w:rFonts w:ascii="Arial" w:cs="Arial" w:eastAsia="Arial" w:hAnsi="Arial"/>
          <w:sz w:val="14"/>
          <w:szCs w:val="14"/>
          <w:b w:val="1"/>
          <w:bCs w:val="1"/>
          <w:color w:val="auto"/>
        </w:rPr>
        <w:t>Selected Financial Data</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Total revenue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Income from Operations ($)</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income ($)</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Per Share Data </w:t>
      </w:r>
      <w:r>
        <w:rPr>
          <w:rFonts w:ascii="Arial" w:cs="Arial" w:eastAsia="Arial" w:hAnsi="Arial"/>
          <w:sz w:val="12"/>
          <w:szCs w:val="12"/>
          <w:b w:val="1"/>
          <w:bCs w:val="1"/>
          <w:color w:val="auto"/>
        </w:rPr>
        <w:t>(2)</w:t>
      </w:r>
      <w:r>
        <w:rPr>
          <w:rFonts w:ascii="Arial" w:cs="Arial" w:eastAsia="Arial" w:hAnsi="Arial"/>
          <w:sz w:val="14"/>
          <w:szCs w:val="14"/>
          <w:b w:val="1"/>
          <w:bCs w:val="1"/>
          <w:color w:val="auto"/>
        </w:rPr>
        <w:t xml:space="preserve"> :</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Net income per share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82" w:lineRule="exact"/>
        <w:rPr>
          <w:sz w:val="20"/>
          <w:szCs w:val="20"/>
          <w:color w:val="auto"/>
        </w:rPr>
      </w:pPr>
    </w:p>
    <w:p>
      <w:pPr>
        <w:ind w:left="120" w:right="700" w:hanging="107"/>
        <w:spacing w:after="0" w:line="280" w:lineRule="auto"/>
        <w:rPr>
          <w:sz w:val="20"/>
          <w:szCs w:val="20"/>
          <w:color w:val="auto"/>
        </w:rPr>
      </w:pPr>
      <w:r>
        <w:rPr>
          <w:rFonts w:ascii="Arial" w:cs="Arial" w:eastAsia="Arial" w:hAnsi="Arial"/>
          <w:sz w:val="12"/>
          <w:szCs w:val="12"/>
          <w:color w:val="auto"/>
        </w:rPr>
        <w:t>Weighted average shares used in computing net income per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Operating Data</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Number of restaurants (at period end)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Company-operated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Franchised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System-wide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Average unit volume (AUV)</w:t>
      </w:r>
    </w:p>
    <w:p>
      <w:pPr>
        <w:ind w:left="120"/>
        <w:spacing w:after="0"/>
        <w:rPr>
          <w:sz w:val="20"/>
          <w:szCs w:val="20"/>
          <w:color w:val="auto"/>
        </w:rPr>
      </w:pPr>
      <w:r>
        <w:rPr>
          <w:rFonts w:ascii="Arial" w:cs="Arial" w:eastAsia="Arial" w:hAnsi="Arial"/>
          <w:sz w:val="14"/>
          <w:szCs w:val="14"/>
          <w:color w:val="auto"/>
        </w:rPr>
        <w:t xml:space="preserve">(company-operated) </w:t>
      </w:r>
      <w:r>
        <w:rPr>
          <w:rFonts w:ascii="Arial" w:cs="Arial" w:eastAsia="Arial" w:hAnsi="Arial"/>
          <w:sz w:val="12"/>
          <w:szCs w:val="12"/>
          <w:color w:val="auto"/>
        </w:rPr>
        <w:t>(1)</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Comparable restaurant sales growth (%)</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Company-operated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Franchised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System-wide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Restaurant contribution margin (%)</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92,479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95,816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97,474</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94,354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86,307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88,870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89,454</w:t>
            </w:r>
          </w:p>
        </w:tc>
        <w:tc>
          <w:tcPr>
            <w:tcW w:w="800" w:type="dxa"/>
            <w:vAlign w:val="bottom"/>
          </w:tcPr>
          <w:p>
            <w:pPr>
              <w:jc w:val="right"/>
              <w:spacing w:after="0"/>
              <w:rPr>
                <w:sz w:val="20"/>
                <w:szCs w:val="20"/>
                <w:color w:val="auto"/>
              </w:rPr>
            </w:pPr>
            <w:r>
              <w:rPr>
                <w:rFonts w:ascii="Arial" w:cs="Arial" w:eastAsia="Arial" w:hAnsi="Arial"/>
                <w:sz w:val="14"/>
                <w:szCs w:val="14"/>
                <w:color w:val="auto"/>
              </w:rPr>
              <w:t>90,426</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1,926</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9,008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13,401</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10,294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9,748</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12,527</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13,582</w:t>
            </w:r>
          </w:p>
        </w:tc>
        <w:tc>
          <w:tcPr>
            <w:tcW w:w="800" w:type="dxa"/>
            <w:vAlign w:val="bottom"/>
          </w:tcPr>
          <w:p>
            <w:pPr>
              <w:jc w:val="right"/>
              <w:spacing w:after="0"/>
              <w:rPr>
                <w:sz w:val="20"/>
                <w:szCs w:val="20"/>
                <w:color w:val="auto"/>
              </w:rPr>
            </w:pPr>
            <w:r>
              <w:rPr>
                <w:rFonts w:ascii="Arial" w:cs="Arial" w:eastAsia="Arial" w:hAnsi="Arial"/>
                <w:sz w:val="14"/>
                <w:szCs w:val="14"/>
                <w:color w:val="auto"/>
              </w:rPr>
              <w:t>12,967</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853</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2,830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5,339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3,761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4,576</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6,505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5,062</w:t>
            </w:r>
          </w:p>
        </w:tc>
        <w:tc>
          <w:tcPr>
            <w:tcW w:w="800" w:type="dxa"/>
            <w:vAlign w:val="bottom"/>
          </w:tcPr>
          <w:p>
            <w:pPr>
              <w:jc w:val="right"/>
              <w:spacing w:after="0"/>
              <w:rPr>
                <w:sz w:val="20"/>
                <w:szCs w:val="20"/>
                <w:color w:val="auto"/>
              </w:rPr>
            </w:pPr>
            <w:r>
              <w:rPr>
                <w:rFonts w:ascii="Arial" w:cs="Arial" w:eastAsia="Arial" w:hAnsi="Arial"/>
                <w:sz w:val="14"/>
                <w:szCs w:val="14"/>
                <w:color w:val="auto"/>
              </w:rPr>
              <w:t>4,714</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418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5,211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7,267</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5,443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5,367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4,666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7,230</w:t>
            </w:r>
          </w:p>
        </w:tc>
        <w:tc>
          <w:tcPr>
            <w:tcW w:w="800" w:type="dxa"/>
            <w:vAlign w:val="bottom"/>
          </w:tcPr>
          <w:p>
            <w:pPr>
              <w:jc w:val="right"/>
              <w:spacing w:after="0"/>
              <w:rPr>
                <w:sz w:val="20"/>
                <w:szCs w:val="20"/>
                <w:color w:val="auto"/>
              </w:rPr>
            </w:pPr>
            <w:r>
              <w:rPr>
                <w:rFonts w:ascii="Arial" w:cs="Arial" w:eastAsia="Arial" w:hAnsi="Arial"/>
                <w:sz w:val="14"/>
                <w:szCs w:val="14"/>
                <w:color w:val="auto"/>
              </w:rPr>
              <w:t>6,791</w:t>
            </w:r>
          </w:p>
        </w:tc>
      </w:tr>
      <w:tr>
        <w:trPr>
          <w:trHeight w:val="729"/>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0.01</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0.14</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0.14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0.14</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0.19</w:t>
            </w:r>
          </w:p>
        </w:tc>
        <w:tc>
          <w:tcPr>
            <w:tcW w:w="800" w:type="dxa"/>
            <w:vAlign w:val="bottom"/>
          </w:tcPr>
          <w:p>
            <w:pPr>
              <w:jc w:val="right"/>
              <w:spacing w:after="0"/>
              <w:rPr>
                <w:sz w:val="20"/>
                <w:szCs w:val="20"/>
                <w:color w:val="auto"/>
              </w:rPr>
            </w:pPr>
            <w:r>
              <w:rPr>
                <w:rFonts w:ascii="Arial" w:cs="Arial" w:eastAsia="Arial" w:hAnsi="Arial"/>
                <w:sz w:val="14"/>
                <w:szCs w:val="14"/>
                <w:color w:val="auto"/>
              </w:rPr>
              <w:t>0.18</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0.01</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0.13</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0.14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0.14</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0.18</w:t>
            </w:r>
          </w:p>
        </w:tc>
        <w:tc>
          <w:tcPr>
            <w:tcW w:w="800" w:type="dxa"/>
            <w:vAlign w:val="bottom"/>
          </w:tcPr>
          <w:p>
            <w:pPr>
              <w:jc w:val="right"/>
              <w:spacing w:after="0"/>
              <w:rPr>
                <w:sz w:val="20"/>
                <w:szCs w:val="20"/>
                <w:color w:val="auto"/>
              </w:rPr>
            </w:pPr>
            <w:r>
              <w:rPr>
                <w:rFonts w:ascii="Arial" w:cs="Arial" w:eastAsia="Arial" w:hAnsi="Arial"/>
                <w:sz w:val="14"/>
                <w:szCs w:val="14"/>
                <w:color w:val="auto"/>
              </w:rPr>
              <w:t>0.17</w:t>
            </w:r>
          </w:p>
        </w:tc>
      </w:tr>
      <w:tr>
        <w:trPr>
          <w:trHeight w:val="554"/>
        </w:trPr>
        <w:tc>
          <w:tcPr>
            <w:tcW w:w="880" w:type="dxa"/>
            <w:vAlign w:val="bottom"/>
          </w:tcPr>
          <w:p>
            <w:pPr>
              <w:jc w:val="right"/>
              <w:ind w:right="168"/>
              <w:spacing w:after="0"/>
              <w:rPr>
                <w:sz w:val="20"/>
                <w:szCs w:val="20"/>
                <w:color w:val="auto"/>
              </w:rPr>
            </w:pPr>
            <w:r>
              <w:rPr>
                <w:rFonts w:ascii="Arial" w:cs="Arial" w:eastAsia="Arial" w:hAnsi="Arial"/>
                <w:sz w:val="14"/>
                <w:szCs w:val="14"/>
                <w:color w:val="auto"/>
                <w:w w:val="88"/>
              </w:rPr>
              <w:t>38,437,020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38,415,189</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38,294,575</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38,284,435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38,284,435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38,275,317</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37,812,767</w:t>
            </w:r>
          </w:p>
        </w:tc>
        <w:tc>
          <w:tcPr>
            <w:tcW w:w="800" w:type="dxa"/>
            <w:vAlign w:val="bottom"/>
          </w:tcPr>
          <w:p>
            <w:pPr>
              <w:jc w:val="right"/>
              <w:spacing w:after="0"/>
              <w:rPr>
                <w:sz w:val="20"/>
                <w:szCs w:val="20"/>
                <w:color w:val="auto"/>
              </w:rPr>
            </w:pPr>
            <w:r>
              <w:rPr>
                <w:rFonts w:ascii="Arial" w:cs="Arial" w:eastAsia="Arial" w:hAnsi="Arial"/>
                <w:sz w:val="14"/>
                <w:szCs w:val="14"/>
                <w:color w:val="auto"/>
              </w:rPr>
              <w:t>37,424,745</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w w:val="88"/>
              </w:rPr>
              <w:t>39,108,967</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39,083,577</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38,962,802</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39,001,078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38,965,248</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39,107,241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39,085,206</w:t>
            </w:r>
          </w:p>
        </w:tc>
        <w:tc>
          <w:tcPr>
            <w:tcW w:w="800" w:type="dxa"/>
            <w:vAlign w:val="bottom"/>
          </w:tcPr>
          <w:p>
            <w:pPr>
              <w:jc w:val="right"/>
              <w:spacing w:after="0"/>
              <w:rPr>
                <w:sz w:val="20"/>
                <w:szCs w:val="20"/>
                <w:color w:val="auto"/>
              </w:rPr>
            </w:pPr>
            <w:r>
              <w:rPr>
                <w:rFonts w:ascii="Arial" w:cs="Arial" w:eastAsia="Arial" w:hAnsi="Arial"/>
                <w:sz w:val="14"/>
                <w:szCs w:val="14"/>
                <w:color w:val="auto"/>
              </w:rPr>
              <w:t>38,921,884</w:t>
            </w:r>
          </w:p>
        </w:tc>
      </w:tr>
      <w:tr>
        <w:trPr>
          <w:trHeight w:val="729"/>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201</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193</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188</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186</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8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259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251</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248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247</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244</w:t>
            </w:r>
          </w:p>
        </w:tc>
        <w:tc>
          <w:tcPr>
            <w:tcW w:w="800" w:type="dxa"/>
            <w:vAlign w:val="bottom"/>
          </w:tcPr>
          <w:p>
            <w:pPr>
              <w:jc w:val="right"/>
              <w:spacing w:after="0"/>
              <w:rPr>
                <w:sz w:val="20"/>
                <w:szCs w:val="20"/>
                <w:color w:val="auto"/>
              </w:rPr>
            </w:pPr>
            <w:r>
              <w:rPr>
                <w:rFonts w:ascii="Arial" w:cs="Arial" w:eastAsia="Arial" w:hAnsi="Arial"/>
                <w:sz w:val="14"/>
                <w:szCs w:val="14"/>
                <w:color w:val="auto"/>
              </w:rPr>
              <w:t>243</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460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446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439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436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433</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420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418</w:t>
            </w:r>
          </w:p>
        </w:tc>
        <w:tc>
          <w:tcPr>
            <w:tcW w:w="80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311"/>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1,790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1,929</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1,970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1,936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1,826</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1,928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1,952</w:t>
            </w:r>
          </w:p>
        </w:tc>
        <w:tc>
          <w:tcPr>
            <w:tcW w:w="800" w:type="dxa"/>
            <w:vAlign w:val="bottom"/>
          </w:tcPr>
          <w:p>
            <w:pPr>
              <w:jc w:val="right"/>
              <w:spacing w:after="0"/>
              <w:rPr>
                <w:sz w:val="20"/>
                <w:szCs w:val="20"/>
                <w:color w:val="auto"/>
              </w:rPr>
            </w:pPr>
            <w:r>
              <w:rPr>
                <w:rFonts w:ascii="Arial" w:cs="Arial" w:eastAsia="Arial" w:hAnsi="Arial"/>
                <w:sz w:val="14"/>
                <w:szCs w:val="14"/>
                <w:color w:val="auto"/>
              </w:rPr>
              <w:t>1,963</w:t>
            </w:r>
          </w:p>
        </w:tc>
      </w:tr>
      <w:tr>
        <w:trPr>
          <w:trHeight w:val="486"/>
        </w:trPr>
        <w:tc>
          <w:tcPr>
            <w:tcW w:w="880" w:type="dxa"/>
            <w:vAlign w:val="bottom"/>
          </w:tcPr>
          <w:p>
            <w:pPr>
              <w:jc w:val="right"/>
              <w:ind w:right="108"/>
              <w:spacing w:after="0"/>
              <w:rPr>
                <w:sz w:val="20"/>
                <w:szCs w:val="20"/>
                <w:color w:val="auto"/>
              </w:rPr>
            </w:pPr>
            <w:r>
              <w:rPr>
                <w:rFonts w:ascii="Arial" w:cs="Arial" w:eastAsia="Arial" w:hAnsi="Arial"/>
                <w:sz w:val="14"/>
                <w:szCs w:val="14"/>
                <w:color w:val="auto"/>
              </w:rPr>
              <w:t>(0.6)</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0.0</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43"/>
        </w:trPr>
        <w:tc>
          <w:tcPr>
            <w:tcW w:w="88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43"/>
        </w:trPr>
        <w:tc>
          <w:tcPr>
            <w:tcW w:w="88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0.7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43"/>
        </w:trPr>
        <w:tc>
          <w:tcPr>
            <w:tcW w:w="880" w:type="dxa"/>
            <w:vAlign w:val="bottom"/>
          </w:tcPr>
          <w:p>
            <w:pPr>
              <w:jc w:val="right"/>
              <w:ind w:right="168"/>
              <w:spacing w:after="0"/>
              <w:rPr>
                <w:sz w:val="20"/>
                <w:szCs w:val="20"/>
                <w:color w:val="auto"/>
              </w:rPr>
            </w:pPr>
            <w:r>
              <w:rPr>
                <w:rFonts w:ascii="Arial" w:cs="Arial" w:eastAsia="Arial" w:hAnsi="Arial"/>
                <w:sz w:val="14"/>
                <w:szCs w:val="14"/>
                <w:color w:val="auto"/>
              </w:rPr>
              <w:t>18.5</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22.0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20.7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21.6</w:t>
            </w:r>
          </w:p>
        </w:tc>
        <w:tc>
          <w:tcPr>
            <w:tcW w:w="800" w:type="dxa"/>
            <w:vAlign w:val="bottom"/>
          </w:tcPr>
          <w:p>
            <w:pPr>
              <w:jc w:val="right"/>
              <w:spacing w:after="0"/>
              <w:rPr>
                <w:sz w:val="20"/>
                <w:szCs w:val="20"/>
                <w:color w:val="auto"/>
              </w:rPr>
            </w:pPr>
            <w:r>
              <w:rPr>
                <w:rFonts w:ascii="Arial" w:cs="Arial" w:eastAsia="Arial" w:hAnsi="Arial"/>
                <w:sz w:val="14"/>
                <w:szCs w:val="14"/>
                <w:color w:val="auto"/>
              </w:rPr>
              <w:t>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-3336290</wp:posOffset>
            </wp:positionV>
            <wp:extent cx="72466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-3027680</wp:posOffset>
            </wp:positionV>
            <wp:extent cx="72466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-2719070</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-2409825</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-2058670</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-1750060</wp:posOffset>
            </wp:positionV>
            <wp:extent cx="72466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-1440815</wp:posOffset>
            </wp:positionV>
            <wp:extent cx="72466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-1132205</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-780415</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-471805</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-163195</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8020"/>
          </w:cols>
          <w:pgMar w:left="240" w:top="121" w:right="259" w:bottom="1440" w:gutter="0" w:footer="0" w:header="0"/>
          <w:type w:val="continuous"/>
        </w:sectPr>
      </w:pPr>
    </w:p>
    <w:p>
      <w:pPr>
        <w:spacing w:after="0" w:line="27"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AUVs consist of average annualized sales of all company-owned restaurants over the fiscal quarter.</w:t>
      </w:r>
    </w:p>
    <w:p>
      <w:pPr>
        <w:spacing w:after="0" w:line="23"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Due to the use of weighted average shares outstanding for each quarter of computing earnings per share, the sum of the quarterly per share amounts may not equal the per share amount for the year.</w:t>
      </w:r>
    </w:p>
    <w:p>
      <w:pPr>
        <w:sectPr>
          <w:pgSz w:w="11900" w:h="16838" w:orient="portrait"/>
          <w:cols w:equalWidth="0" w:num="1">
            <w:col w:w="11400"/>
          </w:cols>
          <w:pgMar w:left="240" w:top="121" w:right="259"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3" w:name="page84"/>
    <w:bookmarkEnd w:id="83"/>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not effective as of December 28, 2016 because of material weaknesses in our internal control over financial reporting, described below in our Management Report on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100" w:firstLine="8"/>
        <w:spacing w:after="0" w:line="281"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 w:lineRule="exact"/>
        <w:rPr>
          <w:rFonts w:ascii="Arial" w:cs="Arial" w:eastAsia="Arial" w:hAnsi="Arial"/>
          <w:sz w:val="16"/>
          <w:szCs w:val="16"/>
          <w:color w:val="auto"/>
        </w:rPr>
      </w:pPr>
    </w:p>
    <w:p>
      <w:pPr>
        <w:ind w:firstLine="8"/>
        <w:spacing w:after="0" w:line="288" w:lineRule="auto"/>
        <w:tabs>
          <w:tab w:leader="none" w:pos="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carried out an evaluation of the effectiveness of our internal control over financial reporting as of December 28, 2016 based on the criteria in “Internal Control — Integrated Framework” (2013 Framework) issued by the Committee of Sponsoring Organizations of the Treadway Commission (“COSO”).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Based on this evaluation, we identified the following material weaknesses in our internal control over financial reporting as of December 28, 2016:</w:t>
      </w:r>
    </w:p>
    <w:p>
      <w:pPr>
        <w:spacing w:after="0" w:line="129" w:lineRule="exact"/>
        <w:rPr>
          <w:sz w:val="20"/>
          <w:szCs w:val="20"/>
          <w:color w:val="auto"/>
        </w:rPr>
      </w:pPr>
    </w:p>
    <w:p>
      <w:pPr>
        <w:ind w:firstLine="8"/>
        <w:spacing w:after="0" w:line="264"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accounting staff shared accounting system password information and access with an external consultant, who was not engaged through standard Company channels and subject to standard terms and conditions of engagement, who conducted standard accounting functions and had system administrator access.</w:t>
      </w:r>
    </w:p>
    <w:p>
      <w:pPr>
        <w:spacing w:after="0" w:line="181" w:lineRule="exact"/>
        <w:rPr>
          <w:rFonts w:ascii="Arial" w:cs="Arial" w:eastAsia="Arial" w:hAnsi="Arial"/>
          <w:sz w:val="18"/>
          <w:szCs w:val="18"/>
          <w:color w:val="auto"/>
        </w:rPr>
      </w:pPr>
    </w:p>
    <w:p>
      <w:pPr>
        <w:ind w:right="2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accounting staff, on several occasions, used passwords from other Company employees to enter data for approval on those employees’ behalf and then approved the resulting transactions in the accounting system, thereby circumventing controls over segregation of duties.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have not identified any inappropriate charges as a result of, or changes to our financial statements necessitated by, these actions.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Accordingly, based on this evaluation, our management concluded that our internal control over financial reporting was not effective as of December 28,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findings, we plan to remediate these material weaknesses by:</w:t>
      </w:r>
    </w:p>
    <w:p>
      <w:pPr>
        <w:spacing w:after="0" w:line="117" w:lineRule="exact"/>
        <w:rPr>
          <w:sz w:val="20"/>
          <w:szCs w:val="20"/>
          <w:color w:val="auto"/>
        </w:rPr>
      </w:pPr>
    </w:p>
    <w:p>
      <w:pPr>
        <w:ind w:right="40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awareness among accounting and information system employees of our existing password, data security and access, and accounting entry policies.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Designing and implementing controls over system access and password assignments so that users cannot circumvent these controls.</w:t>
      </w:r>
    </w:p>
    <w:p>
      <w:pPr>
        <w:spacing w:after="0" w:line="225" w:lineRule="exact"/>
        <w:rPr>
          <w:rFonts w:ascii="Arial" w:cs="Arial" w:eastAsia="Arial" w:hAnsi="Arial"/>
          <w:sz w:val="18"/>
          <w:szCs w:val="18"/>
          <w:color w:val="auto"/>
        </w:rPr>
      </w:pPr>
    </w:p>
    <w:p>
      <w:pPr>
        <w:ind w:right="30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Changing our vendor approval and payment procedures so that accounting staff in relevant positions cannot engage or pay vendors without additional review and adherence to standard Company policies and provisions for engagement.</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we continue to evaluate and work to improve our internal control over financial reporting, our senior management may determine to take additional measures to address control deficiencies or determine to modify the remediation efforts described in this section. While the Audit Committee and senior management are closely monitoring the implementation, until the remediation efforts discussed in this section, including any additional remediation efforts that our senior management identifies as necessary, are completed, tested and determined effective, the material weakness described above will continue to exist.</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Please note that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Other than the material weaknesses discussed above, no change occurred in our internal control over financial reporting in the most recent quarter that materially affected, or is reasonably likely to materially affect, our internal control over financial reporting. As disclosed above, in the first quarter of 2017, we identified and planned to remediate material weaknesses in our internal control over financial reporting as of December 28, 2016.</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85" w:name="page86"/>
    <w:bookmarkEnd w:id="85"/>
    <w:p>
      <w:pPr>
        <w:jc w:val="center"/>
        <w:ind w:right="-3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2016 fiscal year.</w:t>
      </w: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2016 fiscal year.</w:t>
      </w:r>
    </w:p>
    <w:p>
      <w:pPr>
        <w:spacing w:after="0" w:line="200" w:lineRule="exact"/>
        <w:rPr>
          <w:sz w:val="20"/>
          <w:szCs w:val="20"/>
          <w:color w:val="auto"/>
        </w:rPr>
      </w:pPr>
    </w:p>
    <w:p>
      <w:pPr>
        <w:spacing w:after="0" w:line="226" w:lineRule="exact"/>
        <w:rPr>
          <w:sz w:val="20"/>
          <w:szCs w:val="20"/>
          <w:color w:val="auto"/>
        </w:rPr>
      </w:pPr>
    </w:p>
    <w:p>
      <w:pPr>
        <w:ind w:left="116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2016 fiscal year.</w:t>
      </w:r>
    </w:p>
    <w:p>
      <w:pPr>
        <w:spacing w:after="0" w:line="200" w:lineRule="exact"/>
        <w:rPr>
          <w:sz w:val="20"/>
          <w:szCs w:val="20"/>
          <w:color w:val="auto"/>
        </w:rPr>
      </w:pPr>
    </w:p>
    <w:p>
      <w:pPr>
        <w:spacing w:after="0" w:line="226" w:lineRule="exact"/>
        <w:rPr>
          <w:sz w:val="20"/>
          <w:szCs w:val="20"/>
          <w:color w:val="auto"/>
        </w:rPr>
      </w:pPr>
    </w:p>
    <w:p>
      <w:pPr>
        <w:ind w:right="840"/>
        <w:spacing w:after="0" w:line="407"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Incorporated by reference from our definitive proxy statement to be filed not later than 120 days after the end of our 2016 fiscal year.</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2016 fiscal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86" w:name="page87"/>
    <w:bookmarkEnd w:id="8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1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filed as part of this report are listed under Item 8. Financial Statements and Supplementary Data.</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exhibits listed on the accompanying Exhibit Index are filed or incorporated by reference as part of this report.</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 POLLO LOCO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Sather</w:t>
            </w:r>
          </w:p>
        </w:tc>
      </w:tr>
      <w:tr>
        <w:trPr>
          <w:trHeight w:val="195"/>
        </w:trPr>
        <w:tc>
          <w:tcPr>
            <w:tcW w:w="68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Stephen J. Sather</w:t>
            </w:r>
          </w:p>
        </w:tc>
      </w:tr>
      <w:tr>
        <w:trPr>
          <w:trHeight w:val="216"/>
        </w:trPr>
        <w:tc>
          <w:tcPr>
            <w:tcW w:w="6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March 10, 2017</w:t>
            </w: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the undersigned, hereby severally constitute Stephen J. Sather and Laurance Roberts, and each of them singly, our true and lawful attorneys with full power to them and each of them to sign for us, and in our names in the capacities indicated below, any and all amendments to this report, and file the same, with all exhibits thereto, and other documents in connection therewith, hereby ratifying and confirming all that said attorney may lawfully do or cause to be done by virtue hereof.</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80" w:type="dxa"/>
            <w:vAlign w:val="bottom"/>
            <w:gridSpan w:val="3"/>
          </w:tcPr>
          <w:p>
            <w:pPr>
              <w:ind w:left="1980"/>
              <w:spacing w:after="0"/>
              <w:rPr>
                <w:sz w:val="20"/>
                <w:szCs w:val="20"/>
                <w:color w:val="auto"/>
              </w:rPr>
            </w:pPr>
            <w:r>
              <w:rPr>
                <w:rFonts w:ascii="Arial" w:cs="Arial" w:eastAsia="Arial" w:hAnsi="Arial"/>
                <w:sz w:val="14"/>
                <w:szCs w:val="14"/>
                <w:b w:val="1"/>
                <w:bCs w:val="1"/>
                <w:color w:val="auto"/>
              </w:rPr>
              <w:t>Title</w:t>
            </w:r>
          </w:p>
        </w:tc>
        <w:tc>
          <w:tcPr>
            <w:tcW w:w="2980" w:type="dxa"/>
            <w:vAlign w:val="bottom"/>
            <w:gridSpan w:val="3"/>
          </w:tcPr>
          <w:p>
            <w:pPr>
              <w:ind w:left="1500"/>
              <w:spacing w:after="0"/>
              <w:rPr>
                <w:sz w:val="20"/>
                <w:szCs w:val="20"/>
                <w:color w:val="auto"/>
              </w:rPr>
            </w:pPr>
            <w:r>
              <w:rPr>
                <w:rFonts w:ascii="Arial" w:cs="Arial" w:eastAsia="Arial" w:hAnsi="Arial"/>
                <w:sz w:val="14"/>
                <w:szCs w:val="14"/>
                <w:b w:val="1"/>
                <w:bCs w:val="1"/>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J. Sather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 President and Chief Executive Officer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Stephen J. Sather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Laurance Roberts</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Laurance Roberts</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 Maselli</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Chairman and 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Michael G. Maselli</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Dean C. Kehler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Dean C. Kehler</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 Roth</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John M. Roth</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Douglas K. Ammerman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Douglas K. Ammerman</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Samuel N. Borgese</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Samuel N. Borgese</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Buller</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Mark Buller</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5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R. Floyd</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William R. Floyd</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Carol Lynton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80" w:type="dxa"/>
            <w:vAlign w:val="bottom"/>
            <w:gridSpan w:val="3"/>
          </w:tcPr>
          <w:p>
            <w:pPr>
              <w:ind w:left="340"/>
              <w:spacing w:after="0"/>
              <w:rPr>
                <w:sz w:val="20"/>
                <w:szCs w:val="20"/>
                <w:color w:val="auto"/>
              </w:rPr>
            </w:pPr>
            <w:r>
              <w:rPr>
                <w:rFonts w:ascii="Arial" w:cs="Arial" w:eastAsia="Arial" w:hAnsi="Arial"/>
                <w:sz w:val="18"/>
                <w:szCs w:val="18"/>
                <w:color w:val="auto"/>
              </w:rPr>
              <w:t>March 10, 2017</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Carol Lynton</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850"/>
        </w:trPr>
        <w:tc>
          <w:tcPr>
            <w:tcW w:w="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80" w:type="dxa"/>
            <w:vAlign w:val="bottom"/>
          </w:tcPr>
          <w:p>
            <w:pPr>
              <w:ind w:left="104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Filed</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8"/>
              </w:rPr>
              <w:t>Number</w:t>
            </w:r>
          </w:p>
        </w:tc>
        <w:tc>
          <w:tcPr>
            <w:tcW w:w="4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vMerge w:val="continue"/>
          </w:tcPr>
          <w:p>
            <w:pPr>
              <w:spacing w:after="0"/>
              <w:rPr>
                <w:sz w:val="11"/>
                <w:szCs w:val="11"/>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ind w:left="240"/>
              <w:spacing w:after="0" w:line="133" w:lineRule="exact"/>
              <w:rPr>
                <w:sz w:val="20"/>
                <w:szCs w:val="20"/>
                <w:color w:val="auto"/>
              </w:rPr>
            </w:pPr>
            <w:r>
              <w:rPr>
                <w:rFonts w:ascii="Arial" w:cs="Arial" w:eastAsia="Arial" w:hAnsi="Arial"/>
                <w:sz w:val="14"/>
                <w:szCs w:val="14"/>
                <w:b w:val="1"/>
                <w:bCs w:val="1"/>
                <w:color w:val="auto"/>
              </w:rPr>
              <w:t>Period</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Filing</w:t>
            </w:r>
          </w:p>
        </w:tc>
        <w:tc>
          <w:tcPr>
            <w:tcW w:w="1180" w:type="dxa"/>
            <w:vAlign w:val="bottom"/>
          </w:tcPr>
          <w:p>
            <w:pPr>
              <w:ind w:left="60"/>
              <w:spacing w:after="0" w:line="133" w:lineRule="exact"/>
              <w:rPr>
                <w:sz w:val="20"/>
                <w:szCs w:val="20"/>
                <w:color w:val="auto"/>
              </w:rPr>
            </w:pPr>
            <w:r>
              <w:rPr>
                <w:rFonts w:ascii="Arial" w:cs="Arial" w:eastAsia="Arial" w:hAnsi="Arial"/>
                <w:sz w:val="14"/>
                <w:szCs w:val="14"/>
                <w:b w:val="1"/>
                <w:bCs w:val="1"/>
                <w:color w:val="auto"/>
                <w:w w:val="96"/>
              </w:rPr>
              <w:t>SEC File 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4780" w:type="dxa"/>
            <w:vAlign w:val="bottom"/>
            <w:gridSpan w:val="3"/>
            <w:vMerge w:val="continue"/>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Herewith</w:t>
            </w:r>
          </w:p>
        </w:tc>
        <w:tc>
          <w:tcPr>
            <w:tcW w:w="1020" w:type="dxa"/>
            <w:vAlign w:val="bottom"/>
            <w:gridSpan w:val="2"/>
            <w:vMerge w:val="continue"/>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Ended</w:t>
            </w:r>
          </w:p>
        </w:tc>
        <w:tc>
          <w:tcPr>
            <w:tcW w:w="920" w:type="dxa"/>
            <w:vAlign w:val="bottom"/>
            <w:gridSpan w:val="2"/>
            <w:vMerge w:val="continue"/>
          </w:tcPr>
          <w:p>
            <w:pPr>
              <w:spacing w:after="0"/>
              <w:rPr>
                <w:sz w:val="14"/>
                <w:szCs w:val="14"/>
                <w:color w:val="auto"/>
              </w:rPr>
            </w:pPr>
          </w:p>
        </w:tc>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Certificate of Incorporation of El Pollo</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06/25/14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09/05/14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Loco Holdings,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By-Laws of El Pollo Loco Holdings,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06/25/14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09/05/14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10.1</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Income Tax Receivable Agreement, dated July 30, 2014,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09/24/14</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11/07/14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between El Pollo Loco Holdings, Inc., and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10.2</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4"/>
              </w:rPr>
              <w:t>Franchise Development Agreement (Exclusive), dated August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08/22/14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20, 2014, between El Pollo Loco, Inc., as franchisor, and Anil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Yadav and Atour Eyvazian, collectively, as developer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10.3</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Consent to and Assignment of Development Rights (Initial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08/22/14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7"/>
              </w:rPr>
              <w:t>Change of Entity), dated August 20, 2014, between El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Loco, Inc., as franchisor, and (i) Anil Yadav and Atour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6"/>
              </w:rPr>
              <w:t>Eyvazian, collectively, as assignor, and (ii) AA Pollo, Inc., as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assignee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10.4</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Franchise Development Option Agreement, dated July 11,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07/14/14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2014, between El Pollo Loco, Inc., and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10.5</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Stockholders Agreement, dated as of November 18, 2005, by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and among El Pollo Loco Holdings, Inc. (formerly Chicken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Acquisition Corp.) and the stockholders listed therein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10.6</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9"/>
              </w:rPr>
              <w:t>Amendment No. 1 to Stockholders Agreement, dated as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8"/>
              </w:rPr>
              <w:t>April 20, 2006, by and between El Pollo Loco Holdings, Inc.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(formerly Chicken Acquisition Corp.) and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10.7</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9"/>
              </w:rPr>
              <w:t>Amendment No. 2 to Stockholders Agreement, dated as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December 26, 2007, by and between El Pollo Loco Holdings,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6"/>
              </w:rPr>
              <w:t>Inc. (formerly Chicken Acquisition Corp.) and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10.8</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9"/>
              </w:rPr>
              <w:t>Second Amended and Restated Limited Liability Company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Operating Agreement of Trimaran Pollo Partners, L.L.C.,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dated as of March 8, 2006</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10.9</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1 to Second Amended and Restated Limited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Liability Company Operating Agreement of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 dated as of December 26, 2007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rPr>
              <w:t>10.10</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2 to Second Amended and Restated Limited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Liability Company Operating Agreement of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 dated as of January 30, 2008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Filed</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8"/>
              </w:rPr>
              <w:t>Number</w:t>
            </w:r>
          </w:p>
        </w:tc>
        <w:tc>
          <w:tcPr>
            <w:tcW w:w="4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vMerge w:val="continue"/>
          </w:tcPr>
          <w:p>
            <w:pPr>
              <w:spacing w:after="0"/>
              <w:rPr>
                <w:sz w:val="11"/>
                <w:szCs w:val="11"/>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ind w:left="240"/>
              <w:spacing w:after="0" w:line="133" w:lineRule="exact"/>
              <w:rPr>
                <w:sz w:val="20"/>
                <w:szCs w:val="20"/>
                <w:color w:val="auto"/>
              </w:rPr>
            </w:pPr>
            <w:r>
              <w:rPr>
                <w:rFonts w:ascii="Arial" w:cs="Arial" w:eastAsia="Arial" w:hAnsi="Arial"/>
                <w:sz w:val="14"/>
                <w:szCs w:val="14"/>
                <w:b w:val="1"/>
                <w:bCs w:val="1"/>
                <w:color w:val="auto"/>
              </w:rPr>
              <w:t>Period</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Filing</w:t>
            </w:r>
          </w:p>
        </w:tc>
        <w:tc>
          <w:tcPr>
            <w:tcW w:w="11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SEC File 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vMerge w:val="continue"/>
          </w:tcPr>
          <w:p>
            <w:pPr>
              <w:spacing w:after="0"/>
              <w:rPr>
                <w:sz w:val="14"/>
                <w:szCs w:val="14"/>
                <w:color w:val="auto"/>
              </w:rPr>
            </w:pPr>
          </w:p>
        </w:tc>
        <w:tc>
          <w:tcPr>
            <w:tcW w:w="4780" w:type="dxa"/>
            <w:vAlign w:val="bottom"/>
            <w:gridSpan w:val="3"/>
            <w:vMerge w:val="continue"/>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Herewith</w:t>
            </w:r>
          </w:p>
        </w:tc>
        <w:tc>
          <w:tcPr>
            <w:tcW w:w="1020" w:type="dxa"/>
            <w:vAlign w:val="bottom"/>
            <w:gridSpan w:val="2"/>
            <w:vMerge w:val="continue"/>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Ended</w:t>
            </w:r>
          </w:p>
        </w:tc>
        <w:tc>
          <w:tcPr>
            <w:tcW w:w="920" w:type="dxa"/>
            <w:vAlign w:val="bottom"/>
            <w:gridSpan w:val="2"/>
            <w:vMerge w:val="continue"/>
          </w:tcPr>
          <w:p>
            <w:pPr>
              <w:spacing w:after="0"/>
              <w:rPr>
                <w:sz w:val="14"/>
                <w:szCs w:val="14"/>
                <w:color w:val="auto"/>
              </w:rPr>
            </w:pPr>
          </w:p>
        </w:tc>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40" w:type="dxa"/>
            <w:vAlign w:val="bottom"/>
          </w:tcPr>
          <w:p>
            <w:pPr>
              <w:spacing w:after="0"/>
              <w:rPr>
                <w:sz w:val="20"/>
                <w:szCs w:val="20"/>
                <w:color w:val="auto"/>
              </w:rPr>
            </w:pPr>
            <w:r>
              <w:rPr>
                <w:rFonts w:ascii="Arial" w:cs="Arial" w:eastAsia="Arial" w:hAnsi="Arial"/>
                <w:sz w:val="18"/>
                <w:szCs w:val="18"/>
                <w:color w:val="auto"/>
              </w:rPr>
              <w:t>10.11</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3 to Second Amended and Restated Limited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Liability Company Operating Agreement of Trimaran Pollo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Partners, L.L.C., dated as of July 14, 2011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8"/>
                <w:szCs w:val="18"/>
                <w:color w:val="auto"/>
              </w:rPr>
              <w:t>10.12</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Franchise Agreement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18"/>
                <w:szCs w:val="18"/>
                <w:color w:val="auto"/>
              </w:rPr>
              <w:t>10.13</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Franchise Development Agreement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0"/>
                <w:szCs w:val="20"/>
                <w:color w:val="auto"/>
              </w:rPr>
            </w:pPr>
            <w:r>
              <w:rPr>
                <w:rFonts w:ascii="Arial" w:cs="Arial" w:eastAsia="Arial" w:hAnsi="Arial"/>
                <w:sz w:val="18"/>
                <w:szCs w:val="18"/>
                <w:color w:val="auto"/>
                <w:w w:val="99"/>
              </w:rPr>
              <w:t>10.14*</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Amended and Restated Employment Agreement between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Stephen J. Sather and El Pollo Loco,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10.15*</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8"/>
              </w:rPr>
              <w:t>Employment Agreement between Laurance Roberts and El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Pollo Loco,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10.17*</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7"/>
              </w:rPr>
              <w:t>Employment Agreement between Edward Valle and El Pollo</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Loco,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0"/>
                <w:szCs w:val="20"/>
                <w:color w:val="auto"/>
              </w:rPr>
            </w:pPr>
            <w:r>
              <w:rPr>
                <w:rFonts w:ascii="Arial" w:cs="Arial" w:eastAsia="Arial" w:hAnsi="Arial"/>
                <w:sz w:val="18"/>
                <w:szCs w:val="18"/>
                <w:color w:val="auto"/>
                <w:w w:val="99"/>
              </w:rPr>
              <w:t>10.18*</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2012 Stock Option Plan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18"/>
                <w:szCs w:val="18"/>
                <w:color w:val="auto"/>
                <w:w w:val="99"/>
              </w:rPr>
              <w:t>10.19*</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2014 Omnibus Equity Incentive Plan</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07/22/14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0"/>
                <w:szCs w:val="20"/>
                <w:color w:val="auto"/>
              </w:rPr>
            </w:pPr>
            <w:r>
              <w:rPr>
                <w:rFonts w:ascii="Arial" w:cs="Arial" w:eastAsia="Arial" w:hAnsi="Arial"/>
                <w:sz w:val="18"/>
                <w:szCs w:val="18"/>
                <w:color w:val="auto"/>
                <w:w w:val="99"/>
              </w:rPr>
              <w:t>10.20*</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Option Award Agreement (Fair Market Value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Options) under 2012 Stock Option Plan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10.21*</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7"/>
              </w:rPr>
              <w:t>Form of Option Award Agreement (Premium Options) under</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06/24/14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2012 Stock Option Plan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10.22*</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Option Award Agreement (Fair Market Value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07/22/14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Options) under 2014 Omnibus Equity Incentive Plan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10.23*</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Non-Officer Director Restricted Share Agreement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07/22/14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under 2014 Omnibus Equity Incentive Plan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10.24*</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9"/>
              </w:rPr>
              <w:t>Form of Indemnification Agreement between El Pollo Loco</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07/22/14</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333-197001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5"/>
              </w:rPr>
              <w:t>Holdings, Inc. and each of its directors and executive officers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rPr>
              <w:t>10.25</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4"/>
              </w:rPr>
              <w:t>Credit Agreement, dated as of December 11, 2014, among El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12/16/14</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Pollo Loco, Inc., as borrower, El Pollo Loco Holdings, Inc.,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6"/>
              </w:rPr>
              <w:t>and EPL Intermediate, Inc., as guarantors, Bank of America,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8"/>
              </w:rPr>
              <w:t>N.A., as administrative agent, swingline lender and letter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7"/>
              </w:rPr>
              <w:t>credit issuer, the lenders party thereto, and the other parties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thereto</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10.26*</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6"/>
              </w:rPr>
              <w:t>Employment Agreement between John Dawson and El Pollo</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03/30/16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05/06/16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001-36556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Loco, Inc.</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10.27*</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Form of Option Award Agreement (Fair Market Value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06/29/16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99"/>
              </w:rPr>
              <w:t>08/05/16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001-36556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9"/>
              </w:rPr>
              <w:t>Options) under 2014 Omnibus Equity Incentive Plan (Time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Vesting Only)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w w:val="99"/>
              </w:rPr>
              <w:t>10.28*</w:t>
            </w: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w w:val="97"/>
              </w:rPr>
              <w:t>Form of Employee Restricted Share Agreement under 2014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10-Q</w:t>
            </w:r>
          </w:p>
        </w:tc>
        <w:tc>
          <w:tcPr>
            <w:tcW w:w="900" w:type="dxa"/>
            <w:vAlign w:val="bottom"/>
          </w:tcPr>
          <w:p>
            <w:pPr>
              <w:jc w:val="right"/>
              <w:spacing w:after="0"/>
              <w:rPr>
                <w:sz w:val="20"/>
                <w:szCs w:val="20"/>
                <w:color w:val="auto"/>
              </w:rPr>
            </w:pPr>
            <w:r>
              <w:rPr>
                <w:rFonts w:ascii="Arial" w:cs="Arial" w:eastAsia="Arial" w:hAnsi="Arial"/>
                <w:sz w:val="18"/>
                <w:szCs w:val="18"/>
                <w:color w:val="auto"/>
              </w:rPr>
              <w:t>09/28/16</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w w:val="96"/>
              </w:rPr>
              <w:t>11/04/16</w:t>
            </w: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001-36556</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780" w:type="dxa"/>
            <w:vAlign w:val="bottom"/>
            <w:gridSpan w:val="3"/>
          </w:tcPr>
          <w:p>
            <w:pPr>
              <w:ind w:left="120"/>
              <w:spacing w:after="0"/>
              <w:rPr>
                <w:sz w:val="20"/>
                <w:szCs w:val="20"/>
                <w:color w:val="auto"/>
              </w:rPr>
            </w:pPr>
            <w:r>
              <w:rPr>
                <w:rFonts w:ascii="Arial" w:cs="Arial" w:eastAsia="Arial" w:hAnsi="Arial"/>
                <w:sz w:val="18"/>
                <w:szCs w:val="18"/>
                <w:color w:val="auto"/>
              </w:rPr>
              <w:t>Omnibus Equity Incentive Plan</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Filed</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1"/>
                <w:szCs w:val="11"/>
                <w:color w:val="auto"/>
              </w:rPr>
            </w:pPr>
          </w:p>
        </w:tc>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1"/>
                <w:szCs w:val="11"/>
                <w:color w:val="auto"/>
              </w:rPr>
            </w:pPr>
          </w:p>
        </w:tc>
        <w:tc>
          <w:tcPr>
            <w:tcW w:w="10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Period</w:t>
            </w:r>
          </w:p>
        </w:tc>
        <w:tc>
          <w:tcPr>
            <w:tcW w:w="8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96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Filing</w:t>
            </w: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SEC File Number</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4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Subsidiaries of El Pollo Loco Holdings,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w w:val="96"/>
              </w:rPr>
              <w:t>06/24/14</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333-197001</w:t>
            </w:r>
          </w:p>
        </w:tc>
        <w:tc>
          <w:tcPr>
            <w:tcW w:w="0" w:type="dxa"/>
            <w:vAlign w:val="bottom"/>
          </w:tcPr>
          <w:p>
            <w:pPr>
              <w:spacing w:after="0"/>
              <w:rPr>
                <w:sz w:val="1"/>
                <w:szCs w:val="1"/>
                <w:color w:val="auto"/>
              </w:rPr>
            </w:pPr>
          </w:p>
        </w:tc>
      </w:tr>
      <w:tr>
        <w:trPr>
          <w:trHeight w:val="378"/>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Consent of BDO USA, LLP</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hereto)</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under section</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302 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6"/>
              </w:rPr>
              <w:t>Certification of Principal Financial Officer under section 302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00" w:type="dxa"/>
            <w:vAlign w:val="bottom"/>
          </w:tcPr>
          <w:p>
            <w:pPr>
              <w:ind w:left="1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8"/>
              </w:rPr>
              <w:t>Certification of Chief Executive Officer and Chief Financial</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2"/>
              </w:rPr>
              <w:t>Officer under 18 U.S.C. section 1350, adopted by section 906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of the Sarbanes–Oxley Act of 2002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60" w:type="dxa"/>
            <w:vAlign w:val="bottom"/>
            <w:gridSpan w:val="2"/>
          </w:tcPr>
          <w:p>
            <w:pPr>
              <w:spacing w:after="0"/>
              <w:rPr>
                <w:sz w:val="20"/>
                <w:szCs w:val="20"/>
                <w:color w:val="auto"/>
              </w:rPr>
            </w:pPr>
            <w:r>
              <w:rPr>
                <w:rFonts w:ascii="Arial" w:cs="Arial" w:eastAsia="Arial" w:hAnsi="Arial"/>
                <w:sz w:val="18"/>
                <w:szCs w:val="18"/>
                <w:color w:val="auto"/>
                <w:w w:val="94"/>
              </w:rPr>
              <w:t>XBRL Taxonomy Extension Calculation Linkbase Document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60" w:type="dxa"/>
            <w:vAlign w:val="bottom"/>
            <w:gridSpan w:val="2"/>
          </w:tcPr>
          <w:p>
            <w:pPr>
              <w:spacing w:after="0"/>
              <w:rPr>
                <w:sz w:val="20"/>
                <w:szCs w:val="20"/>
                <w:color w:val="auto"/>
              </w:rPr>
            </w:pPr>
            <w:r>
              <w:rPr>
                <w:rFonts w:ascii="Arial" w:cs="Arial" w:eastAsia="Arial" w:hAnsi="Arial"/>
                <w:sz w:val="18"/>
                <w:szCs w:val="18"/>
                <w:color w:val="auto"/>
                <w:w w:val="97"/>
              </w:rPr>
              <w:t>XBRL Taxonomy Extension Definition Linkbase Document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23" w:lineRule="exact"/>
        <w:rPr>
          <w:sz w:val="20"/>
          <w:szCs w:val="20"/>
          <w:color w:val="auto"/>
        </w:rPr>
      </w:pPr>
    </w:p>
    <w:p>
      <w:pPr>
        <w:ind w:left="520" w:right="60" w:hanging="512"/>
        <w:spacing w:after="0" w:line="30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Furnished herewith.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333-197698) of El Pollo Loco Holdings, Inc. of our report dated March 10, 2017, relating to the consolidated financial statements, which appear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2017</w:t>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J. Sather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Laurance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lowerRoman"/>
      <w:start w:val="5"/>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6"/>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4"/>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5"/>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5"/>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2019-12-29T09:11:14Z</dcterms:created>
  <dcterms:modified xsi:type="dcterms:W3CDTF">2019-12-29T09:11:14Z</dcterms:modified>
</cp:coreProperties>
</file>