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650621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6210" cy="323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235585</wp:posOffset>
            </wp:positionV>
            <wp:extent cx="6506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105410</wp:posOffset>
            </wp:positionV>
            <wp:extent cx="1632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2585" cy="825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80010</wp:posOffset>
            </wp:positionV>
            <wp:extent cx="1632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258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00" w:lineRule="exact"/>
        <w:rPr>
          <w:sz w:val="24"/>
          <w:szCs w:val="24"/>
          <w:color w:val="auto"/>
        </w:rPr>
      </w:pPr>
    </w:p>
    <w:p>
      <w:pPr>
        <w:ind w:left="720" w:right="420" w:hanging="661"/>
        <w:spacing w:after="0" w:line="270" w:lineRule="auto"/>
        <w:tabs>
          <w:tab w:leader="none" w:pos="7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September 28, 2022</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99" w:lineRule="exact"/>
        <w:rPr>
          <w:sz w:val="24"/>
          <w:szCs w:val="24"/>
          <w:color w:val="auto"/>
        </w:rPr>
      </w:pPr>
    </w:p>
    <w:p>
      <w:pPr>
        <w:ind w:left="720" w:right="400" w:hanging="655"/>
        <w:spacing w:after="0" w:line="271" w:lineRule="auto"/>
        <w:tabs>
          <w:tab w:leader="none" w:pos="72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67" w:lineRule="exact"/>
        <w:rPr>
          <w:sz w:val="24"/>
          <w:szCs w:val="24"/>
          <w:color w:val="auto"/>
        </w:rPr>
      </w:pPr>
    </w:p>
    <w:p>
      <w:pPr>
        <w:ind w:left="3240"/>
        <w:spacing w:after="0"/>
        <w:tabs>
          <w:tab w:leader="none" w:pos="60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3343275</wp:posOffset>
            </wp:positionH>
            <wp:positionV relativeFrom="paragraph">
              <wp:posOffset>-1270</wp:posOffset>
            </wp:positionV>
            <wp:extent cx="10801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79375</wp:posOffset>
            </wp:positionV>
            <wp:extent cx="163258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2585" cy="16510"/>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EL POLLO LOCO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107315</wp:posOffset>
            </wp:positionV>
            <wp:extent cx="163258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2585" cy="1651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720" w:type="dxa"/>
        <w:tblCellMar>
          <w:top w:w="0" w:type="dxa"/>
          <w:left w:w="0" w:type="dxa"/>
          <w:bottom w:w="0" w:type="dxa"/>
          <w:right w:w="0" w:type="dxa"/>
        </w:tblCellMar>
      </w:tblPr>
      <w:tr>
        <w:trPr>
          <w:trHeight w:val="188"/>
        </w:trPr>
        <w:tc>
          <w:tcPr>
            <w:tcW w:w="5940" w:type="dxa"/>
            <w:vAlign w:val="bottom"/>
          </w:tcPr>
          <w:p>
            <w:pPr>
              <w:jc w:val="center"/>
              <w:ind w:right="2372"/>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020" w:type="dxa"/>
            <w:vAlign w:val="bottom"/>
          </w:tcPr>
          <w:p>
            <w:pPr>
              <w:jc w:val="right"/>
              <w:ind w:right="472"/>
              <w:spacing w:after="0"/>
              <w:rPr>
                <w:sz w:val="20"/>
                <w:szCs w:val="20"/>
                <w:color w:val="auto"/>
              </w:rPr>
            </w:pPr>
            <w:r>
              <w:rPr>
                <w:rFonts w:ascii="Times New Roman" w:cs="Times New Roman" w:eastAsia="Times New Roman" w:hAnsi="Times New Roman"/>
                <w:sz w:val="15"/>
                <w:szCs w:val="15"/>
                <w:b w:val="1"/>
                <w:bCs w:val="1"/>
                <w:color w:val="auto"/>
              </w:rPr>
              <w:t>20-3563182</w:t>
            </w:r>
          </w:p>
        </w:tc>
      </w:tr>
      <w:tr>
        <w:trPr>
          <w:trHeight w:val="158"/>
        </w:trPr>
        <w:tc>
          <w:tcPr>
            <w:tcW w:w="5940" w:type="dxa"/>
            <w:vAlign w:val="bottom"/>
          </w:tcPr>
          <w:p>
            <w:pPr>
              <w:jc w:val="center"/>
              <w:ind w:right="2372"/>
              <w:spacing w:after="0"/>
              <w:rPr>
                <w:sz w:val="20"/>
                <w:szCs w:val="20"/>
                <w:color w:val="auto"/>
              </w:rPr>
            </w:pPr>
            <w:r>
              <w:rPr>
                <w:rFonts w:ascii="Times New Roman" w:cs="Times New Roman" w:eastAsia="Times New Roman" w:hAnsi="Times New Roman"/>
                <w:sz w:val="12"/>
                <w:szCs w:val="12"/>
                <w:b w:val="1"/>
                <w:bCs w:val="1"/>
                <w:color w:val="auto"/>
                <w:w w:val="98"/>
              </w:rPr>
              <w:t>(State or other jurisdiction of incorporation or organization)</w:t>
            </w:r>
          </w:p>
        </w:tc>
        <w:tc>
          <w:tcPr>
            <w:tcW w:w="2020" w:type="dxa"/>
            <w:vAlign w:val="bottom"/>
          </w:tcPr>
          <w:p>
            <w:pPr>
              <w:jc w:val="center"/>
              <w:ind w:left="132"/>
              <w:spacing w:after="0"/>
              <w:rPr>
                <w:sz w:val="20"/>
                <w:szCs w:val="20"/>
                <w:color w:val="auto"/>
              </w:rPr>
            </w:pPr>
            <w:r>
              <w:rPr>
                <w:rFonts w:ascii="Times New Roman" w:cs="Times New Roman" w:eastAsia="Times New Roman" w:hAnsi="Times New Roman"/>
                <w:sz w:val="12"/>
                <w:szCs w:val="12"/>
                <w:b w:val="1"/>
                <w:bCs w:val="1"/>
                <w:color w:val="auto"/>
                <w:w w:val="99"/>
              </w:rPr>
              <w:t>(I.R.S. Employer Identification No.)</w:t>
            </w:r>
          </w:p>
        </w:tc>
      </w:tr>
      <w:tr>
        <w:trPr>
          <w:trHeight w:val="520"/>
        </w:trPr>
        <w:tc>
          <w:tcPr>
            <w:tcW w:w="5940" w:type="dxa"/>
            <w:vAlign w:val="bottom"/>
          </w:tcPr>
          <w:p>
            <w:pPr>
              <w:jc w:val="center"/>
              <w:ind w:right="2372"/>
              <w:spacing w:after="0"/>
              <w:rPr>
                <w:sz w:val="20"/>
                <w:szCs w:val="20"/>
                <w:color w:val="auto"/>
              </w:rPr>
            </w:pPr>
            <w:r>
              <w:rPr>
                <w:rFonts w:ascii="Times New Roman" w:cs="Times New Roman" w:eastAsia="Times New Roman" w:hAnsi="Times New Roman"/>
                <w:sz w:val="15"/>
                <w:szCs w:val="15"/>
                <w:b w:val="1"/>
                <w:bCs w:val="1"/>
                <w:color w:val="auto"/>
              </w:rPr>
              <w:t>3535 Harbor Blvd., Suite 100, Costa Mesa, California</w:t>
            </w:r>
          </w:p>
        </w:tc>
        <w:tc>
          <w:tcPr>
            <w:tcW w:w="2020" w:type="dxa"/>
            <w:vAlign w:val="bottom"/>
          </w:tcPr>
          <w:p>
            <w:pPr>
              <w:jc w:val="right"/>
              <w:ind w:right="652"/>
              <w:spacing w:after="0"/>
              <w:rPr>
                <w:sz w:val="20"/>
                <w:szCs w:val="20"/>
                <w:color w:val="auto"/>
              </w:rPr>
            </w:pPr>
            <w:r>
              <w:rPr>
                <w:rFonts w:ascii="Times New Roman" w:cs="Times New Roman" w:eastAsia="Times New Roman" w:hAnsi="Times New Roman"/>
                <w:sz w:val="15"/>
                <w:szCs w:val="15"/>
                <w:b w:val="1"/>
                <w:bCs w:val="1"/>
                <w:color w:val="auto"/>
              </w:rPr>
              <w:t>92626</w:t>
            </w:r>
          </w:p>
        </w:tc>
      </w:tr>
      <w:tr>
        <w:trPr>
          <w:trHeight w:val="158"/>
        </w:trPr>
        <w:tc>
          <w:tcPr>
            <w:tcW w:w="5940" w:type="dxa"/>
            <w:vAlign w:val="bottom"/>
          </w:tcPr>
          <w:p>
            <w:pPr>
              <w:jc w:val="center"/>
              <w:ind w:right="2372"/>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2020" w:type="dxa"/>
            <w:vAlign w:val="bottom"/>
          </w:tcPr>
          <w:p>
            <w:pPr>
              <w:jc w:val="center"/>
              <w:ind w:left="132"/>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r>
        <w:trPr>
          <w:trHeight w:val="430"/>
        </w:trPr>
        <w:tc>
          <w:tcPr>
            <w:tcW w:w="5940" w:type="dxa"/>
            <w:vAlign w:val="bottom"/>
          </w:tcPr>
          <w:p>
            <w:pPr>
              <w:jc w:val="right"/>
              <w:ind w:right="992"/>
              <w:spacing w:after="0"/>
              <w:rPr>
                <w:sz w:val="20"/>
                <w:szCs w:val="20"/>
                <w:color w:val="auto"/>
              </w:rPr>
            </w:pPr>
            <w:r>
              <w:rPr>
                <w:rFonts w:ascii="Times New Roman" w:cs="Times New Roman" w:eastAsia="Times New Roman" w:hAnsi="Times New Roman"/>
                <w:sz w:val="15"/>
                <w:szCs w:val="15"/>
                <w:b w:val="1"/>
                <w:bCs w:val="1"/>
                <w:color w:val="auto"/>
              </w:rPr>
              <w:t>(714) 599-5000</w:t>
            </w:r>
          </w:p>
        </w:tc>
        <w:tc>
          <w:tcPr>
            <w:tcW w:w="2020" w:type="dxa"/>
            <w:vAlign w:val="bottom"/>
          </w:tcPr>
          <w:p>
            <w:pPr>
              <w:spacing w:after="0"/>
              <w:rPr>
                <w:sz w:val="24"/>
                <w:szCs w:val="24"/>
                <w:color w:val="auto"/>
              </w:rPr>
            </w:pPr>
          </w:p>
        </w:tc>
      </w:tr>
      <w:tr>
        <w:trPr>
          <w:trHeight w:val="158"/>
        </w:trPr>
        <w:tc>
          <w:tcPr>
            <w:tcW w:w="5940" w:type="dxa"/>
            <w:vAlign w:val="bottom"/>
          </w:tcPr>
          <w:p>
            <w:pPr>
              <w:jc w:val="center"/>
              <w:ind w:left="2812"/>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2020" w:type="dxa"/>
            <w:vAlign w:val="bottom"/>
          </w:tcPr>
          <w:p>
            <w:pPr>
              <w:spacing w:after="0"/>
              <w:rPr>
                <w:sz w:val="13"/>
                <w:szCs w:val="13"/>
                <w:color w:val="auto"/>
              </w:rPr>
            </w:pP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former address and former fiscal year, if changed since last report)</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01" w:lineRule="exact"/>
        <w:rPr>
          <w:sz w:val="24"/>
          <w:szCs w:val="24"/>
          <w:color w:val="auto"/>
        </w:rPr>
      </w:pPr>
    </w:p>
    <w:tbl>
      <w:tblPr>
        <w:tblLayout w:type="fixed"/>
        <w:tblInd w:w="10" w:type="dxa"/>
        <w:tblCellMar>
          <w:top w:w="0" w:type="dxa"/>
          <w:left w:w="0" w:type="dxa"/>
          <w:bottom w:w="0" w:type="dxa"/>
          <w:right w:w="0" w:type="dxa"/>
        </w:tblCellMar>
      </w:tblPr>
      <w:tr>
        <w:trPr>
          <w:trHeight w:val="20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Title of each class</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Trading Symbol(s)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r>
      <w:tr>
        <w:trPr>
          <w:trHeight w:val="185"/>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par value $0.01 per share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LOCO</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186690</wp:posOffset>
            </wp:positionV>
            <wp:extent cx="1632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2585"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right="200" w:firstLine="479"/>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42" w:lineRule="exact"/>
        <w:rPr>
          <w:sz w:val="24"/>
          <w:szCs w:val="24"/>
          <w:color w:val="auto"/>
        </w:rPr>
      </w:pPr>
    </w:p>
    <w:p>
      <w:pPr>
        <w:ind w:right="480" w:firstLine="479"/>
        <w:spacing w:after="0" w:line="271"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300" w:hanging="218"/>
        <w:spacing w:after="0" w:line="173" w:lineRule="exact"/>
        <w:tabs>
          <w:tab w:leader="none" w:pos="30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76" w:lineRule="exact"/>
        <w:rPr>
          <w:sz w:val="24"/>
          <w:szCs w:val="24"/>
          <w:color w:val="auto"/>
        </w:rPr>
      </w:pPr>
    </w:p>
    <w:p>
      <w:pPr>
        <w:jc w:val="both"/>
        <w:ind w:right="380" w:firstLine="479"/>
        <w:spacing w:after="0" w:line="28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60" w:type="dxa"/>
        <w:tblCellMar>
          <w:top w:w="0" w:type="dxa"/>
          <w:left w:w="0" w:type="dxa"/>
          <w:bottom w:w="0" w:type="dxa"/>
          <w:right w:w="0" w:type="dxa"/>
        </w:tblCellMar>
      </w:tblPr>
      <w:tr>
        <w:trPr>
          <w:trHeight w:val="240"/>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0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4660" w:type="dxa"/>
            <w:vAlign w:val="bottom"/>
          </w:tcPr>
          <w:p>
            <w:pPr>
              <w:ind w:left="2640"/>
              <w:spacing w:after="0"/>
              <w:rPr>
                <w:sz w:val="20"/>
                <w:szCs w:val="20"/>
                <w:color w:val="auto"/>
              </w:rPr>
            </w:pPr>
            <w:r>
              <w:rPr>
                <w:rFonts w:ascii="Times New Roman" w:cs="Times New Roman" w:eastAsia="Times New Roman" w:hAnsi="Times New Roman"/>
                <w:sz w:val="15"/>
                <w:szCs w:val="15"/>
                <w:color w:val="auto"/>
              </w:rPr>
              <w:t>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9"/>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0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4660" w:type="dxa"/>
            <w:vAlign w:val="bottom"/>
          </w:tcPr>
          <w:p>
            <w:pPr>
              <w:ind w:left="26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9"/>
        </w:trPr>
        <w:tc>
          <w:tcPr>
            <w:tcW w:w="172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4660" w:type="dxa"/>
            <w:vAlign w:val="bottom"/>
          </w:tcPr>
          <w:p>
            <w:pPr>
              <w:ind w:left="2640"/>
              <w:spacing w:after="0"/>
              <w:rPr>
                <w:sz w:val="20"/>
                <w:szCs w:val="20"/>
                <w:color w:val="auto"/>
              </w:rPr>
            </w:pPr>
            <w:r>
              <w:rPr>
                <w:rFonts w:ascii="Times New Roman" w:cs="Times New Roman" w:eastAsia="Times New Roman" w:hAnsi="Times New Roman"/>
                <w:sz w:val="15"/>
                <w:szCs w:val="15"/>
                <w:color w:val="auto"/>
              </w:rPr>
              <w:t>Emerging Growth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82" w:lineRule="exact"/>
        <w:rPr>
          <w:sz w:val="24"/>
          <w:szCs w:val="24"/>
          <w:color w:val="auto"/>
        </w:rPr>
      </w:pPr>
    </w:p>
    <w:p>
      <w:pPr>
        <w:ind w:right="140" w:firstLine="479"/>
        <w:spacing w:after="0" w:line="203"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9" w:lineRule="exact"/>
        <w:rPr>
          <w:sz w:val="24"/>
          <w:szCs w:val="24"/>
          <w:color w:val="auto"/>
        </w:rPr>
      </w:pPr>
    </w:p>
    <w:p>
      <w:pPr>
        <w:ind w:left="480" w:right="1680"/>
        <w:spacing w:after="0" w:line="24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As of October 28, 2022, there were 37,049,182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628650</wp:posOffset>
            </wp:positionV>
            <wp:extent cx="650621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210" cy="241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60325</wp:posOffset>
            </wp:positionV>
            <wp:extent cx="6506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100965</wp:posOffset>
            </wp:positionV>
            <wp:extent cx="650621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6210" cy="32385"/>
                    </a:xfrm>
                    <a:prstGeom prst="rect">
                      <a:avLst/>
                    </a:prstGeom>
                    <a:noFill/>
                  </pic:spPr>
                </pic:pic>
              </a:graphicData>
            </a:graphic>
          </wp:anchor>
        </w:drawing>
      </w:r>
    </w:p>
    <w:p>
      <w:pPr>
        <w:sectPr>
          <w:pgSz w:w="11900" w:h="16838" w:orient="portrait"/>
          <w:cols w:equalWidth="0" w:num="1">
            <w:col w:w="10240"/>
          </w:cols>
          <w:pgMar w:left="820" w:top="635" w:right="83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846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8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w w:val="97"/>
              </w:rPr>
              <w:t>PART I—FINANCIAL INFORMATION</w:t>
            </w:r>
          </w:p>
        </w:tc>
        <w:tc>
          <w:tcPr>
            <w:tcW w:w="1180" w:type="dxa"/>
            <w:vAlign w:val="bottom"/>
            <w:vMerge w:val="restart"/>
          </w:tcPr>
          <w:p>
            <w:pPr>
              <w:spacing w:after="0"/>
              <w:rPr>
                <w:sz w:val="24"/>
                <w:szCs w:val="24"/>
                <w:color w:val="auto"/>
              </w:rPr>
            </w:pPr>
          </w:p>
        </w:tc>
        <w:tc>
          <w:tcPr>
            <w:tcW w:w="44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56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1780" w:type="dxa"/>
            <w:vAlign w:val="bottom"/>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98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EE"/>
                <w:w w:val="98"/>
              </w:rPr>
              <w:t>Item 1. Financial Statements.</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980" w:type="dxa"/>
            <w:vAlign w:val="bottom"/>
            <w:tcBorders>
              <w:bottom w:val="single" w:sz="8" w:color="0000EE"/>
            </w:tcBorders>
            <w:gridSpan w:val="9"/>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spacing w:after="0"/>
              <w:rPr>
                <w:sz w:val="14"/>
                <w:szCs w:val="14"/>
                <w:color w:val="auto"/>
              </w:rPr>
            </w:pPr>
          </w:p>
        </w:tc>
        <w:tc>
          <w:tcPr>
            <w:tcW w:w="44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560" w:type="dxa"/>
            <w:vAlign w:val="bottom"/>
            <w:vMerge w:val="restart"/>
          </w:tcPr>
          <w:p>
            <w:pPr>
              <w:spacing w:after="0"/>
              <w:rPr>
                <w:sz w:val="14"/>
                <w:szCs w:val="14"/>
                <w:color w:val="auto"/>
              </w:rPr>
            </w:pPr>
          </w:p>
        </w:tc>
        <w:tc>
          <w:tcPr>
            <w:tcW w:w="620" w:type="dxa"/>
            <w:vAlign w:val="bottom"/>
            <w:vMerge w:val="restart"/>
          </w:tcPr>
          <w:p>
            <w:pPr>
              <w:spacing w:after="0"/>
              <w:rPr>
                <w:sz w:val="14"/>
                <w:szCs w:val="14"/>
                <w:color w:val="auto"/>
              </w:rPr>
            </w:pPr>
          </w:p>
        </w:tc>
        <w:tc>
          <w:tcPr>
            <w:tcW w:w="520" w:type="dxa"/>
            <w:vAlign w:val="bottom"/>
            <w:vMerge w:val="restart"/>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58"/>
        </w:trPr>
        <w:tc>
          <w:tcPr>
            <w:tcW w:w="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64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color w:val="0000EE"/>
                <w:w w:val="99"/>
              </w:rPr>
              <w:t>Condensed Consolidated Balance Sheets (Unaudited)</w:t>
            </w:r>
          </w:p>
        </w:tc>
        <w:tc>
          <w:tcPr>
            <w:tcW w:w="4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Borders>
              <w:bottom w:val="single" w:sz="8" w:color="0000EE"/>
            </w:tcBorders>
            <w:gridSpan w:val="14"/>
            <w:vMerge w:val="continue"/>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560" w:type="dxa"/>
            <w:vAlign w:val="bottom"/>
            <w:vMerge w:val="restart"/>
          </w:tcPr>
          <w:p>
            <w:pPr>
              <w:spacing w:after="0"/>
              <w:rPr>
                <w:sz w:val="14"/>
                <w:szCs w:val="14"/>
                <w:color w:val="auto"/>
              </w:rPr>
            </w:pPr>
          </w:p>
        </w:tc>
        <w:tc>
          <w:tcPr>
            <w:tcW w:w="620" w:type="dxa"/>
            <w:vAlign w:val="bottom"/>
            <w:vMerge w:val="restart"/>
          </w:tcPr>
          <w:p>
            <w:pPr>
              <w:spacing w:after="0"/>
              <w:rPr>
                <w:sz w:val="14"/>
                <w:szCs w:val="14"/>
                <w:color w:val="auto"/>
              </w:rPr>
            </w:pPr>
          </w:p>
        </w:tc>
        <w:tc>
          <w:tcPr>
            <w:tcW w:w="520" w:type="dxa"/>
            <w:vAlign w:val="bottom"/>
            <w:vMerge w:val="restart"/>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80" w:type="dxa"/>
            <w:vAlign w:val="bottom"/>
            <w:gridSpan w:val="15"/>
            <w:vMerge w:val="restart"/>
          </w:tcPr>
          <w:p>
            <w:pPr>
              <w:spacing w:after="0"/>
              <w:rPr>
                <w:sz w:val="20"/>
                <w:szCs w:val="20"/>
                <w:color w:val="auto"/>
              </w:rPr>
            </w:pPr>
            <w:r>
              <w:rPr>
                <w:rFonts w:ascii="Times New Roman" w:cs="Times New Roman" w:eastAsia="Times New Roman" w:hAnsi="Times New Roman"/>
                <w:sz w:val="17"/>
                <w:szCs w:val="17"/>
                <w:color w:val="0000EE"/>
                <w:w w:val="99"/>
              </w:rPr>
              <w:t>Condensed Consolidated Statements of Income (Unaudited)</w:t>
            </w:r>
          </w:p>
        </w:tc>
        <w:tc>
          <w:tcPr>
            <w:tcW w:w="2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80" w:type="dxa"/>
            <w:vAlign w:val="bottom"/>
            <w:tcBorders>
              <w:bottom w:val="single" w:sz="8" w:color="0000EE"/>
            </w:tcBorders>
            <w:gridSpan w:val="15"/>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vMerge w:val="restart"/>
          </w:tcPr>
          <w:p>
            <w:pPr>
              <w:spacing w:after="0"/>
              <w:rPr>
                <w:sz w:val="14"/>
                <w:szCs w:val="14"/>
                <w:color w:val="auto"/>
              </w:rPr>
            </w:pPr>
          </w:p>
        </w:tc>
        <w:tc>
          <w:tcPr>
            <w:tcW w:w="520" w:type="dxa"/>
            <w:vAlign w:val="bottom"/>
            <w:vMerge w:val="restart"/>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0" w:type="dxa"/>
            <w:vAlign w:val="bottom"/>
            <w:gridSpan w:val="20"/>
            <w:vMerge w:val="restart"/>
          </w:tcPr>
          <w:p>
            <w:pPr>
              <w:spacing w:after="0"/>
              <w:rPr>
                <w:sz w:val="20"/>
                <w:szCs w:val="20"/>
                <w:color w:val="auto"/>
              </w:rPr>
            </w:pPr>
            <w:r>
              <w:rPr>
                <w:rFonts w:ascii="Times New Roman" w:cs="Times New Roman" w:eastAsia="Times New Roman" w:hAnsi="Times New Roman"/>
                <w:sz w:val="17"/>
                <w:szCs w:val="17"/>
                <w:color w:val="0000EE"/>
                <w:w w:val="99"/>
              </w:rPr>
              <w:t>Condensed Consolidated Statements of Comprehensive Income (Unaudited)</w:t>
            </w: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0" w:type="dxa"/>
            <w:vAlign w:val="bottom"/>
            <w:tcBorders>
              <w:bottom w:val="single" w:sz="8" w:color="0000EE"/>
            </w:tcBorders>
            <w:gridSpan w:val="20"/>
            <w:vMerge w:val="continue"/>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vMerge w:val="restart"/>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20" w:type="dxa"/>
            <w:vAlign w:val="bottom"/>
            <w:gridSpan w:val="21"/>
            <w:vMerge w:val="restart"/>
          </w:tcPr>
          <w:p>
            <w:pPr>
              <w:spacing w:after="0"/>
              <w:rPr>
                <w:sz w:val="20"/>
                <w:szCs w:val="20"/>
                <w:color w:val="auto"/>
              </w:rPr>
            </w:pPr>
            <w:r>
              <w:rPr>
                <w:rFonts w:ascii="Times New Roman" w:cs="Times New Roman" w:eastAsia="Times New Roman" w:hAnsi="Times New Roman"/>
                <w:sz w:val="17"/>
                <w:szCs w:val="17"/>
                <w:color w:val="0000EE"/>
                <w:w w:val="99"/>
              </w:rPr>
              <w:t>Condensed Consolidated Statements of Changes in Stockholders’ Equity (Unaudited)</w:t>
            </w:r>
          </w:p>
        </w:tc>
        <w:tc>
          <w:tcPr>
            <w:tcW w:w="52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20" w:type="dxa"/>
            <w:vAlign w:val="bottom"/>
            <w:tcBorders>
              <w:bottom w:val="single" w:sz="8" w:color="0000EE"/>
            </w:tcBorders>
            <w:gridSpan w:val="21"/>
            <w:vMerge w:val="continue"/>
          </w:tcPr>
          <w:p>
            <w:pPr>
              <w:spacing w:after="0"/>
              <w:rPr>
                <w:sz w:val="14"/>
                <w:szCs w:val="14"/>
                <w:color w:val="auto"/>
              </w:rPr>
            </w:pPr>
          </w:p>
        </w:tc>
        <w:tc>
          <w:tcPr>
            <w:tcW w:w="520" w:type="dxa"/>
            <w:vAlign w:val="bottom"/>
            <w:vMerge w:val="restart"/>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380" w:type="dxa"/>
            <w:vAlign w:val="bottom"/>
            <w:gridSpan w:val="18"/>
            <w:vMerge w:val="restart"/>
          </w:tcPr>
          <w:p>
            <w:pPr>
              <w:spacing w:after="0"/>
              <w:rPr>
                <w:sz w:val="20"/>
                <w:szCs w:val="20"/>
                <w:color w:val="auto"/>
              </w:rPr>
            </w:pPr>
            <w:r>
              <w:rPr>
                <w:rFonts w:ascii="Times New Roman" w:cs="Times New Roman" w:eastAsia="Times New Roman" w:hAnsi="Times New Roman"/>
                <w:sz w:val="17"/>
                <w:szCs w:val="17"/>
                <w:color w:val="0000EE"/>
                <w:w w:val="99"/>
              </w:rPr>
              <w:t>Condensed Consolidated Statements of Cash Flows (Unaudited)</w:t>
            </w:r>
          </w:p>
        </w:tc>
        <w:tc>
          <w:tcPr>
            <w:tcW w:w="260" w:type="dxa"/>
            <w:vAlign w:val="bottom"/>
          </w:tcPr>
          <w:p>
            <w:pPr>
              <w:spacing w:after="0"/>
              <w:rPr>
                <w:sz w:val="5"/>
                <w:szCs w:val="5"/>
                <w:color w:val="auto"/>
              </w:rPr>
            </w:pPr>
          </w:p>
        </w:tc>
        <w:tc>
          <w:tcPr>
            <w:tcW w:w="1180" w:type="dxa"/>
            <w:vAlign w:val="bottom"/>
            <w:gridSpan w:val="2"/>
          </w:tcPr>
          <w:p>
            <w:pPr>
              <w:spacing w:after="0"/>
              <w:rPr>
                <w:sz w:val="5"/>
                <w:szCs w:val="5"/>
                <w:color w:val="auto"/>
              </w:rPr>
            </w:pPr>
          </w:p>
        </w:tc>
        <w:tc>
          <w:tcPr>
            <w:tcW w:w="52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380" w:type="dxa"/>
            <w:vAlign w:val="bottom"/>
            <w:tcBorders>
              <w:bottom w:val="single" w:sz="8" w:color="0000EE"/>
            </w:tcBorders>
            <w:gridSpan w:val="18"/>
            <w:vMerge w:val="continue"/>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vMerge w:val="restart"/>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20" w:type="dxa"/>
            <w:vAlign w:val="bottom"/>
            <w:gridSpan w:val="18"/>
            <w:vMerge w:val="restart"/>
          </w:tcPr>
          <w:p>
            <w:pPr>
              <w:spacing w:after="0"/>
              <w:rPr>
                <w:sz w:val="20"/>
                <w:szCs w:val="20"/>
                <w:color w:val="auto"/>
              </w:rPr>
            </w:pPr>
            <w:r>
              <w:rPr>
                <w:rFonts w:ascii="Times New Roman" w:cs="Times New Roman" w:eastAsia="Times New Roman" w:hAnsi="Times New Roman"/>
                <w:sz w:val="17"/>
                <w:szCs w:val="17"/>
                <w:color w:val="0000EE"/>
                <w:w w:val="99"/>
              </w:rPr>
              <w:t>Notes to Condensed Consolidated Financial Statements (Unaudited)</w:t>
            </w:r>
          </w:p>
        </w:tc>
        <w:tc>
          <w:tcPr>
            <w:tcW w:w="1700" w:type="dxa"/>
            <w:vAlign w:val="bottom"/>
            <w:gridSpan w:val="3"/>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bottom w:val="single" w:sz="8" w:color="0000EE"/>
            </w:tcBorders>
            <w:gridSpan w:val="18"/>
            <w:vMerge w:val="continue"/>
          </w:tcPr>
          <w:p>
            <w:pPr>
              <w:spacing w:after="0"/>
              <w:rPr>
                <w:sz w:val="14"/>
                <w:szCs w:val="14"/>
                <w:color w:val="auto"/>
              </w:rPr>
            </w:pPr>
          </w:p>
        </w:tc>
        <w:tc>
          <w:tcPr>
            <w:tcW w:w="1700" w:type="dxa"/>
            <w:vAlign w:val="bottom"/>
            <w:gridSpan w:val="3"/>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58"/>
        </w:trPr>
        <w:tc>
          <w:tcPr>
            <w:tcW w:w="6680" w:type="dxa"/>
            <w:vAlign w:val="bottom"/>
            <w:gridSpan w:val="24"/>
            <w:vMerge w:val="restart"/>
          </w:tcPr>
          <w:p>
            <w:pPr>
              <w:spacing w:after="0"/>
              <w:rPr>
                <w:sz w:val="20"/>
                <w:szCs w:val="20"/>
                <w:color w:val="auto"/>
              </w:rPr>
            </w:pPr>
            <w:r>
              <w:rPr>
                <w:rFonts w:ascii="Times New Roman" w:cs="Times New Roman" w:eastAsia="Times New Roman" w:hAnsi="Times New Roman"/>
                <w:sz w:val="17"/>
                <w:szCs w:val="17"/>
                <w:color w:val="0000EE"/>
                <w:w w:val="99"/>
              </w:rPr>
              <w:t>Item 2. Management’s Discussion and Analysis of Financial Condition and Results of Operations.</w:t>
            </w:r>
          </w:p>
        </w:tc>
        <w:tc>
          <w:tcPr>
            <w:tcW w:w="17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680" w:type="dxa"/>
            <w:vAlign w:val="bottom"/>
            <w:tcBorders>
              <w:bottom w:val="single" w:sz="8" w:color="0000EE"/>
            </w:tcBorders>
            <w:gridSpan w:val="24"/>
            <w:vMerge w:val="continue"/>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58"/>
        </w:trPr>
        <w:tc>
          <w:tcPr>
            <w:tcW w:w="4700" w:type="dxa"/>
            <w:vAlign w:val="bottom"/>
            <w:gridSpan w:val="19"/>
            <w:vMerge w:val="restart"/>
          </w:tcPr>
          <w:p>
            <w:pPr>
              <w:spacing w:after="0"/>
              <w:rPr>
                <w:sz w:val="20"/>
                <w:szCs w:val="20"/>
                <w:color w:val="auto"/>
              </w:rPr>
            </w:pPr>
            <w:r>
              <w:rPr>
                <w:rFonts w:ascii="Times New Roman" w:cs="Times New Roman" w:eastAsia="Times New Roman" w:hAnsi="Times New Roman"/>
                <w:sz w:val="17"/>
                <w:szCs w:val="17"/>
                <w:color w:val="0000EE"/>
                <w:w w:val="99"/>
              </w:rPr>
              <w:t>Item 3. Quantitative and Qualitative Disclosures About Market Risk.</w:t>
            </w:r>
          </w:p>
        </w:tc>
        <w:tc>
          <w:tcPr>
            <w:tcW w:w="1980" w:type="dxa"/>
            <w:vAlign w:val="bottom"/>
            <w:gridSpan w:val="5"/>
          </w:tcPr>
          <w:p>
            <w:pPr>
              <w:spacing w:after="0"/>
              <w:rPr>
                <w:sz w:val="5"/>
                <w:szCs w:val="5"/>
                <w:color w:val="auto"/>
              </w:rPr>
            </w:pPr>
          </w:p>
        </w:tc>
        <w:tc>
          <w:tcPr>
            <w:tcW w:w="17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700" w:type="dxa"/>
            <w:vAlign w:val="bottom"/>
            <w:tcBorders>
              <w:bottom w:val="single" w:sz="8" w:color="0000EE"/>
            </w:tcBorders>
            <w:gridSpan w:val="19"/>
            <w:vMerge w:val="continue"/>
          </w:tcPr>
          <w:p>
            <w:pPr>
              <w:spacing w:after="0"/>
              <w:rPr>
                <w:sz w:val="14"/>
                <w:szCs w:val="14"/>
                <w:color w:val="auto"/>
              </w:rPr>
            </w:pPr>
          </w:p>
        </w:tc>
        <w:tc>
          <w:tcPr>
            <w:tcW w:w="3760" w:type="dxa"/>
            <w:vAlign w:val="bottom"/>
            <w:gridSpan w:val="6"/>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58"/>
        </w:trPr>
        <w:tc>
          <w:tcPr>
            <w:tcW w:w="2260" w:type="dxa"/>
            <w:vAlign w:val="bottom"/>
            <w:gridSpan w:val="12"/>
            <w:vMerge w:val="restart"/>
          </w:tcPr>
          <w:p>
            <w:pPr>
              <w:spacing w:after="0"/>
              <w:rPr>
                <w:sz w:val="20"/>
                <w:szCs w:val="20"/>
                <w:color w:val="auto"/>
              </w:rPr>
            </w:pPr>
            <w:r>
              <w:rPr>
                <w:rFonts w:ascii="Times New Roman" w:cs="Times New Roman" w:eastAsia="Times New Roman" w:hAnsi="Times New Roman"/>
                <w:sz w:val="17"/>
                <w:szCs w:val="17"/>
                <w:color w:val="0000EE"/>
              </w:rPr>
              <w:t>Item 4. Controls and Procedures.</w:t>
            </w: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2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3760" w:type="dxa"/>
            <w:vAlign w:val="bottom"/>
            <w:gridSpan w:val="6"/>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260" w:type="dxa"/>
            <w:vAlign w:val="bottom"/>
            <w:tcBorders>
              <w:bottom w:val="single" w:sz="8" w:color="0000EE"/>
            </w:tcBorders>
            <w:gridSpan w:val="12"/>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restart"/>
          </w:tcPr>
          <w:p>
            <w:pPr>
              <w:spacing w:after="0"/>
              <w:rPr>
                <w:sz w:val="14"/>
                <w:szCs w:val="14"/>
                <w:color w:val="auto"/>
              </w:rPr>
            </w:pPr>
          </w:p>
        </w:tc>
        <w:tc>
          <w:tcPr>
            <w:tcW w:w="1920" w:type="dxa"/>
            <w:vAlign w:val="bottom"/>
            <w:gridSpan w:val="4"/>
            <w:vMerge w:val="restart"/>
          </w:tcPr>
          <w:p>
            <w:pPr>
              <w:spacing w:after="0"/>
              <w:rPr>
                <w:sz w:val="14"/>
                <w:szCs w:val="14"/>
                <w:color w:val="auto"/>
              </w:rPr>
            </w:pPr>
          </w:p>
        </w:tc>
        <w:tc>
          <w:tcPr>
            <w:tcW w:w="3780" w:type="dxa"/>
            <w:vAlign w:val="bottom"/>
            <w:gridSpan w:val="7"/>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58"/>
        </w:trPr>
        <w:tc>
          <w:tcPr>
            <w:tcW w:w="2520" w:type="dxa"/>
            <w:vAlign w:val="bottom"/>
            <w:gridSpan w:val="13"/>
            <w:vMerge w:val="restart"/>
          </w:tcPr>
          <w:p>
            <w:pPr>
              <w:spacing w:after="0"/>
              <w:rPr>
                <w:sz w:val="20"/>
                <w:szCs w:val="20"/>
                <w:color w:val="auto"/>
              </w:rPr>
            </w:pPr>
            <w:r>
              <w:rPr>
                <w:rFonts w:ascii="Times New Roman" w:cs="Times New Roman" w:eastAsia="Times New Roman" w:hAnsi="Times New Roman"/>
                <w:sz w:val="17"/>
                <w:szCs w:val="17"/>
                <w:color w:val="0000EE"/>
                <w:w w:val="97"/>
              </w:rPr>
              <w:t>PART II—OTHER INFORMATION</w:t>
            </w:r>
          </w:p>
        </w:tc>
        <w:tc>
          <w:tcPr>
            <w:tcW w:w="240" w:type="dxa"/>
            <w:vAlign w:val="bottom"/>
            <w:vMerge w:val="continue"/>
          </w:tcPr>
          <w:p>
            <w:pPr>
              <w:spacing w:after="0"/>
              <w:rPr>
                <w:sz w:val="5"/>
                <w:szCs w:val="5"/>
                <w:color w:val="auto"/>
              </w:rPr>
            </w:pPr>
          </w:p>
        </w:tc>
        <w:tc>
          <w:tcPr>
            <w:tcW w:w="1920" w:type="dxa"/>
            <w:vAlign w:val="bottom"/>
            <w:gridSpan w:val="4"/>
            <w:vMerge w:val="continue"/>
          </w:tcPr>
          <w:p>
            <w:pPr>
              <w:spacing w:after="0"/>
              <w:rPr>
                <w:sz w:val="5"/>
                <w:szCs w:val="5"/>
                <w:color w:val="auto"/>
              </w:rPr>
            </w:pPr>
          </w:p>
        </w:tc>
        <w:tc>
          <w:tcPr>
            <w:tcW w:w="37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3"/>
        </w:trPr>
        <w:tc>
          <w:tcPr>
            <w:tcW w:w="2520" w:type="dxa"/>
            <w:vAlign w:val="bottom"/>
            <w:tcBorders>
              <w:bottom w:val="single" w:sz="8" w:color="0000EE"/>
            </w:tcBorders>
            <w:gridSpan w:val="13"/>
            <w:vMerge w:val="continue"/>
          </w:tcPr>
          <w:p>
            <w:pPr>
              <w:spacing w:after="0"/>
              <w:rPr>
                <w:sz w:val="24"/>
                <w:szCs w:val="24"/>
                <w:color w:val="auto"/>
              </w:rPr>
            </w:pPr>
          </w:p>
        </w:tc>
        <w:tc>
          <w:tcPr>
            <w:tcW w:w="240" w:type="dxa"/>
            <w:vAlign w:val="bottom"/>
            <w:vMerge w:val="restart"/>
          </w:tcPr>
          <w:p>
            <w:pPr>
              <w:spacing w:after="0"/>
              <w:rPr>
                <w:sz w:val="24"/>
                <w:szCs w:val="24"/>
                <w:color w:val="auto"/>
              </w:rPr>
            </w:pPr>
          </w:p>
        </w:tc>
        <w:tc>
          <w:tcPr>
            <w:tcW w:w="1920" w:type="dxa"/>
            <w:vAlign w:val="bottom"/>
            <w:gridSpan w:val="4"/>
            <w:vMerge w:val="restart"/>
          </w:tcPr>
          <w:p>
            <w:pPr>
              <w:spacing w:after="0"/>
              <w:rPr>
                <w:sz w:val="24"/>
                <w:szCs w:val="24"/>
                <w:color w:val="auto"/>
              </w:rPr>
            </w:pPr>
          </w:p>
        </w:tc>
        <w:tc>
          <w:tcPr>
            <w:tcW w:w="3780" w:type="dxa"/>
            <w:vAlign w:val="bottom"/>
            <w:gridSpan w:val="7"/>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58"/>
        </w:trPr>
        <w:tc>
          <w:tcPr>
            <w:tcW w:w="18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EE"/>
                <w:w w:val="99"/>
              </w:rPr>
              <w:t>Item 1. Legal Proceedings.</w:t>
            </w:r>
          </w:p>
        </w:tc>
        <w:tc>
          <w:tcPr>
            <w:tcW w:w="400" w:type="dxa"/>
            <w:vAlign w:val="bottom"/>
            <w:gridSpan w:val="2"/>
          </w:tcPr>
          <w:p>
            <w:pPr>
              <w:spacing w:after="0"/>
              <w:rPr>
                <w:sz w:val="5"/>
                <w:szCs w:val="5"/>
                <w:color w:val="auto"/>
              </w:rPr>
            </w:pPr>
          </w:p>
        </w:tc>
        <w:tc>
          <w:tcPr>
            <w:tcW w:w="280" w:type="dxa"/>
            <w:vAlign w:val="bottom"/>
            <w:gridSpan w:val="2"/>
          </w:tcPr>
          <w:p>
            <w:pPr>
              <w:spacing w:after="0"/>
              <w:rPr>
                <w:sz w:val="5"/>
                <w:szCs w:val="5"/>
                <w:color w:val="auto"/>
              </w:rPr>
            </w:pPr>
          </w:p>
        </w:tc>
        <w:tc>
          <w:tcPr>
            <w:tcW w:w="240" w:type="dxa"/>
            <w:vAlign w:val="bottom"/>
            <w:vMerge w:val="continue"/>
          </w:tcPr>
          <w:p>
            <w:pPr>
              <w:spacing w:after="0"/>
              <w:rPr>
                <w:sz w:val="5"/>
                <w:szCs w:val="5"/>
                <w:color w:val="auto"/>
              </w:rPr>
            </w:pPr>
          </w:p>
        </w:tc>
        <w:tc>
          <w:tcPr>
            <w:tcW w:w="1920" w:type="dxa"/>
            <w:vAlign w:val="bottom"/>
            <w:gridSpan w:val="4"/>
            <w:vMerge w:val="continue"/>
          </w:tcPr>
          <w:p>
            <w:pPr>
              <w:spacing w:after="0"/>
              <w:rPr>
                <w:sz w:val="5"/>
                <w:szCs w:val="5"/>
                <w:color w:val="auto"/>
              </w:rPr>
            </w:pPr>
          </w:p>
        </w:tc>
        <w:tc>
          <w:tcPr>
            <w:tcW w:w="37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840" w:type="dxa"/>
            <w:vAlign w:val="bottom"/>
            <w:tcBorders>
              <w:bottom w:val="single" w:sz="8" w:color="0000EE"/>
            </w:tcBorders>
            <w:gridSpan w:val="9"/>
            <w:vMerge w:val="continue"/>
          </w:tcPr>
          <w:p>
            <w:pPr>
              <w:spacing w:after="0"/>
              <w:rPr>
                <w:sz w:val="14"/>
                <w:szCs w:val="14"/>
                <w:color w:val="auto"/>
              </w:rPr>
            </w:pPr>
          </w:p>
        </w:tc>
        <w:tc>
          <w:tcPr>
            <w:tcW w:w="400" w:type="dxa"/>
            <w:vAlign w:val="bottom"/>
            <w:gridSpan w:val="2"/>
            <w:vMerge w:val="restart"/>
          </w:tcPr>
          <w:p>
            <w:pPr>
              <w:spacing w:after="0"/>
              <w:rPr>
                <w:sz w:val="14"/>
                <w:szCs w:val="14"/>
                <w:color w:val="auto"/>
              </w:rPr>
            </w:pPr>
          </w:p>
        </w:tc>
        <w:tc>
          <w:tcPr>
            <w:tcW w:w="520" w:type="dxa"/>
            <w:vAlign w:val="bottom"/>
            <w:gridSpan w:val="3"/>
            <w:vMerge w:val="restart"/>
          </w:tcPr>
          <w:p>
            <w:pPr>
              <w:spacing w:after="0"/>
              <w:rPr>
                <w:sz w:val="14"/>
                <w:szCs w:val="14"/>
                <w:color w:val="auto"/>
              </w:rPr>
            </w:pPr>
          </w:p>
        </w:tc>
        <w:tc>
          <w:tcPr>
            <w:tcW w:w="1920" w:type="dxa"/>
            <w:vAlign w:val="bottom"/>
            <w:gridSpan w:val="4"/>
            <w:vMerge w:val="restart"/>
          </w:tcPr>
          <w:p>
            <w:pPr>
              <w:spacing w:after="0"/>
              <w:rPr>
                <w:sz w:val="14"/>
                <w:szCs w:val="14"/>
                <w:color w:val="auto"/>
              </w:rPr>
            </w:pPr>
          </w:p>
        </w:tc>
        <w:tc>
          <w:tcPr>
            <w:tcW w:w="3780" w:type="dxa"/>
            <w:vAlign w:val="bottom"/>
            <w:gridSpan w:val="7"/>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58"/>
        </w:trPr>
        <w:tc>
          <w:tcPr>
            <w:tcW w:w="15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EE"/>
                <w:w w:val="98"/>
              </w:rPr>
              <w:t>Item 1A. Risk Factors.</w:t>
            </w: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1920" w:type="dxa"/>
            <w:vAlign w:val="bottom"/>
            <w:gridSpan w:val="4"/>
            <w:vMerge w:val="continue"/>
          </w:tcPr>
          <w:p>
            <w:pPr>
              <w:spacing w:after="0"/>
              <w:rPr>
                <w:sz w:val="5"/>
                <w:szCs w:val="5"/>
                <w:color w:val="auto"/>
              </w:rPr>
            </w:pPr>
          </w:p>
        </w:tc>
        <w:tc>
          <w:tcPr>
            <w:tcW w:w="37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540" w:type="dxa"/>
            <w:vAlign w:val="bottom"/>
            <w:tcBorders>
              <w:bottom w:val="single" w:sz="8" w:color="0000EE"/>
            </w:tcBorders>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gridSpan w:val="3"/>
          </w:tcPr>
          <w:p>
            <w:pPr>
              <w:spacing w:after="0"/>
              <w:rPr>
                <w:sz w:val="14"/>
                <w:szCs w:val="14"/>
                <w:color w:val="auto"/>
              </w:rPr>
            </w:pPr>
          </w:p>
        </w:tc>
        <w:tc>
          <w:tcPr>
            <w:tcW w:w="520" w:type="dxa"/>
            <w:vAlign w:val="bottom"/>
            <w:gridSpan w:val="3"/>
          </w:tcPr>
          <w:p>
            <w:pPr>
              <w:spacing w:after="0"/>
              <w:rPr>
                <w:sz w:val="14"/>
                <w:szCs w:val="14"/>
                <w:color w:val="auto"/>
              </w:rPr>
            </w:pPr>
          </w:p>
        </w:tc>
        <w:tc>
          <w:tcPr>
            <w:tcW w:w="1920" w:type="dxa"/>
            <w:vAlign w:val="bottom"/>
            <w:gridSpan w:val="4"/>
          </w:tcPr>
          <w:p>
            <w:pPr>
              <w:spacing w:after="0"/>
              <w:rPr>
                <w:sz w:val="14"/>
                <w:szCs w:val="14"/>
                <w:color w:val="auto"/>
              </w:rPr>
            </w:pPr>
          </w:p>
        </w:tc>
        <w:tc>
          <w:tcPr>
            <w:tcW w:w="3780" w:type="dxa"/>
            <w:vAlign w:val="bottom"/>
            <w:gridSpan w:val="7"/>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58"/>
        </w:trPr>
        <w:tc>
          <w:tcPr>
            <w:tcW w:w="4680" w:type="dxa"/>
            <w:vAlign w:val="bottom"/>
            <w:gridSpan w:val="18"/>
            <w:vMerge w:val="restart"/>
          </w:tcPr>
          <w:p>
            <w:pPr>
              <w:spacing w:after="0"/>
              <w:rPr>
                <w:sz w:val="20"/>
                <w:szCs w:val="20"/>
                <w:color w:val="auto"/>
              </w:rPr>
            </w:pPr>
            <w:r>
              <w:rPr>
                <w:rFonts w:ascii="Times New Roman" w:cs="Times New Roman" w:eastAsia="Times New Roman" w:hAnsi="Times New Roman"/>
                <w:sz w:val="17"/>
                <w:szCs w:val="17"/>
                <w:color w:val="0000EE"/>
                <w:w w:val="99"/>
              </w:rPr>
              <w:t>Item 2. Unregistered Sales of Equity Securities and Use of Proceeds.</w:t>
            </w:r>
          </w:p>
        </w:tc>
        <w:tc>
          <w:tcPr>
            <w:tcW w:w="37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680" w:type="dxa"/>
            <w:vAlign w:val="bottom"/>
            <w:tcBorders>
              <w:bottom w:val="single" w:sz="8" w:color="0000EE"/>
            </w:tcBorders>
            <w:gridSpan w:val="18"/>
            <w:vMerge w:val="continue"/>
          </w:tcPr>
          <w:p>
            <w:pPr>
              <w:spacing w:after="0"/>
              <w:rPr>
                <w:sz w:val="14"/>
                <w:szCs w:val="14"/>
                <w:color w:val="auto"/>
              </w:rPr>
            </w:pPr>
          </w:p>
        </w:tc>
        <w:tc>
          <w:tcPr>
            <w:tcW w:w="3780" w:type="dxa"/>
            <w:vAlign w:val="bottom"/>
            <w:gridSpan w:val="7"/>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58"/>
        </w:trPr>
        <w:tc>
          <w:tcPr>
            <w:tcW w:w="276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color w:val="0000EE"/>
                <w:w w:val="99"/>
              </w:rPr>
              <w:t>Item 3. Defaults Upon Senior Securities.</w:t>
            </w:r>
          </w:p>
        </w:tc>
        <w:tc>
          <w:tcPr>
            <w:tcW w:w="1920" w:type="dxa"/>
            <w:vAlign w:val="bottom"/>
            <w:gridSpan w:val="4"/>
          </w:tcPr>
          <w:p>
            <w:pPr>
              <w:spacing w:after="0"/>
              <w:rPr>
                <w:sz w:val="5"/>
                <w:szCs w:val="5"/>
                <w:color w:val="auto"/>
              </w:rPr>
            </w:pPr>
          </w:p>
        </w:tc>
        <w:tc>
          <w:tcPr>
            <w:tcW w:w="37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760" w:type="dxa"/>
            <w:vAlign w:val="bottom"/>
            <w:tcBorders>
              <w:bottom w:val="single" w:sz="8" w:color="0000EE"/>
            </w:tcBorders>
            <w:gridSpan w:val="14"/>
            <w:vMerge w:val="continue"/>
          </w:tcPr>
          <w:p>
            <w:pPr>
              <w:spacing w:after="0"/>
              <w:rPr>
                <w:sz w:val="14"/>
                <w:szCs w:val="14"/>
                <w:color w:val="auto"/>
              </w:rPr>
            </w:pPr>
          </w:p>
        </w:tc>
        <w:tc>
          <w:tcPr>
            <w:tcW w:w="5700" w:type="dxa"/>
            <w:vAlign w:val="bottom"/>
            <w:gridSpan w:val="11"/>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58"/>
        </w:trPr>
        <w:tc>
          <w:tcPr>
            <w:tcW w:w="2240" w:type="dxa"/>
            <w:vAlign w:val="bottom"/>
            <w:gridSpan w:val="11"/>
            <w:vMerge w:val="restart"/>
          </w:tcPr>
          <w:p>
            <w:pPr>
              <w:spacing w:after="0"/>
              <w:rPr>
                <w:sz w:val="20"/>
                <w:szCs w:val="20"/>
                <w:color w:val="auto"/>
              </w:rPr>
            </w:pPr>
            <w:r>
              <w:rPr>
                <w:rFonts w:ascii="Times New Roman" w:cs="Times New Roman" w:eastAsia="Times New Roman" w:hAnsi="Times New Roman"/>
                <w:sz w:val="17"/>
                <w:szCs w:val="17"/>
                <w:color w:val="0000EE"/>
                <w:w w:val="99"/>
              </w:rPr>
              <w:t>Item 4. Mine Safety Disclosures.</w:t>
            </w:r>
          </w:p>
        </w:tc>
        <w:tc>
          <w:tcPr>
            <w:tcW w:w="520" w:type="dxa"/>
            <w:vAlign w:val="bottom"/>
            <w:gridSpan w:val="3"/>
          </w:tcPr>
          <w:p>
            <w:pPr>
              <w:spacing w:after="0"/>
              <w:rPr>
                <w:sz w:val="5"/>
                <w:szCs w:val="5"/>
                <w:color w:val="auto"/>
              </w:rPr>
            </w:pPr>
          </w:p>
        </w:tc>
        <w:tc>
          <w:tcPr>
            <w:tcW w:w="5700" w:type="dxa"/>
            <w:vAlign w:val="bottom"/>
            <w:gridSpan w:val="1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240" w:type="dxa"/>
            <w:vAlign w:val="bottom"/>
            <w:tcBorders>
              <w:bottom w:val="single" w:sz="8" w:color="0000EE"/>
            </w:tcBorders>
            <w:gridSpan w:val="11"/>
            <w:vMerge w:val="continue"/>
          </w:tcPr>
          <w:p>
            <w:pPr>
              <w:spacing w:after="0"/>
              <w:rPr>
                <w:sz w:val="14"/>
                <w:szCs w:val="14"/>
                <w:color w:val="auto"/>
              </w:rPr>
            </w:pPr>
          </w:p>
        </w:tc>
        <w:tc>
          <w:tcPr>
            <w:tcW w:w="6220" w:type="dxa"/>
            <w:vAlign w:val="bottom"/>
            <w:gridSpan w:val="14"/>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58"/>
        </w:trPr>
        <w:tc>
          <w:tcPr>
            <w:tcW w:w="18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EE"/>
                <w:w w:val="99"/>
              </w:rPr>
              <w:t>Item 5. Other Information.</w:t>
            </w:r>
          </w:p>
        </w:tc>
        <w:tc>
          <w:tcPr>
            <w:tcW w:w="420" w:type="dxa"/>
            <w:vAlign w:val="bottom"/>
            <w:gridSpan w:val="3"/>
          </w:tcPr>
          <w:p>
            <w:pPr>
              <w:spacing w:after="0"/>
              <w:rPr>
                <w:sz w:val="5"/>
                <w:szCs w:val="5"/>
                <w:color w:val="auto"/>
              </w:rPr>
            </w:pPr>
          </w:p>
        </w:tc>
        <w:tc>
          <w:tcPr>
            <w:tcW w:w="6220" w:type="dxa"/>
            <w:vAlign w:val="bottom"/>
            <w:gridSpan w:val="14"/>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820" w:type="dxa"/>
            <w:vAlign w:val="bottom"/>
            <w:tcBorders>
              <w:bottom w:val="single" w:sz="8" w:color="0000EE"/>
            </w:tcBorders>
            <w:gridSpan w:val="8"/>
            <w:vMerge w:val="continue"/>
          </w:tcPr>
          <w:p>
            <w:pPr>
              <w:spacing w:after="0"/>
              <w:rPr>
                <w:sz w:val="14"/>
                <w:szCs w:val="14"/>
                <w:color w:val="auto"/>
              </w:rPr>
            </w:pPr>
          </w:p>
        </w:tc>
        <w:tc>
          <w:tcPr>
            <w:tcW w:w="6640" w:type="dxa"/>
            <w:vAlign w:val="bottom"/>
            <w:gridSpan w:val="17"/>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58"/>
        </w:trPr>
        <w:tc>
          <w:tcPr>
            <w:tcW w:w="11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EE"/>
                <w:w w:val="98"/>
              </w:rPr>
              <w:t>Item 6. Exhibits.</w:t>
            </w:r>
          </w:p>
        </w:tc>
        <w:tc>
          <w:tcPr>
            <w:tcW w:w="680" w:type="dxa"/>
            <w:vAlign w:val="bottom"/>
            <w:gridSpan w:val="2"/>
          </w:tcPr>
          <w:p>
            <w:pPr>
              <w:spacing w:after="0"/>
              <w:rPr>
                <w:sz w:val="5"/>
                <w:szCs w:val="5"/>
                <w:color w:val="auto"/>
              </w:rPr>
            </w:pPr>
          </w:p>
        </w:tc>
        <w:tc>
          <w:tcPr>
            <w:tcW w:w="6640" w:type="dxa"/>
            <w:vAlign w:val="bottom"/>
            <w:gridSpan w:val="1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140" w:type="dxa"/>
            <w:vAlign w:val="bottom"/>
            <w:tcBorders>
              <w:bottom w:val="single" w:sz="8" w:color="0000EE"/>
            </w:tcBorders>
            <w:gridSpan w:val="6"/>
            <w:vMerge w:val="continue"/>
          </w:tcPr>
          <w:p>
            <w:pPr>
              <w:spacing w:after="0"/>
              <w:rPr>
                <w:sz w:val="14"/>
                <w:szCs w:val="14"/>
                <w:color w:val="auto"/>
              </w:rPr>
            </w:pPr>
          </w:p>
        </w:tc>
        <w:tc>
          <w:tcPr>
            <w:tcW w:w="7320" w:type="dxa"/>
            <w:vAlign w:val="bottom"/>
            <w:gridSpan w:val="19"/>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58"/>
        </w:trPr>
        <w:tc>
          <w:tcPr>
            <w:tcW w:w="7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EE"/>
                <w:w w:val="97"/>
              </w:rPr>
              <w:t>Signatures</w:t>
            </w:r>
          </w:p>
        </w:tc>
        <w:tc>
          <w:tcPr>
            <w:tcW w:w="420" w:type="dxa"/>
            <w:vAlign w:val="bottom"/>
            <w:gridSpan w:val="2"/>
          </w:tcPr>
          <w:p>
            <w:pPr>
              <w:spacing w:after="0"/>
              <w:rPr>
                <w:sz w:val="5"/>
                <w:szCs w:val="5"/>
                <w:color w:val="auto"/>
              </w:rPr>
            </w:pPr>
          </w:p>
        </w:tc>
        <w:tc>
          <w:tcPr>
            <w:tcW w:w="7320" w:type="dxa"/>
            <w:vAlign w:val="bottom"/>
            <w:gridSpan w:val="19"/>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720" w:type="dxa"/>
            <w:vAlign w:val="bottom"/>
            <w:tcBorders>
              <w:bottom w:val="single" w:sz="8" w:color="0000EE"/>
            </w:tcBorders>
            <w:gridSpan w:val="4"/>
            <w:vMerge w:val="continue"/>
          </w:tcPr>
          <w:p>
            <w:pPr>
              <w:spacing w:after="0"/>
              <w:rPr>
                <w:sz w:val="14"/>
                <w:szCs w:val="14"/>
                <w:color w:val="auto"/>
              </w:rPr>
            </w:pPr>
          </w:p>
        </w:tc>
        <w:tc>
          <w:tcPr>
            <w:tcW w:w="7740" w:type="dxa"/>
            <w:vAlign w:val="bottom"/>
            <w:gridSpan w:val="21"/>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58"/>
        </w:trPr>
        <w:tc>
          <w:tcPr>
            <w:tcW w:w="720" w:type="dxa"/>
            <w:vAlign w:val="bottom"/>
            <w:gridSpan w:val="4"/>
          </w:tcPr>
          <w:p>
            <w:pPr>
              <w:spacing w:after="0"/>
              <w:rPr>
                <w:sz w:val="5"/>
                <w:szCs w:val="5"/>
                <w:color w:val="auto"/>
              </w:rPr>
            </w:pPr>
          </w:p>
        </w:tc>
        <w:tc>
          <w:tcPr>
            <w:tcW w:w="7740" w:type="dxa"/>
            <w:vAlign w:val="bottom"/>
            <w:gridSpan w:val="2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12" w:lineRule="exact"/>
        <w:rPr>
          <w:sz w:val="20"/>
          <w:szCs w:val="20"/>
          <w:color w:val="auto"/>
        </w:rPr>
      </w:pPr>
    </w:p>
    <w:p>
      <w:pPr>
        <w:jc w:val="center"/>
        <w:ind w:left="1580" w:right="1740"/>
        <w:spacing w:after="0" w:line="385" w:lineRule="auto"/>
        <w:rPr>
          <w:sz w:val="20"/>
          <w:szCs w:val="20"/>
          <w:color w:val="auto"/>
        </w:rPr>
      </w:pPr>
      <w:r>
        <w:rPr>
          <w:rFonts w:ascii="Times New Roman" w:cs="Times New Roman" w:eastAsia="Times New Roman" w:hAnsi="Times New Roman"/>
          <w:sz w:val="17"/>
          <w:szCs w:val="17"/>
          <w:b w:val="1"/>
          <w:bCs w:val="1"/>
          <w:color w:val="auto"/>
        </w:rPr>
        <w:t>EL POLLO LOCO HOLDINGS, INC. CONDENSED CONSOLIDATED BALANCE SHEETS (UNAUDITED) (Amounts in thousands, except share data)</w:t>
      </w:r>
    </w:p>
    <w:tbl>
      <w:tblPr>
        <w:tblLayout w:type="fixed"/>
        <w:tblInd w:w="40" w:type="dxa"/>
        <w:tblCellMar>
          <w:top w:w="0" w:type="dxa"/>
          <w:left w:w="0" w:type="dxa"/>
          <w:bottom w:w="0" w:type="dxa"/>
          <w:right w:w="0" w:type="dxa"/>
        </w:tblCellMar>
      </w:tblPr>
      <w:tr>
        <w:trPr>
          <w:trHeight w:val="143"/>
        </w:trPr>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64"/>
              <w:spacing w:after="0" w:line="143" w:lineRule="exact"/>
              <w:rPr>
                <w:sz w:val="20"/>
                <w:szCs w:val="20"/>
                <w:color w:val="auto"/>
              </w:rPr>
            </w:pPr>
            <w:r>
              <w:rPr>
                <w:rFonts w:ascii="Times New Roman" w:cs="Times New Roman" w:eastAsia="Times New Roman" w:hAnsi="Times New Roman"/>
                <w:sz w:val="14"/>
                <w:szCs w:val="14"/>
                <w:b w:val="1"/>
                <w:bCs w:val="1"/>
                <w:color w:val="auto"/>
                <w:w w:val="98"/>
              </w:rPr>
              <w:t>September 28,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84"/>
              <w:spacing w:after="0" w:line="143"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65"/>
        </w:trPr>
        <w:tc>
          <w:tcPr>
            <w:tcW w:w="6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5"/>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19,275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30,046</w:t>
            </w: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Accounts and other receivables, net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14,946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13,407</w:t>
            </w: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Inventories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2,318</w:t>
            </w: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3,732</w:t>
            </w: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receivable</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6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39,977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49,503</w:t>
            </w: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78,107</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75,668</w:t>
            </w: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held under finance lease, net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1,635</w:t>
            </w: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held under operating leases, net ("ROU asset")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167,985</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171,981</w:t>
            </w: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248,674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248,674</w:t>
            </w: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Trademarks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61,888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61,888</w:t>
            </w: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2,245</w:t>
            </w: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2,920</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2,192</w:t>
            </w:r>
          </w:p>
        </w:tc>
      </w:tr>
      <w:tr>
        <w:trPr>
          <w:trHeight w:val="225"/>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602,369</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613,786</w:t>
            </w:r>
          </w:p>
        </w:tc>
      </w:tr>
      <w:tr>
        <w:trPr>
          <w:trHeight w:val="170"/>
        </w:trPr>
        <w:tc>
          <w:tcPr>
            <w:tcW w:w="62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portion of obligations under finance leases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Current portion of obligations under operating leases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20,063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19,959</w:t>
            </w: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12,486</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10,626</w:t>
            </w: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Accrued salaries and vacation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6,975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11,539</w:t>
            </w: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insurance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11,286</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11,193</w:t>
            </w: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Accrued income taxes payable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889</w:t>
            </w: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portion of income tax receivable agreement payable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w:t>
            </w:r>
          </w:p>
        </w:tc>
      </w:tr>
      <w:tr>
        <w:trPr>
          <w:trHeight w:val="192"/>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accrued expenses and current liabilities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18,930</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19,796</w:t>
            </w:r>
          </w:p>
        </w:tc>
      </w:tr>
      <w:tr>
        <w:trPr>
          <w:trHeight w:val="185"/>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70,266</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74,582</w:t>
            </w: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Revolver loan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40,000</w:t>
            </w: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Obligations under finance leases, net of current portion</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1,653</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1,712</w:t>
            </w: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Obligations under operating leases, net of current portion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167,562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171,651</w:t>
            </w: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5,464</w:t>
            </w: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Income tax receivable agreement payable, net of current portion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1,101</w:t>
            </w: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5,862</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8,653</w:t>
            </w:r>
          </w:p>
        </w:tc>
      </w:tr>
      <w:tr>
        <w:trPr>
          <w:trHeight w:val="185"/>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272,858</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303,163</w:t>
            </w:r>
          </w:p>
        </w:tc>
      </w:tr>
      <w:tr>
        <w:trPr>
          <w:trHeight w:val="185"/>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 (Note 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stock, $0.01 par value, 100,000,000 shares authorized; none issued or outstanding</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$0.01 par value, 200,000,000 shares authorized; 37,053,405 and 36,601,648 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9"/>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issued and outstanding as September 28, 2022 and December 29, 2021, respectively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w:t>
            </w:r>
          </w:p>
        </w:tc>
      </w:tr>
      <w:tr>
        <w:trPr>
          <w:trHeight w:val="19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paid-in-capital</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347,079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342,941</w:t>
            </w:r>
          </w:p>
        </w:tc>
      </w:tr>
      <w:tr>
        <w:trPr>
          <w:trHeight w:val="192"/>
        </w:trPr>
        <w:tc>
          <w:tcPr>
            <w:tcW w:w="6240" w:type="dxa"/>
            <w:vAlign w:val="bottom"/>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(18,128)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(32,393)</w:t>
            </w:r>
          </w:p>
        </w:tc>
      </w:tr>
      <w:tr>
        <w:trPr>
          <w:trHeight w:val="19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w:t>
            </w:r>
          </w:p>
        </w:tc>
      </w:tr>
      <w:tr>
        <w:trPr>
          <w:trHeight w:val="185"/>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329,511</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310,623</w:t>
            </w:r>
          </w:p>
        </w:tc>
      </w:tr>
      <w:tr>
        <w:trPr>
          <w:trHeight w:val="185"/>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602,369</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613,786</w:t>
            </w:r>
          </w:p>
        </w:tc>
      </w:tr>
      <w:tr>
        <w:trPr>
          <w:trHeight w:val="20"/>
        </w:trPr>
        <w:tc>
          <w:tcPr>
            <w:tcW w:w="6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 POLLO LOCO HOLDINGS, INC.</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 (UNAUDITED)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35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60" w:type="dxa"/>
            <w:vAlign w:val="bottom"/>
            <w:tcBorders>
              <w:top w:val="single" w:sz="8" w:color="auto"/>
              <w:bottom w:val="single" w:sz="8" w:color="CCEEFF"/>
            </w:tcBorders>
          </w:tcPr>
          <w:p>
            <w:pPr>
              <w:spacing w:after="0"/>
              <w:rPr>
                <w:sz w:val="11"/>
                <w:szCs w:val="11"/>
                <w:color w:val="auto"/>
              </w:rPr>
            </w:pPr>
          </w:p>
        </w:tc>
        <w:tc>
          <w:tcPr>
            <w:tcW w:w="120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7"/>
              </w:rPr>
              <w:t>September 29, 2021</w:t>
            </w:r>
          </w:p>
        </w:tc>
        <w:tc>
          <w:tcPr>
            <w:tcW w:w="140" w:type="dxa"/>
            <w:vAlign w:val="bottom"/>
            <w:tcBorders>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60" w:type="dxa"/>
            <w:vAlign w:val="bottom"/>
            <w:tcBorders>
              <w:top w:val="single" w:sz="8" w:color="auto"/>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Company-operated restaurant revenue</w:t>
            </w:r>
          </w:p>
        </w:tc>
        <w:tc>
          <w:tcPr>
            <w:tcW w:w="32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103,174</w:t>
            </w:r>
          </w:p>
        </w:tc>
        <w:tc>
          <w:tcPr>
            <w:tcW w:w="30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99,986</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303,585</w:t>
            </w:r>
          </w:p>
        </w:tc>
        <w:tc>
          <w:tcPr>
            <w:tcW w:w="32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301,117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Franchise revenue</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28,862</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Franchise advertising fee revenue</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7,161</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6,796</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21,590</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19,370</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119,878</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115,700</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354,037</w:t>
            </w: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345,406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Cost of operations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Food and paper cost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30,163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26,698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89,586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78,971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Labor and related expenses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33,279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27,802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98,966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90,060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Occupancy and other operating expenses</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26,920</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25,108</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76,597</w:t>
            </w: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74,288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Company restaurant expenses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90,362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79,608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265,149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243,319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9,855</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29,488</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Franchise expenses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27,315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10,745</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Loss on disposal of assets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disposition of restaurants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Impairment and closed-store reserves</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113,014</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101,455</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333,424</w:t>
            </w: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312,489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20,613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Income tax receivable agreement income</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before provision for income taxes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6,785</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20,001</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1,776</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3,654</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5,736</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5,009</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10,161</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14,265</w:t>
            </w: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22,943</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income per share</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3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4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30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32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Weighted-average shares used in computing net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per share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36,402,899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36,067,754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36,329,938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35,930,246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36,507,050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36,525,424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36,491,624</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36,457,110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 POLLO LOCO HOLDINGS, INC.</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(UNAUDITED)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33"/>
        </w:trPr>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140" w:type="dxa"/>
            <w:vAlign w:val="bottom"/>
          </w:tcPr>
          <w:p>
            <w:pPr>
              <w:spacing w:after="0"/>
              <w:rPr>
                <w:sz w:val="11"/>
                <w:szCs w:val="11"/>
                <w:color w:val="auto"/>
              </w:rPr>
            </w:pPr>
          </w:p>
        </w:tc>
        <w:tc>
          <w:tcPr>
            <w:tcW w:w="12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140" w:type="dxa"/>
            <w:vAlign w:val="bottom"/>
          </w:tcPr>
          <w:p>
            <w:pPr>
              <w:spacing w:after="0"/>
              <w:rPr>
                <w:sz w:val="11"/>
                <w:szCs w:val="11"/>
                <w:color w:val="auto"/>
              </w:rPr>
            </w:pPr>
          </w:p>
        </w:tc>
        <w:tc>
          <w:tcPr>
            <w:tcW w:w="138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20" w:type="dxa"/>
            <w:vAlign w:val="bottom"/>
          </w:tcPr>
          <w:p>
            <w:pPr>
              <w:spacing w:after="0"/>
              <w:rPr>
                <w:sz w:val="11"/>
                <w:szCs w:val="11"/>
                <w:color w:val="auto"/>
              </w:rPr>
            </w:pPr>
          </w:p>
        </w:tc>
        <w:tc>
          <w:tcPr>
            <w:tcW w:w="12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7"/>
              </w:rPr>
              <w:t>September 29, 2021</w:t>
            </w:r>
          </w:p>
        </w:tc>
        <w:tc>
          <w:tcPr>
            <w:tcW w:w="140" w:type="dxa"/>
            <w:vAlign w:val="bottom"/>
          </w:tcPr>
          <w:p>
            <w:pPr>
              <w:spacing w:after="0"/>
              <w:rPr>
                <w:sz w:val="11"/>
                <w:szCs w:val="11"/>
                <w:color w:val="auto"/>
              </w:rPr>
            </w:pPr>
          </w:p>
        </w:tc>
      </w:tr>
      <w:tr>
        <w:trPr>
          <w:trHeight w:val="197"/>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5,009</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10,161</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14,265</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22,943</w:t>
            </w:r>
          </w:p>
        </w:tc>
        <w:tc>
          <w:tcPr>
            <w:tcW w:w="140" w:type="dxa"/>
            <w:vAlign w:val="bottom"/>
            <w:tcBorders>
              <w:top w:val="single" w:sz="8" w:color="CCEEFF"/>
            </w:tcBorders>
            <w:shd w:val="clear" w:color="auto" w:fill="CCEEFF"/>
          </w:tcPr>
          <w:p>
            <w:pPr>
              <w:spacing w:after="0"/>
              <w:rPr>
                <w:sz w:val="17"/>
                <w:szCs w:val="17"/>
                <w:color w:val="auto"/>
              </w:rPr>
            </w:pP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Changes in derivative instruments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88"/>
        </w:trPr>
        <w:tc>
          <w:tcPr>
            <w:tcW w:w="3380" w:type="dxa"/>
            <w:vAlign w:val="bottom"/>
          </w:tcPr>
          <w:p>
            <w:pPr>
              <w:ind w:left="220"/>
              <w:spacing w:after="0" w:line="189" w:lineRule="exact"/>
              <w:rPr>
                <w:sz w:val="20"/>
                <w:szCs w:val="20"/>
                <w:color w:val="auto"/>
              </w:rPr>
            </w:pPr>
            <w:r>
              <w:rPr>
                <w:rFonts w:ascii="Times New Roman" w:cs="Times New Roman" w:eastAsia="Times New Roman" w:hAnsi="Times New Roman"/>
                <w:sz w:val="17"/>
                <w:szCs w:val="17"/>
                <w:color w:val="auto"/>
              </w:rPr>
              <w:t>Unrealized net gains (losses) arising during</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1"/>
        </w:trPr>
        <w:tc>
          <w:tcPr>
            <w:tcW w:w="3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period from interest rate swap</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40" w:type="dxa"/>
            <w:vAlign w:val="bottom"/>
          </w:tcPr>
          <w:p>
            <w:pPr>
              <w:spacing w:after="0"/>
              <w:rPr>
                <w:sz w:val="19"/>
                <w:szCs w:val="19"/>
                <w:color w:val="auto"/>
              </w:rPr>
            </w:pPr>
          </w:p>
        </w:tc>
      </w:tr>
      <w:tr>
        <w:trPr>
          <w:trHeight w:val="188"/>
        </w:trPr>
        <w:tc>
          <w:tcPr>
            <w:tcW w:w="338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7"/>
                <w:szCs w:val="17"/>
                <w:color w:val="auto"/>
              </w:rPr>
              <w:t>Reclassifications of (gains) losses into net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21"/>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40" w:type="dxa"/>
            <w:vAlign w:val="bottom"/>
            <w:shd w:val="clear" w:color="auto" w:fill="CCEEFF"/>
          </w:tcPr>
          <w:p>
            <w:pPr>
              <w:spacing w:after="0"/>
              <w:rPr>
                <w:sz w:val="19"/>
                <w:szCs w:val="19"/>
                <w:color w:val="auto"/>
              </w:rPr>
            </w:pPr>
          </w:p>
        </w:tc>
      </w:tr>
      <w:tr>
        <w:trPr>
          <w:trHeight w:val="205"/>
        </w:trPr>
        <w:tc>
          <w:tcPr>
            <w:tcW w:w="3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40" w:type="dxa"/>
            <w:vAlign w:val="bottom"/>
            <w:tcBorders>
              <w:bottom w:val="single" w:sz="8" w:color="CCEEFF"/>
            </w:tcBorders>
          </w:tcPr>
          <w:p>
            <w:pPr>
              <w:spacing w:after="0"/>
              <w:rPr>
                <w:sz w:val="17"/>
                <w:szCs w:val="17"/>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 income, net of taxes</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40" w:type="dxa"/>
            <w:vAlign w:val="bottom"/>
            <w:shd w:val="clear" w:color="auto" w:fill="CCEEFF"/>
          </w:tcPr>
          <w:p>
            <w:pPr>
              <w:spacing w:after="0"/>
              <w:rPr>
                <w:sz w:val="17"/>
                <w:szCs w:val="17"/>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4,683</w:t>
            </w:r>
          </w:p>
        </w:tc>
        <w:tc>
          <w:tcPr>
            <w:tcW w:w="140" w:type="dxa"/>
            <w:vAlign w:val="bottom"/>
          </w:tcPr>
          <w:p>
            <w:pPr>
              <w:spacing w:after="0"/>
              <w:rPr>
                <w:sz w:val="17"/>
                <w:szCs w:val="17"/>
                <w:color w:val="auto"/>
              </w:rPr>
            </w:pPr>
          </w:p>
        </w:tc>
        <w:tc>
          <w:tcPr>
            <w:tcW w:w="6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10,235</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14,745</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23,243</w:t>
            </w:r>
          </w:p>
        </w:tc>
        <w:tc>
          <w:tcPr>
            <w:tcW w:w="140" w:type="dxa"/>
            <w:vAlign w:val="bottom"/>
          </w:tcPr>
          <w:p>
            <w:pPr>
              <w:spacing w:after="0"/>
              <w:rPr>
                <w:sz w:val="17"/>
                <w:szCs w:val="17"/>
                <w:color w:val="auto"/>
              </w:rPr>
            </w:pPr>
          </w:p>
        </w:tc>
      </w:tr>
      <w:tr>
        <w:trPr>
          <w:trHeight w:val="20"/>
        </w:trPr>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 POLLO LOCO HOLDINGS, INC.</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(UNAUDITED)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3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11"/>
          </w:tcPr>
          <w:p>
            <w:pPr>
              <w:ind w:left="500"/>
              <w:spacing w:after="0"/>
              <w:rPr>
                <w:sz w:val="20"/>
                <w:szCs w:val="20"/>
                <w:color w:val="auto"/>
              </w:rPr>
            </w:pPr>
            <w:r>
              <w:rPr>
                <w:rFonts w:ascii="Times New Roman" w:cs="Times New Roman" w:eastAsia="Times New Roman" w:hAnsi="Times New Roman"/>
                <w:sz w:val="14"/>
                <w:szCs w:val="14"/>
                <w:b w:val="1"/>
                <w:bCs w:val="1"/>
                <w:color w:val="auto"/>
              </w:rPr>
              <w:t>Thirteen Weeks Ended September 28, 2022</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1760" w:type="dxa"/>
            <w:vAlign w:val="bottom"/>
            <w:gridSpan w:val="4"/>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100" w:type="dxa"/>
            <w:vAlign w:val="bottom"/>
          </w:tcPr>
          <w:p>
            <w:pPr>
              <w:spacing w:after="0"/>
              <w:rPr>
                <w:sz w:val="14"/>
                <w:szCs w:val="14"/>
                <w:color w:val="auto"/>
              </w:rPr>
            </w:pPr>
          </w:p>
        </w:tc>
        <w:tc>
          <w:tcPr>
            <w:tcW w:w="176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940" w:type="dxa"/>
            <w:vAlign w:val="bottom"/>
          </w:tcPr>
          <w:p>
            <w:pPr>
              <w:jc w:val="right"/>
              <w:ind w:right="198"/>
              <w:spacing w:after="0" w:line="134"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4"/>
              </w:rPr>
              <w:t>Capital</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ind w:right="57"/>
              <w:spacing w:after="0" w:line="134"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78"/>
              <w:spacing w:after="0" w:line="134"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197"/>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June 29,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37,002,513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346,095</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(23,137)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323,843</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0" w:type="dxa"/>
            <w:vAlign w:val="bottom"/>
          </w:tcPr>
          <w:p>
            <w:pPr>
              <w:spacing w:after="0"/>
              <w:rPr>
                <w:sz w:val="1"/>
                <w:szCs w:val="1"/>
                <w:color w:val="auto"/>
              </w:rPr>
            </w:pPr>
          </w:p>
        </w:tc>
      </w:tr>
      <w:tr>
        <w:trPr>
          <w:trHeight w:val="188"/>
        </w:trPr>
        <w:tc>
          <w:tcPr>
            <w:tcW w:w="3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Issuance of common stock related to</w:t>
            </w: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53,476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31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Shares repurchased for employee tax</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withholdings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5,009</w:t>
            </w:r>
          </w:p>
        </w:tc>
        <w:tc>
          <w:tcPr>
            <w:tcW w:w="0" w:type="dxa"/>
            <w:vAlign w:val="bottom"/>
          </w:tcPr>
          <w:p>
            <w:pPr>
              <w:spacing w:after="0"/>
              <w:rPr>
                <w:sz w:val="1"/>
                <w:szCs w:val="1"/>
                <w:color w:val="auto"/>
              </w:rPr>
            </w:pPr>
          </w:p>
        </w:tc>
      </w:tr>
      <w:tr>
        <w:trPr>
          <w:trHeight w:val="197"/>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September 28,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37,053,405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347,079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329,511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1"/>
          </w:tcPr>
          <w:p>
            <w:pPr>
              <w:ind w:left="500"/>
              <w:spacing w:after="0"/>
              <w:rPr>
                <w:sz w:val="20"/>
                <w:szCs w:val="20"/>
                <w:color w:val="auto"/>
              </w:rPr>
            </w:pPr>
            <w:r>
              <w:rPr>
                <w:rFonts w:ascii="Times New Roman" w:cs="Times New Roman" w:eastAsia="Times New Roman" w:hAnsi="Times New Roman"/>
                <w:sz w:val="14"/>
                <w:szCs w:val="14"/>
                <w:b w:val="1"/>
                <w:bCs w:val="1"/>
                <w:color w:val="auto"/>
              </w:rPr>
              <w:t>Thirteen Weeks Ended September 29, 2021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1760" w:type="dxa"/>
            <w:vAlign w:val="bottom"/>
            <w:gridSpan w:val="4"/>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100" w:type="dxa"/>
            <w:vAlign w:val="bottom"/>
          </w:tcPr>
          <w:p>
            <w:pPr>
              <w:spacing w:after="0"/>
              <w:rPr>
                <w:sz w:val="14"/>
                <w:szCs w:val="14"/>
                <w:color w:val="auto"/>
              </w:rPr>
            </w:pPr>
          </w:p>
        </w:tc>
        <w:tc>
          <w:tcPr>
            <w:tcW w:w="176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940" w:type="dxa"/>
            <w:vAlign w:val="bottom"/>
          </w:tcPr>
          <w:p>
            <w:pPr>
              <w:jc w:val="right"/>
              <w:ind w:right="198"/>
              <w:spacing w:after="0" w:line="134"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
              <w:spacing w:after="0" w:line="134"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4"/>
              </w:rPr>
              <w:t>Capital</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ind w:right="57"/>
              <w:spacing w:after="0" w:line="134"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w w:val="95"/>
              </w:rPr>
              <w:t>Loss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78"/>
              <w:spacing w:after="0" w:line="134"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197"/>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June 30,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36,637,761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341,358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(48,732)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292,386</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0" w:type="dxa"/>
            <w:vAlign w:val="bottom"/>
          </w:tcPr>
          <w:p>
            <w:pPr>
              <w:spacing w:after="0"/>
              <w:rPr>
                <w:sz w:val="1"/>
                <w:szCs w:val="1"/>
                <w:color w:val="auto"/>
              </w:rPr>
            </w:pPr>
          </w:p>
        </w:tc>
      </w:tr>
      <w:tr>
        <w:trPr>
          <w:trHeight w:val="188"/>
        </w:trPr>
        <w:tc>
          <w:tcPr>
            <w:tcW w:w="3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Issuance of common stock upon exercise</w:t>
            </w: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 stock options,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41,216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188"/>
        </w:trPr>
        <w:tc>
          <w:tcPr>
            <w:tcW w:w="31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Shares repurchased for employee tax</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withholdings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188"/>
        </w:trPr>
        <w:tc>
          <w:tcPr>
            <w:tcW w:w="3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Forfeiture of common stock related to</w:t>
            </w: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10,161</w:t>
            </w:r>
          </w:p>
        </w:tc>
        <w:tc>
          <w:tcPr>
            <w:tcW w:w="0" w:type="dxa"/>
            <w:vAlign w:val="bottom"/>
          </w:tcPr>
          <w:p>
            <w:pPr>
              <w:spacing w:after="0"/>
              <w:rPr>
                <w:sz w:val="1"/>
                <w:szCs w:val="1"/>
                <w:color w:val="auto"/>
              </w:rPr>
            </w:pPr>
          </w:p>
        </w:tc>
      </w:tr>
      <w:tr>
        <w:trPr>
          <w:trHeight w:val="197"/>
        </w:trPr>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September 29, 2021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36,671,447</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342,656</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(38,571)</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303,918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30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11"/>
          </w:tcPr>
          <w:p>
            <w:pPr>
              <w:ind w:left="400"/>
              <w:spacing w:after="0"/>
              <w:rPr>
                <w:sz w:val="20"/>
                <w:szCs w:val="20"/>
                <w:color w:val="auto"/>
              </w:rPr>
            </w:pPr>
            <w:r>
              <w:rPr>
                <w:rFonts w:ascii="Times New Roman" w:cs="Times New Roman" w:eastAsia="Times New Roman" w:hAnsi="Times New Roman"/>
                <w:sz w:val="14"/>
                <w:szCs w:val="14"/>
                <w:b w:val="1"/>
                <w:bCs w:val="1"/>
                <w:color w:val="auto"/>
              </w:rPr>
              <w:t>Thirty-Nine Weeks Ended September 28, 2022</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9"/>
                <w:szCs w:val="9"/>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1"/>
        </w:trPr>
        <w:tc>
          <w:tcPr>
            <w:tcW w:w="3080" w:type="dxa"/>
            <w:vAlign w:val="bottom"/>
          </w:tcPr>
          <w:p>
            <w:pPr>
              <w:spacing w:after="0"/>
              <w:rPr>
                <w:sz w:val="12"/>
                <w:szCs w:val="12"/>
                <w:color w:val="auto"/>
              </w:rPr>
            </w:pPr>
          </w:p>
        </w:tc>
        <w:tc>
          <w:tcPr>
            <w:tcW w:w="19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960" w:type="dxa"/>
            <w:vAlign w:val="bottom"/>
            <w:gridSpan w:val="3"/>
            <w:vMerge w:val="continue"/>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1080" w:type="dxa"/>
            <w:vAlign w:val="bottom"/>
            <w:tcBorders>
              <w:top w:val="single" w:sz="8" w:color="auto"/>
            </w:tcBorders>
            <w:gridSpan w:val="2"/>
          </w:tcPr>
          <w:p>
            <w:pPr>
              <w:jc w:val="right"/>
              <w:ind w:right="420"/>
              <w:spacing w:after="0" w:line="134"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8"/>
              <w:spacing w:after="0" w:line="134"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1"/>
                <w:szCs w:val="11"/>
                <w:color w:val="auto"/>
              </w:rPr>
            </w:pPr>
          </w:p>
        </w:tc>
        <w:tc>
          <w:tcPr>
            <w:tcW w:w="80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1120" w:type="dxa"/>
            <w:vAlign w:val="bottom"/>
            <w:gridSpan w:val="3"/>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w w:val="97"/>
              </w:rPr>
              <w:t>(Loss) Income</w:t>
            </w:r>
          </w:p>
        </w:tc>
        <w:tc>
          <w:tcPr>
            <w:tcW w:w="180" w:type="dxa"/>
            <w:vAlign w:val="bottom"/>
          </w:tcPr>
          <w:p>
            <w:pPr>
              <w:spacing w:after="0"/>
              <w:rPr>
                <w:sz w:val="11"/>
                <w:szCs w:val="11"/>
                <w:color w:val="auto"/>
              </w:rPr>
            </w:pPr>
          </w:p>
        </w:tc>
        <w:tc>
          <w:tcPr>
            <w:tcW w:w="74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7"/>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December 29,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36,601,648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342,941</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(32,393)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310,623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Issuance of common stock related to</w:t>
            </w: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352,114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Issuance of common stock upon exercise</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of stock options,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Shares repurchased for employee tax</w:t>
            </w: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withholdings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(22,901)</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(243)</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Forfeiture of common stock related to</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restricted shares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(27,931)</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September 28,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37,053,405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347,079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329,511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0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740" w:type="dxa"/>
            <w:vAlign w:val="bottom"/>
            <w:tcBorders>
              <w:bottom w:val="single" w:sz="8" w:color="auto"/>
            </w:tcBorders>
            <w:gridSpan w:val="11"/>
            <w:shd w:val="clear" w:color="auto" w:fill="CCEEFF"/>
          </w:tcPr>
          <w:p>
            <w:pPr>
              <w:ind w:left="400"/>
              <w:spacing w:after="0" w:line="141" w:lineRule="exact"/>
              <w:rPr>
                <w:sz w:val="20"/>
                <w:szCs w:val="20"/>
                <w:color w:val="auto"/>
              </w:rPr>
            </w:pPr>
            <w:r>
              <w:rPr>
                <w:rFonts w:ascii="Times New Roman" w:cs="Times New Roman" w:eastAsia="Times New Roman" w:hAnsi="Times New Roman"/>
                <w:sz w:val="14"/>
                <w:szCs w:val="14"/>
                <w:b w:val="1"/>
                <w:bCs w:val="1"/>
                <w:color w:val="auto"/>
              </w:rPr>
              <w:t>Thirty-Nine Weeks Ended September 29, 2021</w:t>
            </w: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right="98"/>
              <w:spacing w:after="0" w:line="14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080" w:type="dxa"/>
            <w:vAlign w:val="bottom"/>
          </w:tcPr>
          <w:p>
            <w:pPr>
              <w:spacing w:after="0"/>
              <w:rPr>
                <w:sz w:val="12"/>
                <w:szCs w:val="12"/>
                <w:color w:val="auto"/>
              </w:rPr>
            </w:pPr>
          </w:p>
        </w:tc>
        <w:tc>
          <w:tcPr>
            <w:tcW w:w="1900" w:type="dxa"/>
            <w:vAlign w:val="bottom"/>
            <w:gridSpan w:val="5"/>
          </w:tcPr>
          <w:p>
            <w:pPr>
              <w:jc w:val="right"/>
              <w:ind w:right="560"/>
              <w:spacing w:after="0" w:line="141"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960" w:type="dxa"/>
            <w:vAlign w:val="bottom"/>
            <w:gridSpan w:val="3"/>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12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0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gridSpan w:val="2"/>
            <w:shd w:val="clear" w:color="auto" w:fill="CCEEFF"/>
          </w:tcPr>
          <w:p>
            <w:pPr>
              <w:jc w:val="right"/>
              <w:ind w:right="420"/>
              <w:spacing w:after="0" w:line="134"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18"/>
              <w:spacing w:after="0" w:line="134"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gridSpan w:val="2"/>
            <w:shd w:val="clear" w:color="auto" w:fill="CCEEFF"/>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gridSpan w:val="2"/>
            <w:shd w:val="clear" w:color="auto" w:fill="CCEEFF"/>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1120" w:type="dxa"/>
            <w:vAlign w:val="bottom"/>
            <w:tcBorders>
              <w:top w:val="single" w:sz="8" w:color="CCEEFF"/>
            </w:tcBorders>
            <w:gridSpan w:val="3"/>
            <w:shd w:val="clear" w:color="auto" w:fill="CCEEFF"/>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w w:val="97"/>
              </w:rPr>
              <w:t>(Loss) Income</w:t>
            </w:r>
          </w:p>
        </w:tc>
        <w:tc>
          <w:tcPr>
            <w:tcW w:w="1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jc w:val="center"/>
              <w:ind w:right="78"/>
              <w:spacing w:after="0" w:line="134"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December 30, 2020</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36,423,505</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339,561</w:t>
            </w: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(61,514)</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40" w:type="dxa"/>
            <w:vAlign w:val="bottom"/>
          </w:tcPr>
          <w:p>
            <w:pPr>
              <w:spacing w:after="0"/>
              <w:rPr>
                <w:sz w:val="17"/>
                <w:szCs w:val="17"/>
                <w:color w:val="auto"/>
              </w:rPr>
            </w:pP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Issuance of common stock related to</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restricted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Issuance of common stock upon exercise</w:t>
            </w: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 stock options,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132,760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Shares repurchased for employee tax</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withholdings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(40,384)</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(705)</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Forfeiture of common stock related to</w:t>
            </w: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shares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(50,532)</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September 29, 2021</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36,671,447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342,656</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(38,571)</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303,918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 POLLO LOCO HOLDINGS, INC.</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10"/>
          </w:tcPr>
          <w:p>
            <w:pPr>
              <w:ind w:left="2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578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gridSpan w:val="3"/>
          </w:tcPr>
          <w:p>
            <w:pPr>
              <w:jc w:val="right"/>
              <w:ind w:right="40"/>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4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200" w:type="dxa"/>
            <w:vAlign w:val="bottom"/>
            <w:tcBorders>
              <w:top w:val="single" w:sz="8" w:color="auto"/>
              <w:bottom w:val="single" w:sz="8" w:color="auto"/>
            </w:tcBorders>
            <w:gridSpan w:val="3"/>
          </w:tcPr>
          <w:p>
            <w:pPr>
              <w:jc w:val="right"/>
              <w:ind w:right="40"/>
              <w:spacing w:after="0" w:line="134" w:lineRule="exact"/>
              <w:rPr>
                <w:sz w:val="20"/>
                <w:szCs w:val="20"/>
                <w:color w:val="auto"/>
              </w:rPr>
            </w:pPr>
            <w:r>
              <w:rPr>
                <w:rFonts w:ascii="Times New Roman" w:cs="Times New Roman" w:eastAsia="Times New Roman" w:hAnsi="Times New Roman"/>
                <w:sz w:val="14"/>
                <w:szCs w:val="14"/>
                <w:b w:val="1"/>
                <w:bCs w:val="1"/>
                <w:color w:val="auto"/>
                <w:w w:val="97"/>
              </w:rPr>
              <w:t>September 29, 2021</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gridSpan w:val="3"/>
          </w:tcPr>
          <w:p>
            <w:pPr>
              <w:jc w:val="right"/>
              <w:ind w:right="88"/>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14,265</w:t>
            </w:r>
          </w:p>
        </w:tc>
        <w:tc>
          <w:tcPr>
            <w:tcW w:w="760" w:type="dxa"/>
            <w:vAlign w:val="bottom"/>
            <w:gridSpan w:val="5"/>
          </w:tcPr>
          <w:p>
            <w:pPr>
              <w:jc w:val="right"/>
              <w:ind w:right="532"/>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22,943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income to net cash flows provided by provided by operating</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activities: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10,745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11,540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2,806</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2,936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Income tax receivable agreement income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disposition of restaurants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1,534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Loss on disposal of assets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Impairment of property and equipment</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392</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701</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deferred financing costs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292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income taxes, net</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2,351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2,026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Accounts and other receivables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(1,539)</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Inventories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755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825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Income taxes receivable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(1,459)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3,616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assets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289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1,285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Accrued salaries and vacation</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Accrued insurance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accrued expenses and liabilities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21,907</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42,332</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disposition of restaurants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4,556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(13,022)</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(12,699)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(13,022)</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(8,143)</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Payments on revolver and swingline loan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(22,800)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Minimum tax withholdings related to net share settlements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issuance of common stock upon exercise of stock options, net of expenses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1,580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866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of obligations under finance leases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Deferred financing costs for revolver loan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(869)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flows used in financing activities</w:t>
            </w: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(19,656)</w:t>
            </w: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(22,739)</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Increase (decrease) in cash and cash equivalents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(10,771)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11,450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Cash and cash equivalents, </w:t>
            </w:r>
            <w:r>
              <w:rPr>
                <w:rFonts w:ascii="Times New Roman" w:cs="Times New Roman" w:eastAsia="Times New Roman" w:hAnsi="Times New Roman"/>
                <w:sz w:val="15"/>
                <w:szCs w:val="15"/>
                <w:color w:val="auto"/>
              </w:rPr>
              <w:t>beginning of period</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30,046</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13,219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xml:space="preserve">Cash and cash equivalents, </w:t>
            </w:r>
            <w:r>
              <w:rPr>
                <w:rFonts w:ascii="Times New Roman" w:cs="Times New Roman" w:eastAsia="Times New Roman" w:hAnsi="Times New Roman"/>
                <w:sz w:val="15"/>
                <w:szCs w:val="15"/>
                <w:color w:val="auto"/>
              </w:rPr>
              <w:t>end of period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19,275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24,669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4"/>
          </w:tcPr>
          <w:p>
            <w:pPr>
              <w:jc w:val="right"/>
              <w:ind w:right="18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Cash paid during the period for interest</w:t>
            </w:r>
          </w:p>
        </w:tc>
        <w:tc>
          <w:tcPr>
            <w:tcW w:w="28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819</w:t>
            </w:r>
          </w:p>
        </w:tc>
        <w:tc>
          <w:tcPr>
            <w:tcW w:w="140" w:type="dxa"/>
            <w:vAlign w:val="bottom"/>
          </w:tcPr>
          <w:p>
            <w:pPr>
              <w:spacing w:after="0"/>
              <w:rPr>
                <w:sz w:val="20"/>
                <w:szCs w:val="20"/>
                <w:color w:val="auto"/>
              </w:rPr>
            </w:pPr>
          </w:p>
        </w:tc>
        <w:tc>
          <w:tcPr>
            <w:tcW w:w="760" w:type="dxa"/>
            <w:vAlign w:val="bottom"/>
            <w:gridSpan w:val="5"/>
          </w:tcPr>
          <w:p>
            <w:pPr>
              <w:jc w:val="right"/>
              <w:ind w:right="592"/>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7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Cash paid during the period for income taxes</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
              <w:spacing w:after="0" w:line="170"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5"/>
                <w:szCs w:val="15"/>
                <w:color w:val="auto"/>
              </w:rPr>
              <w:t>5,100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700" w:type="dxa"/>
            <w:vAlign w:val="bottom"/>
            <w:tcBorders>
              <w:top w:val="single" w:sz="8" w:color="auto"/>
              <w:bottom w:val="single" w:sz="8" w:color="auto"/>
            </w:tcBorders>
            <w:gridSpan w:val="3"/>
            <w:shd w:val="clear" w:color="auto" w:fill="CCEEFF"/>
          </w:tcPr>
          <w:p>
            <w:pPr>
              <w:jc w:val="right"/>
              <w:ind w:right="59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5"/>
                <w:szCs w:val="15"/>
                <w:color w:val="auto"/>
              </w:rPr>
              <w:t>4,088</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Unpaid purchases of property and equipment</w:t>
            </w: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jc w:val="right"/>
              <w:ind w:right="5"/>
              <w:spacing w:after="0" w:line="170"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5"/>
                <w:szCs w:val="15"/>
                <w:color w:val="auto"/>
              </w:rPr>
              <w:t>3,030</w:t>
            </w:r>
          </w:p>
        </w:tc>
        <w:tc>
          <w:tcPr>
            <w:tcW w:w="1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700" w:type="dxa"/>
            <w:vAlign w:val="bottom"/>
            <w:tcBorders>
              <w:top w:val="single" w:sz="8" w:color="auto"/>
            </w:tcBorders>
            <w:gridSpan w:val="3"/>
          </w:tcPr>
          <w:p>
            <w:pPr>
              <w:jc w:val="right"/>
              <w:ind w:right="59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5"/>
                <w:szCs w:val="15"/>
                <w:color w:val="auto"/>
              </w:rPr>
              <w:t>2,259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 POLLO LOCO HOLDINGS,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14" w:lineRule="exact"/>
        <w:rPr>
          <w:sz w:val="20"/>
          <w:szCs w:val="20"/>
          <w:color w:val="auto"/>
        </w:rPr>
      </w:pPr>
    </w:p>
    <w:p>
      <w:pPr>
        <w:ind w:left="40" w:right="1759" w:firstLine="6"/>
        <w:spacing w:after="0" w:line="504" w:lineRule="auto"/>
        <w:tabs>
          <w:tab w:leader="none" w:pos="21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AND SUMMARY OF SIGNIFICANT ACCOUNTING POLICIES Overview</w:t>
      </w:r>
    </w:p>
    <w:p>
      <w:pPr>
        <w:spacing w:after="0" w:line="2" w:lineRule="exact"/>
        <w:rPr>
          <w:sz w:val="20"/>
          <w:szCs w:val="20"/>
          <w:color w:val="auto"/>
        </w:rPr>
      </w:pPr>
    </w:p>
    <w:p>
      <w:pPr>
        <w:ind w:left="40" w:right="259"/>
        <w:spacing w:after="0" w:line="259" w:lineRule="auto"/>
        <w:rPr>
          <w:sz w:val="20"/>
          <w:szCs w:val="20"/>
          <w:color w:val="auto"/>
        </w:rPr>
      </w:pPr>
      <w:r>
        <w:rPr>
          <w:rFonts w:ascii="Times New Roman" w:cs="Times New Roman" w:eastAsia="Times New Roman" w:hAnsi="Times New Roman"/>
          <w:sz w:val="17"/>
          <w:szCs w:val="17"/>
          <w:color w:val="auto"/>
        </w:rPr>
        <w:t>El Pollo Loco Holdings, Inc. (“Holdings”) is a Delaware corporation headquartered in Costa Mesa, California. Holdings and its direct and indirect subsidiaries are collectively referred to herein as the “Company.” The Company’s activities are conducted principally through its indirect wholly-owned subsidiary, El Pollo Loco, Inc. (“EPL”), which develops, franchises, licenses, and operates quick-service restaurants under the name El Pollo Loco® and operates under one operating segment. At September 28, 2022, the Company operated 190 and franchised 297 El Pollo Loco restaurants.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18"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condensed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29, 2021.</w:t>
      </w:r>
    </w:p>
    <w:p>
      <w:pPr>
        <w:spacing w:after="0" w:line="177"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7"/>
          <w:szCs w:val="17"/>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2022 and 2021 are both 52-week years, ending on December 28, 2022 and December 29, 2021, respectively. Revenues, expenses, and other financial and operational figures may be elevated in a 53-week year.</w:t>
      </w:r>
    </w:p>
    <w:p>
      <w:pPr>
        <w:spacing w:after="0" w:line="173"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7"/>
          <w:szCs w:val="17"/>
          <w:color w:val="auto"/>
        </w:rPr>
        <w:t>Holdings has no material assets or operations. Holdings and Holdings’ direct subsidiary, EPL Intermediate, Inc. (“Intermediate”), guarantee EPL’s 2022 Revolver (as defined below) on a full and unconditional basis (see Note 4, “Long-Term Debt”), and Intermediate has no subsidiaries other than EPL. EPL is a separate and distinct legal entity and has no obligation to make funds available to Intermediate. EPL and Intermediate may pay dividends to Intermediate and to Holdings, respectively, subject to the terms of the 2022 Revolver.</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218" w:lineRule="exact"/>
        <w:rPr>
          <w:sz w:val="20"/>
          <w:szCs w:val="20"/>
          <w:color w:val="auto"/>
        </w:rPr>
      </w:pPr>
    </w:p>
    <w:p>
      <w:pPr>
        <w:ind w:left="40" w:right="819"/>
        <w:spacing w:after="0" w:line="283"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of Holdings and its wholly owned subsidiaries. All intercompany balances and transactions have been eliminated in consolidation.</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18" w:lineRule="exact"/>
        <w:rPr>
          <w:sz w:val="20"/>
          <w:szCs w:val="20"/>
          <w:color w:val="auto"/>
        </w:rPr>
      </w:pPr>
    </w:p>
    <w:p>
      <w:pPr>
        <w:ind w:left="40" w:right="99"/>
        <w:spacing w:after="0" w:line="257"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stock-based compensation, income tax receivable agreement liability, contingent liabilities and income tax valuation allowances.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COVID-19</w:t>
      </w:r>
    </w:p>
    <w:p>
      <w:pPr>
        <w:spacing w:after="0" w:line="218"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The Company may face future business disruption and related risks resulting from the ongoing COVID-19 pandemic or from another pandemic, epidemic or infectious disease outbreak, or from broader macroeconomic trends, any of which could have a significant impact on our business. During both thirteen weeks ended September 28, 2022 and September 29, 2021, respectively, the Company incurred $0.5 million in COVID-19 related expenses, primarily due to leaves of absence. During the thirty-nine weeks ended September 28, 2022 and September 29, 2021, respectively, the Company incurred $3.1 million and $3.5 million, in COVID-19 related expenses, primarily due to leaves of absence and overtime pay. While all of the Company’s restaurants had dining rooms open as of September 28, 2022, the Company continues to experience staffing challenges, including higher wage inflation, overtime costs and other labor related costs. Further, the Company continues to experience inflationary pressures, which resulted in increased commodity prices and impacted the Company’s business and results of operations during the thirteen</w:t>
      </w:r>
    </w:p>
    <w:p>
      <w:pPr>
        <w:spacing w:after="0" w:line="5"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7"/>
          <w:szCs w:val="17"/>
          <w:color w:val="auto"/>
        </w:rPr>
        <w:t>and thirty-nine weeks ended September 28, 2022. The Company expects these pressures to continue during the remainder of fiscal 2022.</w:t>
      </w:r>
    </w:p>
    <w:p>
      <w:pPr>
        <w:spacing w:after="0" w:line="170" w:lineRule="exact"/>
        <w:rPr>
          <w:sz w:val="20"/>
          <w:szCs w:val="20"/>
          <w:color w:val="auto"/>
        </w:rPr>
      </w:pPr>
    </w:p>
    <w:p>
      <w:pPr>
        <w:ind w:left="40" w:right="139"/>
        <w:spacing w:after="0" w:line="262" w:lineRule="auto"/>
        <w:rPr>
          <w:sz w:val="20"/>
          <w:szCs w:val="20"/>
          <w:color w:val="auto"/>
        </w:rPr>
      </w:pPr>
      <w:r>
        <w:rPr>
          <w:rFonts w:ascii="Times New Roman" w:cs="Times New Roman" w:eastAsia="Times New Roman" w:hAnsi="Times New Roman"/>
          <w:sz w:val="17"/>
          <w:szCs w:val="17"/>
          <w:color w:val="auto"/>
        </w:rPr>
        <w:t>Due to the rapid development and fluidity of this situation, the Company cannot determine the ultimate direct and indirect impact that the COVID-19 pandemic and related economic effects will have on the Company’s condensed consolidated financial condition, liquidity, and future results of operations, and therefore any prediction as to the ultimate materiality of the adverse impact on the Company’s condensed consolidated financial condition, liquidity, and future results of operations is uncertain.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18" w:lineRule="exact"/>
        <w:rPr>
          <w:sz w:val="20"/>
          <w:szCs w:val="20"/>
          <w:color w:val="auto"/>
        </w:rPr>
      </w:pPr>
    </w:p>
    <w:p>
      <w:pPr>
        <w:ind w:left="40" w:right="179"/>
        <w:spacing w:after="0" w:line="283" w:lineRule="auto"/>
        <w:rPr>
          <w:sz w:val="20"/>
          <w:szCs w:val="20"/>
          <w:color w:val="auto"/>
        </w:rPr>
      </w:pPr>
      <w:r>
        <w:rPr>
          <w:rFonts w:ascii="Times New Roman" w:cs="Times New Roman" w:eastAsia="Times New Roman" w:hAnsi="Times New Roman"/>
          <w:sz w:val="17"/>
          <w:szCs w:val="17"/>
          <w:color w:val="auto"/>
        </w:rPr>
        <w:t>The Company considers all liquid instruments with an original maturity of three months or less at the date of purchase to be cash equivalents.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Liquidity</w:t>
      </w:r>
    </w:p>
    <w:p>
      <w:pPr>
        <w:spacing w:after="0" w:line="218"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7"/>
          <w:szCs w:val="17"/>
          <w:color w:val="auto"/>
        </w:rPr>
        <w:t>The Company’s principal liquidity and capital requirements are new restaurants, existing restaurant capital investments (remodels and maintenance), interest payments on its debt, lease obligations and working capital and general corporate needs. At September 28, 2022, the Company’s total debt was $20.0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and available cash of $19.3 million at September 28, 2022 will be adequate to meet the Company’s liquidity needs for the next twelve months from the date of filing of these condensed consolidated financial statements.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Recently Adopted Accounting Pronouncements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None.</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Subsequent Events</w:t>
      </w:r>
    </w:p>
    <w:p>
      <w:pPr>
        <w:spacing w:after="0" w:line="218" w:lineRule="exact"/>
        <w:rPr>
          <w:sz w:val="20"/>
          <w:szCs w:val="20"/>
          <w:color w:val="auto"/>
        </w:rPr>
      </w:pPr>
    </w:p>
    <w:p>
      <w:pPr>
        <w:ind w:left="40" w:right="159"/>
        <w:spacing w:after="0" w:line="262" w:lineRule="auto"/>
        <w:rPr>
          <w:sz w:val="20"/>
          <w:szCs w:val="20"/>
          <w:color w:val="auto"/>
        </w:rPr>
      </w:pPr>
      <w:r>
        <w:rPr>
          <w:rFonts w:ascii="Times New Roman" w:cs="Times New Roman" w:eastAsia="Times New Roman" w:hAnsi="Times New Roman"/>
          <w:sz w:val="17"/>
          <w:szCs w:val="17"/>
          <w:color w:val="auto"/>
        </w:rPr>
        <w:t>On October 11, 2022, the Company announced that its Board of Directors declared a special dividend of $1.50 per share on the common stock, par value $0.01 per share, of the Company (the “Common Stock”). The special dividend is payable on November 9, 2022, to stockholders of record, including holders of restricted stock and restricted stock units, at the close of business on October 24, 2022.</w:t>
      </w:r>
    </w:p>
    <w:p>
      <w:pPr>
        <w:spacing w:after="0" w:line="170"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7"/>
          <w:szCs w:val="17"/>
          <w:color w:val="auto"/>
        </w:rPr>
        <w:t>In addition, on October 11, 2022, the Company announced that its Board of Directors approved a share repurchase program under which the Company is authorized to repurchase up to $20.0 million of shares of the Company’s Common Stock. The repurchase program will terminate on March 28, 2024, may be modified, suspended or discontinued at any time, and does not obligate the Company to acquire any particular number of shares.</w:t>
      </w:r>
    </w:p>
    <w:p>
      <w:pPr>
        <w:spacing w:after="0" w:line="170" w:lineRule="exact"/>
        <w:rPr>
          <w:sz w:val="20"/>
          <w:szCs w:val="20"/>
          <w:color w:val="auto"/>
        </w:rPr>
      </w:pPr>
    </w:p>
    <w:p>
      <w:pPr>
        <w:ind w:left="40" w:right="319"/>
        <w:spacing w:after="0" w:line="267" w:lineRule="auto"/>
        <w:rPr>
          <w:sz w:val="20"/>
          <w:szCs w:val="20"/>
          <w:color w:val="auto"/>
        </w:rPr>
      </w:pPr>
      <w:r>
        <w:rPr>
          <w:rFonts w:ascii="Times New Roman" w:cs="Times New Roman" w:eastAsia="Times New Roman" w:hAnsi="Times New Roman"/>
          <w:sz w:val="17"/>
          <w:szCs w:val="17"/>
          <w:color w:val="auto"/>
        </w:rPr>
        <w:t>Lastly, on November 3, 2022, the Company borrowed $46.0 million on its 2022 Revolver and outstanding borrowings as of November 3, 2022 were $66.0 million. After payment of the special dividend, the Company is expected to have approximately $10.0 million in cash on hand.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Concentration of Risk</w:t>
      </w:r>
    </w:p>
    <w:p>
      <w:pPr>
        <w:spacing w:after="0" w:line="218" w:lineRule="exact"/>
        <w:rPr>
          <w:sz w:val="20"/>
          <w:szCs w:val="20"/>
          <w:color w:val="auto"/>
        </w:rPr>
      </w:pPr>
    </w:p>
    <w:p>
      <w:pPr>
        <w:ind w:left="40" w:right="499"/>
        <w:spacing w:after="0" w:line="283" w:lineRule="auto"/>
        <w:rPr>
          <w:sz w:val="20"/>
          <w:szCs w:val="20"/>
          <w:color w:val="auto"/>
        </w:rPr>
      </w:pPr>
      <w:r>
        <w:rPr>
          <w:rFonts w:ascii="Times New Roman" w:cs="Times New Roman" w:eastAsia="Times New Roman" w:hAnsi="Times New Roman"/>
          <w:sz w:val="17"/>
          <w:szCs w:val="17"/>
          <w:color w:val="auto"/>
        </w:rPr>
        <w:t>Cash and cash equivalents are maintained at financial institutions and, at times, these balances may exceed federally-insured limits. The Company has never experienced any losses related to these balances.</w:t>
      </w:r>
    </w:p>
    <w:p>
      <w:pPr>
        <w:spacing w:after="0" w:line="153" w:lineRule="exact"/>
        <w:rPr>
          <w:sz w:val="20"/>
          <w:szCs w:val="20"/>
          <w:color w:val="auto"/>
        </w:rPr>
      </w:pPr>
    </w:p>
    <w:p>
      <w:pPr>
        <w:ind w:left="40" w:right="459"/>
        <w:spacing w:after="0" w:line="261" w:lineRule="auto"/>
        <w:rPr>
          <w:sz w:val="20"/>
          <w:szCs w:val="20"/>
          <w:color w:val="auto"/>
        </w:rPr>
      </w:pPr>
      <w:r>
        <w:rPr>
          <w:rFonts w:ascii="Times New Roman" w:cs="Times New Roman" w:eastAsia="Times New Roman" w:hAnsi="Times New Roman"/>
          <w:sz w:val="17"/>
          <w:szCs w:val="17"/>
          <w:color w:val="auto"/>
        </w:rPr>
        <w:t>The Company had one supplier to whom amounts due totaled 25.2% and 26.1% of the Company’s accounts payable at September 28, 2022 and December 29, 2021, respectively. Purchases from the Company’s largest supplier totaled 28.4% and</w:t>
      </w:r>
    </w:p>
    <w:p>
      <w:pPr>
        <w:spacing w:after="0" w:line="1" w:lineRule="exact"/>
        <w:rPr>
          <w:sz w:val="20"/>
          <w:szCs w:val="20"/>
          <w:color w:val="auto"/>
        </w:rPr>
      </w:pPr>
    </w:p>
    <w:p>
      <w:pPr>
        <w:ind w:left="40" w:right="179"/>
        <w:spacing w:after="0" w:line="262" w:lineRule="auto"/>
        <w:rPr>
          <w:sz w:val="20"/>
          <w:szCs w:val="20"/>
          <w:color w:val="auto"/>
        </w:rPr>
      </w:pPr>
      <w:r>
        <w:rPr>
          <w:rFonts w:ascii="Times New Roman" w:cs="Times New Roman" w:eastAsia="Times New Roman" w:hAnsi="Times New Roman"/>
          <w:sz w:val="17"/>
          <w:szCs w:val="17"/>
          <w:color w:val="auto"/>
        </w:rPr>
        <w:t>28.5% of total expenses for the thirteen and thirty-nine weeks ended September 28, 2022 and 27.0% and 28.1% of total expenses for the thirteen and thirty-nine weeks ended September 29, 2021.</w:t>
      </w:r>
    </w:p>
    <w:p>
      <w:pPr>
        <w:spacing w:after="0" w:line="170" w:lineRule="exact"/>
        <w:rPr>
          <w:sz w:val="20"/>
          <w:szCs w:val="20"/>
          <w:color w:val="auto"/>
        </w:rPr>
      </w:pPr>
    </w:p>
    <w:p>
      <w:pPr>
        <w:ind w:left="40" w:right="99"/>
        <w:spacing w:after="0" w:line="267" w:lineRule="auto"/>
        <w:rPr>
          <w:sz w:val="20"/>
          <w:szCs w:val="20"/>
          <w:color w:val="auto"/>
        </w:rPr>
      </w:pPr>
      <w:r>
        <w:rPr>
          <w:rFonts w:ascii="Times New Roman" w:cs="Times New Roman" w:eastAsia="Times New Roman" w:hAnsi="Times New Roman"/>
          <w:sz w:val="17"/>
          <w:szCs w:val="17"/>
          <w:color w:val="auto"/>
        </w:rPr>
        <w:t>Company-operated and franchised restaurants in the greater Los Angeles area generated, in the aggregate, approximately 71.9% and 71.2% of total revenue for the thirteen and thirty-nine weeks ended September 28, 2022 and 71.6% and 70.8% for the thirteen and thirty-nine weeks ended September 29, 2021, respectively.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Goodwill and Indefinite Lived Intangible Assets</w:t>
      </w:r>
    </w:p>
    <w:p>
      <w:pPr>
        <w:spacing w:after="0" w:line="218"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7"/>
          <w:szCs w:val="17"/>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166" w:lineRule="exact"/>
        <w:rPr>
          <w:sz w:val="20"/>
          <w:szCs w:val="20"/>
          <w:color w:val="auto"/>
        </w:rPr>
      </w:pPr>
    </w:p>
    <w:p>
      <w:pPr>
        <w:ind w:left="40" w:right="299"/>
        <w:spacing w:after="0" w:line="267" w:lineRule="auto"/>
        <w:rPr>
          <w:sz w:val="20"/>
          <w:szCs w:val="20"/>
          <w:color w:val="auto"/>
        </w:rPr>
      </w:pPr>
      <w:r>
        <w:rPr>
          <w:rFonts w:ascii="Times New Roman" w:cs="Times New Roman" w:eastAsia="Times New Roman" w:hAnsi="Times New Roman"/>
          <w:sz w:val="17"/>
          <w:szCs w:val="17"/>
          <w:color w:val="auto"/>
        </w:rPr>
        <w:t>Upon the sale or closure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66" w:lineRule="exact"/>
        <w:rPr>
          <w:sz w:val="20"/>
          <w:szCs w:val="20"/>
          <w:color w:val="auto"/>
        </w:rPr>
      </w:pPr>
    </w:p>
    <w:p>
      <w:pPr>
        <w:ind w:left="40" w:right="139"/>
        <w:spacing w:after="0" w:line="283" w:lineRule="auto"/>
        <w:rPr>
          <w:sz w:val="20"/>
          <w:szCs w:val="20"/>
          <w:color w:val="auto"/>
        </w:rPr>
      </w:pPr>
      <w:r>
        <w:rPr>
          <w:rFonts w:ascii="Times New Roman" w:cs="Times New Roman" w:eastAsia="Times New Roman" w:hAnsi="Times New Roman"/>
          <w:sz w:val="17"/>
          <w:szCs w:val="17"/>
          <w:color w:val="auto"/>
        </w:rPr>
        <w:t>The Company performs an annual impairment test for goodwill during the fourth fiscal quarter of each year, or more frequently if impairment indicators arise.</w:t>
      </w:r>
    </w:p>
    <w:p>
      <w:pPr>
        <w:spacing w:after="0" w:line="153"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7"/>
          <w:szCs w:val="17"/>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80" w:lineRule="exact"/>
        <w:rPr>
          <w:sz w:val="20"/>
          <w:szCs w:val="20"/>
          <w:color w:val="auto"/>
        </w:rPr>
      </w:pPr>
    </w:p>
    <w:p>
      <w:pPr>
        <w:ind w:left="40" w:right="299"/>
        <w:spacing w:after="0" w:line="262" w:lineRule="auto"/>
        <w:rPr>
          <w:sz w:val="20"/>
          <w:szCs w:val="20"/>
          <w:color w:val="auto"/>
        </w:rPr>
      </w:pPr>
      <w:r>
        <w:rPr>
          <w:rFonts w:ascii="Times New Roman" w:cs="Times New Roman" w:eastAsia="Times New Roman" w:hAnsi="Times New Roman"/>
          <w:sz w:val="17"/>
          <w:szCs w:val="17"/>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170" w:lineRule="exact"/>
        <w:rPr>
          <w:sz w:val="20"/>
          <w:szCs w:val="20"/>
          <w:color w:val="auto"/>
        </w:rPr>
      </w:pPr>
    </w:p>
    <w:p>
      <w:pPr>
        <w:jc w:val="both"/>
        <w:ind w:left="40" w:right="159"/>
        <w:spacing w:after="0" w:line="267" w:lineRule="auto"/>
        <w:rPr>
          <w:sz w:val="20"/>
          <w:szCs w:val="20"/>
          <w:color w:val="auto"/>
        </w:rPr>
      </w:pPr>
      <w:r>
        <w:rPr>
          <w:rFonts w:ascii="Times New Roman" w:cs="Times New Roman" w:eastAsia="Times New Roman" w:hAnsi="Times New Roman"/>
          <w:sz w:val="17"/>
          <w:szCs w:val="17"/>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66" w:lineRule="exact"/>
        <w:rPr>
          <w:sz w:val="20"/>
          <w:szCs w:val="20"/>
          <w:color w:val="auto"/>
        </w:rPr>
      </w:pPr>
    </w:p>
    <w:p>
      <w:pPr>
        <w:ind w:left="40" w:right="419"/>
        <w:spacing w:after="0" w:line="262" w:lineRule="auto"/>
        <w:rPr>
          <w:sz w:val="20"/>
          <w:szCs w:val="20"/>
          <w:color w:val="auto"/>
        </w:rPr>
      </w:pPr>
      <w:r>
        <w:rPr>
          <w:rFonts w:ascii="Times New Roman" w:cs="Times New Roman" w:eastAsia="Times New Roman" w:hAnsi="Times New Roman"/>
          <w:sz w:val="17"/>
          <w:szCs w:val="17"/>
          <w:color w:val="auto"/>
        </w:rPr>
        <w:t>The Company determined that there were no indicators of potential impairment of its goodwill and indefinite-lived intangible assets during the thirteen and thirty-nine weeks ended September 28, 2022. Accordingly, the Company did not record any impairment to its goodwill or indefinite-lived intangible assets during the thirteen and thirty-nine weeks ended September 28, 2022.</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218" w:lineRule="exact"/>
        <w:rPr>
          <w:sz w:val="20"/>
          <w:szCs w:val="20"/>
          <w:color w:val="auto"/>
        </w:rPr>
      </w:pPr>
    </w:p>
    <w:p>
      <w:pPr>
        <w:ind w:left="40" w:right="140"/>
        <w:spacing w:after="0" w:line="267" w:lineRule="auto"/>
        <w:rPr>
          <w:sz w:val="20"/>
          <w:szCs w:val="20"/>
          <w:color w:val="auto"/>
        </w:rPr>
      </w:pPr>
      <w:r>
        <w:rPr>
          <w:rFonts w:ascii="Times New Roman" w:cs="Times New Roman" w:eastAsia="Times New Roman" w:hAnsi="Times New Roman"/>
          <w:sz w:val="17"/>
          <w:szCs w:val="17"/>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66" w:lineRule="exact"/>
        <w:rPr>
          <w:sz w:val="20"/>
          <w:szCs w:val="20"/>
          <w:color w:val="auto"/>
        </w:rPr>
      </w:pPr>
    </w:p>
    <w:p>
      <w:pPr>
        <w:ind w:left="680" w:hanging="302"/>
        <w:spacing w:after="0"/>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for identical instruments in active markets.</w:t>
      </w:r>
    </w:p>
    <w:p>
      <w:pPr>
        <w:spacing w:after="0" w:line="213" w:lineRule="exact"/>
        <w:rPr>
          <w:rFonts w:ascii="Times New Roman" w:cs="Times New Roman" w:eastAsia="Times New Roman" w:hAnsi="Times New Roman"/>
          <w:sz w:val="17"/>
          <w:szCs w:val="17"/>
          <w:color w:val="auto"/>
        </w:rPr>
      </w:pPr>
    </w:p>
    <w:p>
      <w:pPr>
        <w:ind w:left="680" w:right="160" w:hanging="302"/>
        <w:spacing w:after="0" w:line="283" w:lineRule="auto"/>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52"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used when little or no market data is available.</w:t>
      </w:r>
    </w:p>
    <w:p>
      <w:pPr>
        <w:spacing w:after="0" w:line="214" w:lineRule="exact"/>
        <w:rPr>
          <w:sz w:val="20"/>
          <w:szCs w:val="20"/>
          <w:color w:val="auto"/>
        </w:rPr>
      </w:pPr>
    </w:p>
    <w:p>
      <w:pPr>
        <w:ind w:left="40" w:right="100"/>
        <w:spacing w:after="0" w:line="255" w:lineRule="auto"/>
        <w:rPr>
          <w:sz w:val="20"/>
          <w:szCs w:val="20"/>
          <w:color w:val="auto"/>
        </w:rPr>
      </w:pPr>
      <w:r>
        <w:rPr>
          <w:rFonts w:ascii="Times New Roman" w:cs="Times New Roman" w:eastAsia="Times New Roman" w:hAnsi="Times New Roman"/>
          <w:sz w:val="17"/>
          <w:szCs w:val="17"/>
          <w:color w:val="auto"/>
        </w:rPr>
        <w:t>During fiscal 2019, the Company entered into an interest rate swap, which is required to be measured at fair value on a recurring basis. The fair value was determined based on Level 2 inputs, which include valuation models, as reported by the Company’s counterparty. These valuation models use a discounted cash flow analysis on the cash flows of the derivative based on the terms of the contract and the forward yield curves adjusted for the Company’s credit risk. The key inputs for the valuation models are observable market prices, discount rates, and forward yield curves. In connection with the Company’s entry into the 2022 Credit Agreement (as defined below), it terminated the interest rate swap in July 2022 previously used to hedge interest rate risk. In settlement of this swap, the Company received approximately $0.6 million. See Note 4, “Long-Term Debt” for further discussion regarding the Company’s interest rate swap and its termination.</w:t>
      </w: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presents fair value for the interest rate swap at December 29, 2021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w w:val="96"/>
              </w:rPr>
              <w:t>Fair Value Measurements Using</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83"/>
              <w:spacing w:after="0" w:line="134"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liabilities - 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 w:right="240"/>
        <w:spacing w:after="0" w:line="267" w:lineRule="auto"/>
        <w:rPr>
          <w:sz w:val="20"/>
          <w:szCs w:val="20"/>
          <w:color w:val="auto"/>
        </w:rPr>
      </w:pPr>
      <w:r>
        <w:rPr>
          <w:rFonts w:ascii="Times New Roman" w:cs="Times New Roman" w:eastAsia="Times New Roman" w:hAnsi="Times New Roman"/>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spacing w:after="0" w:line="166" w:lineRule="exact"/>
        <w:rPr>
          <w:sz w:val="20"/>
          <w:szCs w:val="20"/>
          <w:color w:val="auto"/>
        </w:rPr>
      </w:pPr>
    </w:p>
    <w:p>
      <w:pPr>
        <w:ind w:left="40" w:right="100"/>
        <w:spacing w:after="0" w:line="262" w:lineRule="auto"/>
        <w:rPr>
          <w:sz w:val="20"/>
          <w:szCs w:val="20"/>
          <w:color w:val="auto"/>
        </w:rPr>
      </w:pPr>
      <w:r>
        <w:rPr>
          <w:rFonts w:ascii="Times New Roman" w:cs="Times New Roman" w:eastAsia="Times New Roman" w:hAnsi="Times New Roman"/>
          <w:sz w:val="17"/>
          <w:szCs w:val="17"/>
          <w:color w:val="auto"/>
        </w:rPr>
        <w:t>The following non-financial instruments were measured at fair value, on a nonrecurring basis, as of and for the thirteen and thirty-nine weeks ended September 28, 2022, reflecting certain property and equipment assets and right-of-use (“ROU”) assets for which an impairment loss was recognized during the corresponding periods, as discussed under Note 2, “Property and Equipment” and immediately below under “Impairment of Long-Lived Assets and ROU Assets”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20" w:type="dxa"/>
            <w:vAlign w:val="bottom"/>
            <w:gridSpan w:val="7"/>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Fair Value Measurements at September 28, 2022 Using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6"/>
              </w:rPr>
              <w:t>Thirteen Weeks</w:t>
            </w:r>
          </w:p>
        </w:tc>
        <w:tc>
          <w:tcPr>
            <w:tcW w:w="200" w:type="dxa"/>
            <w:vAlign w:val="bottom"/>
          </w:tcPr>
          <w:p>
            <w:pPr>
              <w:spacing w:after="0"/>
              <w:rPr>
                <w:sz w:val="13"/>
                <w:szCs w:val="13"/>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Ended September 28, 2022</w:t>
            </w:r>
          </w:p>
        </w:tc>
        <w:tc>
          <w:tcPr>
            <w:tcW w:w="17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Ended September 28, 2022</w:t>
            </w:r>
          </w:p>
        </w:tc>
        <w:tc>
          <w:tcPr>
            <w:tcW w:w="0" w:type="dxa"/>
            <w:vAlign w:val="bottom"/>
          </w:tcPr>
          <w:p>
            <w:pPr>
              <w:spacing w:after="0"/>
              <w:rPr>
                <w:sz w:val="1"/>
                <w:szCs w:val="1"/>
                <w:color w:val="auto"/>
              </w:rPr>
            </w:pPr>
          </w:p>
        </w:tc>
      </w:tr>
      <w:tr>
        <w:trPr>
          <w:trHeight w:val="133"/>
        </w:trPr>
        <w:tc>
          <w:tcPr>
            <w:tcW w:w="14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40"/>
              <w:spacing w:after="0" w:line="134"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center"/>
              <w:ind w:right="83"/>
              <w:spacing w:after="0" w:line="134" w:lineRule="exact"/>
              <w:rPr>
                <w:sz w:val="20"/>
                <w:szCs w:val="20"/>
                <w:color w:val="auto"/>
              </w:rPr>
            </w:pPr>
            <w:r>
              <w:rPr>
                <w:rFonts w:ascii="Times New Roman" w:cs="Times New Roman" w:eastAsia="Times New Roman" w:hAnsi="Times New Roman"/>
                <w:sz w:val="14"/>
                <w:szCs w:val="14"/>
                <w:b w:val="1"/>
                <w:bCs w:val="1"/>
                <w:color w:val="auto"/>
                <w:w w:val="97"/>
              </w:rPr>
              <w:t>Impairment Losses</w:t>
            </w:r>
          </w:p>
        </w:tc>
        <w:tc>
          <w:tcPr>
            <w:tcW w:w="2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jc w:val="right"/>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Impairment Losses</w:t>
            </w:r>
          </w:p>
        </w:tc>
        <w:tc>
          <w:tcPr>
            <w:tcW w:w="0" w:type="dxa"/>
            <w:vAlign w:val="bottom"/>
          </w:tcPr>
          <w:p>
            <w:pPr>
              <w:spacing w:after="0"/>
              <w:rPr>
                <w:sz w:val="1"/>
                <w:szCs w:val="1"/>
                <w:color w:val="auto"/>
              </w:rPr>
            </w:pPr>
          </w:p>
        </w:tc>
      </w:tr>
      <w:tr>
        <w:trPr>
          <w:trHeight w:val="168"/>
        </w:trPr>
        <w:tc>
          <w:tcPr>
            <w:tcW w:w="14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Certain property</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equipment, net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353</w:t>
            </w:r>
          </w:p>
        </w:tc>
        <w:tc>
          <w:tcPr>
            <w:tcW w:w="0" w:type="dxa"/>
            <w:vAlign w:val="bottom"/>
          </w:tcPr>
          <w:p>
            <w:pPr>
              <w:spacing w:after="0"/>
              <w:rPr>
                <w:sz w:val="1"/>
                <w:szCs w:val="1"/>
                <w:color w:val="auto"/>
              </w:rPr>
            </w:pPr>
          </w:p>
        </w:tc>
      </w:tr>
      <w:tr>
        <w:trPr>
          <w:trHeight w:val="188"/>
        </w:trPr>
        <w:tc>
          <w:tcPr>
            <w:tcW w:w="14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Certain ROU assets,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net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240" w:type="dxa"/>
            <w:vAlign w:val="bottom"/>
            <w:gridSpan w:val="2"/>
          </w:tcPr>
          <w:p>
            <w:pPr>
              <w:jc w:val="right"/>
              <w:ind w:right="32"/>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819"/>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40" w:top="494" w:right="1399"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40" w:right="139"/>
        <w:spacing w:after="0" w:line="262" w:lineRule="auto"/>
        <w:rPr>
          <w:sz w:val="20"/>
          <w:szCs w:val="20"/>
          <w:color w:val="auto"/>
        </w:rPr>
      </w:pPr>
      <w:r>
        <w:rPr>
          <w:rFonts w:ascii="Times New Roman" w:cs="Times New Roman" w:eastAsia="Times New Roman" w:hAnsi="Times New Roman"/>
          <w:sz w:val="17"/>
          <w:szCs w:val="17"/>
          <w:color w:val="auto"/>
        </w:rPr>
        <w:t>The following non-financial instruments were measured at fair value on a nonrecurring basis as of and for the thirteen and thirty-nine weeks ended September 29, 2021, reflecting certain property and equipment assets and ROU assets for which an impairment loss was recognized during the corresponding periods, as discussed immediately below under “Impairment of Long-Lived Assets and ROU Assets”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8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29, 2021 Using</w:t>
            </w:r>
          </w:p>
        </w:tc>
        <w:tc>
          <w:tcPr>
            <w:tcW w:w="180" w:type="dxa"/>
            <w:vAlign w:val="bottom"/>
          </w:tcPr>
          <w:p>
            <w:pPr>
              <w:spacing w:after="0"/>
              <w:rPr>
                <w:sz w:val="13"/>
                <w:szCs w:val="13"/>
                <w:color w:val="auto"/>
              </w:rPr>
            </w:pPr>
          </w:p>
        </w:tc>
        <w:tc>
          <w:tcPr>
            <w:tcW w:w="15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6"/>
              </w:rPr>
              <w:t>Thirteen Weeks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5"/>
              </w:rPr>
              <w:t>Thirty-Nine Weeks</w:t>
            </w: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3380" w:type="dxa"/>
            <w:vAlign w:val="bottom"/>
            <w:gridSpan w:val="8"/>
            <w:vMerge w:val="continue"/>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Ended September 29, 2021</w:t>
            </w:r>
          </w:p>
        </w:tc>
        <w:tc>
          <w:tcPr>
            <w:tcW w:w="14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Ended September 29, 2021</w:t>
            </w:r>
          </w:p>
        </w:tc>
        <w:tc>
          <w:tcPr>
            <w:tcW w:w="0" w:type="dxa"/>
            <w:vAlign w:val="bottom"/>
          </w:tcPr>
          <w:p>
            <w:pPr>
              <w:spacing w:after="0"/>
              <w:rPr>
                <w:sz w:val="1"/>
                <w:szCs w:val="1"/>
                <w:color w:val="auto"/>
              </w:rPr>
            </w:pPr>
          </w:p>
        </w:tc>
      </w:tr>
      <w:tr>
        <w:trPr>
          <w:trHeight w:val="133"/>
        </w:trPr>
        <w:tc>
          <w:tcPr>
            <w:tcW w:w="13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40"/>
              <w:spacing w:after="0" w:line="134"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103"/>
              <w:spacing w:after="0" w:line="134" w:lineRule="exact"/>
              <w:rPr>
                <w:sz w:val="20"/>
                <w:szCs w:val="20"/>
                <w:color w:val="auto"/>
              </w:rPr>
            </w:pPr>
            <w:r>
              <w:rPr>
                <w:rFonts w:ascii="Times New Roman" w:cs="Times New Roman" w:eastAsia="Times New Roman" w:hAnsi="Times New Roman"/>
                <w:sz w:val="14"/>
                <w:szCs w:val="14"/>
                <w:b w:val="1"/>
                <w:bCs w:val="1"/>
                <w:color w:val="auto"/>
                <w:w w:val="97"/>
              </w:rPr>
              <w:t>Impairment Losses</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03"/>
              <w:spacing w:after="0" w:line="134" w:lineRule="exact"/>
              <w:rPr>
                <w:sz w:val="20"/>
                <w:szCs w:val="20"/>
                <w:color w:val="auto"/>
              </w:rPr>
            </w:pPr>
            <w:r>
              <w:rPr>
                <w:rFonts w:ascii="Times New Roman" w:cs="Times New Roman" w:eastAsia="Times New Roman" w:hAnsi="Times New Roman"/>
                <w:sz w:val="14"/>
                <w:szCs w:val="14"/>
                <w:b w:val="1"/>
                <w:bCs w:val="1"/>
                <w:color w:val="auto"/>
                <w:w w:val="95"/>
              </w:rPr>
              <w:t>Impairment Losses</w:t>
            </w:r>
          </w:p>
        </w:tc>
        <w:tc>
          <w:tcPr>
            <w:tcW w:w="0" w:type="dxa"/>
            <w:vAlign w:val="bottom"/>
          </w:tcPr>
          <w:p>
            <w:pPr>
              <w:spacing w:after="0"/>
              <w:rPr>
                <w:sz w:val="1"/>
                <w:szCs w:val="1"/>
                <w:color w:val="auto"/>
              </w:rPr>
            </w:pPr>
          </w:p>
        </w:tc>
      </w:tr>
      <w:tr>
        <w:trPr>
          <w:trHeight w:val="168"/>
        </w:trPr>
        <w:tc>
          <w:tcPr>
            <w:tcW w:w="132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Certain property</w:t>
            </w:r>
          </w:p>
        </w:tc>
        <w:tc>
          <w:tcPr>
            <w:tcW w:w="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equipment,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188"/>
        </w:trPr>
        <w:tc>
          <w:tcPr>
            <w:tcW w:w="13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Certain ROU</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assets,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6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ind w:right="32"/>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Impairment of Long-Lived Assets and ROU Assets</w:t>
      </w:r>
    </w:p>
    <w:p>
      <w:pPr>
        <w:spacing w:after="0" w:line="218"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7"/>
          <w:szCs w:val="17"/>
          <w:color w:val="auto"/>
        </w:rPr>
        <w:t>The Company reviews its long-lived and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average unit volume for the last twelve months is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closed or been subleased and future estimated sublease income is less than lease payments under the head lease.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restaurants during the thirteen and thirty-nine weeks ended</w:t>
      </w:r>
    </w:p>
    <w:p>
      <w:pPr>
        <w:spacing w:after="0" w:line="9" w:lineRule="exact"/>
        <w:rPr>
          <w:sz w:val="20"/>
          <w:szCs w:val="20"/>
          <w:color w:val="auto"/>
        </w:rPr>
      </w:pPr>
    </w:p>
    <w:p>
      <w:pPr>
        <w:ind w:left="40" w:right="239"/>
        <w:spacing w:after="0" w:line="255" w:lineRule="auto"/>
        <w:rPr>
          <w:sz w:val="20"/>
          <w:szCs w:val="20"/>
          <w:color w:val="auto"/>
        </w:rPr>
      </w:pPr>
      <w:r>
        <w:rPr>
          <w:rFonts w:ascii="Times New Roman" w:cs="Times New Roman" w:eastAsia="Times New Roman" w:hAnsi="Times New Roman"/>
          <w:sz w:val="17"/>
          <w:szCs w:val="17"/>
          <w:color w:val="auto"/>
        </w:rPr>
        <w:t>September 28, 2022 that required an impairment review of certain of the Company’s long-lived and ROU assets. Based on the results of the analysis, the Company recorded non-cash impairment charges of $0.1 million and $0.4 million for the thirteen and thirty-nine weeks ended September 28, 2022, respectively, primarily related to the long-lived assets of one restaurant in California.</w:t>
      </w:r>
    </w:p>
    <w:p>
      <w:pPr>
        <w:spacing w:after="0" w:line="175"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7"/>
          <w:szCs w:val="17"/>
          <w:color w:val="auto"/>
        </w:rPr>
        <w:t>The Company recorded a non-cash impairment charge of $0.1 million and $0.7 million for the thirteen and thirty-nine weeks ended September 29, 2021, respectively, primarily related to the carrying value of the ROU assets of one restaurant in Texas closed in 2019, the carrying value of the ROU assets of one restaurant in California and the long-lived assets of three restaurants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Closed-Store Reserves</w:t>
      </w:r>
    </w:p>
    <w:p>
      <w:pPr>
        <w:spacing w:after="0" w:line="218" w:lineRule="exact"/>
        <w:rPr>
          <w:sz w:val="20"/>
          <w:szCs w:val="20"/>
          <w:color w:val="auto"/>
        </w:rPr>
      </w:pPr>
    </w:p>
    <w:p>
      <w:pPr>
        <w:ind w:left="40" w:right="199"/>
        <w:spacing w:after="0" w:line="255" w:lineRule="auto"/>
        <w:rPr>
          <w:sz w:val="20"/>
          <w:szCs w:val="20"/>
          <w:color w:val="auto"/>
        </w:rPr>
      </w:pPr>
      <w:r>
        <w:rPr>
          <w:rFonts w:ascii="Times New Roman" w:cs="Times New Roman" w:eastAsia="Times New Roman" w:hAnsi="Times New Roman"/>
          <w:sz w:val="17"/>
          <w:szCs w:val="17"/>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 During the thirteen and thirty-nine weeks ended September 28, 2022, the Company recognized less than $0.1 million and $0.2 million, respectively, of closed-store reserve expense related to the amortization of ROU assets, property taxes and CAM payments for its closed locations. During the thirteen and thirty-nine weeks ended September 29, 2021, the Company recognized less than $0.1 million and $0.4 million of closed-store reserve expense, respectively, primarily related to the amortization of ROU assets, property taxes and CAM payments for its closed locations.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218" w:lineRule="exact"/>
        <w:rPr>
          <w:sz w:val="20"/>
          <w:szCs w:val="20"/>
          <w:color w:val="auto"/>
        </w:rPr>
      </w:pPr>
    </w:p>
    <w:p>
      <w:pPr>
        <w:jc w:val="both"/>
        <w:ind w:left="40" w:right="419"/>
        <w:spacing w:after="0" w:line="267" w:lineRule="auto"/>
        <w:rPr>
          <w:sz w:val="20"/>
          <w:szCs w:val="20"/>
          <w:color w:val="auto"/>
        </w:rPr>
      </w:pPr>
      <w:r>
        <w:rPr>
          <w:rFonts w:ascii="Times New Roman" w:cs="Times New Roman" w:eastAsia="Times New Roman" w:hAnsi="Times New Roman"/>
          <w:sz w:val="17"/>
          <w:szCs w:val="17"/>
          <w:color w:val="auto"/>
        </w:rPr>
        <w:t>The Company used an interest rate swap, a derivative instrument, to hedge interest rate risk and not for trading purposes. The derivative contract was entered into with a financial institution. In connection with the Company’s entry into the 2022 Credit Agreement (as defined below), it terminated the interest rate swap on July 28, 2022.</w:t>
      </w:r>
    </w:p>
    <w:p>
      <w:pPr>
        <w:spacing w:after="0" w:line="166" w:lineRule="exact"/>
        <w:rPr>
          <w:sz w:val="20"/>
          <w:szCs w:val="20"/>
          <w:color w:val="auto"/>
        </w:rPr>
      </w:pPr>
    </w:p>
    <w:p>
      <w:pPr>
        <w:ind w:left="40" w:right="299"/>
        <w:spacing w:after="0" w:line="256" w:lineRule="auto"/>
        <w:rPr>
          <w:sz w:val="20"/>
          <w:szCs w:val="20"/>
          <w:color w:val="auto"/>
        </w:rPr>
      </w:pPr>
      <w:r>
        <w:rPr>
          <w:rFonts w:ascii="Times New Roman" w:cs="Times New Roman" w:eastAsia="Times New Roman" w:hAnsi="Times New Roman"/>
          <w:sz w:val="17"/>
          <w:szCs w:val="17"/>
          <w:color w:val="auto"/>
        </w:rPr>
        <w:t>The Company recorded the derivative instrument on its condensed consolidated balance sheets at fair value. The derivative instrument qualified as a hedging instrument in a qualifying cash flow hedge relationship, and the gain or loss on the derivative instrument was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to earnings immediately.</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8"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78" w:lineRule="exact"/>
        <w:rPr>
          <w:sz w:val="20"/>
          <w:szCs w:val="20"/>
          <w:color w:val="auto"/>
        </w:rPr>
      </w:pPr>
    </w:p>
    <w:p>
      <w:pPr>
        <w:ind w:left="40" w:right="319"/>
        <w:spacing w:after="0" w:line="283" w:lineRule="auto"/>
        <w:rPr>
          <w:sz w:val="20"/>
          <w:szCs w:val="20"/>
          <w:color w:val="auto"/>
        </w:rPr>
      </w:pPr>
      <w:r>
        <w:rPr>
          <w:rFonts w:ascii="Times New Roman" w:cs="Times New Roman" w:eastAsia="Times New Roman" w:hAnsi="Times New Roman"/>
          <w:sz w:val="17"/>
          <w:szCs w:val="17"/>
          <w:color w:val="auto"/>
        </w:rPr>
        <w:t>The Company reviews its filing positions for all open tax years in all U.S. federal and state jurisdictions where the Company is required to file.</w:t>
      </w:r>
    </w:p>
    <w:p>
      <w:pPr>
        <w:spacing w:after="0" w:line="153"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condensed consolidated financial position, results of operations, and cash flows.</w:t>
      </w:r>
    </w:p>
    <w:p>
      <w:pPr>
        <w:spacing w:after="0" w:line="180"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The Company’s policy is to recognize interest and penalties related to income tax matters in income tax expense. The Company had no accrual for interest or penalties at September 28, 2022 or at December 29, 2021. The Company did not recognize interest or penalties during the thirteen and thirty-nine weeks ended September 28, 2022 and September 29, 2021, respectively, since there were no material unrecognized tax benefits. Management believes no significant changes to the amount of unrecognized tax benefits will occur within the next twelve months.</w:t>
      </w:r>
    </w:p>
    <w:p>
      <w:pPr>
        <w:spacing w:after="0" w:line="173"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On July 30, 2014, the Company entered into the income tax receivable agreement (the “TRA”), which calls for the Company to pay to its pre-initial public offering (“IPO”) stockholders 85% of the savings in cash that the Company realizes in its income taxes as a result of utilizing its net operating losses (“NOLs”) and other tax attributes attributable to preceding periods. For the thirteen and thirty-nine weeks ended September 28, 2022, the Company recorded income tax receivable agreement income of less than $0.1 million and $0.3 million, respectively, and for both the thirteen and thirty-nine weeks ended September 29, 2021, the Company recorded income tax receivable agreement income of less than $0.1 million, in each case, related to the amortization of interest expense related to the total expected TRA payments and changes in estimates for actual tax returns filed and future forecasted taxable income.</w:t>
      </w:r>
    </w:p>
    <w:p>
      <w:pPr>
        <w:spacing w:after="0" w:line="180" w:lineRule="exact"/>
        <w:rPr>
          <w:sz w:val="20"/>
          <w:szCs w:val="20"/>
          <w:color w:val="auto"/>
        </w:rPr>
      </w:pPr>
    </w:p>
    <w:p>
      <w:pPr>
        <w:ind w:left="40" w:right="199"/>
        <w:spacing w:after="0" w:line="262" w:lineRule="auto"/>
        <w:rPr>
          <w:sz w:val="20"/>
          <w:szCs w:val="20"/>
          <w:color w:val="auto"/>
        </w:rPr>
      </w:pPr>
      <w:r>
        <w:rPr>
          <w:rFonts w:ascii="Times New Roman" w:cs="Times New Roman" w:eastAsia="Times New Roman" w:hAnsi="Times New Roman"/>
          <w:sz w:val="17"/>
          <w:szCs w:val="17"/>
          <w:color w:val="auto"/>
        </w:rPr>
        <w:t>The Coronavirus Aid, Relief and Economic Security Act provides for the deferral of employer Social Security taxes that are otherwise owed for wage payment and the creation of refundable employee retention credits. The total amount deferred as of December 30, 2020 was $4.9 million, of which 50% was paid at the end of 2021 and the remaining 50% is due by December 31, 2022.</w:t>
      </w:r>
    </w:p>
    <w:p>
      <w:pPr>
        <w:sectPr>
          <w:pgSz w:w="11900" w:h="16838" w:orient="portrait"/>
          <w:cols w:equalWidth="0" w:num="1">
            <w:col w:w="9019"/>
          </w:cols>
          <w:pgMar w:left="1440" w:top="49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348615</wp:posOffset>
            </wp:positionV>
            <wp:extent cx="566102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 PROPERTY AND EQUIPMENT</w:t>
      </w:r>
    </w:p>
    <w:p>
      <w:pPr>
        <w:spacing w:after="0" w:line="218" w:lineRule="exact"/>
        <w:rPr>
          <w:sz w:val="20"/>
          <w:szCs w:val="20"/>
          <w:color w:val="auto"/>
        </w:rPr>
      </w:pPr>
    </w:p>
    <w:p>
      <w:pPr>
        <w:ind w:left="40" w:right="319"/>
        <w:spacing w:after="0" w:line="283" w:lineRule="auto"/>
        <w:rPr>
          <w:sz w:val="20"/>
          <w:szCs w:val="20"/>
          <w:color w:val="auto"/>
        </w:rPr>
      </w:pPr>
      <w:r>
        <w:rPr>
          <w:rFonts w:ascii="Times New Roman" w:cs="Times New Roman" w:eastAsia="Times New Roman" w:hAnsi="Times New Roman"/>
          <w:sz w:val="17"/>
          <w:szCs w:val="17"/>
          <w:color w:val="auto"/>
        </w:rPr>
        <w:t>The costs and related accumulated depreciation and amortization of major classes of property and equipment are as follows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86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1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December 29, 2021</w:t>
            </w:r>
          </w:p>
        </w:tc>
      </w:tr>
      <w:tr>
        <w:trPr>
          <w:trHeight w:val="19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w:t>
            </w: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12,323</w:t>
            </w:r>
          </w:p>
        </w:tc>
      </w:tr>
      <w:tr>
        <w:trPr>
          <w:trHeight w:val="205"/>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152,089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144,631</w:t>
            </w:r>
          </w:p>
        </w:tc>
      </w:tr>
      <w:tr>
        <w:trPr>
          <w:trHeight w:val="20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property and equipment</w:t>
            </w: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82,095</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78,383</w:t>
            </w:r>
          </w:p>
        </w:tc>
      </w:tr>
      <w:tr>
        <w:trPr>
          <w:trHeight w:val="205"/>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15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5,133</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5,333</w:t>
            </w:r>
          </w:p>
        </w:tc>
      </w:tr>
      <w:tr>
        <w:trPr>
          <w:trHeight w:val="197"/>
        </w:trPr>
        <w:tc>
          <w:tcPr>
            <w:tcW w:w="48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251,640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240,670</w:t>
            </w:r>
          </w:p>
        </w:tc>
      </w:tr>
      <w:tr>
        <w:trPr>
          <w:trHeight w:val="205"/>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5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(173,533)</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(165,002)</w:t>
            </w:r>
          </w:p>
        </w:tc>
      </w:tr>
      <w:tr>
        <w:trPr>
          <w:trHeight w:val="197"/>
        </w:trPr>
        <w:tc>
          <w:tcPr>
            <w:tcW w:w="48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78,107</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75,668</w:t>
            </w:r>
          </w:p>
        </w:tc>
      </w:tr>
      <w:tr>
        <w:trPr>
          <w:trHeight w:val="20"/>
        </w:trPr>
        <w:tc>
          <w:tcPr>
            <w:tcW w:w="4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Depreciation expense was $3.5 million and $3.7 million for the thirteen weeks ended September 28, 2022 and</w:t>
      </w:r>
    </w:p>
    <w:p>
      <w:pPr>
        <w:spacing w:after="0" w:line="26" w:lineRule="exact"/>
        <w:rPr>
          <w:sz w:val="20"/>
          <w:szCs w:val="20"/>
          <w:color w:val="auto"/>
        </w:rPr>
      </w:pPr>
    </w:p>
    <w:p>
      <w:pPr>
        <w:ind w:left="40" w:right="299"/>
        <w:spacing w:after="0" w:line="262" w:lineRule="auto"/>
        <w:rPr>
          <w:sz w:val="20"/>
          <w:szCs w:val="20"/>
          <w:color w:val="auto"/>
        </w:rPr>
      </w:pPr>
      <w:r>
        <w:rPr>
          <w:rFonts w:ascii="Times New Roman" w:cs="Times New Roman" w:eastAsia="Times New Roman" w:hAnsi="Times New Roman"/>
          <w:sz w:val="17"/>
          <w:szCs w:val="17"/>
          <w:color w:val="auto"/>
        </w:rPr>
        <w:t>September 29, 2021, respectively, and $10.7 million and $11.5 million for the thirty-nine weeks ended September 28, 2022 and September 29, 2021, respectively.</w:t>
      </w:r>
    </w:p>
    <w:p>
      <w:pPr>
        <w:spacing w:after="0" w:line="170" w:lineRule="exact"/>
        <w:rPr>
          <w:sz w:val="20"/>
          <w:szCs w:val="20"/>
          <w:color w:val="auto"/>
        </w:rPr>
      </w:pPr>
    </w:p>
    <w:p>
      <w:pPr>
        <w:jc w:val="both"/>
        <w:ind w:left="40" w:right="239"/>
        <w:spacing w:after="0" w:line="267" w:lineRule="auto"/>
        <w:rPr>
          <w:sz w:val="20"/>
          <w:szCs w:val="20"/>
          <w:color w:val="auto"/>
        </w:rPr>
      </w:pPr>
      <w:r>
        <w:rPr>
          <w:rFonts w:ascii="Times New Roman" w:cs="Times New Roman" w:eastAsia="Times New Roman" w:hAnsi="Times New Roman"/>
          <w:sz w:val="17"/>
          <w:szCs w:val="17"/>
          <w:color w:val="auto"/>
        </w:rPr>
        <w:t>Based on the Company’s review of its long-lived assets for impairment, the Company recorded non-cash impairment charges of $0.1 million and $0.4 million for the thirteen and thirty-nine weeks ended September 28, 2022, respectively, primarily related to the carrying value of the long-lived assets of one restaurant in California.</w:t>
      </w:r>
    </w:p>
    <w:p>
      <w:pPr>
        <w:spacing w:after="0" w:line="166"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7"/>
          <w:szCs w:val="17"/>
          <w:color w:val="auto"/>
        </w:rPr>
        <w:t>During the thirteen and thirty-nine weeks ended September 29, 2021, the Company recorded non-cash impairment charges of less than $0.1 million and $0.3 million, respectively, primarily related to the carrying value of the assets of three restaurants in California. See Note 1, “Basis of Presentation and Summary of Significant Accounting Policies – Impairment of Long-Lived Assets and ROU Assets” for additional information.</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3. STOCK-BASED COMPENSATION</w:t>
      </w:r>
    </w:p>
    <w:p>
      <w:pPr>
        <w:spacing w:after="0" w:line="218" w:lineRule="exact"/>
        <w:rPr>
          <w:sz w:val="20"/>
          <w:szCs w:val="20"/>
          <w:color w:val="auto"/>
        </w:rPr>
      </w:pPr>
    </w:p>
    <w:p>
      <w:pPr>
        <w:ind w:left="40" w:right="259"/>
        <w:spacing w:after="0" w:line="259" w:lineRule="auto"/>
        <w:rPr>
          <w:sz w:val="20"/>
          <w:szCs w:val="20"/>
          <w:color w:val="auto"/>
        </w:rPr>
      </w:pPr>
      <w:r>
        <w:rPr>
          <w:rFonts w:ascii="Times New Roman" w:cs="Times New Roman" w:eastAsia="Times New Roman" w:hAnsi="Times New Roman"/>
          <w:sz w:val="17"/>
          <w:szCs w:val="17"/>
          <w:color w:val="auto"/>
        </w:rPr>
        <w:t>At September 28, 2022, options to purchase 1,181,944 shares of common stock were outstanding, including 659,861 vested and 522,083 unvested. Unvested options vest over time; however, upon a change in control, the Board of Directors may accelerate vesting. At September 28, 2022, 203,569 premium options, which are options granted above the stock price at date of grant, remained outstanding. A summary of stock option activity as of September 28, 2022 and changes during the thirty-nine weeks ended September 28, 2022 is as follows: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Weighted-Average</w:t>
            </w:r>
          </w:p>
        </w:tc>
        <w:tc>
          <w:tcPr>
            <w:tcW w:w="180" w:type="dxa"/>
            <w:vAlign w:val="bottom"/>
          </w:tcPr>
          <w:p>
            <w:pPr>
              <w:spacing w:after="0"/>
              <w:rPr>
                <w:sz w:val="13"/>
                <w:szCs w:val="13"/>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41"/>
        </w:trPr>
        <w:tc>
          <w:tcPr>
            <w:tcW w:w="4540" w:type="dxa"/>
            <w:vAlign w:val="bottom"/>
          </w:tcPr>
          <w:p>
            <w:pPr>
              <w:spacing w:after="0"/>
              <w:rPr>
                <w:sz w:val="12"/>
                <w:szCs w:val="12"/>
                <w:color w:val="auto"/>
              </w:rPr>
            </w:pPr>
          </w:p>
        </w:tc>
        <w:tc>
          <w:tcPr>
            <w:tcW w:w="84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Contractual Life</w:t>
            </w:r>
          </w:p>
        </w:tc>
        <w:tc>
          <w:tcPr>
            <w:tcW w:w="10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0" w:type="dxa"/>
            <w:vAlign w:val="bottom"/>
          </w:tcPr>
          <w:p>
            <w:pPr>
              <w:spacing w:after="0"/>
              <w:rPr>
                <w:sz w:val="1"/>
                <w:szCs w:val="1"/>
                <w:color w:val="auto"/>
              </w:rPr>
            </w:pPr>
          </w:p>
        </w:tc>
      </w:tr>
      <w:tr>
        <w:trPr>
          <w:trHeight w:val="165"/>
        </w:trPr>
        <w:tc>
          <w:tcPr>
            <w:tcW w:w="4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Life (Years)</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 December 29,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978,078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372,958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(150,475)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Forfeited, cancelled or expired</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15.86</w:t>
            </w: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 September 28,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1,181,944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1220" w:type="dxa"/>
            <w:vAlign w:val="bottom"/>
            <w:tcBorders>
              <w:top w:val="single" w:sz="8" w:color="CCEEFF"/>
              <w:bottom w:val="single" w:sz="8" w:color="CCEEFF"/>
            </w:tcBorders>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rPr>
              <w:t>6.06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CCEEFF"/>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rPr>
              <w:t>742</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Vested and expected to vest at September 28, 2022</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ind w:right="312"/>
              <w:spacing w:after="0"/>
              <w:rPr>
                <w:sz w:val="20"/>
                <w:szCs w:val="20"/>
                <w:color w:val="auto"/>
              </w:rPr>
            </w:pPr>
            <w:r>
              <w:rPr>
                <w:rFonts w:ascii="Times New Roman" w:cs="Times New Roman" w:eastAsia="Times New Roman" w:hAnsi="Times New Roman"/>
                <w:sz w:val="17"/>
                <w:szCs w:val="17"/>
                <w:color w:val="auto"/>
              </w:rPr>
              <w:t>6.03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right"/>
              <w:ind w:right="239"/>
              <w:spacing w:after="0"/>
              <w:rPr>
                <w:sz w:val="20"/>
                <w:szCs w:val="20"/>
                <w:color w:val="auto"/>
              </w:rPr>
            </w:pPr>
            <w:r>
              <w:rPr>
                <w:rFonts w:ascii="Times New Roman" w:cs="Times New Roman" w:eastAsia="Times New Roman" w:hAnsi="Times New Roman"/>
                <w:sz w:val="17"/>
                <w:szCs w:val="17"/>
                <w:color w:val="auto"/>
              </w:rPr>
              <w:t>742</w:t>
            </w:r>
          </w:p>
        </w:tc>
        <w:tc>
          <w:tcPr>
            <w:tcW w:w="0" w:type="dxa"/>
            <w:vAlign w:val="bottom"/>
          </w:tcPr>
          <w:p>
            <w:pPr>
              <w:spacing w:after="0" w:line="20" w:lineRule="exact"/>
              <w:rPr>
                <w:sz w:val="1"/>
                <w:szCs w:val="1"/>
                <w:color w:val="auto"/>
              </w:rPr>
            </w:pPr>
          </w:p>
        </w:tc>
      </w:tr>
      <w:tr>
        <w:trPr>
          <w:trHeight w:val="223"/>
        </w:trPr>
        <w:tc>
          <w:tcPr>
            <w:tcW w:w="4540" w:type="dxa"/>
            <w:vAlign w:val="bottom"/>
            <w:tcBorders>
              <w:bottom w:val="single" w:sz="8" w:color="CCEEFF"/>
            </w:tcBorders>
            <w:vMerge w:val="continue"/>
          </w:tcPr>
          <w:p>
            <w:pPr>
              <w:spacing w:after="0"/>
              <w:rPr>
                <w:sz w:val="19"/>
                <w:szCs w:val="19"/>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1,172,082</w:t>
            </w:r>
          </w:p>
        </w:tc>
        <w:tc>
          <w:tcPr>
            <w:tcW w:w="14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11.21</w:t>
            </w:r>
          </w:p>
        </w:tc>
        <w:tc>
          <w:tcPr>
            <w:tcW w:w="1220" w:type="dxa"/>
            <w:vAlign w:val="bottom"/>
            <w:tcBorders>
              <w:bottom w:val="single" w:sz="8" w:color="CCEEFF"/>
            </w:tcBorders>
            <w:gridSpan w:val="2"/>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84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54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Exercisable at September 28, 2022</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659,861</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10.50</w:t>
            </w:r>
          </w:p>
        </w:tc>
        <w:tc>
          <w:tcPr>
            <w:tcW w:w="1220" w:type="dxa"/>
            <w:vAlign w:val="bottom"/>
            <w:tcBorders>
              <w:bottom w:val="single" w:sz="8" w:color="CCEEFF"/>
            </w:tcBorders>
            <w:gridSpan w:val="2"/>
            <w:shd w:val="clear" w:color="auto" w:fill="CCEEFF"/>
          </w:tcPr>
          <w:p>
            <w:pPr>
              <w:jc w:val="right"/>
              <w:ind w:right="312"/>
              <w:spacing w:after="0" w:line="183" w:lineRule="exact"/>
              <w:rPr>
                <w:sz w:val="20"/>
                <w:szCs w:val="20"/>
                <w:color w:val="auto"/>
              </w:rPr>
            </w:pPr>
            <w:r>
              <w:rPr>
                <w:rFonts w:ascii="Times New Roman" w:cs="Times New Roman" w:eastAsia="Times New Roman" w:hAnsi="Times New Roman"/>
                <w:sz w:val="17"/>
                <w:szCs w:val="17"/>
                <w:color w:val="auto"/>
              </w:rPr>
              <w:t>3.58</w:t>
            </w:r>
          </w:p>
        </w:tc>
        <w:tc>
          <w:tcPr>
            <w:tcW w:w="18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ind w:right="239"/>
              <w:spacing w:after="0" w:line="183" w:lineRule="exact"/>
              <w:rPr>
                <w:sz w:val="20"/>
                <w:szCs w:val="20"/>
                <w:color w:val="auto"/>
              </w:rPr>
            </w:pPr>
            <w:r>
              <w:rPr>
                <w:rFonts w:ascii="Times New Roman" w:cs="Times New Roman" w:eastAsia="Times New Roman" w:hAnsi="Times New Roman"/>
                <w:sz w:val="17"/>
                <w:szCs w:val="17"/>
                <w:color w:val="auto"/>
              </w:rPr>
              <w:t>742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right="299"/>
        <w:spacing w:after="0" w:line="283" w:lineRule="auto"/>
        <w:rPr>
          <w:sz w:val="20"/>
          <w:szCs w:val="20"/>
          <w:color w:val="auto"/>
        </w:rPr>
      </w:pPr>
      <w:r>
        <w:rPr>
          <w:rFonts w:ascii="Times New Roman" w:cs="Times New Roman" w:eastAsia="Times New Roman" w:hAnsi="Times New Roman"/>
          <w:sz w:val="17"/>
          <w:szCs w:val="17"/>
          <w:color w:val="auto"/>
        </w:rPr>
        <w:t>The fair value of each stock option was estimated on the grant date using an exercise price of the closing stock price on the day prior to date of grant and the Black-Scholes option-pricing model with the following weighted average assumptions: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0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2022</w:t>
            </w: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2021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19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5"/>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r>
        <w:trPr>
          <w:trHeight w:val="205"/>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2"/>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dividends</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494"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348615</wp:posOffset>
            </wp:positionV>
            <wp:extent cx="566102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419"/>
        <w:spacing w:after="0" w:line="283" w:lineRule="auto"/>
        <w:rPr>
          <w:sz w:val="20"/>
          <w:szCs w:val="20"/>
          <w:color w:val="auto"/>
        </w:rPr>
      </w:pPr>
      <w:r>
        <w:rPr>
          <w:rFonts w:ascii="Times New Roman" w:cs="Times New Roman" w:eastAsia="Times New Roman" w:hAnsi="Times New Roman"/>
          <w:sz w:val="17"/>
          <w:szCs w:val="17"/>
          <w:color w:val="auto"/>
        </w:rPr>
        <w:t>At September 28, 2022, the Company had total unrecognized compensation expense of $2.5 million related to unvested stock options, which it expects to recognize over a weighted-average period of 3.20 years.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 summary of restricted share activity as of September 28, 2022 and changes during the thirty-nine weeks ended</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September 28, 2022 is as follows: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92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65"/>
        </w:trPr>
        <w:tc>
          <w:tcPr>
            <w:tcW w:w="66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7"/>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shares at December 29, 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495,780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w:t>
            </w:r>
          </w:p>
        </w:tc>
        <w:tc>
          <w:tcPr>
            <w:tcW w:w="0" w:type="dxa"/>
            <w:vAlign w:val="bottom"/>
          </w:tcPr>
          <w:p>
            <w:pPr>
              <w:spacing w:after="0"/>
              <w:rPr>
                <w:sz w:val="1"/>
                <w:szCs w:val="1"/>
                <w:color w:val="auto"/>
              </w:rPr>
            </w:pPr>
          </w:p>
        </w:tc>
      </w:tr>
      <w:tr>
        <w:trPr>
          <w:trHeight w:val="205"/>
        </w:trPr>
        <w:tc>
          <w:tcPr>
            <w:tcW w:w="66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352,114</w:t>
            </w:r>
          </w:p>
        </w:tc>
        <w:tc>
          <w:tcPr>
            <w:tcW w:w="3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0" w:type="dxa"/>
            <w:vAlign w:val="bottom"/>
          </w:tcPr>
          <w:p>
            <w:pPr>
              <w:spacing w:after="0"/>
              <w:rPr>
                <w:sz w:val="1"/>
                <w:szCs w:val="1"/>
                <w:color w:val="auto"/>
              </w:rPr>
            </w:pPr>
          </w:p>
        </w:tc>
      </w:tr>
      <w:tr>
        <w:trPr>
          <w:trHeight w:val="205"/>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Released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(180,696)</w:t>
            </w:r>
          </w:p>
        </w:tc>
        <w:tc>
          <w:tcPr>
            <w:tcW w:w="3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w:t>
            </w:r>
          </w:p>
        </w:tc>
        <w:tc>
          <w:tcPr>
            <w:tcW w:w="0" w:type="dxa"/>
            <w:vAlign w:val="bottom"/>
          </w:tcPr>
          <w:p>
            <w:pPr>
              <w:spacing w:after="0"/>
              <w:rPr>
                <w:sz w:val="1"/>
                <w:szCs w:val="1"/>
                <w:color w:val="auto"/>
              </w:rPr>
            </w:pPr>
          </w:p>
        </w:tc>
      </w:tr>
      <w:tr>
        <w:trPr>
          <w:trHeight w:val="205"/>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Forfeited, cancelled, or expired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(27,931)</w:t>
            </w:r>
          </w:p>
        </w:tc>
        <w:tc>
          <w:tcPr>
            <w:tcW w:w="340" w:type="dxa"/>
            <w:vAlign w:val="bottom"/>
            <w:tcBorders>
              <w:bottom w:val="single" w:sz="8" w:color="CCEEFF"/>
            </w:tcBorders>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0" w:type="dxa"/>
            <w:vAlign w:val="bottom"/>
          </w:tcPr>
          <w:p>
            <w:pPr>
              <w:spacing w:after="0"/>
              <w:rPr>
                <w:sz w:val="1"/>
                <w:szCs w:val="1"/>
                <w:color w:val="auto"/>
              </w:rPr>
            </w:pPr>
          </w:p>
        </w:tc>
      </w:tr>
      <w:tr>
        <w:trPr>
          <w:trHeight w:val="197"/>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shares at September 28, 2022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639,267</w:t>
            </w:r>
          </w:p>
        </w:tc>
        <w:tc>
          <w:tcPr>
            <w:tcW w:w="340" w:type="dxa"/>
            <w:vAlign w:val="bottom"/>
            <w:tcBorders>
              <w:bottom w:val="single" w:sz="8" w:color="CCEEFF"/>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right="499"/>
        <w:spacing w:after="0" w:line="283" w:lineRule="auto"/>
        <w:rPr>
          <w:sz w:val="20"/>
          <w:szCs w:val="20"/>
          <w:color w:val="auto"/>
        </w:rPr>
      </w:pPr>
      <w:r>
        <w:rPr>
          <w:rFonts w:ascii="Times New Roman" w:cs="Times New Roman" w:eastAsia="Times New Roman" w:hAnsi="Times New Roman"/>
          <w:sz w:val="17"/>
          <w:szCs w:val="17"/>
          <w:color w:val="auto"/>
        </w:rPr>
        <w:t>At September 28, 2022, the Company had unrecognized compensation expense of $6.4 million related to unvested restricted shares, which it expects to recognize over a weighted-average period of 2.76 years.</w:t>
      </w:r>
    </w:p>
    <w:p>
      <w:pPr>
        <w:spacing w:after="0" w:line="153" w:lineRule="exact"/>
        <w:rPr>
          <w:sz w:val="20"/>
          <w:szCs w:val="20"/>
          <w:color w:val="auto"/>
        </w:rPr>
      </w:pPr>
    </w:p>
    <w:p>
      <w:pPr>
        <w:ind w:left="40" w:right="819"/>
        <w:spacing w:after="0" w:line="267" w:lineRule="auto"/>
        <w:rPr>
          <w:sz w:val="20"/>
          <w:szCs w:val="20"/>
          <w:color w:val="auto"/>
        </w:rPr>
      </w:pPr>
      <w:r>
        <w:rPr>
          <w:rFonts w:ascii="Times New Roman" w:cs="Times New Roman" w:eastAsia="Times New Roman" w:hAnsi="Times New Roman"/>
          <w:sz w:val="17"/>
          <w:szCs w:val="17"/>
          <w:color w:val="auto"/>
        </w:rPr>
        <w:t>Total stock-based compensation expense was $1.0 million and $2.8 million for the thirteen and thirty-nine weeks ended September 28, 2022, respectively, and $1.0 million and $2.9 million for the thirteen and thirty-nine weeks ended September 29, 2021.</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4. LONG-TERM DEBT</w:t>
      </w:r>
    </w:p>
    <w:p>
      <w:pPr>
        <w:spacing w:after="0" w:line="218" w:lineRule="exact"/>
        <w:rPr>
          <w:sz w:val="20"/>
          <w:szCs w:val="20"/>
          <w:color w:val="auto"/>
        </w:rPr>
      </w:pPr>
    </w:p>
    <w:p>
      <w:pPr>
        <w:ind w:left="40" w:right="179"/>
        <w:spacing w:after="0" w:line="255" w:lineRule="auto"/>
        <w:rPr>
          <w:sz w:val="20"/>
          <w:szCs w:val="20"/>
          <w:color w:val="auto"/>
        </w:rPr>
      </w:pPr>
      <w:r>
        <w:rPr>
          <w:rFonts w:ascii="Times New Roman" w:cs="Times New Roman" w:eastAsia="Times New Roman" w:hAnsi="Times New Roman"/>
          <w:sz w:val="17"/>
          <w:szCs w:val="17"/>
          <w:color w:val="auto"/>
        </w:rPr>
        <w:t>On July 27, 2022, the Company refinanced and terminated its credit agreement (the “2018 Credit Agreement”) among EPL, as borrower, the Company and Intermediate, as guarantors, Bank of America, N.A., as administrative agent, swingline lender, and letter of credit issuer, the lenders party thereto, and the other parties thereto, which provided for a $150.0 million five-year senior secured revolving credit facility (the “2018 Revolver”). The 2018 Revolver was refinanced pursuant to a credit agreement (the “2022 Credit Agreement”) among EPL, as borrower, the Company and Intermediate, as guarantors, Bank of America, N.A., as administrative agent, swingline lender, and letter of credit issuer, the lenders party thereto, and the other parties thereto, which provides for a $150.0 million five-year senior secured revolving credit facility (the “2022 Revolver”). In connection with the refinancing, the 2018 Credit Agreement was terminated.</w:t>
      </w:r>
    </w:p>
    <w:p>
      <w:pPr>
        <w:spacing w:after="0" w:line="180" w:lineRule="exact"/>
        <w:rPr>
          <w:sz w:val="20"/>
          <w:szCs w:val="20"/>
          <w:color w:val="auto"/>
        </w:rPr>
      </w:pPr>
    </w:p>
    <w:p>
      <w:pPr>
        <w:ind w:left="40" w:right="219"/>
        <w:spacing w:after="0" w:line="259" w:lineRule="auto"/>
        <w:rPr>
          <w:sz w:val="20"/>
          <w:szCs w:val="20"/>
          <w:color w:val="auto"/>
        </w:rPr>
      </w:pPr>
      <w:r>
        <w:rPr>
          <w:rFonts w:ascii="Times New Roman" w:cs="Times New Roman" w:eastAsia="Times New Roman" w:hAnsi="Times New Roman"/>
          <w:sz w:val="17"/>
          <w:szCs w:val="17"/>
          <w:color w:val="auto"/>
        </w:rPr>
        <w:t>The 2022 Revolver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spacing w:after="0" w:line="173"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7"/>
          <w:szCs w:val="17"/>
          <w:color w:val="auto"/>
        </w:rPr>
        <w:t>The special dividend announced by the Company’s Board of Directors on October 11, 2022 is permitted under the terms of 2022 Revolver pursuant to both subclause (iii)(d) and (iii)(e) of the preceding sentence. Under the 2022 Revolver, Holdings is restricted from making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pacing w:after="0" w:line="186" w:lineRule="exact"/>
        <w:rPr>
          <w:sz w:val="20"/>
          <w:szCs w:val="20"/>
          <w:color w:val="auto"/>
        </w:rPr>
      </w:pPr>
    </w:p>
    <w:p>
      <w:pPr>
        <w:ind w:left="40" w:right="419"/>
        <w:spacing w:after="0" w:line="267" w:lineRule="auto"/>
        <w:rPr>
          <w:sz w:val="20"/>
          <w:szCs w:val="20"/>
          <w:color w:val="auto"/>
        </w:rPr>
      </w:pPr>
      <w:r>
        <w:rPr>
          <w:rFonts w:ascii="Times New Roman" w:cs="Times New Roman" w:eastAsia="Times New Roman" w:hAnsi="Times New Roman"/>
          <w:sz w:val="17"/>
          <w:szCs w:val="17"/>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w:t>
      </w:r>
    </w:p>
    <w:p>
      <w:pPr>
        <w:sectPr>
          <w:pgSz w:w="11900" w:h="16838" w:orient="portrait"/>
          <w:cols w:equalWidth="0" w:num="1">
            <w:col w:w="9019"/>
          </w:cols>
          <w:pgMar w:left="1440" w:top="494" w:right="1440"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348615</wp:posOffset>
            </wp:positionV>
            <wp:extent cx="566102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calculated as the highest of (a) the federal funds rate plus 0.50%, (b) the published Bank of America prime rate, or (c) Term SOFR with a term of one-month SOFR plus 1.00%. For Term SOFR loans, the margin is in the range of 1.25% to 2.25%, and for base rate loans the margin is in a range of 0.25% to 1.25%. Borrowings under the 2022 Revolver may be repaid and reborrowed. The interest rate range was 2.87% to 6.00% and 1.35% to 6.00% for the thirteen and thirty-nine weeks ended September 28, 2022, respectively, and 1.34% to 1.35% and 1.34% to 1.65% for the thirteen and thirty-nine weeks ended September 29, 2021.</w:t>
      </w:r>
    </w:p>
    <w:p>
      <w:pPr>
        <w:spacing w:after="0" w:line="173" w:lineRule="exact"/>
        <w:rPr>
          <w:sz w:val="20"/>
          <w:szCs w:val="20"/>
          <w:color w:val="auto"/>
        </w:rPr>
      </w:pPr>
    </w:p>
    <w:p>
      <w:pPr>
        <w:ind w:left="40" w:right="59"/>
        <w:spacing w:after="0" w:line="283" w:lineRule="auto"/>
        <w:rPr>
          <w:sz w:val="20"/>
          <w:szCs w:val="20"/>
          <w:color w:val="auto"/>
        </w:rPr>
      </w:pPr>
      <w:r>
        <w:rPr>
          <w:rFonts w:ascii="Times New Roman" w:cs="Times New Roman" w:eastAsia="Times New Roman" w:hAnsi="Times New Roman"/>
          <w:sz w:val="17"/>
          <w:szCs w:val="17"/>
          <w:color w:val="auto"/>
        </w:rPr>
        <w:t>The 2022 Credit Agreement contains certain financial covenants. The Company was in compliance with the financial covenants as of September 28, 2022.</w:t>
      </w:r>
    </w:p>
    <w:p>
      <w:pPr>
        <w:spacing w:after="0" w:line="153" w:lineRule="exact"/>
        <w:rPr>
          <w:sz w:val="20"/>
          <w:szCs w:val="20"/>
          <w:color w:val="auto"/>
        </w:rPr>
      </w:pPr>
    </w:p>
    <w:p>
      <w:pPr>
        <w:ind w:left="40" w:right="699"/>
        <w:spacing w:after="0" w:line="283" w:lineRule="auto"/>
        <w:rPr>
          <w:sz w:val="20"/>
          <w:szCs w:val="20"/>
          <w:color w:val="auto"/>
        </w:rPr>
      </w:pPr>
      <w:r>
        <w:rPr>
          <w:rFonts w:ascii="Times New Roman" w:cs="Times New Roman" w:eastAsia="Times New Roman" w:hAnsi="Times New Roman"/>
          <w:sz w:val="17"/>
          <w:szCs w:val="17"/>
          <w:color w:val="auto"/>
        </w:rPr>
        <w:t>At September 28, 2022, $10.0 million of letters of credit and $20.0 million in borrowings under the 2022 Revolver were outstanding. The Company had $120.0 million in borrowing availability under the 2022 Revolver at September 28, 2022.</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Maturities</w:t>
      </w:r>
    </w:p>
    <w:p>
      <w:pPr>
        <w:spacing w:after="0" w:line="218" w:lineRule="exact"/>
        <w:rPr>
          <w:sz w:val="20"/>
          <w:szCs w:val="20"/>
          <w:color w:val="auto"/>
        </w:rPr>
      </w:pPr>
    </w:p>
    <w:p>
      <w:pPr>
        <w:ind w:left="40" w:right="259"/>
        <w:spacing w:after="0" w:line="262" w:lineRule="auto"/>
        <w:rPr>
          <w:sz w:val="20"/>
          <w:szCs w:val="20"/>
          <w:color w:val="auto"/>
        </w:rPr>
      </w:pPr>
      <w:r>
        <w:rPr>
          <w:rFonts w:ascii="Times New Roman" w:cs="Times New Roman" w:eastAsia="Times New Roman" w:hAnsi="Times New Roman"/>
          <w:sz w:val="17"/>
          <w:szCs w:val="17"/>
          <w:color w:val="auto"/>
        </w:rPr>
        <w:t>On July 27, 2022, the Company refinanced and terminated the 2018 Revolver pursuant to the 2022 Credit Agreement. During both the thirteen and thirty-nine weeks ended September 28, 2022 the Company paid down $20.0 million on the 2022 Revolver. During the thirty-nine weeks ended September 29, 2021, the Company paid down $22.8 million on the 2018 Revolver none of which was paid during the thirteen weeks ended September 29, 2021.</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Interest Rate Swap</w:t>
      </w:r>
    </w:p>
    <w:p>
      <w:pPr>
        <w:spacing w:after="0" w:line="218" w:lineRule="exact"/>
        <w:rPr>
          <w:sz w:val="20"/>
          <w:szCs w:val="20"/>
          <w:color w:val="auto"/>
        </w:rPr>
      </w:pPr>
    </w:p>
    <w:p>
      <w:pPr>
        <w:ind w:left="40" w:right="79"/>
        <w:spacing w:after="0" w:line="257" w:lineRule="auto"/>
        <w:rPr>
          <w:sz w:val="20"/>
          <w:szCs w:val="20"/>
          <w:color w:val="auto"/>
        </w:rPr>
      </w:pPr>
      <w:r>
        <w:rPr>
          <w:rFonts w:ascii="Times New Roman" w:cs="Times New Roman" w:eastAsia="Times New Roman" w:hAnsi="Times New Roman"/>
          <w:sz w:val="17"/>
          <w:szCs w:val="17"/>
          <w:color w:val="auto"/>
        </w:rPr>
        <w:t>During the year ended December 25, 2019, the Company entered into a variable-to-fixed interest rate swap agreement with a notional amount of $40.0 million that matures in June 2023. The objective of the interest rate swap was to reduce the Company’s exposure to interest rate risk for a portion of its variable-rate interest payments on its borrowings under the 2018 Revolver. The interest rate swap was designated as a cash flow hedge, as the changes in the future cash flows of the swap were expected to offset changes in expected future interest payments on the related variable-rate debt, in accordance with Accounting Standards Codification (“ASC”) 815 “Derivatives and Hedging.”</w:t>
      </w:r>
    </w:p>
    <w:p>
      <w:pPr>
        <w:spacing w:after="0" w:line="177"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In connection with the Company’s entry into the 2022 Credit Agreement, it terminated the interest rate swap on July 28, 2022 which was previously used to hedge interest rate risk. Prior to the interest rate swap termination, the swap was a highly effective cash flow hedge. In settlement of this swap, the Company received approximately $0.6 million and derecognized the corresponding interest rate swap asset. The remaining amount in AOCI related to the hedging relationship will be reclassified into earnings when the hedged forecasted transaction is reported in earnings.</w:t>
      </w:r>
    </w:p>
    <w:p>
      <w:pPr>
        <w:spacing w:after="0" w:line="173" w:lineRule="exact"/>
        <w:rPr>
          <w:sz w:val="20"/>
          <w:szCs w:val="20"/>
          <w:color w:val="auto"/>
        </w:rPr>
      </w:pPr>
    </w:p>
    <w:p>
      <w:pPr>
        <w:ind w:left="40" w:right="579"/>
        <w:spacing w:after="0" w:line="283" w:lineRule="auto"/>
        <w:rPr>
          <w:sz w:val="20"/>
          <w:szCs w:val="20"/>
          <w:color w:val="auto"/>
        </w:rPr>
      </w:pPr>
      <w:r>
        <w:rPr>
          <w:rFonts w:ascii="Times New Roman" w:cs="Times New Roman" w:eastAsia="Times New Roman" w:hAnsi="Times New Roman"/>
          <w:sz w:val="17"/>
          <w:szCs w:val="17"/>
          <w:color w:val="auto"/>
        </w:rPr>
        <w:t>As of September 28, 2022, the estimated net gains included in AOCI related to the Company’s cash flow hedge that will be reclassified into earnings in the next 12 months is $0.3 million, based on current Term SOFR interest rates.</w:t>
      </w:r>
    </w:p>
    <w:p>
      <w:pPr>
        <w:spacing w:after="0" w:line="153" w:lineRule="exact"/>
        <w:rPr>
          <w:sz w:val="20"/>
          <w:szCs w:val="20"/>
          <w:color w:val="auto"/>
        </w:rPr>
      </w:pPr>
    </w:p>
    <w:p>
      <w:pPr>
        <w:ind w:left="40" w:right="419"/>
        <w:spacing w:after="0" w:line="283" w:lineRule="auto"/>
        <w:rPr>
          <w:sz w:val="20"/>
          <w:szCs w:val="20"/>
          <w:color w:val="auto"/>
        </w:rPr>
      </w:pPr>
      <w:r>
        <w:rPr>
          <w:rFonts w:ascii="Times New Roman" w:cs="Times New Roman" w:eastAsia="Times New Roman" w:hAnsi="Times New Roman"/>
          <w:sz w:val="17"/>
          <w:szCs w:val="17"/>
          <w:color w:val="auto"/>
        </w:rPr>
        <w:t>The following table shows the financial statement line item and amount of the Company’s cash flow hedge accounting on the condensed consolidated balance sheets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2022</w:t>
            </w:r>
          </w:p>
        </w:tc>
        <w:tc>
          <w:tcPr>
            <w:tcW w:w="2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29, 2021</w:t>
            </w:r>
          </w:p>
        </w:tc>
      </w:tr>
      <w:tr>
        <w:trPr>
          <w:trHeight w:val="133"/>
        </w:trPr>
        <w:tc>
          <w:tcPr>
            <w:tcW w:w="5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7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1"/>
                <w:szCs w:val="11"/>
                <w:color w:val="auto"/>
              </w:rPr>
            </w:pPr>
          </w:p>
        </w:tc>
        <w:tc>
          <w:tcPr>
            <w:tcW w:w="90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74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7"/>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 - Interest rate swap</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40,000</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r>
    </w:tbl>
    <w:p>
      <w:pPr>
        <w:spacing w:after="0" w:line="188" w:lineRule="exact"/>
        <w:rPr>
          <w:sz w:val="20"/>
          <w:szCs w:val="20"/>
          <w:color w:val="auto"/>
        </w:rPr>
      </w:pPr>
    </w:p>
    <w:p>
      <w:pPr>
        <w:ind w:left="40" w:right="759"/>
        <w:spacing w:after="0" w:line="283" w:lineRule="auto"/>
        <w:rPr>
          <w:sz w:val="20"/>
          <w:szCs w:val="20"/>
          <w:color w:val="auto"/>
        </w:rPr>
      </w:pPr>
      <w:r>
        <w:rPr>
          <w:rFonts w:ascii="Times New Roman" w:cs="Times New Roman" w:eastAsia="Times New Roman" w:hAnsi="Times New Roman"/>
          <w:sz w:val="17"/>
          <w:szCs w:val="17"/>
          <w:color w:val="auto"/>
        </w:rPr>
        <w:t>The following table summarizes the effect of the Company’s cash flow hedge accounting on the condensed consolidated statements of income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14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126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14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on hedged portion of debt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205"/>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Interest (income) expense on interest rate swap</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0" w:type="dxa"/>
            <w:vAlign w:val="bottom"/>
          </w:tcPr>
          <w:p>
            <w:pPr>
              <w:spacing w:after="0"/>
              <w:rPr>
                <w:sz w:val="1"/>
                <w:szCs w:val="1"/>
                <w:color w:val="auto"/>
              </w:rPr>
            </w:pPr>
          </w:p>
        </w:tc>
      </w:tr>
      <w:tr>
        <w:trPr>
          <w:trHeight w:val="168"/>
        </w:trPr>
        <w:tc>
          <w:tcPr>
            <w:tcW w:w="3620" w:type="dxa"/>
            <w:vAlign w:val="bottom"/>
            <w:shd w:val="clear" w:color="auto" w:fill="CCEEFF"/>
          </w:tcPr>
          <w:p>
            <w:pPr>
              <w:ind w:left="100"/>
              <w:spacing w:after="0" w:line="168" w:lineRule="exact"/>
              <w:rPr>
                <w:sz w:val="20"/>
                <w:szCs w:val="20"/>
                <w:color w:val="auto"/>
              </w:rPr>
            </w:pPr>
            <w:r>
              <w:rPr>
                <w:rFonts w:ascii="Times New Roman" w:cs="Times New Roman" w:eastAsia="Times New Roman" w:hAnsi="Times New Roman"/>
                <w:sz w:val="17"/>
                <w:szCs w:val="17"/>
                <w:color w:val="auto"/>
              </w:rPr>
              <w:t>Interest (income) expense on debt and derivatives,</w:t>
            </w:r>
          </w:p>
        </w:tc>
        <w:tc>
          <w:tcPr>
            <w:tcW w:w="460" w:type="dxa"/>
            <w:vAlign w:val="bottom"/>
            <w:gridSpan w:val="2"/>
            <w:vMerge w:val="restart"/>
            <w:shd w:val="clear" w:color="auto" w:fill="CCEEFF"/>
          </w:tcPr>
          <w:p>
            <w:pPr>
              <w:jc w:val="right"/>
              <w:ind w:right="20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900" w:type="dxa"/>
            <w:vAlign w:val="bottom"/>
            <w:gridSpan w:val="2"/>
            <w:vMerge w:val="restart"/>
            <w:shd w:val="clear" w:color="auto" w:fill="CCEEFF"/>
          </w:tcPr>
          <w:p>
            <w:pPr>
              <w:jc w:val="right"/>
              <w:ind w:right="60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34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960" w:type="dxa"/>
            <w:vAlign w:val="bottom"/>
            <w:gridSpan w:val="2"/>
            <w:vMerge w:val="restart"/>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0" w:type="dxa"/>
            <w:vAlign w:val="bottom"/>
          </w:tcPr>
          <w:p>
            <w:pPr>
              <w:spacing w:after="0"/>
              <w:rPr>
                <w:sz w:val="1"/>
                <w:szCs w:val="1"/>
                <w:color w:val="auto"/>
              </w:rPr>
            </w:pPr>
          </w:p>
        </w:tc>
      </w:tr>
      <w:tr>
        <w:trPr>
          <w:trHeight w:val="208"/>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w:t>
            </w:r>
          </w:p>
        </w:tc>
        <w:tc>
          <w:tcPr>
            <w:tcW w:w="46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318"/>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3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4"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320"/>
        <w:spacing w:after="0" w:line="283" w:lineRule="auto"/>
        <w:rPr>
          <w:sz w:val="20"/>
          <w:szCs w:val="20"/>
          <w:color w:val="auto"/>
        </w:rPr>
      </w:pPr>
      <w:r>
        <w:rPr>
          <w:rFonts w:ascii="Times New Roman" w:cs="Times New Roman" w:eastAsia="Times New Roman" w:hAnsi="Times New Roman"/>
          <w:sz w:val="17"/>
          <w:szCs w:val="17"/>
          <w:color w:val="auto"/>
        </w:rPr>
        <w:t>The following table summarizes the effect of the Company’s cash flow hedge accounting on AOCI for the thirteen and thirty-nine weeks ended September 28, 2022 and September 29, 2021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jc w:val="right"/>
              <w:ind w:right="112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jc w:val="right"/>
              <w:ind w:right="26"/>
              <w:spacing w:after="0" w:line="109" w:lineRule="exact"/>
              <w:rPr>
                <w:sz w:val="20"/>
                <w:szCs w:val="20"/>
                <w:color w:val="auto"/>
              </w:rPr>
            </w:pPr>
            <w:r>
              <w:rPr>
                <w:rFonts w:ascii="Times New Roman" w:cs="Times New Roman" w:eastAsia="Times New Roman" w:hAnsi="Times New Roman"/>
                <w:sz w:val="12"/>
                <w:szCs w:val="12"/>
                <w:b w:val="1"/>
                <w:bCs w:val="1"/>
                <w:color w:val="auto"/>
              </w:rPr>
              <w:t>Loss Reclassified from</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80" w:type="dxa"/>
            <w:vAlign w:val="bottom"/>
            <w:gridSpan w:val="2"/>
            <w:vMerge w:val="restart"/>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Net Gain Recognized in OCI</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40" w:type="dxa"/>
            <w:vAlign w:val="bottom"/>
            <w:gridSpan w:val="2"/>
          </w:tcPr>
          <w:p>
            <w:pPr>
              <w:jc w:val="right"/>
              <w:ind w:right="403"/>
              <w:spacing w:after="0" w:line="109" w:lineRule="exact"/>
              <w:rPr>
                <w:sz w:val="20"/>
                <w:szCs w:val="20"/>
                <w:color w:val="auto"/>
              </w:rPr>
            </w:pPr>
            <w:r>
              <w:rPr>
                <w:rFonts w:ascii="Times New Roman" w:cs="Times New Roman" w:eastAsia="Times New Roman" w:hAnsi="Times New Roman"/>
                <w:sz w:val="12"/>
                <w:szCs w:val="12"/>
                <w:b w:val="1"/>
                <w:bCs w:val="1"/>
                <w:color w:val="auto"/>
              </w:rPr>
              <w:t>Loss Reclassified from</w:t>
            </w:r>
          </w:p>
        </w:tc>
        <w:tc>
          <w:tcPr>
            <w:tcW w:w="0" w:type="dxa"/>
            <w:vAlign w:val="bottom"/>
          </w:tcPr>
          <w:p>
            <w:pPr>
              <w:spacing w:after="0"/>
              <w:rPr>
                <w:sz w:val="1"/>
                <w:szCs w:val="1"/>
                <w:color w:val="auto"/>
              </w:rPr>
            </w:pPr>
          </w:p>
        </w:tc>
      </w:tr>
      <w:tr>
        <w:trPr>
          <w:trHeight w:val="165"/>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Net Gain (Loss) Recognized in OCI  AOCI into Interest (Income) Expense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AOCI into Interest (Income) Expense</w:t>
            </w:r>
          </w:p>
        </w:tc>
        <w:tc>
          <w:tcPr>
            <w:tcW w:w="0" w:type="dxa"/>
            <w:vAlign w:val="bottom"/>
          </w:tcPr>
          <w:p>
            <w:pPr>
              <w:spacing w:after="0"/>
              <w:rPr>
                <w:sz w:val="1"/>
                <w:szCs w:val="1"/>
                <w:color w:val="auto"/>
              </w:rPr>
            </w:pPr>
          </w:p>
        </w:tc>
      </w:tr>
      <w:tr>
        <w:trPr>
          <w:trHeight w:val="133"/>
        </w:trPr>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500" w:type="dxa"/>
            <w:vAlign w:val="bottom"/>
            <w:tcBorders>
              <w:top w:val="single" w:sz="8" w:color="auto"/>
              <w:bottom w:val="single" w:sz="8" w:color="auto"/>
            </w:tcBorders>
            <w:gridSpan w:val="5"/>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5"/>
              </w:rPr>
              <w:t>September 28, 2022September 29, 2021September 28, 2022September 29, 2021</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11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7"/>
              </w:rPr>
              <w:t>September 29, 2021</w:t>
            </w:r>
          </w:p>
        </w:tc>
        <w:tc>
          <w:tcPr>
            <w:tcW w:w="140" w:type="dxa"/>
            <w:vAlign w:val="bottom"/>
            <w:tcBorders>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110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8"/>
              </w:rPr>
              <w:t>September 29, 202</w:t>
            </w:r>
          </w:p>
        </w:tc>
        <w:tc>
          <w:tcPr>
            <w:tcW w:w="0" w:type="dxa"/>
            <w:vAlign w:val="bottom"/>
          </w:tcPr>
          <w:p>
            <w:pPr>
              <w:spacing w:after="0"/>
              <w:rPr>
                <w:sz w:val="1"/>
                <w:szCs w:val="1"/>
                <w:color w:val="auto"/>
              </w:rPr>
            </w:pPr>
          </w:p>
        </w:tc>
      </w:tr>
      <w:tr>
        <w:trPr>
          <w:trHeight w:val="168"/>
        </w:trPr>
        <w:tc>
          <w:tcPr>
            <w:tcW w:w="58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Interest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rate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swap</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43 $</w:t>
            </w:r>
          </w:p>
        </w:tc>
        <w:tc>
          <w:tcPr>
            <w:tcW w:w="11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(32)$</w:t>
            </w:r>
          </w:p>
        </w:tc>
        <w:tc>
          <w:tcPr>
            <w:tcW w:w="1600" w:type="dxa"/>
            <w:vAlign w:val="bottom"/>
            <w:shd w:val="clear" w:color="auto" w:fill="CCEEFF"/>
          </w:tcPr>
          <w:p>
            <w:pPr>
              <w:jc w:val="right"/>
              <w:ind w:right="586"/>
              <w:spacing w:after="0"/>
              <w:rPr>
                <w:sz w:val="20"/>
                <w:szCs w:val="20"/>
                <w:color w:val="auto"/>
              </w:rPr>
            </w:pPr>
            <w:r>
              <w:rPr>
                <w:rFonts w:ascii="Times New Roman" w:cs="Times New Roman" w:eastAsia="Times New Roman" w:hAnsi="Times New Roman"/>
                <w:sz w:val="17"/>
                <w:szCs w:val="17"/>
                <w:color w:val="auto"/>
              </w:rPr>
              <w:t>(369)$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 w:right="1480"/>
        <w:spacing w:after="0" w:line="283" w:lineRule="auto"/>
        <w:rPr>
          <w:sz w:val="20"/>
          <w:szCs w:val="20"/>
          <w:color w:val="auto"/>
        </w:rPr>
      </w:pPr>
      <w:r>
        <w:rPr>
          <w:rFonts w:ascii="Times New Roman" w:cs="Times New Roman" w:eastAsia="Times New Roman" w:hAnsi="Times New Roman"/>
          <w:sz w:val="17"/>
          <w:szCs w:val="17"/>
          <w:color w:val="auto"/>
        </w:rPr>
        <w:t>See Note 1, “Basis of Presentation and Summary of Significant Accounting Policies” for information about the fair value of the Company’s derivative asset.</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5. OTHER ACCRUED EXPENSES AND CURRENT LIABILITIES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Other accrued expenses and current liabilities consist of the following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5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December 29, 2021</w:t>
            </w:r>
          </w:p>
        </w:tc>
        <w:tc>
          <w:tcPr>
            <w:tcW w:w="0" w:type="dxa"/>
            <w:vAlign w:val="bottom"/>
          </w:tcPr>
          <w:p>
            <w:pPr>
              <w:spacing w:after="0"/>
              <w:rPr>
                <w:sz w:val="1"/>
                <w:szCs w:val="1"/>
                <w:color w:val="auto"/>
              </w:rPr>
            </w:pPr>
          </w:p>
        </w:tc>
      </w:tr>
      <w:tr>
        <w:trPr>
          <w:trHeight w:val="197"/>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sales and property taxes</w:t>
            </w:r>
          </w:p>
        </w:tc>
        <w:tc>
          <w:tcPr>
            <w:tcW w:w="9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5,652</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4,726</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Gift card liability</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4,622</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Loyalty rewards program liability</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Accrued advertising</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3,635</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legal settlements and professional fees</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Deferred franchise and development fees</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Employer social security tax deferral</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2,543</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4,453</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4,718</w:t>
            </w:r>
          </w:p>
        </w:tc>
        <w:tc>
          <w:tcPr>
            <w:tcW w:w="0" w:type="dxa"/>
            <w:vAlign w:val="bottom"/>
          </w:tcPr>
          <w:p>
            <w:pPr>
              <w:spacing w:after="0"/>
              <w:rPr>
                <w:sz w:val="1"/>
                <w:szCs w:val="1"/>
                <w:color w:val="auto"/>
              </w:rPr>
            </w:pPr>
          </w:p>
        </w:tc>
      </w:tr>
      <w:tr>
        <w:trPr>
          <w:trHeight w:val="197"/>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accrued expenses and current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18,930</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19,796</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6. OTHER NONCURRENT LIABILITIES</w:t>
            </w:r>
          </w:p>
        </w:tc>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4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 consist of the following (in thousands):</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December 29, 2021</w:t>
            </w:r>
          </w:p>
        </w:tc>
        <w:tc>
          <w:tcPr>
            <w:tcW w:w="0" w:type="dxa"/>
            <w:vAlign w:val="bottom"/>
          </w:tcPr>
          <w:p>
            <w:pPr>
              <w:spacing w:after="0"/>
              <w:rPr>
                <w:sz w:val="1"/>
                <w:szCs w:val="1"/>
                <w:color w:val="auto"/>
              </w:rPr>
            </w:pPr>
          </w:p>
        </w:tc>
      </w:tr>
      <w:tr>
        <w:trPr>
          <w:trHeight w:val="197"/>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franchise and development fees</w:t>
            </w:r>
          </w:p>
        </w:tc>
        <w:tc>
          <w:tcPr>
            <w:tcW w:w="9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5,761</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5,691</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Derivative liability</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Employer social security tax deferral</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w:t>
            </w:r>
          </w:p>
        </w:tc>
        <w:tc>
          <w:tcPr>
            <w:tcW w:w="0" w:type="dxa"/>
            <w:vAlign w:val="bottom"/>
          </w:tcPr>
          <w:p>
            <w:pPr>
              <w:spacing w:after="0"/>
              <w:rPr>
                <w:sz w:val="1"/>
                <w:szCs w:val="1"/>
                <w:color w:val="auto"/>
              </w:rPr>
            </w:pPr>
          </w:p>
        </w:tc>
      </w:tr>
      <w:tr>
        <w:trPr>
          <w:trHeight w:val="205"/>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197"/>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noncurrent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5,862</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7. COMMITMENTS AND CONTINGENCIES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8" w:lineRule="exact"/>
        <w:rPr>
          <w:sz w:val="20"/>
          <w:szCs w:val="20"/>
          <w:color w:val="auto"/>
        </w:rPr>
      </w:pPr>
    </w:p>
    <w:p>
      <w:pPr>
        <w:ind w:left="40" w:right="1300"/>
        <w:spacing w:after="0" w:line="254" w:lineRule="auto"/>
        <w:rPr>
          <w:sz w:val="20"/>
          <w:szCs w:val="20"/>
          <w:color w:val="auto"/>
        </w:rPr>
      </w:pPr>
      <w:r>
        <w:rPr>
          <w:rFonts w:ascii="Times New Roman" w:cs="Times New Roman" w:eastAsia="Times New Roman" w:hAnsi="Times New Roman"/>
          <w:sz w:val="17"/>
          <w:szCs w:val="17"/>
          <w:color w:val="auto"/>
        </w:rPr>
        <w:t>On or about November 5, 2015, a purported Holdings shareholder filed a derivative complaint on behalf of Holdings in the Court of Chancery of the State of Delaware against certain Holdings officers, directors and Trimaran Pollo Partners, L.L.C., under the caption Armen Galustyan v. Sather, et al.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Holdings shareholder voluntarily dismissed the action on October 7, 2020. A second purported Holdings shareholder filed a derivative complaint on or about September 23, 2016, under the caption Diep v. Sather, CA 12760-VCL in the Delaware Court of</w:t>
      </w:r>
    </w:p>
    <w:p>
      <w:pPr>
        <w:spacing w:after="0" w:line="3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10220"/>
          </w:cols>
          <w:pgMar w:left="1440" w:top="494" w:right="239"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40" w:right="99"/>
        <w:spacing w:after="0" w:line="283" w:lineRule="auto"/>
        <w:rPr>
          <w:sz w:val="20"/>
          <w:szCs w:val="20"/>
          <w:color w:val="auto"/>
        </w:rPr>
      </w:pPr>
      <w:r>
        <w:rPr>
          <w:rFonts w:ascii="Times New Roman" w:cs="Times New Roman" w:eastAsia="Times New Roman" w:hAnsi="Times New Roman"/>
          <w:sz w:val="17"/>
          <w:szCs w:val="17"/>
          <w:color w:val="auto"/>
        </w:rPr>
        <w:t>Chancery. The Diep action is also purportedly brought on behalf of Holdings, names the same defendants and asserts substantially the same claims on substantially the same alleged facts as does Galustyan. Defendants moved to stay or dismiss the Diep action.</w:t>
      </w:r>
    </w:p>
    <w:p>
      <w:pPr>
        <w:spacing w:after="0" w:line="153" w:lineRule="exact"/>
        <w:rPr>
          <w:sz w:val="20"/>
          <w:szCs w:val="20"/>
          <w:color w:val="auto"/>
        </w:rPr>
      </w:pPr>
    </w:p>
    <w:p>
      <w:pPr>
        <w:jc w:val="both"/>
        <w:ind w:left="40" w:right="99"/>
        <w:spacing w:after="0" w:line="257" w:lineRule="auto"/>
        <w:rPr>
          <w:sz w:val="20"/>
          <w:szCs w:val="20"/>
          <w:color w:val="auto"/>
        </w:rPr>
      </w:pPr>
      <w:r>
        <w:rPr>
          <w:rFonts w:ascii="Times New Roman" w:cs="Times New Roman" w:eastAsia="Times New Roman" w:hAnsi="Times New Roman"/>
          <w:sz w:val="17"/>
          <w:szCs w:val="17"/>
          <w:color w:val="auto"/>
        </w:rPr>
        <w:t>On March 17, 2017, the Delaware court granted in part, and denied in part, the motion to stay the Diep action. The court denied defendants’ motion to dismiss the complaint for failure to state a claim. On January 17, 2018, the court entered an order granting the parties’ stipulation staying all proceedings in the Diep action for five months or until the completion of an investigation of the allegations in the action by a special litigation committee of the Holdings board of directors (the “SLC”). On September 25, 2020, after concluding its investigation, the SLC filed a motion to dismiss the Diep action and filed its investigative report under seal as an exhibit to the motion to dismiss.</w:t>
      </w:r>
    </w:p>
    <w:p>
      <w:pPr>
        <w:spacing w:after="0" w:line="177"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7"/>
          <w:szCs w:val="17"/>
          <w:color w:val="auto"/>
        </w:rPr>
        <w:t>On May 21, 2021, while the SLC’s motion to dismiss the Diep action was pending, the Company filed a notice of proposed partial settlement of the Diep action with respect to defendants Kay Bogeajis, Laurance Roberts, Stephen J. Sather, Edward J. Valle, Douglas K. Ammerman, and Samuel N. Borgese (collectively, the “Settling Defendants”). Defendant Trimaran Pollo Partners, LLC (“Trimaran”) was not a party to the settlement. The court approved the settlement of $625,000, less Plaintiffs’ fees</w:t>
      </w:r>
    </w:p>
    <w:p>
      <w:pPr>
        <w:spacing w:after="0" w:line="2"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7"/>
          <w:szCs w:val="17"/>
          <w:color w:val="auto"/>
        </w:rPr>
        <w:t>of $156,250, on September 10, 2021, and dismissed all claims brought, or that could have been brought, against Settling Defendants. In connection with this settlement, the Company received $469,000 in insurance proceeds, which was recorded within general and administrative expenses in the Company’s statement of income for the thirty-nine weeks ended September 29, 2021.</w:t>
      </w:r>
    </w:p>
    <w:p>
      <w:pPr>
        <w:spacing w:after="0" w:line="175" w:lineRule="exact"/>
        <w:rPr>
          <w:sz w:val="20"/>
          <w:szCs w:val="20"/>
          <w:color w:val="auto"/>
        </w:rPr>
      </w:pPr>
    </w:p>
    <w:p>
      <w:pPr>
        <w:ind w:left="40" w:right="119"/>
        <w:spacing w:after="0" w:line="257" w:lineRule="auto"/>
        <w:rPr>
          <w:sz w:val="20"/>
          <w:szCs w:val="20"/>
          <w:color w:val="auto"/>
        </w:rPr>
      </w:pPr>
      <w:r>
        <w:rPr>
          <w:rFonts w:ascii="Times New Roman" w:cs="Times New Roman" w:eastAsia="Times New Roman" w:hAnsi="Times New Roman"/>
          <w:sz w:val="17"/>
          <w:szCs w:val="17"/>
          <w:color w:val="auto"/>
        </w:rPr>
        <w:t>On July 30, 2021, the court granted the SLC’s motion to dismiss with respect to the claims asserted against remaining defendant Trimaran. On October 4, 2021, Plaintiffs filed a notice of appeal of the court’s granting of the motion to dismiss against defendant Trimaran. Plaintiff filed its opening brief on December 6, 2021. SLC filed its answering brief on December 20, 2021 and the public version of the brief was filed on January 7, 2022. Plaintiffs filed the reply brief on January 4, 2022. The hearing on the appeal took place on March 30, 2022. On June 28, 2022, the court’s granting of the motion to dismiss against Trimaran was affirmed.</w:t>
      </w:r>
    </w:p>
    <w:p>
      <w:pPr>
        <w:spacing w:after="0" w:line="177" w:lineRule="exact"/>
        <w:rPr>
          <w:sz w:val="20"/>
          <w:szCs w:val="20"/>
          <w:color w:val="auto"/>
        </w:rPr>
      </w:pPr>
    </w:p>
    <w:p>
      <w:pPr>
        <w:ind w:left="40" w:right="179"/>
        <w:spacing w:after="0" w:line="259" w:lineRule="auto"/>
        <w:rPr>
          <w:sz w:val="20"/>
          <w:szCs w:val="20"/>
          <w:color w:val="auto"/>
        </w:rPr>
      </w:pPr>
      <w:r>
        <w:rPr>
          <w:rFonts w:ascii="Times New Roman" w:cs="Times New Roman" w:eastAsia="Times New Roman" w:hAnsi="Times New Roman"/>
          <w:sz w:val="17"/>
          <w:szCs w:val="17"/>
          <w:color w:val="auto"/>
        </w:rPr>
        <w:t>The Company is also involved in various other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condensed consolidated financial condition, results of operations, and cash flows.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Purchasing Commitments</w:t>
      </w:r>
    </w:p>
    <w:p>
      <w:pPr>
        <w:spacing w:after="0" w:line="218" w:lineRule="exact"/>
        <w:rPr>
          <w:sz w:val="20"/>
          <w:szCs w:val="20"/>
          <w:color w:val="auto"/>
        </w:rPr>
      </w:pPr>
    </w:p>
    <w:p>
      <w:pPr>
        <w:ind w:left="40" w:right="399"/>
        <w:spacing w:after="0" w:line="262" w:lineRule="auto"/>
        <w:rPr>
          <w:sz w:val="20"/>
          <w:szCs w:val="20"/>
          <w:color w:val="auto"/>
        </w:rPr>
      </w:pPr>
      <w:r>
        <w:rPr>
          <w:rFonts w:ascii="Times New Roman" w:cs="Times New Roman" w:eastAsia="Times New Roman" w:hAnsi="Times New Roman"/>
          <w:sz w:val="17"/>
          <w:szCs w:val="17"/>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At September 28, 2022, the Company’s total estimated commitment to purchase chicken was $9.3 million.</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Contingent Lease Obligations</w:t>
      </w:r>
    </w:p>
    <w:p>
      <w:pPr>
        <w:spacing w:after="0" w:line="218"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7"/>
          <w:szCs w:val="17"/>
          <w:color w:val="auto"/>
        </w:rPr>
        <w:t>As a result of assigning the Company’s interest in obligations under real estate leases in connection with the sale of company-operated restaurants to some of the Company’s franchisees, the Company is contingently liable on three lease agreements. These leases have various terms, the latest of which expires in 2036. As of September 28, 2022, the potential amount of undiscounted payments the Company could be required to make in the event of non-payment by the primary lessee was $2.4 million. The present value of these potential payments discounted at the Company’s estimated pre-tax cost of debt at September 28, 2022 was $1.9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218" w:lineRule="exact"/>
        <w:rPr>
          <w:sz w:val="20"/>
          <w:szCs w:val="20"/>
          <w:color w:val="auto"/>
        </w:rPr>
      </w:pPr>
    </w:p>
    <w:p>
      <w:pPr>
        <w:ind w:left="40" w:right="180"/>
        <w:spacing w:after="0" w:line="267" w:lineRule="auto"/>
        <w:rPr>
          <w:sz w:val="20"/>
          <w:szCs w:val="20"/>
          <w:color w:val="auto"/>
        </w:rPr>
      </w:pPr>
      <w:r>
        <w:rPr>
          <w:rFonts w:ascii="Times New Roman" w:cs="Times New Roman" w:eastAsia="Times New Roman" w:hAnsi="Times New Roman"/>
          <w:sz w:val="17"/>
          <w:szCs w:val="17"/>
          <w:color w:val="auto"/>
        </w:rPr>
        <w:t>As of September 28, 2022, the Company had employment agreements with three of the officers of the Company. These agreements provide for minimum salary levels, possible annual adjustments for cost-of-living changes, and incentive bonuses that are payable under certain business conditions.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218" w:lineRule="exact"/>
        <w:rPr>
          <w:sz w:val="20"/>
          <w:szCs w:val="20"/>
          <w:color w:val="auto"/>
        </w:rPr>
      </w:pPr>
    </w:p>
    <w:p>
      <w:pPr>
        <w:ind w:left="40" w:right="200"/>
        <w:spacing w:after="0" w:line="259" w:lineRule="auto"/>
        <w:rPr>
          <w:sz w:val="20"/>
          <w:szCs w:val="20"/>
          <w:color w:val="auto"/>
        </w:rPr>
      </w:pPr>
      <w:r>
        <w:rPr>
          <w:rFonts w:ascii="Times New Roman" w:cs="Times New Roman" w:eastAsia="Times New Roman" w:hAnsi="Times New Roman"/>
          <w:sz w:val="17"/>
          <w:szCs w:val="17"/>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8. EARNINGS PER SHARE</w:t>
      </w:r>
    </w:p>
    <w:p>
      <w:pPr>
        <w:spacing w:after="0" w:line="218" w:lineRule="exact"/>
        <w:rPr>
          <w:sz w:val="20"/>
          <w:szCs w:val="20"/>
          <w:color w:val="auto"/>
        </w:rPr>
      </w:pPr>
    </w:p>
    <w:p>
      <w:pPr>
        <w:ind w:left="40" w:right="220"/>
        <w:spacing w:after="0" w:line="262" w:lineRule="auto"/>
        <w:rPr>
          <w:sz w:val="20"/>
          <w:szCs w:val="20"/>
          <w:color w:val="auto"/>
        </w:rPr>
      </w:pPr>
      <w:r>
        <w:rPr>
          <w:rFonts w:ascii="Times New Roman" w:cs="Times New Roman" w:eastAsia="Times New Roman" w:hAnsi="Times New Roman"/>
          <w:sz w:val="17"/>
          <w:szCs w:val="17"/>
          <w:color w:val="auto"/>
        </w:rPr>
        <w:t>Basic earnings per share (“EPS”) is calculated using the weighted-average number of shares of common stock outstanding during the thirteen and thirty-nine weeks ended September 28, 2022 and September 29, 2021. Diluted EPS is calculated using the weighted-average number of shares of common stock outstanding and potentially dilutive during the period, using the treasury stock method.</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Below are basic and diluted EPS data for the periods indicated (in thousands except for share and per share data):</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4"/>
                <w:szCs w:val="14"/>
                <w:color w:val="auto"/>
              </w:rPr>
            </w:pPr>
          </w:p>
        </w:tc>
        <w:tc>
          <w:tcPr>
            <w:tcW w:w="25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3"/>
        </w:trPr>
        <w:tc>
          <w:tcPr>
            <w:tcW w:w="35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140" w:type="dxa"/>
            <w:vAlign w:val="bottom"/>
            <w:tcBorders>
              <w:top w:val="single" w:sz="8" w:color="auto"/>
              <w:bottom w:val="single" w:sz="8" w:color="CCEEFF"/>
            </w:tcBorders>
          </w:tcPr>
          <w:p>
            <w:pPr>
              <w:spacing w:after="0"/>
              <w:rPr>
                <w:sz w:val="11"/>
                <w:szCs w:val="11"/>
                <w:color w:val="auto"/>
              </w:rPr>
            </w:pPr>
          </w:p>
        </w:tc>
        <w:tc>
          <w:tcPr>
            <w:tcW w:w="120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126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140" w:type="dxa"/>
            <w:vAlign w:val="bottom"/>
            <w:tcBorders>
              <w:top w:val="single" w:sz="8" w:color="auto"/>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140" w:type="dxa"/>
            <w:vAlign w:val="bottom"/>
            <w:tcBorders>
              <w:bottom w:val="single" w:sz="8" w:color="CCEEFF"/>
            </w:tcBorders>
          </w:tcPr>
          <w:p>
            <w:pPr>
              <w:spacing w:after="0"/>
              <w:rPr>
                <w:sz w:val="11"/>
                <w:szCs w:val="11"/>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46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5,009</w:t>
            </w:r>
          </w:p>
        </w:tc>
        <w:tc>
          <w:tcPr>
            <w:tcW w:w="38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10,161</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14,265</w:t>
            </w:r>
          </w:p>
        </w:tc>
        <w:tc>
          <w:tcPr>
            <w:tcW w:w="38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22,943</w:t>
            </w:r>
          </w:p>
        </w:tc>
        <w:tc>
          <w:tcPr>
            <w:tcW w:w="140" w:type="dxa"/>
            <w:vAlign w:val="bottom"/>
          </w:tcPr>
          <w:p>
            <w:pPr>
              <w:spacing w:after="0"/>
              <w:rPr>
                <w:sz w:val="17"/>
                <w:szCs w:val="17"/>
                <w:color w:val="auto"/>
              </w:rPr>
            </w:pPr>
          </w:p>
        </w:tc>
      </w:tr>
      <w:tr>
        <w:trPr>
          <w:trHeight w:val="197"/>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shares outstanding—basic</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36,402,899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36,067,754</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36,329,938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35,930,246</w:t>
            </w:r>
          </w:p>
        </w:tc>
        <w:tc>
          <w:tcPr>
            <w:tcW w:w="140" w:type="dxa"/>
            <w:vAlign w:val="bottom"/>
          </w:tcPr>
          <w:p>
            <w:pPr>
              <w:spacing w:after="0"/>
              <w:rPr>
                <w:sz w:val="17"/>
                <w:szCs w:val="17"/>
                <w:color w:val="auto"/>
              </w:rPr>
            </w:pPr>
          </w:p>
        </w:tc>
      </w:tr>
      <w:tr>
        <w:trPr>
          <w:trHeight w:val="205"/>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shares outstanding—diluted</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36,507,050</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36,525,424</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36,491,624</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36,457,110</w:t>
            </w:r>
          </w:p>
        </w:tc>
        <w:tc>
          <w:tcPr>
            <w:tcW w:w="140" w:type="dxa"/>
            <w:vAlign w:val="bottom"/>
            <w:shd w:val="clear" w:color="auto" w:fill="CCEEFF"/>
          </w:tcPr>
          <w:p>
            <w:pPr>
              <w:spacing w:after="0"/>
              <w:rPr>
                <w:sz w:val="17"/>
                <w:szCs w:val="17"/>
                <w:color w:val="auto"/>
              </w:rPr>
            </w:pP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Net income per share—basic</w:t>
            </w:r>
          </w:p>
        </w:tc>
        <w:tc>
          <w:tcPr>
            <w:tcW w:w="2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40" w:type="dxa"/>
            <w:vAlign w:val="bottom"/>
          </w:tcPr>
          <w:p>
            <w:pPr>
              <w:spacing w:after="0"/>
              <w:rPr>
                <w:sz w:val="17"/>
                <w:szCs w:val="17"/>
                <w:color w:val="auto"/>
              </w:rPr>
            </w:pPr>
          </w:p>
        </w:tc>
      </w:tr>
      <w:tr>
        <w:trPr>
          <w:trHeight w:val="205"/>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per share—diluted</w:t>
            </w:r>
          </w:p>
        </w:tc>
        <w:tc>
          <w:tcPr>
            <w:tcW w:w="4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38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38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140" w:type="dxa"/>
            <w:vAlign w:val="bottom"/>
            <w:shd w:val="clear" w:color="auto" w:fill="CCEEFF"/>
          </w:tcPr>
          <w:p>
            <w:pPr>
              <w:spacing w:after="0"/>
              <w:rPr>
                <w:sz w:val="17"/>
                <w:szCs w:val="17"/>
                <w:color w:val="auto"/>
              </w:rPr>
            </w:pPr>
          </w:p>
        </w:tc>
      </w:tr>
      <w:tr>
        <w:trPr>
          <w:trHeight w:val="168"/>
        </w:trPr>
        <w:tc>
          <w:tcPr>
            <w:tcW w:w="352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Anti-dilutive securities not considered in diluted</w:t>
            </w: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21"/>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EPS calculation</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1,434,825</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225,308</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944,183</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118,968</w:t>
            </w:r>
          </w:p>
        </w:tc>
        <w:tc>
          <w:tcPr>
            <w:tcW w:w="140" w:type="dxa"/>
            <w:vAlign w:val="bottom"/>
          </w:tcPr>
          <w:p>
            <w:pPr>
              <w:spacing w:after="0"/>
              <w:rPr>
                <w:sz w:val="19"/>
                <w:szCs w:val="19"/>
                <w:color w:val="auto"/>
              </w:rPr>
            </w:pPr>
          </w:p>
        </w:tc>
      </w:tr>
    </w:tbl>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Below is a reconciliation of basic and diluted share counts:</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3600" w:type="dxa"/>
            <w:vAlign w:val="bottom"/>
          </w:tcPr>
          <w:p>
            <w:pPr>
              <w:spacing w:after="0"/>
              <w:rPr>
                <w:sz w:val="14"/>
                <w:szCs w:val="14"/>
                <w:color w:val="auto"/>
              </w:rPr>
            </w:pPr>
          </w:p>
        </w:tc>
        <w:tc>
          <w:tcPr>
            <w:tcW w:w="26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3"/>
        </w:trPr>
        <w:tc>
          <w:tcPr>
            <w:tcW w:w="3600" w:type="dxa"/>
            <w:vAlign w:val="bottom"/>
          </w:tcPr>
          <w:p>
            <w:pPr>
              <w:spacing w:after="0"/>
              <w:rPr>
                <w:sz w:val="11"/>
                <w:szCs w:val="11"/>
                <w:color w:val="auto"/>
              </w:rPr>
            </w:pPr>
          </w:p>
        </w:tc>
        <w:tc>
          <w:tcPr>
            <w:tcW w:w="128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122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140" w:type="dxa"/>
            <w:vAlign w:val="bottom"/>
          </w:tcPr>
          <w:p>
            <w:pPr>
              <w:spacing w:after="0"/>
              <w:rPr>
                <w:sz w:val="11"/>
                <w:szCs w:val="11"/>
                <w:color w:val="auto"/>
              </w:rPr>
            </w:pPr>
          </w:p>
        </w:tc>
        <w:tc>
          <w:tcPr>
            <w:tcW w:w="1280" w:type="dxa"/>
            <w:vAlign w:val="bottom"/>
            <w:tcBorders>
              <w:top w:val="single" w:sz="8" w:color="auto"/>
            </w:tcBorders>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12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 2021</w:t>
            </w:r>
          </w:p>
        </w:tc>
        <w:tc>
          <w:tcPr>
            <w:tcW w:w="160" w:type="dxa"/>
            <w:vAlign w:val="bottom"/>
          </w:tcPr>
          <w:p>
            <w:pPr>
              <w:spacing w:after="0"/>
              <w:rPr>
                <w:sz w:val="11"/>
                <w:szCs w:val="11"/>
                <w:color w:val="auto"/>
              </w:rPr>
            </w:pPr>
          </w:p>
        </w:tc>
      </w:tr>
      <w:tr>
        <w:trPr>
          <w:trHeight w:val="197"/>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shares outstanding—basic</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36,402,899</w:t>
            </w:r>
          </w:p>
        </w:tc>
        <w:tc>
          <w:tcPr>
            <w:tcW w:w="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36,067,754</w:t>
            </w:r>
          </w:p>
        </w:tc>
        <w:tc>
          <w:tcPr>
            <w:tcW w:w="1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36,329,938</w:t>
            </w:r>
          </w:p>
        </w:tc>
        <w:tc>
          <w:tcPr>
            <w:tcW w:w="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35,930,246</w:t>
            </w:r>
          </w:p>
        </w:tc>
        <w:tc>
          <w:tcPr>
            <w:tcW w:w="160" w:type="dxa"/>
            <w:vAlign w:val="bottom"/>
            <w:tcBorders>
              <w:top w:val="single" w:sz="8" w:color="CCEEFF"/>
            </w:tcBorders>
            <w:shd w:val="clear" w:color="auto" w:fill="CCEEFF"/>
          </w:tcPr>
          <w:p>
            <w:pPr>
              <w:spacing w:after="0"/>
              <w:rPr>
                <w:sz w:val="17"/>
                <w:szCs w:val="17"/>
                <w:color w:val="auto"/>
              </w:rPr>
            </w:pPr>
          </w:p>
        </w:tc>
      </w:tr>
      <w:tr>
        <w:trPr>
          <w:trHeight w:val="188"/>
        </w:trPr>
        <w:tc>
          <w:tcPr>
            <w:tcW w:w="3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Dilutive effect of stock options and restricted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1"/>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shares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104,151</w:t>
            </w:r>
          </w:p>
        </w:tc>
        <w:tc>
          <w:tcPr>
            <w:tcW w:w="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457,670</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161,686</w:t>
            </w:r>
          </w:p>
        </w:tc>
        <w:tc>
          <w:tcPr>
            <w:tcW w:w="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526,864</w:t>
            </w:r>
          </w:p>
        </w:tc>
        <w:tc>
          <w:tcPr>
            <w:tcW w:w="160" w:type="dxa"/>
            <w:vAlign w:val="bottom"/>
            <w:tcBorders>
              <w:bottom w:val="single" w:sz="8" w:color="CCEEFF"/>
            </w:tcBorders>
          </w:tcPr>
          <w:p>
            <w:pPr>
              <w:spacing w:after="0"/>
              <w:rPr>
                <w:sz w:val="19"/>
                <w:szCs w:val="19"/>
                <w:color w:val="auto"/>
              </w:rPr>
            </w:pPr>
          </w:p>
        </w:tc>
      </w:tr>
      <w:tr>
        <w:trPr>
          <w:trHeight w:val="197"/>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shares outstanding—diluted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36,507,050</w:t>
            </w:r>
          </w:p>
        </w:tc>
        <w:tc>
          <w:tcPr>
            <w:tcW w:w="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36,525,424</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36,491,624</w:t>
            </w:r>
          </w:p>
        </w:tc>
        <w:tc>
          <w:tcPr>
            <w:tcW w:w="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36,457,110</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3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9. RELATED PARTY TRANSACTIONS</w:t>
      </w:r>
    </w:p>
    <w:p>
      <w:pPr>
        <w:spacing w:after="0" w:line="218" w:lineRule="exact"/>
        <w:rPr>
          <w:sz w:val="20"/>
          <w:szCs w:val="20"/>
          <w:color w:val="auto"/>
        </w:rPr>
      </w:pPr>
    </w:p>
    <w:p>
      <w:pPr>
        <w:ind w:left="40" w:right="140"/>
        <w:spacing w:after="0" w:line="262" w:lineRule="auto"/>
        <w:rPr>
          <w:sz w:val="20"/>
          <w:szCs w:val="20"/>
          <w:color w:val="auto"/>
        </w:rPr>
      </w:pPr>
      <w:r>
        <w:rPr>
          <w:rFonts w:ascii="Times New Roman" w:cs="Times New Roman" w:eastAsia="Times New Roman" w:hAnsi="Times New Roman"/>
          <w:sz w:val="17"/>
          <w:szCs w:val="17"/>
          <w:color w:val="auto"/>
        </w:rPr>
        <w:t>As of September 28, 2022, Trimaran Pollo Partners, L.L.C. (“LLC”), FS Equity Partners V, L.P. and FS Affiliates V, L.P. own approximately 30.2%, 14.7% and 0.2%, respectively, of our outstanding common stock. FS Equity V and FS Affiliates V, which previously indirectly held shares of our common stock through LLC, received shares directly on August 31, 2022, upon LLC’s pro rata distribution in kind of shares of our common stock to FS Equity V and FS Affiliates V.</w:t>
      </w:r>
    </w:p>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100"/>
          </w:cols>
          <w:pgMar w:left="1440" w:top="494" w:right="1359"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right="4559" w:firstLine="6"/>
        <w:spacing w:after="0" w:line="502" w:lineRule="auto"/>
        <w:tabs>
          <w:tab w:leader="none" w:pos="29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FROM CONTRACTS WITH CUSTOMERS Revenue Recognition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Nature of products and services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Company has two revenue streams, company-operated restaurant revenue and franchise related revenue.</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Company-operated restaurant revenue</w:t>
      </w:r>
    </w:p>
    <w:p>
      <w:pPr>
        <w:spacing w:after="0" w:line="218" w:lineRule="exact"/>
        <w:rPr>
          <w:sz w:val="20"/>
          <w:szCs w:val="20"/>
          <w:color w:val="auto"/>
        </w:rPr>
      </w:pPr>
    </w:p>
    <w:p>
      <w:pPr>
        <w:ind w:left="40" w:right="359"/>
        <w:spacing w:after="0" w:line="267" w:lineRule="auto"/>
        <w:rPr>
          <w:sz w:val="20"/>
          <w:szCs w:val="20"/>
          <w:color w:val="auto"/>
        </w:rPr>
      </w:pPr>
      <w:r>
        <w:rPr>
          <w:rFonts w:ascii="Times New Roman" w:cs="Times New Roman" w:eastAsia="Times New Roman" w:hAnsi="Times New Roman"/>
          <w:sz w:val="17"/>
          <w:szCs w:val="17"/>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166"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7"/>
          <w:szCs w:val="17"/>
          <w:color w:val="auto"/>
        </w:rPr>
        <w:t>The Company offers a loyalty rewards program, which awards a customer points for dollars spent. Customers earn points for each dollar spent and 50 points can be redeemed for a $5 reward to be used for a future purchase.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September 28, 2022 and December 29, 2021, the revenue allocated to loyalty points that have not been redeemed was $0.5 million and $0.7 million, respectively, which is reflected in the Company’s accompanying condensed consolidated balance sheets within other accrued expenses and current liabilities. The Company expects the loyalty points to be redeemed and recognized over a one-year period.</w:t>
      </w:r>
    </w:p>
    <w:p>
      <w:pPr>
        <w:spacing w:after="0" w:line="178" w:lineRule="exact"/>
        <w:rPr>
          <w:sz w:val="20"/>
          <w:szCs w:val="20"/>
          <w:color w:val="auto"/>
        </w:rPr>
      </w:pPr>
    </w:p>
    <w:p>
      <w:pPr>
        <w:ind w:left="40" w:right="79"/>
        <w:spacing w:after="0" w:line="257" w:lineRule="auto"/>
        <w:rPr>
          <w:sz w:val="20"/>
          <w:szCs w:val="20"/>
          <w:color w:val="auto"/>
        </w:rPr>
      </w:pPr>
      <w:r>
        <w:rPr>
          <w:rFonts w:ascii="Times New Roman" w:cs="Times New Roman" w:eastAsia="Times New Roman" w:hAnsi="Times New Roman"/>
          <w:sz w:val="17"/>
          <w:szCs w:val="17"/>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Franchise and franchise advertising revenue</w:t>
      </w:r>
    </w:p>
    <w:p>
      <w:pPr>
        <w:spacing w:after="0" w:line="218" w:lineRule="exact"/>
        <w:rPr>
          <w:sz w:val="20"/>
          <w:szCs w:val="20"/>
          <w:color w:val="auto"/>
        </w:rPr>
      </w:pPr>
    </w:p>
    <w:p>
      <w:pPr>
        <w:ind w:left="40" w:right="119"/>
        <w:spacing w:after="0" w:line="267" w:lineRule="auto"/>
        <w:rPr>
          <w:sz w:val="20"/>
          <w:szCs w:val="20"/>
          <w:color w:val="auto"/>
        </w:rPr>
      </w:pPr>
      <w:r>
        <w:rPr>
          <w:rFonts w:ascii="Times New Roman" w:cs="Times New Roman" w:eastAsia="Times New Roman" w:hAnsi="Times New Roman"/>
          <w:sz w:val="17"/>
          <w:szCs w:val="17"/>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166" w:lineRule="exact"/>
        <w:rPr>
          <w:sz w:val="20"/>
          <w:szCs w:val="20"/>
          <w:color w:val="auto"/>
        </w:rPr>
      </w:pPr>
    </w:p>
    <w:p>
      <w:pPr>
        <w:ind w:left="680" w:right="339" w:hanging="302"/>
        <w:spacing w:after="0" w:line="261" w:lineRule="auto"/>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Franchise license - inclusive of advertising services, development agreements, training, access to plans and help desk services.</w:t>
      </w:r>
    </w:p>
    <w:p>
      <w:pPr>
        <w:spacing w:after="0" w:line="1"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Discounted renewal option.</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Hardware services.</w:t>
      </w:r>
    </w:p>
    <w:p>
      <w:pPr>
        <w:spacing w:after="0" w:line="197"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73"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7"/>
          <w:szCs w:val="17"/>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w:t>
      </w:r>
    </w:p>
    <w:p>
      <w:pPr>
        <w:sectPr>
          <w:pgSz w:w="11900" w:h="16838" w:orient="portrait"/>
          <w:cols w:equalWidth="0" w:num="1">
            <w:col w:w="9019"/>
          </w:cols>
          <w:pgMar w:left="1440" w:top="494"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348615</wp:posOffset>
            </wp:positionV>
            <wp:extent cx="566102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59"/>
        <w:spacing w:after="0" w:line="283" w:lineRule="auto"/>
        <w:rPr>
          <w:sz w:val="20"/>
          <w:szCs w:val="20"/>
          <w:color w:val="auto"/>
        </w:rPr>
      </w:pPr>
      <w:r>
        <w:rPr>
          <w:rFonts w:ascii="Times New Roman" w:cs="Times New Roman" w:eastAsia="Times New Roman" w:hAnsi="Times New Roman"/>
          <w:sz w:val="17"/>
          <w:szCs w:val="17"/>
          <w:color w:val="auto"/>
        </w:rPr>
        <w:t>regarding disclosure of the aggregate amount of the transaction price allocated to the performance obligations that are unsatisfied for sales-based royalties.</w:t>
      </w:r>
    </w:p>
    <w:p>
      <w:pPr>
        <w:spacing w:after="0" w:line="153"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7"/>
          <w:szCs w:val="17"/>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pacing w:after="0" w:line="170"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7"/>
          <w:szCs w:val="17"/>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September 28, 2022, there were no performance obligations related to hardware services that were unsatisfied or partially satisfied.</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Disaggregated revenue</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presents the Company’s revenues disaggregated by revenue source and market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4"/>
                <w:szCs w:val="14"/>
                <w:color w:val="auto"/>
              </w:rPr>
            </w:pPr>
          </w:p>
        </w:tc>
        <w:tc>
          <w:tcPr>
            <w:tcW w:w="2020" w:type="dxa"/>
            <w:vAlign w:val="bottom"/>
            <w:gridSpan w:val="4"/>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09"/>
        </w:trPr>
        <w:tc>
          <w:tcPr>
            <w:tcW w:w="22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80" w:type="dxa"/>
            <w:vAlign w:val="bottom"/>
            <w:tcBorders>
              <w:top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September 28,</w:t>
            </w: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September 29,</w:t>
            </w: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September 28,</w:t>
            </w: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September 29,</w:t>
            </w:r>
          </w:p>
        </w:tc>
      </w:tr>
      <w:tr>
        <w:trPr>
          <w:trHeight w:val="165"/>
        </w:trPr>
        <w:tc>
          <w:tcPr>
            <w:tcW w:w="224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4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5"/>
                <w:szCs w:val="15"/>
                <w:b w:val="1"/>
                <w:bCs w:val="1"/>
                <w:color w:val="auto"/>
              </w:rPr>
              <w:t>Core Market</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5"/>
                <w:szCs w:val="15"/>
                <w:b w:val="1"/>
                <w:bCs w:val="1"/>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5"/>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Company-operated restaurant revenue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98,732</w:t>
            </w:r>
          </w:p>
        </w:tc>
        <w:tc>
          <w:tcPr>
            <w:tcW w:w="32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95,292</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289,798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281,945</w:t>
            </w:r>
          </w:p>
        </w:tc>
      </w:tr>
      <w:tr>
        <w:trPr>
          <w:trHeight w:val="205"/>
        </w:trPr>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Franchise revenue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11,956</w:t>
            </w:r>
          </w:p>
        </w:tc>
      </w:tr>
      <w:tr>
        <w:trPr>
          <w:trHeight w:val="205"/>
        </w:trPr>
        <w:tc>
          <w:tcPr>
            <w:tcW w:w="48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Franchise advertising fee revenue</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3,336</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3,129</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8,989</w:t>
            </w:r>
          </w:p>
        </w:tc>
      </w:tr>
      <w:tr>
        <w:trPr>
          <w:trHeight w:val="197"/>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core market</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106,569</w:t>
            </w:r>
          </w:p>
        </w:tc>
        <w:tc>
          <w:tcPr>
            <w:tcW w:w="320" w:type="dxa"/>
            <w:vAlign w:val="bottom"/>
            <w:tcBorders>
              <w:bottom w:val="single" w:sz="8" w:color="auto"/>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102,605</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313,365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302,890</w:t>
            </w:r>
          </w:p>
        </w:tc>
      </w:tr>
      <w:tr>
        <w:trPr>
          <w:trHeight w:val="197"/>
        </w:trPr>
        <w:tc>
          <w:tcPr>
            <w:tcW w:w="4840" w:type="dxa"/>
            <w:vAlign w:val="bottom"/>
            <w:gridSpan w:val="2"/>
          </w:tcPr>
          <w:p>
            <w:pPr>
              <w:spacing w:after="0" w:line="198" w:lineRule="exact"/>
              <w:rPr>
                <w:sz w:val="20"/>
                <w:szCs w:val="20"/>
                <w:color w:val="auto"/>
              </w:rPr>
            </w:pPr>
            <w:r>
              <w:rPr>
                <w:rFonts w:ascii="Times New Roman" w:cs="Times New Roman" w:eastAsia="Times New Roman" w:hAnsi="Times New Roman"/>
                <w:sz w:val="15"/>
                <w:szCs w:val="15"/>
                <w:b w:val="1"/>
                <w:bCs w:val="1"/>
                <w:color w:val="auto"/>
              </w:rPr>
              <w:t>Non-Core Market</w:t>
            </w:r>
            <w:r>
              <w:rPr>
                <w:rFonts w:ascii="Times New Roman" w:cs="Times New Roman" w:eastAsia="Times New Roman" w:hAnsi="Times New Roman"/>
                <w:sz w:val="22"/>
                <w:szCs w:val="22"/>
                <w:b w:val="1"/>
                <w:bCs w:val="1"/>
                <w:color w:val="auto"/>
                <w:vertAlign w:val="superscript"/>
              </w:rPr>
              <w:t>(2)</w:t>
            </w: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5"/>
        </w:trPr>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Company-operated restaurant revenue</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4,442</w:t>
            </w:r>
          </w:p>
        </w:tc>
        <w:tc>
          <w:tcPr>
            <w:tcW w:w="3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19,172</w:t>
            </w:r>
          </w:p>
        </w:tc>
      </w:tr>
      <w:tr>
        <w:trPr>
          <w:trHeight w:val="205"/>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Franchise revenue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12,963</w:t>
            </w:r>
          </w:p>
        </w:tc>
      </w:tr>
      <w:tr>
        <w:trPr>
          <w:trHeight w:val="205"/>
        </w:trPr>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Franchise advertising fee revenue</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w:t>
            </w:r>
          </w:p>
        </w:tc>
        <w:tc>
          <w:tcPr>
            <w:tcW w:w="1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10,381</w:t>
            </w:r>
          </w:p>
        </w:tc>
      </w:tr>
      <w:tr>
        <w:trPr>
          <w:trHeight w:val="197"/>
        </w:trPr>
        <w:tc>
          <w:tcPr>
            <w:tcW w:w="4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Total non-core market</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13,309</w:t>
            </w:r>
          </w:p>
        </w:tc>
        <w:tc>
          <w:tcPr>
            <w:tcW w:w="320" w:type="dxa"/>
            <w:vAlign w:val="bottom"/>
            <w:tcBorders>
              <w:bottom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13,095</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40,672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42,516</w:t>
            </w:r>
          </w:p>
        </w:tc>
      </w:tr>
      <w:tr>
        <w:trPr>
          <w:trHeight w:val="197"/>
        </w:trPr>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119,878</w:t>
            </w:r>
          </w:p>
        </w:tc>
        <w:tc>
          <w:tcPr>
            <w:tcW w:w="320" w:type="dxa"/>
            <w:vAlign w:val="bottom"/>
            <w:tcBorders>
              <w:bottom w:val="single" w:sz="8" w:color="auto"/>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115,700</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354,037</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345,406</w:t>
            </w:r>
          </w:p>
        </w:tc>
      </w:tr>
      <w:tr>
        <w:trPr>
          <w:trHeight w:val="20"/>
        </w:trPr>
        <w:tc>
          <w:tcPr>
            <w:tcW w:w="2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6"/>
        </w:trPr>
        <w:tc>
          <w:tcPr>
            <w:tcW w:w="22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r>
    </w:tbl>
    <w:p>
      <w:pPr>
        <w:spacing w:after="0" w:line="60" w:lineRule="exact"/>
        <w:rPr>
          <w:sz w:val="20"/>
          <w:szCs w:val="20"/>
          <w:color w:val="auto"/>
        </w:rPr>
      </w:pPr>
    </w:p>
    <w:p>
      <w:pPr>
        <w:ind w:left="360" w:right="459" w:hanging="314"/>
        <w:spacing w:after="0" w:line="207" w:lineRule="auto"/>
        <w:tabs>
          <w:tab w:leader="none" w:pos="360"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Core Market includes markets with existing company-operated restaurants at the time of the Company’s IPO on July 28, 2014.</w:t>
      </w:r>
    </w:p>
    <w:p>
      <w:pPr>
        <w:ind w:left="360" w:hanging="314"/>
        <w:spacing w:after="0" w:line="185" w:lineRule="auto"/>
        <w:tabs>
          <w:tab w:leader="none" w:pos="3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Non-Core Market includes markets entered into by the Company subsequent to the IPO date.</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presents the Company’s revenues disaggregated by geographic market: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92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9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3"/>
        </w:trPr>
        <w:tc>
          <w:tcPr>
            <w:tcW w:w="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500" w:type="dxa"/>
            <w:vAlign w:val="bottom"/>
            <w:tcBorders>
              <w:top w:val="single" w:sz="8" w:color="auto"/>
            </w:tcBorders>
            <w:gridSpan w:val="2"/>
          </w:tcPr>
          <w:p>
            <w:pPr>
              <w:jc w:val="right"/>
              <w:ind w:right="215"/>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12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 2021</w:t>
            </w:r>
          </w:p>
        </w:tc>
        <w:tc>
          <w:tcPr>
            <w:tcW w:w="180" w:type="dxa"/>
            <w:vAlign w:val="bottom"/>
          </w:tcPr>
          <w:p>
            <w:pPr>
              <w:spacing w:after="0"/>
              <w:rPr>
                <w:sz w:val="11"/>
                <w:szCs w:val="11"/>
                <w:color w:val="auto"/>
              </w:rPr>
            </w:pPr>
          </w:p>
        </w:tc>
        <w:tc>
          <w:tcPr>
            <w:tcW w:w="1500" w:type="dxa"/>
            <w:vAlign w:val="bottom"/>
            <w:tcBorders>
              <w:top w:val="single" w:sz="8" w:color="auto"/>
            </w:tcBorders>
            <w:gridSpan w:val="2"/>
          </w:tcPr>
          <w:p>
            <w:pPr>
              <w:jc w:val="right"/>
              <w:ind w:right="215"/>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12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 2021</w:t>
            </w:r>
          </w:p>
        </w:tc>
        <w:tc>
          <w:tcPr>
            <w:tcW w:w="180" w:type="dxa"/>
            <w:vAlign w:val="bottom"/>
            <w:gridSpan w:val="2"/>
          </w:tcPr>
          <w:p>
            <w:pPr>
              <w:spacing w:after="0"/>
              <w:rPr>
                <w:sz w:val="11"/>
                <w:szCs w:val="11"/>
                <w:color w:val="auto"/>
              </w:rPr>
            </w:pPr>
          </w:p>
        </w:tc>
      </w:tr>
      <w:tr>
        <w:trPr>
          <w:trHeight w:val="197"/>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Los Angeles area market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84"/>
              </w:rPr>
              <w:t>%</w:t>
            </w:r>
          </w:p>
        </w:tc>
        <w:tc>
          <w:tcPr>
            <w:tcW w:w="20" w:type="dxa"/>
            <w:vAlign w:val="bottom"/>
            <w:tcBorders>
              <w:top w:val="single" w:sz="8" w:color="CCEEFF"/>
            </w:tcBorders>
            <w:shd w:val="clear" w:color="auto" w:fill="CCEEFF"/>
          </w:tcPr>
          <w:p>
            <w:pPr>
              <w:spacing w:after="0"/>
              <w:rPr>
                <w:sz w:val="17"/>
                <w:szCs w:val="17"/>
                <w:color w:val="auto"/>
              </w:rPr>
            </w:pPr>
          </w:p>
        </w:tc>
      </w:tr>
      <w:tr>
        <w:trPr>
          <w:trHeight w:val="205"/>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markets</w:t>
            </w:r>
          </w:p>
        </w:tc>
        <w:tc>
          <w:tcPr>
            <w:tcW w:w="15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28.1 %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28.4 %</w:t>
            </w:r>
          </w:p>
        </w:tc>
        <w:tc>
          <w:tcPr>
            <w:tcW w:w="15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28.8 %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29.2 %</w:t>
            </w:r>
          </w:p>
        </w:tc>
        <w:tc>
          <w:tcPr>
            <w:tcW w:w="20" w:type="dxa"/>
            <w:vAlign w:val="bottom"/>
          </w:tcPr>
          <w:p>
            <w:pPr>
              <w:spacing w:after="0"/>
              <w:rPr>
                <w:sz w:val="17"/>
                <w:szCs w:val="17"/>
                <w:color w:val="auto"/>
              </w:rPr>
            </w:pPr>
          </w:p>
        </w:tc>
      </w:tr>
      <w:tr>
        <w:trPr>
          <w:trHeight w:val="197"/>
        </w:trPr>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1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c>
          <w:tcPr>
            <w:tcW w:w="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c>
          <w:tcPr>
            <w:tcW w:w="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82"/>
              </w:rPr>
              <w:t>%</w:t>
            </w:r>
          </w:p>
        </w:tc>
      </w:tr>
      <w:tr>
        <w:trPr>
          <w:trHeight w:val="20"/>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8"/>
        </w:trPr>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9"/>
        </w:trPr>
        <w:tc>
          <w:tcPr>
            <w:tcW w:w="40" w:type="dxa"/>
            <w:vAlign w:val="bottom"/>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494"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218" w:lineRule="exact"/>
        <w:rPr>
          <w:sz w:val="20"/>
          <w:szCs w:val="20"/>
          <w:color w:val="auto"/>
        </w:rPr>
      </w:pPr>
    </w:p>
    <w:p>
      <w:pPr>
        <w:ind w:left="40" w:right="99"/>
        <w:spacing w:after="0" w:line="283" w:lineRule="auto"/>
        <w:rPr>
          <w:sz w:val="20"/>
          <w:szCs w:val="20"/>
          <w:color w:val="auto"/>
        </w:rPr>
      </w:pPr>
      <w:r>
        <w:rPr>
          <w:rFonts w:ascii="Times New Roman" w:cs="Times New Roman" w:eastAsia="Times New Roman" w:hAnsi="Times New Roman"/>
          <w:sz w:val="17"/>
          <w:szCs w:val="17"/>
          <w:color w:val="auto"/>
        </w:rPr>
        <w:t>The following table provides information about the change in the franchise contract liability balances during the thirty-nine weeks ended September 28, 2022 and September 29, 2021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29,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6,328</w:t>
            </w:r>
          </w:p>
        </w:tc>
      </w:tr>
      <w:tr>
        <w:trPr>
          <w:trHeight w:val="205"/>
        </w:trPr>
        <w:tc>
          <w:tcPr>
            <w:tcW w:w="7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Revenue recognized - beginning balance</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w:t>
            </w:r>
          </w:p>
        </w:tc>
      </w:tr>
      <w:tr>
        <w:trPr>
          <w:trHeight w:val="205"/>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Additional contract liability</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37"/>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September 28,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6,388</w:t>
            </w:r>
          </w:p>
        </w:tc>
      </w:tr>
      <w:tr>
        <w:trPr>
          <w:trHeight w:val="183"/>
        </w:trPr>
        <w:tc>
          <w:tcPr>
            <w:tcW w:w="7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5"/>
        </w:trPr>
        <w:tc>
          <w:tcPr>
            <w:tcW w:w="7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December 30,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5,628</w:t>
            </w:r>
          </w:p>
        </w:tc>
      </w:tr>
      <w:tr>
        <w:trPr>
          <w:trHeight w:val="205"/>
        </w:trPr>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Revenue recognized - beginning balance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r>
      <w:tr>
        <w:trPr>
          <w:trHeight w:val="205"/>
        </w:trPr>
        <w:tc>
          <w:tcPr>
            <w:tcW w:w="7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Additional contract liability</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w:t>
            </w:r>
          </w:p>
        </w:tc>
      </w:tr>
      <w:tr>
        <w:trPr>
          <w:trHeight w:val="197"/>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September 29,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6,444</w:t>
            </w:r>
          </w:p>
        </w:tc>
      </w:tr>
      <w:tr>
        <w:trPr>
          <w:trHeight w:val="20"/>
        </w:trPr>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0" w:right="99"/>
        <w:spacing w:after="0" w:line="257" w:lineRule="auto"/>
        <w:rPr>
          <w:sz w:val="20"/>
          <w:szCs w:val="20"/>
          <w:color w:val="auto"/>
        </w:rPr>
      </w:pPr>
      <w:r>
        <w:rPr>
          <w:rFonts w:ascii="Times New Roman" w:cs="Times New Roman" w:eastAsia="Times New Roman" w:hAnsi="Times New Roman"/>
          <w:sz w:val="17"/>
          <w:szCs w:val="17"/>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77" w:lineRule="exact"/>
        <w:rPr>
          <w:sz w:val="20"/>
          <w:szCs w:val="20"/>
          <w:color w:val="auto"/>
        </w:rPr>
      </w:pPr>
    </w:p>
    <w:p>
      <w:pPr>
        <w:ind w:left="40" w:right="239"/>
        <w:spacing w:after="0" w:line="283" w:lineRule="auto"/>
        <w:rPr>
          <w:sz w:val="20"/>
          <w:szCs w:val="20"/>
          <w:color w:val="auto"/>
        </w:rPr>
      </w:pPr>
      <w:r>
        <w:rPr>
          <w:rFonts w:ascii="Times New Roman" w:cs="Times New Roman" w:eastAsia="Times New Roman" w:hAnsi="Times New Roman"/>
          <w:sz w:val="17"/>
          <w:szCs w:val="17"/>
          <w:color w:val="auto"/>
        </w:rPr>
        <w:t>The following table illustrates the estimated revenue to be recognized in future periods related to performance obligations under the applicable contracts that are unsatisfied as of September 28, 2022 (in thousands):</w:t>
      </w: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Franchise revenues: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42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2022</w:t>
            </w:r>
          </w:p>
        </w:tc>
        <w:tc>
          <w:tcPr>
            <w:tcW w:w="3860" w:type="dxa"/>
            <w:vAlign w:val="bottom"/>
            <w:tcBorders>
              <w:top w:val="single" w:sz="8" w:color="auto"/>
            </w:tcBorders>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05"/>
        </w:trPr>
        <w:tc>
          <w:tcPr>
            <w:tcW w:w="4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2023</w:t>
            </w:r>
          </w:p>
        </w:tc>
        <w:tc>
          <w:tcPr>
            <w:tcW w:w="3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w:t>
            </w:r>
          </w:p>
        </w:tc>
      </w:tr>
      <w:tr>
        <w:trPr>
          <w:trHeight w:val="205"/>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2024</w:t>
            </w:r>
          </w:p>
        </w:tc>
        <w:tc>
          <w:tcPr>
            <w:tcW w:w="3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05"/>
        </w:trPr>
        <w:tc>
          <w:tcPr>
            <w:tcW w:w="4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2025</w:t>
            </w:r>
          </w:p>
        </w:tc>
        <w:tc>
          <w:tcPr>
            <w:tcW w:w="3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w:t>
            </w:r>
          </w:p>
        </w:tc>
      </w:tr>
      <w:tr>
        <w:trPr>
          <w:trHeight w:val="205"/>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2026</w:t>
            </w:r>
          </w:p>
        </w:tc>
        <w:tc>
          <w:tcPr>
            <w:tcW w:w="3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r>
      <w:tr>
        <w:trPr>
          <w:trHeight w:val="205"/>
        </w:trPr>
        <w:tc>
          <w:tcPr>
            <w:tcW w:w="4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Thereafter</w:t>
            </w:r>
          </w:p>
        </w:tc>
        <w:tc>
          <w:tcPr>
            <w:tcW w:w="34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4,185</w:t>
            </w:r>
          </w:p>
        </w:tc>
      </w:tr>
      <w:tr>
        <w:trPr>
          <w:trHeight w:val="197"/>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4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6,388</w:t>
            </w:r>
          </w:p>
        </w:tc>
      </w:tr>
      <w:tr>
        <w:trPr>
          <w:trHeight w:val="20"/>
        </w:trPr>
        <w:tc>
          <w:tcPr>
            <w:tcW w:w="4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jc w:val="both"/>
        <w:ind w:left="40" w:right="79"/>
        <w:spacing w:after="0" w:line="283" w:lineRule="auto"/>
        <w:rPr>
          <w:sz w:val="20"/>
          <w:szCs w:val="20"/>
          <w:color w:val="auto"/>
        </w:rPr>
      </w:pPr>
      <w:r>
        <w:rPr>
          <w:rFonts w:ascii="Times New Roman" w:cs="Times New Roman" w:eastAsia="Times New Roman" w:hAnsi="Times New Roman"/>
          <w:sz w:val="17"/>
          <w:szCs w:val="17"/>
          <w:color w:val="auto"/>
        </w:rPr>
        <w:t>Changes in the loyalty rewards program liability included in deferred revenue within other accrued expenses and current liabilities on the condensed consolidated balance sheets were as follows (in thousands):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6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0"/>
        </w:trPr>
        <w:tc>
          <w:tcPr>
            <w:tcW w:w="6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r>
      <w:tr>
        <w:trPr>
          <w:trHeight w:val="197"/>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Loyalty rewards liability, 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40" w:type="dxa"/>
            <w:vAlign w:val="bottom"/>
            <w:shd w:val="clear" w:color="auto" w:fill="CCEEFF"/>
          </w:tcPr>
          <w:p>
            <w:pPr>
              <w:spacing w:after="0"/>
              <w:rPr>
                <w:sz w:val="17"/>
                <w:szCs w:val="17"/>
                <w:color w:val="auto"/>
              </w:rPr>
            </w:pPr>
          </w:p>
        </w:tc>
      </w:tr>
      <w:tr>
        <w:trPr>
          <w:trHeight w:val="205"/>
        </w:trPr>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Revenue deferred</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2,677</w:t>
            </w:r>
          </w:p>
        </w:tc>
        <w:tc>
          <w:tcPr>
            <w:tcW w:w="140" w:type="dxa"/>
            <w:vAlign w:val="bottom"/>
          </w:tcPr>
          <w:p>
            <w:pPr>
              <w:spacing w:after="0"/>
              <w:rPr>
                <w:sz w:val="17"/>
                <w:szCs w:val="17"/>
                <w:color w:val="auto"/>
              </w:rPr>
            </w:pPr>
          </w:p>
        </w:tc>
      </w:tr>
      <w:tr>
        <w:trPr>
          <w:trHeight w:val="205"/>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recognized</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(2,890)</w:t>
            </w:r>
          </w:p>
        </w:tc>
        <w:tc>
          <w:tcPr>
            <w:tcW w:w="140" w:type="dxa"/>
            <w:vAlign w:val="bottom"/>
            <w:shd w:val="clear" w:color="auto" w:fill="CCEEFF"/>
          </w:tcPr>
          <w:p>
            <w:pPr>
              <w:spacing w:after="0"/>
              <w:rPr>
                <w:sz w:val="17"/>
                <w:szCs w:val="17"/>
                <w:color w:val="auto"/>
              </w:rPr>
            </w:pPr>
          </w:p>
        </w:tc>
      </w:tr>
      <w:tr>
        <w:trPr>
          <w:trHeight w:val="197"/>
        </w:trPr>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Loyalty rewards liability, 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537</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687</w:t>
            </w:r>
          </w:p>
        </w:tc>
        <w:tc>
          <w:tcPr>
            <w:tcW w:w="14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93" w:lineRule="exact"/>
        <w:rPr>
          <w:sz w:val="20"/>
          <w:szCs w:val="20"/>
          <w:color w:val="auto"/>
        </w:rPr>
      </w:pPr>
    </w:p>
    <w:p>
      <w:pPr>
        <w:ind w:left="40" w:right="359"/>
        <w:spacing w:after="0" w:line="283" w:lineRule="auto"/>
        <w:rPr>
          <w:sz w:val="20"/>
          <w:szCs w:val="20"/>
          <w:color w:val="auto"/>
        </w:rPr>
      </w:pPr>
      <w:r>
        <w:rPr>
          <w:rFonts w:ascii="Times New Roman" w:cs="Times New Roman" w:eastAsia="Times New Roman" w:hAnsi="Times New Roman"/>
          <w:sz w:val="17"/>
          <w:szCs w:val="17"/>
          <w:color w:val="auto"/>
        </w:rPr>
        <w:t>The Company expects all loyalty points revenue related to performance obligations unsatisfied as of September 28, 2022 to be recognized within one year.</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Gift Cards</w:t>
      </w:r>
    </w:p>
    <w:p>
      <w:pPr>
        <w:spacing w:after="0" w:line="218" w:lineRule="exact"/>
        <w:rPr>
          <w:sz w:val="20"/>
          <w:szCs w:val="20"/>
          <w:color w:val="auto"/>
        </w:rPr>
      </w:pPr>
    </w:p>
    <w:p>
      <w:pPr>
        <w:ind w:left="40" w:right="139"/>
        <w:spacing w:after="0" w:line="283" w:lineRule="auto"/>
        <w:rPr>
          <w:sz w:val="20"/>
          <w:szCs w:val="20"/>
          <w:color w:val="auto"/>
        </w:rPr>
      </w:pPr>
      <w:r>
        <w:rPr>
          <w:rFonts w:ascii="Times New Roman" w:cs="Times New Roman" w:eastAsia="Times New Roman" w:hAnsi="Times New Roman"/>
          <w:sz w:val="17"/>
          <w:szCs w:val="17"/>
          <w:color w:val="auto"/>
        </w:rPr>
        <w:t>The gift card liability included in other accrued expenses and current liabilities on the condensed consolidated balance sheets was as follows (in thousands):</w:t>
      </w:r>
    </w:p>
    <w:p>
      <w:pPr>
        <w:sectPr>
          <w:pgSz w:w="11900" w:h="16838" w:orient="portrait"/>
          <w:cols w:equalWidth="0" w:num="1">
            <w:col w:w="9019"/>
          </w:cols>
          <w:pgMar w:left="1440" w:top="494"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348615</wp:posOffset>
            </wp:positionV>
            <wp:extent cx="566102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6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5"/>
              </w:rPr>
              <w:t>September 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7"/>
              </w:rPr>
              <w:t>December 29,</w:t>
            </w:r>
          </w:p>
        </w:tc>
      </w:tr>
      <w:tr>
        <w:trPr>
          <w:trHeight w:val="190"/>
        </w:trPr>
        <w:tc>
          <w:tcPr>
            <w:tcW w:w="6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Gift card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4,622</w:t>
            </w: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0" w:right="339"/>
        <w:spacing w:after="0" w:line="283" w:lineRule="auto"/>
        <w:rPr>
          <w:sz w:val="20"/>
          <w:szCs w:val="20"/>
          <w:color w:val="auto"/>
        </w:rPr>
      </w:pPr>
      <w:r>
        <w:rPr>
          <w:rFonts w:ascii="Times New Roman" w:cs="Times New Roman" w:eastAsia="Times New Roman" w:hAnsi="Times New Roman"/>
          <w:sz w:val="17"/>
          <w:szCs w:val="17"/>
          <w:color w:val="auto"/>
        </w:rPr>
        <w:t>Revenue recognized from the redemption of gift cards that was included in other accrued expenses and current liabilities at the beginning of the year was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100" w:type="dxa"/>
            <w:vAlign w:val="bottom"/>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180" w:type="dxa"/>
            <w:vAlign w:val="bottom"/>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2022</w:t>
            </w:r>
          </w:p>
        </w:tc>
        <w:tc>
          <w:tcPr>
            <w:tcW w:w="80" w:type="dxa"/>
            <w:vAlign w:val="bottom"/>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8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Revenue recognized from gift card liability balance</w:t>
            </w:r>
          </w:p>
        </w:tc>
        <w:tc>
          <w:tcPr>
            <w:tcW w:w="400" w:type="dxa"/>
            <w:vAlign w:val="bottom"/>
            <w:gridSpan w:val="2"/>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880" w:type="dxa"/>
            <w:vAlign w:val="bottom"/>
            <w:gridSpan w:val="2"/>
            <w:vMerge w:val="restart"/>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480" w:type="dxa"/>
            <w:vAlign w:val="bottom"/>
            <w:gridSpan w:val="2"/>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900" w:type="dxa"/>
            <w:vAlign w:val="bottom"/>
            <w:gridSpan w:val="2"/>
            <w:vMerge w:val="restart"/>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the beginning of the year</w:t>
            </w:r>
          </w:p>
        </w:tc>
        <w:tc>
          <w:tcPr>
            <w:tcW w:w="4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Contract Costs</w:t>
      </w:r>
    </w:p>
    <w:p>
      <w:pPr>
        <w:spacing w:after="0" w:line="218" w:lineRule="exact"/>
        <w:rPr>
          <w:sz w:val="20"/>
          <w:szCs w:val="20"/>
          <w:color w:val="auto"/>
        </w:rPr>
      </w:pPr>
    </w:p>
    <w:p>
      <w:pPr>
        <w:ind w:left="40" w:right="339"/>
        <w:spacing w:after="0" w:line="283" w:lineRule="auto"/>
        <w:rPr>
          <w:sz w:val="20"/>
          <w:szCs w:val="20"/>
          <w:color w:val="auto"/>
        </w:rPr>
      </w:pPr>
      <w:r>
        <w:rPr>
          <w:rFonts w:ascii="Times New Roman" w:cs="Times New Roman" w:eastAsia="Times New Roman" w:hAnsi="Times New Roman"/>
          <w:sz w:val="17"/>
          <w:szCs w:val="17"/>
          <w:color w:val="auto"/>
        </w:rPr>
        <w:t>The Company does not currently incur costs to obtain or fulfill a contract that would be considered contract assets under Topic 606.</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11. LEASES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Nature of leases</w:t>
      </w:r>
    </w:p>
    <w:p>
      <w:pPr>
        <w:spacing w:after="0" w:line="218" w:lineRule="exact"/>
        <w:rPr>
          <w:sz w:val="20"/>
          <w:szCs w:val="20"/>
          <w:color w:val="auto"/>
        </w:rPr>
      </w:pPr>
    </w:p>
    <w:p>
      <w:pPr>
        <w:ind w:left="40" w:right="179"/>
        <w:spacing w:after="0" w:line="283" w:lineRule="auto"/>
        <w:rPr>
          <w:sz w:val="20"/>
          <w:szCs w:val="20"/>
          <w:color w:val="auto"/>
        </w:rPr>
      </w:pPr>
      <w:r>
        <w:rPr>
          <w:rFonts w:ascii="Times New Roman" w:cs="Times New Roman" w:eastAsia="Times New Roman" w:hAnsi="Times New Roman"/>
          <w:sz w:val="17"/>
          <w:szCs w:val="17"/>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53" w:lineRule="exact"/>
        <w:rPr>
          <w:sz w:val="20"/>
          <w:szCs w:val="20"/>
          <w:color w:val="auto"/>
        </w:rPr>
      </w:pPr>
    </w:p>
    <w:p>
      <w:pPr>
        <w:ind w:left="40" w:right="279"/>
        <w:spacing w:after="0" w:line="283" w:lineRule="auto"/>
        <w:rPr>
          <w:sz w:val="20"/>
          <w:szCs w:val="20"/>
          <w:color w:val="auto"/>
        </w:rPr>
      </w:pPr>
      <w:r>
        <w:rPr>
          <w:rFonts w:ascii="Times New Roman" w:cs="Times New Roman" w:eastAsia="Times New Roman" w:hAnsi="Times New Roman"/>
          <w:sz w:val="17"/>
          <w:szCs w:val="17"/>
          <w:color w:val="auto"/>
        </w:rPr>
        <w:t>As of September 28, 2022, the Company had one lease that it had entered into, but had not yet commenced. The Company does not have control of the property until lease commencement.</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Building and facility leases</w:t>
      </w:r>
    </w:p>
    <w:p>
      <w:pPr>
        <w:spacing w:after="0" w:line="218" w:lineRule="exact"/>
        <w:rPr>
          <w:sz w:val="20"/>
          <w:szCs w:val="20"/>
          <w:color w:val="auto"/>
        </w:rPr>
      </w:pPr>
    </w:p>
    <w:p>
      <w:pPr>
        <w:ind w:left="40" w:right="259"/>
        <w:spacing w:after="0" w:line="283" w:lineRule="auto"/>
        <w:rPr>
          <w:sz w:val="20"/>
          <w:szCs w:val="20"/>
          <w:color w:val="auto"/>
        </w:rPr>
      </w:pPr>
      <w:r>
        <w:rPr>
          <w:rFonts w:ascii="Times New Roman" w:cs="Times New Roman" w:eastAsia="Times New Roman" w:hAnsi="Times New Roman"/>
          <w:sz w:val="17"/>
          <w:szCs w:val="17"/>
          <w:color w:val="auto"/>
        </w:rPr>
        <w:t>The majority of the Company’s building and facilities leases are classified as operating leases; however, the Company currently has one facility and ten equipment leases that are classified as finance leases.</w:t>
      </w:r>
    </w:p>
    <w:p>
      <w:pPr>
        <w:spacing w:after="0" w:line="153"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7"/>
          <w:szCs w:val="17"/>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that increase at pre-determined dates based on the change in the consumer price index. For all leases, the Company also reimburses the landlord for non-lease components, or items that are not considered components of a contract, such as CAM,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78" w:lineRule="exact"/>
        <w:rPr>
          <w:sz w:val="20"/>
          <w:szCs w:val="20"/>
          <w:color w:val="auto"/>
        </w:rPr>
      </w:pPr>
    </w:p>
    <w:p>
      <w:pPr>
        <w:ind w:left="40" w:right="219"/>
        <w:spacing w:after="0" w:line="259" w:lineRule="auto"/>
        <w:rPr>
          <w:sz w:val="20"/>
          <w:szCs w:val="20"/>
          <w:color w:val="auto"/>
        </w:rPr>
      </w:pPr>
      <w:r>
        <w:rPr>
          <w:rFonts w:ascii="Times New Roman" w:cs="Times New Roman" w:eastAsia="Times New Roman" w:hAnsi="Times New Roman"/>
          <w:sz w:val="17"/>
          <w:szCs w:val="17"/>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73"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7"/>
          <w:szCs w:val="17"/>
          <w:color w:val="auto"/>
        </w:rPr>
        <w:t>During the thirteen and thirty-nine weeks ended September 28, 2022, the Company reassessed the lease terms on five and 18 restaurants, respectively, due to certain triggering events, such as the addition of significant leasehold improvements with useful lives that extend past the current lease expiration, the decision to terminate a lease, or the decision to renew. As a result of the reassessment, an additional $2.0 million and $10.5 million of ROU asset and lease liabilities for the thirteen and thirty-nine weeks ended September 28, 2022, respectively, were recognized and will be amortized over the new lease term. During the thirteen and thirty-nine weeks ended September 29, 2021, the Company reassessed the lease terms on four and 16 restaurants, respectively, due to certain triggering events, such as the addition</w:t>
      </w:r>
    </w:p>
    <w:p>
      <w:pPr>
        <w:sectPr>
          <w:pgSz w:w="11900" w:h="16838" w:orient="portrait"/>
          <w:cols w:equalWidth="0" w:num="1">
            <w:col w:w="9019"/>
          </w:cols>
          <w:pgMar w:left="1440" w:top="494"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348615</wp:posOffset>
            </wp:positionV>
            <wp:extent cx="566102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7"/>
          <w:szCs w:val="17"/>
          <w:color w:val="auto"/>
        </w:rPr>
        <w:t>of significant leasehold improvements with useful lives that extend past the current lease expiration, the decision to terminate a lease, or the decision to renew. This reassessment resulted in an additional $2.6 million and $13.8 million of ROU asset and lease liabilities for the thirteen and thirty-nine weeks ended September 29, 2021, respectively, which were recognized and will be amortized over the new lease term. The reassessments had an impact on the original lease classification of one property during the thirty-nine weeks ended September 28, 2022 which represented $0.7 million of the $10.5 million total additional ROU asset and lease liabilities for the period. There were no reassessments that impacted the original lease classification during the thirteen weeks ended September 28, 2022. Additionally, as the Company adopted all practical expedients available under Topic 842, no reallocation between lease and non-lease components was necessary.</w:t>
      </w:r>
    </w:p>
    <w:p>
      <w:pPr>
        <w:spacing w:after="0" w:line="180"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7"/>
          <w:szCs w:val="17"/>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70"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During the thirty-nine weeks ended September 28, 2022, the Company recorded a less than $0.1 million non-cash impairment charge related to one restaurant in California. The Company recorded a $0.4 million non-cash impairment charge for the thirty-nine weeks ended September 29, 2021 related to one restaurant closed in Texas in 2019 and one restaurant in California. See Note 1, “Basis of Presentation and Summary of Significant Accounting Policies – Impairment of Long-Lived Assets and ROU Assets” for additional information.</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Equipment</w:t>
      </w:r>
    </w:p>
    <w:p>
      <w:pPr>
        <w:spacing w:after="0" w:line="218" w:lineRule="exact"/>
        <w:rPr>
          <w:sz w:val="20"/>
          <w:szCs w:val="20"/>
          <w:color w:val="auto"/>
        </w:rPr>
      </w:pPr>
    </w:p>
    <w:p>
      <w:pPr>
        <w:ind w:left="40" w:right="239"/>
        <w:spacing w:after="0" w:line="267" w:lineRule="auto"/>
        <w:rPr>
          <w:sz w:val="20"/>
          <w:szCs w:val="20"/>
          <w:color w:val="auto"/>
        </w:rPr>
      </w:pPr>
      <w:r>
        <w:rPr>
          <w:rFonts w:ascii="Times New Roman" w:cs="Times New Roman" w:eastAsia="Times New Roman" w:hAnsi="Times New Roman"/>
          <w:sz w:val="17"/>
          <w:szCs w:val="17"/>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Significant Assumptions and Judgments</w:t>
      </w:r>
    </w:p>
    <w:p>
      <w:pPr>
        <w:spacing w:after="0" w:line="218" w:lineRule="exact"/>
        <w:rPr>
          <w:sz w:val="20"/>
          <w:szCs w:val="20"/>
          <w:color w:val="auto"/>
        </w:rPr>
      </w:pPr>
    </w:p>
    <w:p>
      <w:pPr>
        <w:ind w:left="40" w:right="139"/>
        <w:spacing w:after="0" w:line="283" w:lineRule="auto"/>
        <w:rPr>
          <w:sz w:val="20"/>
          <w:szCs w:val="20"/>
          <w:color w:val="auto"/>
        </w:rPr>
      </w:pPr>
      <w:r>
        <w:rPr>
          <w:rFonts w:ascii="Times New Roman" w:cs="Times New Roman" w:eastAsia="Times New Roman" w:hAnsi="Times New Roman"/>
          <w:sz w:val="17"/>
          <w:szCs w:val="17"/>
          <w:color w:val="auto"/>
        </w:rPr>
        <w:t>In applying the requirements of Topic 842, the Company made significant assumptions and judgments related to determination of whether a contract contains a lease and the discount rate used for the lease.</w:t>
      </w:r>
    </w:p>
    <w:p>
      <w:pPr>
        <w:spacing w:after="0" w:line="153" w:lineRule="exact"/>
        <w:rPr>
          <w:sz w:val="20"/>
          <w:szCs w:val="20"/>
          <w:color w:val="auto"/>
        </w:rPr>
      </w:pPr>
    </w:p>
    <w:p>
      <w:pPr>
        <w:jc w:val="both"/>
        <w:ind w:left="40" w:right="339"/>
        <w:spacing w:after="0" w:line="267" w:lineRule="auto"/>
        <w:rPr>
          <w:sz w:val="20"/>
          <w:szCs w:val="20"/>
          <w:color w:val="auto"/>
        </w:rPr>
      </w:pPr>
      <w:r>
        <w:rPr>
          <w:rFonts w:ascii="Times New Roman" w:cs="Times New Roman" w:eastAsia="Times New Roman" w:hAnsi="Times New Roman"/>
          <w:sz w:val="17"/>
          <w:szCs w:val="17"/>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66"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173" w:lineRule="exact"/>
        <w:rPr>
          <w:sz w:val="20"/>
          <w:szCs w:val="20"/>
          <w:color w:val="auto"/>
        </w:rPr>
      </w:pPr>
    </w:p>
    <w:p>
      <w:pPr>
        <w:ind w:left="40" w:right="219"/>
        <w:spacing w:after="0" w:line="283" w:lineRule="auto"/>
        <w:rPr>
          <w:sz w:val="20"/>
          <w:szCs w:val="20"/>
          <w:color w:val="auto"/>
        </w:rPr>
      </w:pPr>
      <w:r>
        <w:rPr>
          <w:rFonts w:ascii="Times New Roman" w:cs="Times New Roman" w:eastAsia="Times New Roman" w:hAnsi="Times New Roman"/>
          <w:sz w:val="17"/>
          <w:szCs w:val="17"/>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presents the Company’s total lease cost, disaggregated by underlying asset (in thousands):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3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8"/>
              </w:rPr>
              <w:t>Thirteen Weeks Ended</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9"/>
          </w:tcPr>
          <w:p>
            <w:pPr>
              <w:jc w:val="center"/>
              <w:ind w:left="420"/>
              <w:spacing w:after="0" w:line="134" w:lineRule="exact"/>
              <w:rPr>
                <w:sz w:val="20"/>
                <w:szCs w:val="20"/>
                <w:color w:val="auto"/>
              </w:rPr>
            </w:pPr>
            <w:r>
              <w:rPr>
                <w:rFonts w:ascii="Times New Roman" w:cs="Times New Roman" w:eastAsia="Times New Roman" w:hAnsi="Times New Roman"/>
                <w:sz w:val="14"/>
                <w:szCs w:val="14"/>
                <w:b w:val="1"/>
                <w:bCs w:val="1"/>
                <w:color w:val="auto"/>
                <w:w w:val="97"/>
              </w:rPr>
              <w:t>September 28, 2022</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8"/>
          </w:tcPr>
          <w:p>
            <w:pPr>
              <w:jc w:val="center"/>
              <w:ind w:right="35"/>
              <w:spacing w:after="0" w:line="134" w:lineRule="exact"/>
              <w:rPr>
                <w:sz w:val="20"/>
                <w:szCs w:val="20"/>
                <w:color w:val="auto"/>
              </w:rPr>
            </w:pPr>
            <w:r>
              <w:rPr>
                <w:rFonts w:ascii="Times New Roman" w:cs="Times New Roman" w:eastAsia="Times New Roman" w:hAnsi="Times New Roman"/>
                <w:sz w:val="14"/>
                <w:szCs w:val="14"/>
                <w:b w:val="1"/>
                <w:bCs w:val="1"/>
                <w:color w:val="auto"/>
                <w:w w:val="97"/>
              </w:rPr>
              <w:t>September 29, 2021</w:t>
            </w: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Property</w:t>
            </w:r>
          </w:p>
        </w:tc>
        <w:tc>
          <w:tcPr>
            <w:tcW w:w="100" w:type="dxa"/>
            <w:vAlign w:val="bottom"/>
          </w:tcPr>
          <w:p>
            <w:pPr>
              <w:spacing w:after="0"/>
              <w:rPr>
                <w:sz w:val="9"/>
                <w:szCs w:val="9"/>
                <w:color w:val="auto"/>
              </w:rPr>
            </w:pPr>
          </w:p>
        </w:tc>
        <w:tc>
          <w:tcPr>
            <w:tcW w:w="720" w:type="dxa"/>
            <w:vAlign w:val="bottom"/>
            <w:gridSpan w:val="3"/>
          </w:tcPr>
          <w:p>
            <w:pPr>
              <w:jc w:val="center"/>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Equipment</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center"/>
              <w:ind w:right="39"/>
              <w:spacing w:after="0" w:line="109" w:lineRule="exact"/>
              <w:rPr>
                <w:sz w:val="20"/>
                <w:szCs w:val="20"/>
                <w:color w:val="auto"/>
              </w:rPr>
            </w:pPr>
            <w:r>
              <w:rPr>
                <w:rFonts w:ascii="Times New Roman" w:cs="Times New Roman" w:eastAsia="Times New Roman" w:hAnsi="Times New Roman"/>
                <w:sz w:val="12"/>
                <w:szCs w:val="12"/>
                <w:b w:val="1"/>
                <w:bCs w:val="1"/>
                <w:color w:val="auto"/>
              </w:rPr>
              <w:t>Property</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Equipment</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Leases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5"/>
              </w:rPr>
              <w:t>Leases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cost:</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5"/>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6,819</w:t>
            </w: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cost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5"/>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Sublease income</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Total lease cost</w:t>
            </w:r>
          </w:p>
        </w:tc>
        <w:tc>
          <w:tcPr>
            <w:tcW w:w="5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5,594</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5,940</w:t>
            </w:r>
          </w:p>
        </w:tc>
        <w:tc>
          <w:tcPr>
            <w:tcW w:w="0" w:type="dxa"/>
            <w:vAlign w:val="bottom"/>
          </w:tcPr>
          <w:p>
            <w:pPr>
              <w:spacing w:after="0"/>
              <w:rPr>
                <w:sz w:val="1"/>
                <w:szCs w:val="1"/>
                <w:color w:val="auto"/>
              </w:rPr>
            </w:pPr>
          </w:p>
        </w:tc>
      </w:tr>
      <w:tr>
        <w:trPr>
          <w:trHeight w:val="632"/>
        </w:trPr>
        <w:tc>
          <w:tcPr>
            <w:tcW w:w="3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Thirty-Nine Weeks Ended</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9"/>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w w:val="97"/>
              </w:rPr>
              <w:t>September 28, 2022</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8"/>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September 29, 2021</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Property</w:t>
            </w:r>
          </w:p>
        </w:tc>
        <w:tc>
          <w:tcPr>
            <w:tcW w:w="100" w:type="dxa"/>
            <w:vAlign w:val="bottom"/>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Equipment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Property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Leases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5"/>
              </w:rPr>
              <w:t>Leases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5"/>
              </w:rPr>
              <w:t>Leases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cost:</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6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7"/>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20,796</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cost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7"/>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Sublease income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w:t>
            </w:r>
          </w:p>
        </w:tc>
        <w:tc>
          <w:tcPr>
            <w:tcW w:w="0" w:type="dxa"/>
            <w:vAlign w:val="bottom"/>
          </w:tcPr>
          <w:p>
            <w:pPr>
              <w:spacing w:after="0"/>
              <w:rPr>
                <w:sz w:val="1"/>
                <w:szCs w:val="1"/>
                <w:color w:val="auto"/>
              </w:rPr>
            </w:pPr>
          </w:p>
        </w:tc>
      </w:tr>
      <w:tr>
        <w:trPr>
          <w:trHeight w:val="197"/>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Total lease cost</w:t>
            </w:r>
          </w:p>
        </w:tc>
        <w:tc>
          <w:tcPr>
            <w:tcW w:w="5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17,730</w:t>
            </w:r>
          </w:p>
        </w:tc>
        <w:tc>
          <w:tcPr>
            <w:tcW w:w="200" w:type="dxa"/>
            <w:vAlign w:val="bottom"/>
            <w:gridSpan w:val="2"/>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18,872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presents the Company’s total lease cost on the condensed consolidated statements of income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3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33"/>
        </w:trPr>
        <w:tc>
          <w:tcPr>
            <w:tcW w:w="386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6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8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8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gridSpan w:val="3"/>
          </w:tcPr>
          <w:p>
            <w:pPr>
              <w:jc w:val="right"/>
              <w:ind w:right="4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 2021</w:t>
            </w:r>
          </w:p>
        </w:tc>
      </w:tr>
      <w:tr>
        <w:trPr>
          <w:trHeight w:val="19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cost – Occupancy and other operating expenses</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5,969</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18,191</w:t>
            </w:r>
          </w:p>
        </w:tc>
      </w:tr>
      <w:tr>
        <w:trPr>
          <w:trHeight w:val="205"/>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Lease cost – General &amp; administrative</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316</w:t>
            </w:r>
          </w:p>
        </w:tc>
      </w:tr>
      <w:tr>
        <w:trPr>
          <w:trHeight w:val="205"/>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cost – Depreciation and amortization</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w:t>
            </w:r>
          </w:p>
        </w:tc>
      </w:tr>
      <w:tr>
        <w:trPr>
          <w:trHeight w:val="205"/>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Lease cost – Interest expense</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w:t>
            </w:r>
          </w:p>
        </w:tc>
      </w:tr>
      <w:tr>
        <w:trPr>
          <w:trHeight w:val="205"/>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cost – Closed-store reserve</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261</w:t>
            </w:r>
          </w:p>
        </w:tc>
      </w:tr>
      <w:tr>
        <w:trPr>
          <w:trHeight w:val="197"/>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Total lease cost</w:t>
            </w: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6,153</w:t>
            </w:r>
          </w:p>
        </w:tc>
        <w:tc>
          <w:tcPr>
            <w:tcW w:w="60" w:type="dxa"/>
            <w:vAlign w:val="bottom"/>
          </w:tcPr>
          <w:p>
            <w:pPr>
              <w:spacing w:after="0"/>
              <w:rPr>
                <w:sz w:val="17"/>
                <w:szCs w:val="17"/>
                <w:color w:val="auto"/>
              </w:rPr>
            </w:pPr>
          </w:p>
        </w:tc>
        <w:tc>
          <w:tcPr>
            <w:tcW w:w="7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5,940</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18,207</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18,872</w:t>
            </w:r>
          </w:p>
        </w:tc>
      </w:tr>
      <w:tr>
        <w:trPr>
          <w:trHeight w:val="812"/>
        </w:trPr>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457"/>
              <w:spacing w:after="0"/>
              <w:rPr>
                <w:sz w:val="20"/>
                <w:szCs w:val="20"/>
                <w:color w:val="auto"/>
              </w:rPr>
            </w:pPr>
            <w:r>
              <w:rPr>
                <w:rFonts w:ascii="Times New Roman" w:cs="Times New Roman" w:eastAsia="Times New Roman" w:hAnsi="Times New Roman"/>
                <w:sz w:val="17"/>
                <w:szCs w:val="17"/>
                <w:color w:val="auto"/>
              </w:rPr>
              <w:t>26</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29"/>
        </w:trPr>
        <w:tc>
          <w:tcPr>
            <w:tcW w:w="3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20"/>
          </w:cols>
          <w:pgMar w:left="1440" w:top="494" w:right="1439"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359"/>
        <w:spacing w:after="0" w:line="283" w:lineRule="auto"/>
        <w:rPr>
          <w:sz w:val="20"/>
          <w:szCs w:val="20"/>
          <w:color w:val="auto"/>
        </w:rPr>
      </w:pPr>
      <w:r>
        <w:rPr>
          <w:rFonts w:ascii="Times New Roman" w:cs="Times New Roman" w:eastAsia="Times New Roman" w:hAnsi="Times New Roman"/>
          <w:sz w:val="17"/>
          <w:szCs w:val="17"/>
          <w:color w:val="auto"/>
        </w:rPr>
        <w:t>During the thirteen and thirty-nine weeks ended September 28, 2022 and September 29, 2021, the Company had the following cash and non-cash activities associated with its leases (dollars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Thirty-Nine Weeks Ended September 28, 2022</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Thirty-Nine Weeks Ended September 29, 2021</w:t>
            </w:r>
          </w:p>
        </w:tc>
        <w:tc>
          <w:tcPr>
            <w:tcW w:w="0" w:type="dxa"/>
            <w:vAlign w:val="bottom"/>
          </w:tcPr>
          <w:p>
            <w:pPr>
              <w:spacing w:after="0"/>
              <w:rPr>
                <w:sz w:val="1"/>
                <w:szCs w:val="1"/>
                <w:color w:val="auto"/>
              </w:rPr>
            </w:pPr>
          </w:p>
        </w:tc>
      </w:tr>
      <w:tr>
        <w:trPr>
          <w:trHeight w:val="109"/>
        </w:trPr>
        <w:tc>
          <w:tcPr>
            <w:tcW w:w="2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right"/>
              <w:ind w:right="360"/>
              <w:spacing w:after="0" w:line="109" w:lineRule="exact"/>
              <w:rPr>
                <w:sz w:val="20"/>
                <w:szCs w:val="20"/>
                <w:color w:val="auto"/>
              </w:rPr>
            </w:pPr>
            <w:r>
              <w:rPr>
                <w:rFonts w:ascii="Times New Roman" w:cs="Times New Roman" w:eastAsia="Times New Roman" w:hAnsi="Times New Roman"/>
                <w:sz w:val="12"/>
                <w:szCs w:val="12"/>
                <w:b w:val="1"/>
                <w:bCs w:val="1"/>
                <w:color w:val="auto"/>
              </w:rPr>
              <w:t>Property</w:t>
            </w:r>
          </w:p>
        </w:tc>
        <w:tc>
          <w:tcPr>
            <w:tcW w:w="100" w:type="dxa"/>
            <w:vAlign w:val="bottom"/>
          </w:tcPr>
          <w:p>
            <w:pPr>
              <w:spacing w:after="0"/>
              <w:rPr>
                <w:sz w:val="9"/>
                <w:szCs w:val="9"/>
                <w:color w:val="auto"/>
              </w:rPr>
            </w:pPr>
          </w:p>
        </w:tc>
        <w:tc>
          <w:tcPr>
            <w:tcW w:w="92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Equipment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9"/>
                <w:szCs w:val="9"/>
                <w:color w:val="auto"/>
              </w:rPr>
            </w:pPr>
          </w:p>
        </w:tc>
        <w:tc>
          <w:tcPr>
            <w:tcW w:w="920" w:type="dxa"/>
            <w:vAlign w:val="bottom"/>
            <w:gridSpan w:val="2"/>
          </w:tcPr>
          <w:p>
            <w:pPr>
              <w:jc w:val="right"/>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Property</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Equipment</w:t>
            </w:r>
          </w:p>
        </w:tc>
        <w:tc>
          <w:tcPr>
            <w:tcW w:w="180" w:type="dxa"/>
            <w:vAlign w:val="bottom"/>
          </w:tcPr>
          <w:p>
            <w:pPr>
              <w:spacing w:after="0"/>
              <w:rPr>
                <w:sz w:val="9"/>
                <w:szCs w:val="9"/>
                <w:color w:val="auto"/>
              </w:rPr>
            </w:pPr>
          </w:p>
        </w:tc>
        <w:tc>
          <w:tcPr>
            <w:tcW w:w="7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Leases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860" w:type="dxa"/>
            <w:vAlign w:val="bottom"/>
            <w:tcBorders>
              <w:top w:val="single" w:sz="8" w:color="CCEEFF"/>
            </w:tcBorders>
            <w:shd w:val="clear" w:color="auto" w:fill="CCEEFF"/>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Cash paid for amounts included in the</w:t>
            </w: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measurement of lease liabilities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86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auto"/>
              </w:rPr>
              <w:t>Operating cash flows used for operating leases</w:t>
            </w:r>
          </w:p>
        </w:tc>
        <w:tc>
          <w:tcPr>
            <w:tcW w:w="1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20,364</w:t>
            </w:r>
          </w:p>
        </w:tc>
        <w:tc>
          <w:tcPr>
            <w:tcW w:w="180" w:type="dxa"/>
            <w:vAlign w:val="bottom"/>
          </w:tcPr>
          <w:p>
            <w:pPr>
              <w:spacing w:after="0"/>
              <w:rPr>
                <w:sz w:val="12"/>
                <w:szCs w:val="12"/>
                <w:color w:val="auto"/>
              </w:rPr>
            </w:pP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737</w:t>
            </w:r>
          </w:p>
        </w:tc>
        <w:tc>
          <w:tcPr>
            <w:tcW w:w="160" w:type="dxa"/>
            <w:vAlign w:val="bottom"/>
          </w:tcPr>
          <w:p>
            <w:pPr>
              <w:spacing w:after="0"/>
              <w:rPr>
                <w:sz w:val="12"/>
                <w:szCs w:val="12"/>
                <w:color w:val="auto"/>
              </w:rPr>
            </w:pPr>
          </w:p>
        </w:tc>
        <w:tc>
          <w:tcPr>
            <w:tcW w:w="2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21,101</w:t>
            </w:r>
          </w:p>
        </w:tc>
        <w:tc>
          <w:tcPr>
            <w:tcW w:w="60" w:type="dxa"/>
            <w:vAlign w:val="bottom"/>
          </w:tcPr>
          <w:p>
            <w:pPr>
              <w:spacing w:after="0"/>
              <w:rPr>
                <w:sz w:val="12"/>
                <w:szCs w:val="12"/>
                <w:color w:val="auto"/>
              </w:rPr>
            </w:pP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19,371</w:t>
            </w:r>
          </w:p>
        </w:tc>
        <w:tc>
          <w:tcPr>
            <w:tcW w:w="160" w:type="dxa"/>
            <w:vAlign w:val="bottom"/>
          </w:tcPr>
          <w:p>
            <w:pPr>
              <w:spacing w:after="0"/>
              <w:rPr>
                <w:sz w:val="12"/>
                <w:szCs w:val="12"/>
                <w:color w:val="auto"/>
              </w:rPr>
            </w:pPr>
          </w:p>
        </w:tc>
        <w:tc>
          <w:tcPr>
            <w:tcW w:w="12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831</w:t>
            </w:r>
          </w:p>
        </w:tc>
        <w:tc>
          <w:tcPr>
            <w:tcW w:w="20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20,202</w:t>
            </w: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ind w:left="100"/>
              <w:spacing w:after="0" w:line="141" w:lineRule="exact"/>
              <w:rPr>
                <w:sz w:val="20"/>
                <w:szCs w:val="20"/>
                <w:color w:val="auto"/>
              </w:rPr>
            </w:pPr>
            <w:r>
              <w:rPr>
                <w:rFonts w:ascii="Times New Roman" w:cs="Times New Roman" w:eastAsia="Times New Roman" w:hAnsi="Times New Roman"/>
                <w:sz w:val="14"/>
                <w:szCs w:val="14"/>
                <w:color w:val="auto"/>
              </w:rPr>
              <w:t>Financing cash flows used for finance leases</w:t>
            </w:r>
          </w:p>
        </w:tc>
        <w:tc>
          <w:tcPr>
            <w:tcW w:w="1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42</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67</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1"/>
        </w:trPr>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8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Operating lease ROU assets obtained in exchange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for lease liabilities: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ind w:left="100"/>
              <w:spacing w:after="0" w:line="141" w:lineRule="exact"/>
              <w:rPr>
                <w:sz w:val="20"/>
                <w:szCs w:val="20"/>
                <w:color w:val="auto"/>
              </w:rPr>
            </w:pPr>
            <w:r>
              <w:rPr>
                <w:rFonts w:ascii="Times New Roman" w:cs="Times New Roman" w:eastAsia="Times New Roman" w:hAnsi="Times New Roman"/>
                <w:sz w:val="14"/>
                <w:szCs w:val="14"/>
                <w:color w:val="auto"/>
              </w:rPr>
              <w:t>Operating lease ROU assets</w:t>
            </w:r>
          </w:p>
        </w:tc>
        <w:tc>
          <w:tcPr>
            <w:tcW w:w="1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10,486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86</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10,572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13,848</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13,848</w:t>
            </w:r>
          </w:p>
        </w:tc>
        <w:tc>
          <w:tcPr>
            <w:tcW w:w="0" w:type="dxa"/>
            <w:vAlign w:val="bottom"/>
          </w:tcPr>
          <w:p>
            <w:pPr>
              <w:spacing w:after="0"/>
              <w:rPr>
                <w:sz w:val="1"/>
                <w:szCs w:val="1"/>
                <w:color w:val="auto"/>
              </w:rPr>
            </w:pPr>
          </w:p>
        </w:tc>
      </w:tr>
      <w:tr>
        <w:trPr>
          <w:trHeight w:val="120"/>
        </w:trPr>
        <w:tc>
          <w:tcPr>
            <w:tcW w:w="28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Finance lease ROU assets obtained in exchange for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ind w:left="100"/>
              <w:spacing w:after="0" w:line="141" w:lineRule="exact"/>
              <w:rPr>
                <w:sz w:val="20"/>
                <w:szCs w:val="20"/>
                <w:color w:val="auto"/>
              </w:rPr>
            </w:pPr>
            <w:r>
              <w:rPr>
                <w:rFonts w:ascii="Times New Roman" w:cs="Times New Roman" w:eastAsia="Times New Roman" w:hAnsi="Times New Roman"/>
                <w:sz w:val="14"/>
                <w:szCs w:val="14"/>
                <w:color w:val="auto"/>
              </w:rPr>
              <w:t>Finance lease ROU assets</w:t>
            </w:r>
          </w:p>
        </w:tc>
        <w:tc>
          <w:tcPr>
            <w:tcW w:w="1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28</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196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20"/>
        </w:trPr>
        <w:tc>
          <w:tcPr>
            <w:tcW w:w="28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Derecognition of ROU assets due to terminations,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impairment or modifications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(4,513)</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(4,612)</w:t>
            </w: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6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Other Information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86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Weighted-average remaining years in lease term</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—finance leases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6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Weighted-average remaining years in lease term</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860" w:type="dxa"/>
            <w:vAlign w:val="bottom"/>
            <w:shd w:val="clear" w:color="auto" w:fill="CCEEFF"/>
          </w:tcPr>
          <w:p>
            <w:pPr>
              <w:ind w:left="100"/>
              <w:spacing w:after="0" w:line="141" w:lineRule="exact"/>
              <w:rPr>
                <w:sz w:val="20"/>
                <w:szCs w:val="20"/>
                <w:color w:val="auto"/>
              </w:rPr>
            </w:pPr>
            <w:r>
              <w:rPr>
                <w:rFonts w:ascii="Times New Roman" w:cs="Times New Roman" w:eastAsia="Times New Roman" w:hAnsi="Times New Roman"/>
                <w:sz w:val="14"/>
                <w:szCs w:val="14"/>
                <w:color w:val="auto"/>
              </w:rPr>
              <w:t>Weighted-average discount rate—finance leases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2.57 %</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1.53 %</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2.84 %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1.54 %</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86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Weighted-average discount rate—operating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4.49 %</w:t>
            </w:r>
          </w:p>
        </w:tc>
        <w:tc>
          <w:tcPr>
            <w:tcW w:w="1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3.82 %</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4.43 %</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3.91 %</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Information regarding the Company’s minimum future lease obligations as of September 28, 2022 is as follows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Finance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09"/>
        </w:trPr>
        <w:tc>
          <w:tcPr>
            <w:tcW w:w="5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Minimum</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Minimum</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Minimum</w:t>
            </w:r>
          </w:p>
        </w:tc>
        <w:tc>
          <w:tcPr>
            <w:tcW w:w="0" w:type="dxa"/>
            <w:vAlign w:val="bottom"/>
          </w:tcPr>
          <w:p>
            <w:pPr>
              <w:spacing w:after="0"/>
              <w:rPr>
                <w:sz w:val="1"/>
                <w:szCs w:val="1"/>
                <w:color w:val="auto"/>
              </w:rPr>
            </w:pPr>
          </w:p>
        </w:tc>
      </w:tr>
      <w:tr>
        <w:trPr>
          <w:trHeight w:val="141"/>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3"/>
              </w:rPr>
              <w:t>Lease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3"/>
              </w:rPr>
              <w:t>Lease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Sublease</w:t>
            </w:r>
          </w:p>
        </w:tc>
        <w:tc>
          <w:tcPr>
            <w:tcW w:w="0" w:type="dxa"/>
            <w:vAlign w:val="bottom"/>
          </w:tcPr>
          <w:p>
            <w:pPr>
              <w:spacing w:after="0"/>
              <w:rPr>
                <w:sz w:val="1"/>
                <w:szCs w:val="1"/>
                <w:color w:val="auto"/>
              </w:rPr>
            </w:pPr>
          </w:p>
        </w:tc>
      </w:tr>
      <w:tr>
        <w:trPr>
          <w:trHeight w:val="165"/>
        </w:trPr>
        <w:tc>
          <w:tcPr>
            <w:tcW w:w="59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Payments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Payments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9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28, 2022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0" w:type="dxa"/>
            <w:vAlign w:val="bottom"/>
          </w:tcPr>
          <w:p>
            <w:pPr>
              <w:spacing w:after="0"/>
              <w:rPr>
                <w:sz w:val="1"/>
                <w:szCs w:val="1"/>
                <w:color w:val="auto"/>
              </w:rPr>
            </w:pPr>
          </w:p>
        </w:tc>
      </w:tr>
      <w:tr>
        <w:trPr>
          <w:trHeight w:val="205"/>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December 27, 2023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3,698</w:t>
            </w:r>
          </w:p>
        </w:tc>
        <w:tc>
          <w:tcPr>
            <w:tcW w:w="0" w:type="dxa"/>
            <w:vAlign w:val="bottom"/>
          </w:tcPr>
          <w:p>
            <w:pPr>
              <w:spacing w:after="0"/>
              <w:rPr>
                <w:sz w:val="1"/>
                <w:szCs w:val="1"/>
                <w:color w:val="auto"/>
              </w:rPr>
            </w:pPr>
          </w:p>
        </w:tc>
      </w:tr>
      <w:tr>
        <w:trPr>
          <w:trHeight w:val="205"/>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25, 2024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25,348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3,510</w:t>
            </w:r>
          </w:p>
        </w:tc>
        <w:tc>
          <w:tcPr>
            <w:tcW w:w="0" w:type="dxa"/>
            <w:vAlign w:val="bottom"/>
          </w:tcPr>
          <w:p>
            <w:pPr>
              <w:spacing w:after="0"/>
              <w:rPr>
                <w:sz w:val="1"/>
                <w:szCs w:val="1"/>
                <w:color w:val="auto"/>
              </w:rPr>
            </w:pPr>
          </w:p>
        </w:tc>
      </w:tr>
      <w:tr>
        <w:trPr>
          <w:trHeight w:val="205"/>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3,115</w:t>
            </w:r>
          </w:p>
        </w:tc>
        <w:tc>
          <w:tcPr>
            <w:tcW w:w="0" w:type="dxa"/>
            <w:vAlign w:val="bottom"/>
          </w:tcPr>
          <w:p>
            <w:pPr>
              <w:spacing w:after="0"/>
              <w:rPr>
                <w:sz w:val="1"/>
                <w:szCs w:val="1"/>
                <w:color w:val="auto"/>
              </w:rPr>
            </w:pPr>
          </w:p>
        </w:tc>
      </w:tr>
      <w:tr>
        <w:trPr>
          <w:trHeight w:val="205"/>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30, 2026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w:t>
            </w:r>
          </w:p>
        </w:tc>
        <w:tc>
          <w:tcPr>
            <w:tcW w:w="0" w:type="dxa"/>
            <w:vAlign w:val="bottom"/>
          </w:tcPr>
          <w:p>
            <w:pPr>
              <w:spacing w:after="0"/>
              <w:rPr>
                <w:sz w:val="1"/>
                <w:szCs w:val="1"/>
                <w:color w:val="auto"/>
              </w:rPr>
            </w:pPr>
          </w:p>
        </w:tc>
      </w:tr>
      <w:tr>
        <w:trPr>
          <w:trHeight w:val="205"/>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135,928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23,165</w:t>
            </w:r>
          </w:p>
        </w:tc>
        <w:tc>
          <w:tcPr>
            <w:tcW w:w="0" w:type="dxa"/>
            <w:vAlign w:val="bottom"/>
          </w:tcPr>
          <w:p>
            <w:pPr>
              <w:spacing w:after="0"/>
              <w:rPr>
                <w:sz w:val="1"/>
                <w:szCs w:val="1"/>
                <w:color w:val="auto"/>
              </w:rPr>
            </w:pPr>
          </w:p>
        </w:tc>
      </w:tr>
      <w:tr>
        <w:trPr>
          <w:trHeight w:val="197"/>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240,256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37,214</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Less: imputed interest (1.53% - 4.49%)</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(422)</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(52,631)</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obligations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187,625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current maturities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portion</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167,562</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Short-Term Leases</w:t>
      </w:r>
    </w:p>
    <w:p>
      <w:pPr>
        <w:spacing w:after="0" w:line="218"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7"/>
          <w:szCs w:val="17"/>
          <w:color w:val="auto"/>
        </w:rPr>
        <w:t>The Company has multiple short-term leases, which have terms of less than 12 months, and thus were excluded from the recognition requirements of Topic 842. The Company has recognized these lease payments in its condensed consolidated statements of income on a straight-line basis over the lease term and variable lease payments in the period in which the obligation for those payments was incurred.</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Lessor</w:t>
      </w:r>
    </w:p>
    <w:p>
      <w:pPr>
        <w:spacing w:after="0" w:line="218" w:lineRule="exact"/>
        <w:rPr>
          <w:sz w:val="20"/>
          <w:szCs w:val="20"/>
          <w:color w:val="auto"/>
        </w:rPr>
      </w:pPr>
    </w:p>
    <w:p>
      <w:pPr>
        <w:ind w:left="40" w:right="319"/>
        <w:spacing w:after="0" w:line="283" w:lineRule="auto"/>
        <w:rPr>
          <w:sz w:val="20"/>
          <w:szCs w:val="20"/>
          <w:color w:val="auto"/>
        </w:rPr>
      </w:pPr>
      <w:r>
        <w:rPr>
          <w:rFonts w:ascii="Times New Roman" w:cs="Times New Roman" w:eastAsia="Times New Roman" w:hAnsi="Times New Roman"/>
          <w:sz w:val="17"/>
          <w:szCs w:val="17"/>
          <w:color w:val="auto"/>
        </w:rPr>
        <w:t>The Company is a lessor for certain property, facilities and equipment owned by the Company and leased to others, principally franchisees, under non-cancelable leases with initial terms ranging from three to 20 years. These lease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739"/>
        <w:spacing w:after="0" w:line="283" w:lineRule="auto"/>
        <w:rPr>
          <w:sz w:val="20"/>
          <w:szCs w:val="20"/>
          <w:color w:val="auto"/>
        </w:rPr>
      </w:pPr>
      <w:r>
        <w:rPr>
          <w:rFonts w:ascii="Times New Roman" w:cs="Times New Roman" w:eastAsia="Times New Roman" w:hAnsi="Times New Roman"/>
          <w:sz w:val="17"/>
          <w:szCs w:val="17"/>
          <w:color w:val="auto"/>
        </w:rPr>
        <w:t>agreements generally provide for a fixed base rent and, in some instances, contingent rent based on a percentage of gross operating profit or net revenues. All leases are considered operating leases.</w:t>
      </w:r>
    </w:p>
    <w:p>
      <w:pPr>
        <w:spacing w:after="0" w:line="153"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7"/>
          <w:szCs w:val="17"/>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66" w:lineRule="exact"/>
        <w:rPr>
          <w:sz w:val="20"/>
          <w:szCs w:val="20"/>
          <w:color w:val="auto"/>
        </w:rPr>
      </w:pPr>
    </w:p>
    <w:p>
      <w:pPr>
        <w:jc w:val="both"/>
        <w:ind w:left="40" w:right="679"/>
        <w:spacing w:after="0" w:line="267" w:lineRule="auto"/>
        <w:rPr>
          <w:sz w:val="20"/>
          <w:szCs w:val="20"/>
          <w:color w:val="auto"/>
        </w:rPr>
      </w:pPr>
      <w:r>
        <w:rPr>
          <w:rFonts w:ascii="Times New Roman" w:cs="Times New Roman" w:eastAsia="Times New Roman" w:hAnsi="Times New Roman"/>
          <w:sz w:val="17"/>
          <w:szCs w:val="17"/>
          <w:color w:val="auto"/>
        </w:rPr>
        <w:t>The Company received $0.1 million of lease income from company-owned locations for each of the thirteen weeks ended September 28, 2022 and September 29, 2021. The Company received $0.3 million of lease income from company-owned locations for each of the thirty-nine weeks ended September 28, 2022 and September 29, 2021.</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Cautionary Statement Concerning Forward-Looking Statements</w:t>
      </w:r>
    </w:p>
    <w:p>
      <w:pPr>
        <w:spacing w:after="0" w:line="218"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7"/>
          <w:szCs w:val="17"/>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180"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p>
      <w:pPr>
        <w:spacing w:after="0" w:line="173" w:lineRule="exact"/>
        <w:rPr>
          <w:sz w:val="20"/>
          <w:szCs w:val="20"/>
          <w:color w:val="auto"/>
        </w:rPr>
      </w:pPr>
    </w:p>
    <w:p>
      <w:pPr>
        <w:ind w:left="680" w:right="299" w:hanging="302"/>
        <w:spacing w:after="0" w:line="258" w:lineRule="auto"/>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the ongoing COVID-19 pandemic or another pandemic, epidemic or infectious disease outbreak on our company, our employees, our customers, our partners, our industry and the economy as a whole, as well as our franchisees’ ability to maintain operations in their individual restaurants;</w:t>
      </w:r>
    </w:p>
    <w:p>
      <w:pPr>
        <w:jc w:val="both"/>
        <w:ind w:left="680" w:right="539" w:hanging="302"/>
        <w:spacing w:after="0" w:line="251" w:lineRule="auto"/>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economic or other business conditions that may affect the desire or ability of our customers to purchase our products such as inflationary pressures, high unemployment levels, increases in gas prices, and declines in median income growth, consumer confidence and consumer discretionary spending;</w:t>
      </w:r>
    </w:p>
    <w:p>
      <w:pPr>
        <w:ind w:left="680" w:right="279" w:hanging="302"/>
        <w:spacing w:after="0" w:line="251" w:lineRule="auto"/>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open new restaurants in new and existing markets, including difficulty in finding sites and in negotiating acceptable leases;</w:t>
      </w:r>
    </w:p>
    <w:p>
      <w:pPr>
        <w:ind w:left="680" w:hanging="302"/>
        <w:spacing w:after="0"/>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successfully with other quick-service and fast casual restaurants;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vulnerability to changes in consumer preferences and political and economic conditions;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develop and retain employees;</w:t>
      </w:r>
    </w:p>
    <w:p>
      <w:pPr>
        <w:spacing w:after="0" w:line="9" w:lineRule="exact"/>
        <w:rPr>
          <w:rFonts w:ascii="Times New Roman" w:cs="Times New Roman" w:eastAsia="Times New Roman" w:hAnsi="Times New Roman"/>
          <w:sz w:val="17"/>
          <w:szCs w:val="17"/>
          <w:color w:val="auto"/>
        </w:rPr>
      </w:pPr>
    </w:p>
    <w:p>
      <w:pPr>
        <w:ind w:left="680" w:right="319" w:hanging="302"/>
        <w:spacing w:after="0" w:line="251" w:lineRule="auto"/>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vulnerability to conditions in the greater Los Angeles area and to natural disasters given the geographic concentration and real estate intensive nature of our business;</w:t>
      </w:r>
    </w:p>
    <w:p>
      <w:pPr>
        <w:ind w:left="680" w:right="439" w:hanging="302"/>
        <w:spacing w:after="0" w:line="251" w:lineRule="auto"/>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continue to incur significant impairment of certain of our assets, in particular in our new markets;</w:t>
      </w:r>
    </w:p>
    <w:p>
      <w:pPr>
        <w:ind w:left="680" w:hanging="302"/>
        <w:spacing w:after="0"/>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food and supply costs, especially for chicken;</w:t>
      </w:r>
    </w:p>
    <w:p>
      <w:pPr>
        <w:spacing w:after="0" w:line="9" w:lineRule="exact"/>
        <w:rPr>
          <w:rFonts w:ascii="Times New Roman" w:cs="Times New Roman" w:eastAsia="Times New Roman" w:hAnsi="Times New Roman"/>
          <w:sz w:val="17"/>
          <w:szCs w:val="17"/>
          <w:color w:val="auto"/>
        </w:rPr>
      </w:pPr>
    </w:p>
    <w:p>
      <w:pPr>
        <w:ind w:left="680" w:right="579" w:hanging="302"/>
        <w:spacing w:after="0" w:line="251" w:lineRule="auto"/>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social media and negative publicity, whether or not valid, and our ability to respond to and effectively manage the accelerated impact of social media;</w:t>
      </w:r>
    </w:p>
    <w:p>
      <w:pPr>
        <w:ind w:left="680" w:hanging="302"/>
        <w:spacing w:after="0"/>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expand our digital business, delivery orders and catering;</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concerns about food safety and quality and about food-borne illness, particularly avian flu;</w:t>
      </w:r>
    </w:p>
    <w:p>
      <w:pPr>
        <w:spacing w:after="0" w:line="9" w:lineRule="exact"/>
        <w:rPr>
          <w:rFonts w:ascii="Times New Roman" w:cs="Times New Roman" w:eastAsia="Times New Roman" w:hAnsi="Times New Roman"/>
          <w:sz w:val="17"/>
          <w:szCs w:val="17"/>
          <w:color w:val="auto"/>
        </w:rPr>
      </w:pPr>
    </w:p>
    <w:p>
      <w:pPr>
        <w:ind w:left="680" w:right="159" w:hanging="302"/>
        <w:spacing w:after="0" w:line="262" w:lineRule="auto"/>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frequent and timely deliveries of food and supplies and our dependence on a single supplier to distribute substantially all of our products to our restaurants;</w:t>
      </w:r>
    </w:p>
    <w:p>
      <w:pPr>
        <w:sectPr>
          <w:pgSz w:w="11900" w:h="16838" w:orient="portrait"/>
          <w:cols w:equalWidth="0" w:num="1">
            <w:col w:w="9019"/>
          </w:cols>
          <w:pgMar w:left="1440" w:top="494"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348615</wp:posOffset>
            </wp:positionV>
            <wp:extent cx="566102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80" w:hanging="30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service our level of indebtedness;</w:t>
      </w:r>
    </w:p>
    <w:p>
      <w:pPr>
        <w:spacing w:after="0" w:line="26" w:lineRule="exact"/>
        <w:rPr>
          <w:rFonts w:ascii="Times New Roman" w:cs="Times New Roman" w:eastAsia="Times New Roman" w:hAnsi="Times New Roman"/>
          <w:sz w:val="17"/>
          <w:szCs w:val="17"/>
          <w:color w:val="auto"/>
        </w:rPr>
      </w:pPr>
    </w:p>
    <w:p>
      <w:pPr>
        <w:ind w:left="680" w:right="379" w:hanging="302"/>
        <w:spacing w:after="0" w:line="251"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success of our marketing programs, new menu items, advertising campaigns and restaurant designs and remodels;</w:t>
      </w:r>
    </w:p>
    <w:p>
      <w:pPr>
        <w:ind w:left="680" w:right="359" w:hanging="302"/>
        <w:spacing w:after="0" w:line="251"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our franchisees, who may incur financial hardships, lose access to credit, close restaurants, or declare bankruptcy, and our limited control over our franchisees and potential liability for their acts;</w:t>
      </w:r>
    </w:p>
    <w:p>
      <w:pPr>
        <w:ind w:left="680" w:hanging="30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exposure to unexpected costs and losses from our self-insurance programs;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obligations under long-term and non-cancelable leases, and our ability to renew leases at the end of their terms;</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any failure of our information technology system or any breach of our network security;</w:t>
      </w:r>
    </w:p>
    <w:p>
      <w:pPr>
        <w:spacing w:after="0" w:line="9" w:lineRule="exact"/>
        <w:rPr>
          <w:rFonts w:ascii="Times New Roman" w:cs="Times New Roman" w:eastAsia="Times New Roman" w:hAnsi="Times New Roman"/>
          <w:sz w:val="17"/>
          <w:szCs w:val="17"/>
          <w:color w:val="auto"/>
        </w:rPr>
      </w:pPr>
    </w:p>
    <w:p>
      <w:pPr>
        <w:ind w:left="680" w:right="659" w:hanging="302"/>
        <w:spacing w:after="0" w:line="251"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any security breaches of confidential customer data or personal information in connection with our electronic process of credit and debit card transactions;</w:t>
      </w:r>
    </w:p>
    <w:p>
      <w:pPr>
        <w:ind w:left="680" w:hanging="30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enforce and maintain our trademarks and protect our other proprietary intellectual property;</w:t>
      </w:r>
    </w:p>
    <w:p>
      <w:pPr>
        <w:spacing w:after="0" w:line="9"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government regulation and litigation, including employment and labor laws; and</w:t>
      </w:r>
    </w:p>
    <w:p>
      <w:pPr>
        <w:spacing w:after="0" w:line="9" w:lineRule="exact"/>
        <w:rPr>
          <w:rFonts w:ascii="Times New Roman" w:cs="Times New Roman" w:eastAsia="Times New Roman" w:hAnsi="Times New Roman"/>
          <w:sz w:val="17"/>
          <w:szCs w:val="17"/>
          <w:color w:val="auto"/>
        </w:rPr>
      </w:pPr>
    </w:p>
    <w:p>
      <w:pPr>
        <w:ind w:left="680" w:right="239" w:hanging="302"/>
        <w:spacing w:after="0" w:line="262"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risks set forth in our filings with the SEC from time to time, including under Item 1A, Risk Factors in our annual report on Form 10-K for the year ended December 29, 2021, which filings are available online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40" w:right="199"/>
        <w:spacing w:after="0" w:line="255" w:lineRule="auto"/>
        <w:rPr>
          <w:sz w:val="20"/>
          <w:szCs w:val="20"/>
          <w:color w:val="auto"/>
        </w:rPr>
      </w:pPr>
      <w:r>
        <w:rPr>
          <w:rFonts w:ascii="Times New Roman" w:cs="Times New Roman" w:eastAsia="Times New Roman" w:hAnsi="Times New Roman"/>
          <w:sz w:val="17"/>
          <w:szCs w:val="17"/>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8"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7"/>
          <w:szCs w:val="17"/>
          <w:color w:val="auto"/>
        </w:rPr>
        <w:t>El Pollo Loco is a differentiated and growing restaurant concept that specializes in fire-grilling citrus-marinated chicken and operates in the limited service restaurant (“LSR”) segment. We strive to offer food that integrates the culinary traditions of Mexico with the healthier lifestyle of Los Angeles, a combination that we call “LA-Mex.”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shrimp.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We believe that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Market Trends and Uncertainties</w:t>
      </w:r>
    </w:p>
    <w:p>
      <w:pPr>
        <w:spacing w:after="0" w:line="218"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We may face future business disruption and related risks resulting from the ongoing COVID-19 pandemic or from another pandemic, epidemic or infectious disease outbreak, or from broader macroeconomic trends, any of which could have a significant impact on our business. During both thirteen weeks ended September 28, 2022 and September 29, 2021, respectively, we incurred $0.5 million in COVID-19 related expenses, primarily due to leaves of absence. During the thirty-nine weeks ended September 28, 2022 and September 29, 2021, respectively, we incurred $3.1 million and $3.5 million, in COVID-19 related expenses, primarily due to leaves of absence and overtime pay. In addition, while all of our restaurants had dining rooms open as of September 28, 2022, we continue to experience staffing challenges, including higher wage inflation, overtime costs and other labor related costs. Labor costs could also be adversely impacted as a result of California Assembly Bill No. 257, the Fast Food Accountability and Standards Recovery Act (“FAST Act”), which was signed into law in September 2022 and authorizes the creation of a council to set minimum standards for industry workers in California, including minimum wages. The FAST Act, currently subject to a referendum campaign, could result in increased labor cost at our California restaurants thereby potentially impacting the profitability of our California restaurants. Further, this bill could prompt similar legislation in other states. Further, we continue to experience inflationary pressures, which resulted in increased commodity prices and impacted our business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579"/>
        <w:spacing w:after="0" w:line="283" w:lineRule="auto"/>
        <w:rPr>
          <w:sz w:val="20"/>
          <w:szCs w:val="20"/>
          <w:color w:val="auto"/>
        </w:rPr>
      </w:pPr>
      <w:r>
        <w:rPr>
          <w:rFonts w:ascii="Times New Roman" w:cs="Times New Roman" w:eastAsia="Times New Roman" w:hAnsi="Times New Roman"/>
          <w:sz w:val="17"/>
          <w:szCs w:val="17"/>
          <w:color w:val="auto"/>
        </w:rPr>
        <w:t>and results of operations during the thirteen and thirty-nine weeks ended September 28, 2022. We expect these pressures to continue during the rest of fiscal 2022.</w:t>
      </w:r>
    </w:p>
    <w:p>
      <w:pPr>
        <w:spacing w:after="0" w:line="153"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7"/>
          <w:szCs w:val="17"/>
          <w:color w:val="auto"/>
        </w:rPr>
        <w:t>Due to the fluidity of the COVID-19 pandemic and current macroeconomic environment, we cannot determine the ultimate impact on our condensed consolidated financial condition, liquidity, and future results of operations, and therefore any prediction as to the ultimate materiality of the adverse impact on our condensed consolidated financial condition, liquidity, and future results of operations is uncertain.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Growth Strategies and Outlook</w:t>
      </w:r>
    </w:p>
    <w:p>
      <w:pPr>
        <w:spacing w:after="0" w:line="218" w:lineRule="exact"/>
        <w:rPr>
          <w:sz w:val="20"/>
          <w:szCs w:val="20"/>
          <w:color w:val="auto"/>
        </w:rPr>
      </w:pPr>
    </w:p>
    <w:p>
      <w:pPr>
        <w:ind w:left="40" w:right="159"/>
        <w:spacing w:after="0" w:line="257" w:lineRule="auto"/>
        <w:rPr>
          <w:sz w:val="20"/>
          <w:szCs w:val="20"/>
          <w:color w:val="auto"/>
        </w:rPr>
      </w:pPr>
      <w:r>
        <w:rPr>
          <w:rFonts w:ascii="Times New Roman" w:cs="Times New Roman" w:eastAsia="Times New Roman" w:hAnsi="Times New Roman"/>
          <w:sz w:val="17"/>
          <w:szCs w:val="17"/>
          <w:color w:val="auto"/>
        </w:rPr>
        <w:t>As of September 28, 2022, we had 487 locations in six states. In fiscal 2021, we opened two new company-operated restaurants, one in Nevada and one in California, and our franchisees opened two new restaurants, one in Texas and one in Louisiana. For the thirty-nine weeks ended September 28, 2022, one new company-operated restaurant was opened in Nevada and two new company-operated restaurants were opened in California. For the thirty-nine weeks ended September 28, 2022, seven new franchised restaurants were opened in California. We plan to continue to expand our business, drive restaurant sales growth, and enhance our competitive positioning, by executing the following strategies:</w:t>
      </w:r>
    </w:p>
    <w:p>
      <w:pPr>
        <w:spacing w:after="0" w:line="177" w:lineRule="exact"/>
        <w:rPr>
          <w:sz w:val="20"/>
          <w:szCs w:val="20"/>
          <w:color w:val="auto"/>
        </w:rPr>
      </w:pPr>
    </w:p>
    <w:p>
      <w:pPr>
        <w:ind w:left="680" w:hanging="302"/>
        <w:spacing w:after="0"/>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 people-first culture;</w:t>
      </w:r>
    </w:p>
    <w:p>
      <w:pPr>
        <w:spacing w:after="0" w:line="213"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differentiate the brand;</w:t>
      </w:r>
    </w:p>
    <w:p>
      <w:pPr>
        <w:spacing w:after="0" w:line="213"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simplify operations; and</w:t>
      </w:r>
    </w:p>
    <w:p>
      <w:pPr>
        <w:spacing w:after="0" w:line="213"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new restaurant development.</w:t>
      </w:r>
    </w:p>
    <w:p>
      <w:pPr>
        <w:spacing w:after="0" w:line="214" w:lineRule="exact"/>
        <w:rPr>
          <w:sz w:val="20"/>
          <w:szCs w:val="20"/>
          <w:color w:val="auto"/>
        </w:rPr>
      </w:pPr>
    </w:p>
    <w:p>
      <w:pPr>
        <w:ind w:left="40" w:right="219"/>
        <w:spacing w:after="0" w:line="283" w:lineRule="auto"/>
        <w:rPr>
          <w:sz w:val="20"/>
          <w:szCs w:val="20"/>
          <w:color w:val="auto"/>
        </w:rPr>
      </w:pPr>
      <w:r>
        <w:rPr>
          <w:rFonts w:ascii="Times New Roman" w:cs="Times New Roman" w:eastAsia="Times New Roman" w:hAnsi="Times New Roman"/>
          <w:sz w:val="17"/>
          <w:szCs w:val="17"/>
          <w:color w:val="auto"/>
        </w:rPr>
        <w:t>To increase comparable restaurant sales, we plan to increase customer frequency, attract new customers, and improve per-person spend. The success of these growth plans is not guaranteed.</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Highlights and Trends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Comparable Restaurant Sales</w:t>
      </w:r>
    </w:p>
    <w:p>
      <w:pPr>
        <w:spacing w:after="0" w:line="220"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7"/>
          <w:szCs w:val="17"/>
          <w:color w:val="auto"/>
        </w:rPr>
        <w:t>For the thirteen and thirty-nine weeks ended September 28, 2022, system-wide comparable restaurant sales increased by 3.8% and 6.3%, respectively, from the comparable period in the prior year. For company-operated restaurants, comparable restaurant sales for the thirteen and thirty-nine weeks ended September 28, 2022 increased by 3.4% and 2.9%, respectively. For company-operated restaurants, the quarter’s change in comparable restaurant sales consisted of an approximately 7.5% increase in average check size and a decrease in transactions of 4.1% and the year-to-date change in comparable restaurant sales consisted of a 4.1% decrease in transactions and a 7.0% increase in average check size. For franchised restaurants, comparable restaurant sales increased 4.1% and 8.6% for the thirteen and thirty-nine weeks ended September 28, 2022, respectively. Refer to Comparable Restaurant Sales definition in “Key Performance Indicators” section below.</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Restaurant Development</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restaurant counts at the beginning and end of each of the last three fiscal years and the thirty-nine weeks ended</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September 28, 2022, were as 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5040" w:type="dxa"/>
            <w:vAlign w:val="bottom"/>
          </w:tcPr>
          <w:p>
            <w:pPr>
              <w:spacing w:after="0"/>
              <w:rPr>
                <w:sz w:val="14"/>
                <w:szCs w:val="14"/>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6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480" w:type="dxa"/>
            <w:vAlign w:val="bottom"/>
          </w:tcPr>
          <w:p>
            <w:pPr>
              <w:spacing w:after="0"/>
              <w:rPr>
                <w:sz w:val="14"/>
                <w:szCs w:val="14"/>
                <w:color w:val="auto"/>
              </w:rPr>
            </w:pPr>
          </w:p>
        </w:tc>
      </w:tr>
      <w:tr>
        <w:trPr>
          <w:trHeight w:val="133"/>
        </w:trPr>
        <w:tc>
          <w:tcPr>
            <w:tcW w:w="5040" w:type="dxa"/>
            <w:vAlign w:val="bottom"/>
            <w:tcBorders>
              <w:bottom w:val="single" w:sz="8" w:color="CCEEFF"/>
            </w:tcBorders>
          </w:tcPr>
          <w:p>
            <w:pPr>
              <w:spacing w:after="0"/>
              <w:rPr>
                <w:sz w:val="11"/>
                <w:szCs w:val="11"/>
                <w:color w:val="auto"/>
              </w:rPr>
            </w:pPr>
          </w:p>
        </w:tc>
        <w:tc>
          <w:tcPr>
            <w:tcW w:w="1660" w:type="dxa"/>
            <w:vAlign w:val="bottom"/>
            <w:tcBorders>
              <w:top w:val="single" w:sz="8" w:color="auto"/>
              <w:bottom w:val="single" w:sz="8" w:color="auto"/>
            </w:tcBorders>
          </w:tcPr>
          <w:p>
            <w:pPr>
              <w:jc w:val="right"/>
              <w:ind w:right="177"/>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14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76"/>
              <w:spacing w:after="0" w:line="134"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6"/>
              <w:spacing w:after="0" w:line="134" w:lineRule="exact"/>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19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Company-operated restaurant activity:</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Beginning of period</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Openings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Restaurant sale to franchisee</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Closures</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8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197"/>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Restaurants at end of period</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Franchised restaurant activity:</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Beginning of period</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Openings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Restaurant sale to franchisee</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17"/>
                <w:szCs w:val="17"/>
                <w:color w:val="auto"/>
              </w:rPr>
            </w:pP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Closures</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197"/>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Restaurants at end of period</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System-wide restaurant activity:</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Beginning of period</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Openings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Closures</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197"/>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Restaurants at end of period</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r>
      <w:tr>
        <w:trPr>
          <w:trHeight w:val="20"/>
        </w:trPr>
        <w:tc>
          <w:tcPr>
            <w:tcW w:w="50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Restaurant Remodeling</w:t>
      </w:r>
    </w:p>
    <w:p>
      <w:pPr>
        <w:spacing w:after="0" w:line="220"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7"/>
          <w:szCs w:val="17"/>
          <w:color w:val="auto"/>
        </w:rPr>
        <w:t xml:space="preserve">In 2020, we finalized a new restaurant design that we believe will clearly differentiate and communicate our brand, both on the exterior and interior. We believe that our remodels using this new design will result in higher restaurant revenue and a strengthened brand. During the year ended September 28, 2022, we have completed four company-operated restaurant remodels and eight franchise remodels using the new asset design. In fiscal 2022, we plan to continue our standard practices for remodels, which includes completing a total of six company and 20-30 franchise remodels using the new design. </w:t>
      </w:r>
      <w:r>
        <w:rPr>
          <w:rFonts w:ascii="Times New Roman" w:cs="Times New Roman" w:eastAsia="Times New Roman" w:hAnsi="Times New Roman"/>
          <w:sz w:val="17"/>
          <w:szCs w:val="17"/>
          <w:color w:val="212529"/>
        </w:rPr>
        <w:t>The cost of our restaurant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remodels varies depending on the scope of the work required, but on average the investment is $0.3 million to $0.4 million per restaurant.</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Loco Rewards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Loco Rewards loyalty program offers rewards that incentivize customers to visit our restaurants more often</w:t>
      </w:r>
    </w:p>
    <w:p>
      <w:pPr>
        <w:spacing w:after="0" w:line="26" w:lineRule="exact"/>
        <w:rPr>
          <w:sz w:val="20"/>
          <w:szCs w:val="20"/>
          <w:color w:val="auto"/>
        </w:rPr>
      </w:pPr>
    </w:p>
    <w:p>
      <w:pPr>
        <w:ind w:left="40" w:right="139"/>
        <w:spacing w:after="0" w:line="252" w:lineRule="auto"/>
        <w:rPr>
          <w:sz w:val="20"/>
          <w:szCs w:val="20"/>
          <w:color w:val="auto"/>
        </w:rPr>
      </w:pPr>
      <w:r>
        <w:rPr>
          <w:rFonts w:ascii="Times New Roman" w:cs="Times New Roman" w:eastAsia="Times New Roman" w:hAnsi="Times New Roman"/>
          <w:sz w:val="17"/>
          <w:szCs w:val="17"/>
          <w:color w:val="auto"/>
        </w:rPr>
        <w:t>each month. Customers earn points for each dollar spent and 50 points can be redeemed for a $5 reward to be used for a future purchase.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spacing w:after="0" w:line="183"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September 28, 2022 and December 29, 2021, the revenue allocated to loyalty points that had not been redeemed was $0.5 million and $0.7 million, respectively, which is reflected in our accompanying condensed consolidated balance sheets within other accrued expenses and current liabilities. We had over 3.1 million loyalty program members as of September 28, 2022.</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Accounting Policies and Use of Estimates</w:t>
      </w:r>
    </w:p>
    <w:p>
      <w:pPr>
        <w:spacing w:after="0" w:line="218" w:lineRule="exact"/>
        <w:rPr>
          <w:sz w:val="20"/>
          <w:szCs w:val="20"/>
          <w:color w:val="auto"/>
        </w:rPr>
      </w:pPr>
    </w:p>
    <w:p>
      <w:pPr>
        <w:ind w:left="40" w:right="199"/>
        <w:spacing w:after="0" w:line="257" w:lineRule="auto"/>
        <w:rPr>
          <w:sz w:val="20"/>
          <w:szCs w:val="20"/>
          <w:color w:val="auto"/>
        </w:rPr>
      </w:pPr>
      <w:r>
        <w:rPr>
          <w:rFonts w:ascii="Times New Roman" w:cs="Times New Roman" w:eastAsia="Times New Roman" w:hAnsi="Times New Roman"/>
          <w:sz w:val="17"/>
          <w:szCs w:val="17"/>
          <w:color w:val="auto"/>
        </w:rPr>
        <w:t>The preparation of our condensed consolidated financial statements in accordance with U.S. generally accepted accounting principles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77" w:lineRule="exact"/>
        <w:rPr>
          <w:sz w:val="20"/>
          <w:szCs w:val="20"/>
          <w:color w:val="auto"/>
        </w:rPr>
      </w:pPr>
    </w:p>
    <w:p>
      <w:pPr>
        <w:ind w:left="40" w:right="59"/>
        <w:spacing w:after="0" w:line="257" w:lineRule="auto"/>
        <w:rPr>
          <w:sz w:val="20"/>
          <w:szCs w:val="20"/>
          <w:color w:val="auto"/>
        </w:rPr>
      </w:pPr>
      <w:r>
        <w:rPr>
          <w:rFonts w:ascii="Times New Roman" w:cs="Times New Roman" w:eastAsia="Times New Roman" w:hAnsi="Times New Roman"/>
          <w:sz w:val="17"/>
          <w:szCs w:val="17"/>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our critical accounting policies and estimates involve the most difficult management judgments, due to the sensitivity of the methods and assumptions used. For a summary of our critical accounting policies and a discussion of our use of estimates, see “Critical Accounting Policies and Estimates” in Item 7, “Management’s Discussion and Analysis of Financial Condition and Results of Operations” in our annual report on Form 10-K for the year ended December 29, 2021.</w:t>
      </w:r>
    </w:p>
    <w:p>
      <w:pPr>
        <w:spacing w:after="0" w:line="177" w:lineRule="exact"/>
        <w:rPr>
          <w:sz w:val="20"/>
          <w:szCs w:val="20"/>
          <w:color w:val="auto"/>
        </w:rPr>
      </w:pPr>
    </w:p>
    <w:p>
      <w:pPr>
        <w:ind w:left="40" w:right="99"/>
        <w:spacing w:after="0" w:line="283" w:lineRule="auto"/>
        <w:rPr>
          <w:sz w:val="20"/>
          <w:szCs w:val="20"/>
          <w:color w:val="auto"/>
        </w:rPr>
      </w:pPr>
      <w:r>
        <w:rPr>
          <w:rFonts w:ascii="Times New Roman" w:cs="Times New Roman" w:eastAsia="Times New Roman" w:hAnsi="Times New Roman"/>
          <w:sz w:val="17"/>
          <w:szCs w:val="17"/>
          <w:color w:val="auto"/>
        </w:rPr>
        <w:t>There have been no material changes to our critical accounting policies or uses of estimates since our annual report on Form 10-K for the year ended December 29, 2021.</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8" w:lineRule="exact"/>
        <w:rPr>
          <w:sz w:val="20"/>
          <w:szCs w:val="20"/>
          <w:color w:val="auto"/>
        </w:rPr>
      </w:pPr>
    </w:p>
    <w:p>
      <w:pPr>
        <w:ind w:left="40" w:right="499"/>
        <w:spacing w:after="0" w:line="283" w:lineRule="auto"/>
        <w:rPr>
          <w:sz w:val="20"/>
          <w:szCs w:val="20"/>
          <w:color w:val="auto"/>
        </w:rPr>
      </w:pPr>
      <w:r>
        <w:rPr>
          <w:rFonts w:ascii="Times New Roman" w:cs="Times New Roman" w:eastAsia="Times New Roman" w:hAnsi="Times New Roman"/>
          <w:sz w:val="17"/>
          <w:szCs w:val="17"/>
          <w:color w:val="auto"/>
        </w:rPr>
        <w:t>Recent accounting pronouncements are described in Note 1, “Basis of Presentation and Summary of Significant Accounting Policies” in the Notes to Condensed Consolidated Financial Statements above.</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Key Financial Definitions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0" w:lineRule="exact"/>
        <w:rPr>
          <w:sz w:val="20"/>
          <w:szCs w:val="20"/>
          <w:color w:val="auto"/>
        </w:rPr>
      </w:pPr>
    </w:p>
    <w:p>
      <w:pPr>
        <w:ind w:left="40" w:right="159"/>
        <w:spacing w:after="0" w:line="262" w:lineRule="auto"/>
        <w:rPr>
          <w:sz w:val="20"/>
          <w:szCs w:val="20"/>
          <w:color w:val="auto"/>
        </w:rPr>
      </w:pPr>
      <w:r>
        <w:rPr>
          <w:rFonts w:ascii="Times New Roman" w:cs="Times New Roman" w:eastAsia="Times New Roman" w:hAnsi="Times New Roman"/>
          <w:sz w:val="17"/>
          <w:szCs w:val="17"/>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“Revenue from Contracts with Customers” in the Notes to Condensed Consolidated Financial Statements above for further details regarding our revenue recognition policy.</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Food and Paper Costs</w:t>
      </w:r>
    </w:p>
    <w:p>
      <w:pPr>
        <w:spacing w:after="0" w:line="220"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 We expect food and paper costs, particularly those items not subject to purchasing commitments, to increase in the short-term due to current inflationary pressures.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Labor and Related Expenses</w:t>
      </w:r>
    </w:p>
    <w:p>
      <w:pPr>
        <w:spacing w:after="0" w:line="220"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state labor laws (which, in California, may include the FAST Act), overtime, wage inflation, the frequency and severity of workers’ compensation claims, health care costs, and the performance of our restaurants.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Occupancy Costs and Other Operating Expenses</w:t>
      </w:r>
    </w:p>
    <w:p>
      <w:pPr>
        <w:spacing w:after="0" w:line="220" w:lineRule="exact"/>
        <w:rPr>
          <w:sz w:val="20"/>
          <w:szCs w:val="20"/>
          <w:color w:val="auto"/>
        </w:rPr>
      </w:pPr>
    </w:p>
    <w:p>
      <w:pPr>
        <w:ind w:left="40" w:right="379"/>
        <w:spacing w:after="0" w:line="267" w:lineRule="auto"/>
        <w:rPr>
          <w:sz w:val="20"/>
          <w:szCs w:val="20"/>
          <w:color w:val="auto"/>
        </w:rPr>
      </w:pPr>
      <w:r>
        <w:rPr>
          <w:rFonts w:ascii="Times New Roman" w:cs="Times New Roman" w:eastAsia="Times New Roman" w:hAnsi="Times New Roman"/>
          <w:sz w:val="17"/>
          <w:szCs w:val="17"/>
          <w:color w:val="auto"/>
        </w:rPr>
        <w:t>Occupancy costs include rent, common area maintenance (“CAM”), and real estate taxes. Other restaurant operating expenses include the costs of utilities, advertising, credit card processing fees, restaurant supplies, repairs and maintenance, and other restaurant operating costs.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20" w:lineRule="exact"/>
        <w:rPr>
          <w:sz w:val="20"/>
          <w:szCs w:val="20"/>
          <w:color w:val="auto"/>
        </w:rPr>
      </w:pPr>
    </w:p>
    <w:p>
      <w:pPr>
        <w:ind w:left="40" w:right="279"/>
        <w:spacing w:after="0" w:line="259" w:lineRule="auto"/>
        <w:rPr>
          <w:sz w:val="20"/>
          <w:szCs w:val="20"/>
          <w:color w:val="auto"/>
        </w:rPr>
      </w:pPr>
      <w:r>
        <w:rPr>
          <w:rFonts w:ascii="Times New Roman" w:cs="Times New Roman" w:eastAsia="Times New Roman" w:hAnsi="Times New Roman"/>
          <w:sz w:val="17"/>
          <w:szCs w:val="17"/>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Franchise Expenses</w:t>
      </w:r>
    </w:p>
    <w:p>
      <w:pPr>
        <w:spacing w:after="0" w:line="220" w:lineRule="exact"/>
        <w:rPr>
          <w:sz w:val="20"/>
          <w:szCs w:val="20"/>
          <w:color w:val="auto"/>
        </w:rPr>
      </w:pPr>
    </w:p>
    <w:p>
      <w:pPr>
        <w:ind w:left="40" w:right="199"/>
        <w:spacing w:after="0" w:line="283" w:lineRule="auto"/>
        <w:rPr>
          <w:sz w:val="20"/>
          <w:szCs w:val="20"/>
          <w:color w:val="auto"/>
        </w:rPr>
      </w:pPr>
      <w:r>
        <w:rPr>
          <w:rFonts w:ascii="Times New Roman" w:cs="Times New Roman" w:eastAsia="Times New Roman" w:hAnsi="Times New Roman"/>
          <w:sz w:val="17"/>
          <w:szCs w:val="17"/>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220" w:lineRule="exact"/>
        <w:rPr>
          <w:sz w:val="20"/>
          <w:szCs w:val="20"/>
          <w:color w:val="auto"/>
        </w:rPr>
      </w:pPr>
    </w:p>
    <w:p>
      <w:pPr>
        <w:ind w:left="40" w:right="1039"/>
        <w:spacing w:after="0" w:line="283" w:lineRule="auto"/>
        <w:rPr>
          <w:sz w:val="20"/>
          <w:szCs w:val="20"/>
          <w:color w:val="auto"/>
        </w:rPr>
      </w:pPr>
      <w:r>
        <w:rPr>
          <w:rFonts w:ascii="Times New Roman" w:cs="Times New Roman" w:eastAsia="Times New Roman" w:hAnsi="Times New Roman"/>
          <w:sz w:val="17"/>
          <w:szCs w:val="17"/>
          <w:color w:val="auto"/>
        </w:rPr>
        <w:t>Depreciation and amortization primarily consists of the depreciation of property and equipment, including leasehold improvements and equipment.</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Loss on Disposal of Assets</w:t>
      </w:r>
    </w:p>
    <w:p>
      <w:pPr>
        <w:spacing w:after="0" w:line="220" w:lineRule="exact"/>
        <w:rPr>
          <w:sz w:val="20"/>
          <w:szCs w:val="20"/>
          <w:color w:val="auto"/>
        </w:rPr>
      </w:pPr>
    </w:p>
    <w:p>
      <w:pPr>
        <w:ind w:left="40" w:right="239"/>
        <w:spacing w:after="0" w:line="283" w:lineRule="auto"/>
        <w:rPr>
          <w:sz w:val="20"/>
          <w:szCs w:val="20"/>
          <w:color w:val="auto"/>
        </w:rPr>
      </w:pPr>
      <w:r>
        <w:rPr>
          <w:rFonts w:ascii="Times New Roman" w:cs="Times New Roman" w:eastAsia="Times New Roman" w:hAnsi="Times New Roman"/>
          <w:sz w:val="17"/>
          <w:szCs w:val="17"/>
          <w:color w:val="auto"/>
        </w:rPr>
        <w:t>Loss on disposal of assets includes the loss on disposal of assets related to retirements and replacement or write-off of leasehold improvements or equipment.</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Impairment and Closed-Store Reserves</w:t>
      </w:r>
    </w:p>
    <w:p>
      <w:pPr>
        <w:spacing w:after="0" w:line="220"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7"/>
          <w:szCs w:val="17"/>
          <w:color w:val="auto"/>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82" w:lineRule="exact"/>
        <w:rPr>
          <w:sz w:val="20"/>
          <w:szCs w:val="20"/>
          <w:color w:val="auto"/>
        </w:rPr>
      </w:pPr>
    </w:p>
    <w:p>
      <w:pPr>
        <w:ind w:left="40" w:right="379"/>
        <w:spacing w:after="0" w:line="267" w:lineRule="auto"/>
        <w:rPr>
          <w:sz w:val="20"/>
          <w:szCs w:val="20"/>
          <w:color w:val="auto"/>
        </w:rPr>
      </w:pPr>
      <w:r>
        <w:rPr>
          <w:rFonts w:ascii="Times New Roman" w:cs="Times New Roman" w:eastAsia="Times New Roman" w:hAnsi="Times New Roman"/>
          <w:sz w:val="17"/>
          <w:szCs w:val="17"/>
          <w:color w:val="auto"/>
        </w:rPr>
        <w:t>When we close a restaurant, we will evaluate the right of 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220" w:lineRule="exact"/>
        <w:rPr>
          <w:sz w:val="20"/>
          <w:szCs w:val="20"/>
          <w:color w:val="auto"/>
        </w:rPr>
      </w:pPr>
    </w:p>
    <w:p>
      <w:pPr>
        <w:ind w:left="40" w:right="139"/>
        <w:spacing w:after="0" w:line="283" w:lineRule="auto"/>
        <w:rPr>
          <w:sz w:val="20"/>
          <w:szCs w:val="20"/>
          <w:color w:val="auto"/>
        </w:rPr>
      </w:pPr>
      <w:r>
        <w:rPr>
          <w:rFonts w:ascii="Times New Roman" w:cs="Times New Roman" w:eastAsia="Times New Roman" w:hAnsi="Times New Roman"/>
          <w:sz w:val="17"/>
          <w:szCs w:val="17"/>
          <w:color w:val="auto"/>
        </w:rPr>
        <w:t>Interest expense, net, consists primarily of interest on our outstanding debt. Debt issuance costs are amortized at cost over the life of the related debt.</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Provision for income taxes consists of federal and state taxes on our income.</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Comparison of Results of Operations</w:t>
      </w:r>
    </w:p>
    <w:p>
      <w:pPr>
        <w:spacing w:after="0" w:line="218" w:lineRule="exact"/>
        <w:rPr>
          <w:sz w:val="20"/>
          <w:szCs w:val="20"/>
          <w:color w:val="auto"/>
        </w:rPr>
      </w:pPr>
    </w:p>
    <w:p>
      <w:pPr>
        <w:jc w:val="both"/>
        <w:ind w:left="40" w:right="239"/>
        <w:spacing w:after="0" w:line="267" w:lineRule="auto"/>
        <w:rPr>
          <w:sz w:val="20"/>
          <w:szCs w:val="20"/>
          <w:color w:val="auto"/>
        </w:rPr>
      </w:pPr>
      <w:r>
        <w:rPr>
          <w:rFonts w:ascii="Times New Roman" w:cs="Times New Roman" w:eastAsia="Times New Roman" w:hAnsi="Times New Roman"/>
          <w:sz w:val="17"/>
          <w:szCs w:val="17"/>
          <w:color w:val="auto"/>
        </w:rPr>
        <w:t>Our operating results for the thirteen weeks ended September 28, 2022 and September 29, 2021 and expressed as percentages of total revenue, with the exception of cost of operations and company restaurant expenses, which are expressed as percentages of company-operated restaurant revenue, are compared in the tables below.</w:t>
      </w:r>
    </w:p>
    <w:p>
      <w:pPr>
        <w:sectPr>
          <w:pgSz w:w="11900" w:h="16838" w:orient="portrait"/>
          <w:cols w:equalWidth="0" w:num="1">
            <w:col w:w="9019"/>
          </w:cols>
          <w:pgMar w:left="1440" w:top="494"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348615</wp:posOffset>
            </wp:positionV>
            <wp:extent cx="566102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5"/>
              </w:rPr>
              <w:t>Thirteen Weeks Ended</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76"/>
              <w:spacing w:after="0" w:line="134" w:lineRule="exact"/>
              <w:rPr>
                <w:sz w:val="20"/>
                <w:szCs w:val="20"/>
                <w:color w:val="auto"/>
              </w:rPr>
            </w:pPr>
            <w:r>
              <w:rPr>
                <w:rFonts w:ascii="Times New Roman" w:cs="Times New Roman" w:eastAsia="Times New Roman" w:hAnsi="Times New Roman"/>
                <w:sz w:val="14"/>
                <w:szCs w:val="14"/>
                <w:b w:val="1"/>
                <w:bCs w:val="1"/>
                <w:color w:val="auto"/>
                <w:w w:val="97"/>
              </w:rPr>
              <w:t>September 28, 2022</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76"/>
              <w:spacing w:after="0" w:line="134" w:lineRule="exact"/>
              <w:rPr>
                <w:sz w:val="20"/>
                <w:szCs w:val="20"/>
                <w:color w:val="auto"/>
              </w:rPr>
            </w:pPr>
            <w:r>
              <w:rPr>
                <w:rFonts w:ascii="Times New Roman" w:cs="Times New Roman" w:eastAsia="Times New Roman" w:hAnsi="Times New Roman"/>
                <w:sz w:val="14"/>
                <w:szCs w:val="14"/>
                <w:b w:val="1"/>
                <w:bCs w:val="1"/>
                <w:color w:val="auto"/>
                <w:w w:val="97"/>
              </w:rPr>
              <w:t>September 29, 2021</w:t>
            </w:r>
          </w:p>
        </w:tc>
        <w:tc>
          <w:tcPr>
            <w:tcW w:w="140" w:type="dxa"/>
            <w:vAlign w:val="bottom"/>
          </w:tcPr>
          <w:p>
            <w:pPr>
              <w:spacing w:after="0"/>
              <w:rPr>
                <w:sz w:val="11"/>
                <w:szCs w:val="11"/>
                <w:color w:val="auto"/>
              </w:rPr>
            </w:pPr>
          </w:p>
        </w:tc>
        <w:tc>
          <w:tcPr>
            <w:tcW w:w="1340" w:type="dxa"/>
            <w:vAlign w:val="bottom"/>
            <w:tcBorders>
              <w:bottom w:val="single" w:sz="8" w:color="auto"/>
            </w:tcBorders>
            <w:gridSpan w:val="4"/>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33"/>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Statements of Income Data</w:t>
            </w: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6"/>
              <w:spacing w:after="0" w:line="134"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Pr>
          <w:p>
            <w:pPr>
              <w:spacing w:after="0"/>
              <w:rPr>
                <w:sz w:val="11"/>
                <w:szCs w:val="11"/>
                <w:color w:val="auto"/>
              </w:rPr>
            </w:pPr>
          </w:p>
        </w:tc>
        <w:tc>
          <w:tcPr>
            <w:tcW w:w="520" w:type="dxa"/>
            <w:vAlign w:val="bottom"/>
            <w:tcBorders>
              <w:bottom w:val="single" w:sz="8" w:color="auto"/>
            </w:tcBorders>
          </w:tcPr>
          <w:p>
            <w:pPr>
              <w:jc w:val="right"/>
              <w:ind w:right="76"/>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6"/>
              <w:spacing w:after="0" w:line="134"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Pr>
          <w:p>
            <w:pPr>
              <w:spacing w:after="0"/>
              <w:rPr>
                <w:sz w:val="11"/>
                <w:szCs w:val="11"/>
                <w:color w:val="auto"/>
              </w:rPr>
            </w:pPr>
          </w:p>
        </w:tc>
        <w:tc>
          <w:tcPr>
            <w:tcW w:w="520" w:type="dxa"/>
            <w:vAlign w:val="bottom"/>
            <w:tcBorders>
              <w:bottom w:val="single" w:sz="8" w:color="auto"/>
            </w:tcBorders>
          </w:tcPr>
          <w:p>
            <w:pPr>
              <w:jc w:val="right"/>
              <w:ind w:right="76"/>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6"/>
              <w:spacing w:after="0" w:line="134" w:lineRule="exact"/>
              <w:rPr>
                <w:sz w:val="20"/>
                <w:szCs w:val="20"/>
                <w:color w:val="auto"/>
              </w:rPr>
            </w:pPr>
            <w:r>
              <w:rPr>
                <w:rFonts w:ascii="Times New Roman" w:cs="Times New Roman" w:eastAsia="Times New Roman" w:hAnsi="Times New Roman"/>
                <w:sz w:val="14"/>
                <w:szCs w:val="14"/>
                <w:b w:val="1"/>
                <w:bCs w:val="1"/>
                <w:color w:val="auto"/>
                <w:w w:val="97"/>
              </w:rPr>
              <w:t>($,000)</w:t>
            </w:r>
          </w:p>
        </w:tc>
        <w:tc>
          <w:tcPr>
            <w:tcW w:w="140" w:type="dxa"/>
            <w:vAlign w:val="bottom"/>
          </w:tcPr>
          <w:p>
            <w:pPr>
              <w:spacing w:after="0"/>
              <w:rPr>
                <w:sz w:val="11"/>
                <w:szCs w:val="11"/>
                <w:color w:val="auto"/>
              </w:rPr>
            </w:pPr>
          </w:p>
        </w:tc>
        <w:tc>
          <w:tcPr>
            <w:tcW w:w="500" w:type="dxa"/>
            <w:vAlign w:val="bottom"/>
            <w:tcBorders>
              <w:bottom w:val="single" w:sz="8" w:color="auto"/>
            </w:tcBorders>
          </w:tcPr>
          <w:p>
            <w:pPr>
              <w:jc w:val="right"/>
              <w:ind w:right="56"/>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7"/>
        </w:trPr>
        <w:tc>
          <w:tcPr>
            <w:tcW w:w="372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Company-operated restaurant revenue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103,174</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99,986</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3,188</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Franchise revenue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9,543</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8,918</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0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Franchise advertising fee revenue</w:t>
            </w:r>
          </w:p>
        </w:tc>
        <w:tc>
          <w:tcPr>
            <w:tcW w:w="7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7,161</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6,796</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197"/>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119,878</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115,700</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4,178</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0" w:type="dxa"/>
            <w:vAlign w:val="bottom"/>
          </w:tcPr>
          <w:p>
            <w:pPr>
              <w:spacing w:after="0"/>
              <w:rPr>
                <w:sz w:val="1"/>
                <w:szCs w:val="1"/>
                <w:color w:val="auto"/>
              </w:rPr>
            </w:pPr>
          </w:p>
        </w:tc>
      </w:tr>
      <w:tr>
        <w:trPr>
          <w:trHeight w:val="20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operations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Food and paper costs (1)</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30,163</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26,698</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3,465</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0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Labor and related expenses (1)</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33,279</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27,802</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5,477</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05"/>
        </w:trPr>
        <w:tc>
          <w:tcPr>
            <w:tcW w:w="3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Occupancy and other operating expenses (1)</w:t>
            </w: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26,920</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25,108</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197"/>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Company restaurant expenses (1)</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90,362</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79,608</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10,754</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w:t>
            </w: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9,855</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9,357</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Franchise expenses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9,027</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8,545</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3,530</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3,685</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disposal of assets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disposition of restaurants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and closed-store reserves</w:t>
            </w:r>
          </w:p>
        </w:tc>
        <w:tc>
          <w:tcPr>
            <w:tcW w:w="7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0" w:type="dxa"/>
            <w:vAlign w:val="bottom"/>
          </w:tcPr>
          <w:p>
            <w:pPr>
              <w:spacing w:after="0"/>
              <w:rPr>
                <w:sz w:val="1"/>
                <w:szCs w:val="1"/>
                <w:color w:val="auto"/>
              </w:rPr>
            </w:pPr>
          </w:p>
        </w:tc>
      </w:tr>
      <w:tr>
        <w:trPr>
          <w:trHeight w:val="197"/>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113,014</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101,455</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11,559</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11.4</w:t>
            </w:r>
          </w:p>
        </w:tc>
        <w:tc>
          <w:tcPr>
            <w:tcW w:w="0" w:type="dxa"/>
            <w:vAlign w:val="bottom"/>
          </w:tcPr>
          <w:p>
            <w:pPr>
              <w:spacing w:after="0"/>
              <w:rPr>
                <w:sz w:val="1"/>
                <w:szCs w:val="1"/>
                <w:color w:val="auto"/>
              </w:rPr>
            </w:pPr>
          </w:p>
        </w:tc>
      </w:tr>
      <w:tr>
        <w:trPr>
          <w:trHeight w:val="20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6,864</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14,245</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(7,381)</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(51.8)</w:t>
            </w: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 net of interest income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0" w:type="dxa"/>
            <w:vAlign w:val="bottom"/>
          </w:tcPr>
          <w:p>
            <w:pPr>
              <w:spacing w:after="0"/>
              <w:rPr>
                <w:sz w:val="1"/>
                <w:szCs w:val="1"/>
                <w:color w:val="auto"/>
              </w:rPr>
            </w:pPr>
          </w:p>
        </w:tc>
      </w:tr>
      <w:tr>
        <w:trPr>
          <w:trHeight w:val="20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receivable agreement income</w:t>
            </w:r>
          </w:p>
        </w:tc>
        <w:tc>
          <w:tcPr>
            <w:tcW w:w="7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r>
        <w:trPr>
          <w:trHeight w:val="197"/>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Income before provision for income taxes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6,785</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13,815</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(7,030)</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(50.9)</w:t>
            </w:r>
          </w:p>
        </w:tc>
        <w:tc>
          <w:tcPr>
            <w:tcW w:w="0" w:type="dxa"/>
            <w:vAlign w:val="bottom"/>
          </w:tcPr>
          <w:p>
            <w:pPr>
              <w:spacing w:after="0"/>
              <w:rPr>
                <w:sz w:val="1"/>
                <w:szCs w:val="1"/>
                <w:color w:val="auto"/>
              </w:rPr>
            </w:pPr>
          </w:p>
        </w:tc>
      </w:tr>
      <w:tr>
        <w:trPr>
          <w:trHeight w:val="20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7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0" w:type="dxa"/>
            <w:vAlign w:val="bottom"/>
          </w:tcPr>
          <w:p>
            <w:pPr>
              <w:spacing w:after="0"/>
              <w:rPr>
                <w:sz w:val="1"/>
                <w:szCs w:val="1"/>
                <w:color w:val="auto"/>
              </w:rPr>
            </w:pPr>
          </w:p>
        </w:tc>
      </w:tr>
      <w:tr>
        <w:trPr>
          <w:trHeight w:val="197"/>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7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5,009</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10,161</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8.7</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(5,152)</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240" w:type="dxa"/>
            <w:vAlign w:val="bottom"/>
            <w:tcBorders>
              <w:bottom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60" w:right="519" w:hanging="314"/>
        <w:spacing w:after="0" w:line="283" w:lineRule="auto"/>
        <w:tabs>
          <w:tab w:leader="none" w:pos="3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40" w:right="219"/>
        <w:spacing w:after="0" w:line="267" w:lineRule="auto"/>
        <w:rPr>
          <w:sz w:val="20"/>
          <w:szCs w:val="20"/>
          <w:color w:val="auto"/>
        </w:rPr>
      </w:pPr>
      <w:r>
        <w:rPr>
          <w:rFonts w:ascii="Times New Roman" w:cs="Times New Roman" w:eastAsia="Times New Roman" w:hAnsi="Times New Roman"/>
          <w:sz w:val="17"/>
          <w:szCs w:val="17"/>
          <w:color w:val="auto"/>
        </w:rPr>
        <w:t>Our operating results for the thirty-nine weeks ended September 28, 2022 and September 29, 2021 and expressed as percentages of total revenue, with the exception of cost of operations and company restaurant expenses, which are expressed as a percentage of company-operated restaurant revenue, are compared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center"/>
              <w:ind w:left="3"/>
              <w:spacing w:after="0"/>
              <w:rPr>
                <w:sz w:val="20"/>
                <w:szCs w:val="20"/>
                <w:color w:val="auto"/>
              </w:rPr>
            </w:pPr>
            <w:r>
              <w:rPr>
                <w:rFonts w:ascii="Times New Roman" w:cs="Times New Roman" w:eastAsia="Times New Roman" w:hAnsi="Times New Roman"/>
                <w:sz w:val="14"/>
                <w:szCs w:val="14"/>
                <w:b w:val="1"/>
                <w:bCs w:val="1"/>
                <w:color w:val="auto"/>
                <w:w w:val="96"/>
              </w:rPr>
              <w:t>Thirty-Nine Weeks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jc w:val="right"/>
              <w:ind w:right="76"/>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4"/>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w w:val="97"/>
              </w:rPr>
              <w:t>September 29, 2021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36"/>
              <w:spacing w:after="0" w:line="134" w:lineRule="exact"/>
              <w:rPr>
                <w:sz w:val="20"/>
                <w:szCs w:val="20"/>
                <w:color w:val="auto"/>
              </w:rPr>
            </w:pPr>
            <w:r>
              <w:rPr>
                <w:rFonts w:ascii="Times New Roman" w:cs="Times New Roman" w:eastAsia="Times New Roman" w:hAnsi="Times New Roman"/>
                <w:sz w:val="14"/>
                <w:szCs w:val="14"/>
                <w:b w:val="1"/>
                <w:bCs w:val="1"/>
                <w:color w:val="auto"/>
                <w:w w:val="98"/>
              </w:rPr>
              <w:t>Increase / (Decrease)</w:t>
            </w:r>
          </w:p>
        </w:tc>
        <w:tc>
          <w:tcPr>
            <w:tcW w:w="0" w:type="dxa"/>
            <w:vAlign w:val="bottom"/>
          </w:tcPr>
          <w:p>
            <w:pPr>
              <w:spacing w:after="0"/>
              <w:rPr>
                <w:sz w:val="1"/>
                <w:szCs w:val="1"/>
                <w:color w:val="auto"/>
              </w:rPr>
            </w:pPr>
          </w:p>
        </w:tc>
      </w:tr>
      <w:tr>
        <w:trPr>
          <w:trHeight w:val="133"/>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Statements of Income Data</w:t>
            </w:r>
          </w:p>
        </w:tc>
        <w:tc>
          <w:tcPr>
            <w:tcW w:w="6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6"/>
              <w:spacing w:after="0" w:line="134"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56"/>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6"/>
              <w:spacing w:after="0" w:line="134"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56"/>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96"/>
              <w:spacing w:after="0" w:line="134"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76"/>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7"/>
        </w:trPr>
        <w:tc>
          <w:tcPr>
            <w:tcW w:w="366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Company-operated restaurant revenue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303,585</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301,117</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05"/>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Franchise revenue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28,862</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24,919</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3,943</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0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Franchise advertising fee revenue</w:t>
            </w:r>
          </w:p>
        </w:tc>
        <w:tc>
          <w:tcPr>
            <w:tcW w:w="6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21,590</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19,370</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w:t>
            </w:r>
          </w:p>
        </w:tc>
        <w:tc>
          <w:tcPr>
            <w:tcW w:w="1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197"/>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354,037</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345,406</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8,631</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0" w:type="dxa"/>
            <w:vAlign w:val="bottom"/>
          </w:tcPr>
          <w:p>
            <w:pPr>
              <w:spacing w:after="0"/>
              <w:rPr>
                <w:sz w:val="1"/>
                <w:szCs w:val="1"/>
                <w:color w:val="auto"/>
              </w:rPr>
            </w:pPr>
          </w:p>
        </w:tc>
      </w:tr>
      <w:tr>
        <w:trPr>
          <w:trHeight w:val="20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operations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Food and paper costs (1)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89,586</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78,971</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10,615</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0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Labor and related expenses (1)</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98,966</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90,060</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8,906</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Occupancy and other operating expenses (1)</w:t>
            </w:r>
          </w:p>
        </w:tc>
        <w:tc>
          <w:tcPr>
            <w:tcW w:w="6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76,597</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74,288</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2,309</w:t>
            </w: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197"/>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Company restaurant expenses (1)</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265,149</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243,319</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21,830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w:t>
            </w:r>
          </w:p>
        </w:tc>
        <w:tc>
          <w:tcPr>
            <w:tcW w:w="0" w:type="dxa"/>
            <w:vAlign w:val="bottom"/>
          </w:tcPr>
          <w:p>
            <w:pPr>
              <w:spacing w:after="0"/>
              <w:rPr>
                <w:sz w:val="1"/>
                <w:szCs w:val="1"/>
                <w:color w:val="auto"/>
              </w:rPr>
            </w:pPr>
          </w:p>
        </w:tc>
      </w:tr>
      <w:tr>
        <w:trPr>
          <w:trHeight w:val="205"/>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29,488</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30,354</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Franchise expenses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27,315</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24,457</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2,858</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05"/>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10,745</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11,540</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0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disposal of assets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r>
        <w:trPr>
          <w:trHeight w:val="205"/>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disposition of restaurants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and closed-store reserves</w:t>
            </w:r>
          </w:p>
        </w:tc>
        <w:tc>
          <w:tcPr>
            <w:tcW w:w="6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0" w:type="dxa"/>
            <w:vAlign w:val="bottom"/>
          </w:tcPr>
          <w:p>
            <w:pPr>
              <w:spacing w:after="0"/>
              <w:rPr>
                <w:sz w:val="1"/>
                <w:szCs w:val="1"/>
                <w:color w:val="auto"/>
              </w:rPr>
            </w:pPr>
          </w:p>
        </w:tc>
      </w:tr>
      <w:tr>
        <w:trPr>
          <w:trHeight w:val="197"/>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333,424</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94.2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312,489</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90.5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20,935</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w:t>
            </w:r>
          </w:p>
        </w:tc>
        <w:tc>
          <w:tcPr>
            <w:tcW w:w="0" w:type="dxa"/>
            <w:vAlign w:val="bottom"/>
          </w:tcPr>
          <w:p>
            <w:pPr>
              <w:spacing w:after="0"/>
              <w:rPr>
                <w:sz w:val="1"/>
                <w:szCs w:val="1"/>
                <w:color w:val="auto"/>
              </w:rPr>
            </w:pPr>
          </w:p>
        </w:tc>
      </w:tr>
      <w:tr>
        <w:trPr>
          <w:trHeight w:val="20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20,613</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32,917</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(12,304)</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(37.4)</w:t>
            </w:r>
          </w:p>
        </w:tc>
        <w:tc>
          <w:tcPr>
            <w:tcW w:w="0" w:type="dxa"/>
            <w:vAlign w:val="bottom"/>
          </w:tcPr>
          <w:p>
            <w:pPr>
              <w:spacing w:after="0"/>
              <w:rPr>
                <w:sz w:val="1"/>
                <w:szCs w:val="1"/>
                <w:color w:val="auto"/>
              </w:rPr>
            </w:pPr>
          </w:p>
        </w:tc>
      </w:tr>
      <w:tr>
        <w:trPr>
          <w:trHeight w:val="205"/>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 net of interest income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0" w:type="dxa"/>
            <w:vAlign w:val="bottom"/>
          </w:tcPr>
          <w:p>
            <w:pPr>
              <w:spacing w:after="0"/>
              <w:rPr>
                <w:sz w:val="1"/>
                <w:szCs w:val="1"/>
                <w:color w:val="auto"/>
              </w:rPr>
            </w:pPr>
          </w:p>
        </w:tc>
      </w:tr>
      <w:tr>
        <w:trPr>
          <w:trHeight w:val="20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receivable agreement income</w:t>
            </w:r>
          </w:p>
        </w:tc>
        <w:tc>
          <w:tcPr>
            <w:tcW w:w="6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197"/>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Income before provision for income taxes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20,001</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31,587</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(11,586)</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(36.7)</w:t>
            </w:r>
          </w:p>
        </w:tc>
        <w:tc>
          <w:tcPr>
            <w:tcW w:w="0" w:type="dxa"/>
            <w:vAlign w:val="bottom"/>
          </w:tcPr>
          <w:p>
            <w:pPr>
              <w:spacing w:after="0"/>
              <w:rPr>
                <w:sz w:val="1"/>
                <w:szCs w:val="1"/>
                <w:color w:val="auto"/>
              </w:rPr>
            </w:pPr>
          </w:p>
        </w:tc>
      </w:tr>
      <w:tr>
        <w:trPr>
          <w:trHeight w:val="20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6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5,736</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8,644</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(2,908)</w:t>
            </w:r>
          </w:p>
        </w:tc>
        <w:tc>
          <w:tcPr>
            <w:tcW w:w="1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0" w:type="dxa"/>
            <w:vAlign w:val="bottom"/>
          </w:tcPr>
          <w:p>
            <w:pPr>
              <w:spacing w:after="0"/>
              <w:rPr>
                <w:sz w:val="1"/>
                <w:szCs w:val="1"/>
                <w:color w:val="auto"/>
              </w:rPr>
            </w:pPr>
          </w:p>
        </w:tc>
      </w:tr>
      <w:tr>
        <w:trPr>
          <w:trHeight w:val="197"/>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6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14,265</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22,943</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(8,678)</w:t>
            </w:r>
          </w:p>
        </w:tc>
        <w:tc>
          <w:tcPr>
            <w:tcW w:w="14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240" w:type="dxa"/>
            <w:vAlign w:val="bottom"/>
            <w:tcBorders>
              <w:bottom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60" w:right="519" w:hanging="314"/>
        <w:spacing w:after="0" w:line="283" w:lineRule="auto"/>
        <w:tabs>
          <w:tab w:leader="none" w:pos="3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Percentages for line items relating to cost of operations and company restaurant expenses are calculated with company-operated restaurant revenue as the denominator. All other percentages use total revenue.</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Company-Operated Restaurant Revenue</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the quarter, company-operated restaurant revenue increased $3.2 million, or 3.2%, from the comparable period in the</w:t>
      </w:r>
    </w:p>
    <w:p>
      <w:pPr>
        <w:spacing w:after="0" w:line="26" w:lineRule="exact"/>
        <w:rPr>
          <w:sz w:val="20"/>
          <w:szCs w:val="20"/>
          <w:color w:val="auto"/>
        </w:rPr>
      </w:pPr>
    </w:p>
    <w:p>
      <w:pPr>
        <w:ind w:left="40" w:right="219"/>
        <w:spacing w:after="0" w:line="253" w:lineRule="auto"/>
        <w:rPr>
          <w:sz w:val="20"/>
          <w:szCs w:val="20"/>
          <w:color w:val="auto"/>
        </w:rPr>
      </w:pPr>
      <w:r>
        <w:rPr>
          <w:rFonts w:ascii="Times New Roman" w:cs="Times New Roman" w:eastAsia="Times New Roman" w:hAnsi="Times New Roman"/>
          <w:sz w:val="17"/>
          <w:szCs w:val="17"/>
          <w:color w:val="auto"/>
        </w:rPr>
        <w:t>prior year. The increase in company-operated restaurant sales was primarily due to an increase in company-operated comparable restaurant revenue of $3.3 million, or 3.4%. The company-operated comparable restaurant sales increase consisted of an approximately 7.5% increase in average check size due to increases in menu prices, partially offset by a 4.1% decrease in transactions. In addition, company-operated restaurant revenue was favorably impacted by $0.9 million of additional sales from restaurants opened during or after the third quarter of 2021 and a $0.1 million increase in revenue recognized for our loyalty points program. This company-operated restaurant sales increase was partially offset by a $1.1 million decrease in revenue from the closure of three restaurants during or subsequent to the third quarter of 2021.</w:t>
      </w:r>
    </w:p>
    <w:p>
      <w:pPr>
        <w:spacing w:after="0" w:line="177"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7"/>
          <w:szCs w:val="17"/>
          <w:color w:val="auto"/>
        </w:rPr>
        <w:t>Year-to-date, company-operated restaurant revenue increased $2.5 million, or 0.8%, from the comparable period in the prior year. The increase in company-operated restaurant sales was primarily due an increase in company-operated comparable restaurant revenue of $8.3 million, or 2.9%. The company-operated comparable restaurant sales increase consisted of an approximately 7.0% increase in average check size due to increases in menu prices, partially offset by a 4.1% decrease in transactions. In addition, company-operated restaurant revenue was favorably impacted by $1.9 million of additional sales from restaurants opened during or after the third quarter of 2021 and a $0.2 million increase in revenue from restaurants that were temporarily closed due to the COVID-19 pandemic during or subsequent to the third quarter of 2021. This company-operated restaurant sales increase was partially offset by a $5.3 million decrease in revenue from the eight company-operated restaurants sold by the Company to an existing franchisee and a $2.6 million decrease in revenue from the closure of three restaurants, in each case, during or subsequent to the first quarter of 2021.</w:t>
      </w:r>
    </w:p>
    <w:p>
      <w:pPr>
        <w:sectPr>
          <w:pgSz w:w="11900" w:h="16838" w:orient="portrait"/>
          <w:cols w:equalWidth="0" w:num="1">
            <w:col w:w="9019"/>
          </w:cols>
          <w:pgMar w:left="1440" w:top="49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348615</wp:posOffset>
            </wp:positionV>
            <wp:extent cx="566102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Franchise Revenue</w:t>
      </w:r>
    </w:p>
    <w:p>
      <w:pPr>
        <w:spacing w:after="0" w:line="220"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7"/>
          <w:szCs w:val="17"/>
          <w:color w:val="auto"/>
        </w:rPr>
        <w:t>For the quarter, franchise revenue increased $0.6 million, or 7.0%, from the comparable period in the prior year. This increase was primarily due to a franchise comparable restaurant sales increase of 4.1%, the opening of nine restaurants and eight company-operated restaurants sold by the Company to an existing franchisee, in each case, during or subsequent to the third quarter of</w:t>
      </w:r>
    </w:p>
    <w:p>
      <w:pPr>
        <w:spacing w:after="0" w:line="1" w:lineRule="exact"/>
        <w:rPr>
          <w:sz w:val="20"/>
          <w:szCs w:val="20"/>
          <w:color w:val="auto"/>
        </w:rPr>
      </w:pPr>
    </w:p>
    <w:p>
      <w:pPr>
        <w:ind w:left="40" w:right="339"/>
        <w:spacing w:after="0" w:line="262" w:lineRule="auto"/>
        <w:rPr>
          <w:sz w:val="20"/>
          <w:szCs w:val="20"/>
          <w:color w:val="auto"/>
        </w:rPr>
      </w:pPr>
      <w:r>
        <w:rPr>
          <w:rFonts w:ascii="Times New Roman" w:cs="Times New Roman" w:eastAsia="Times New Roman" w:hAnsi="Times New Roman"/>
          <w:sz w:val="17"/>
          <w:szCs w:val="17"/>
          <w:color w:val="auto"/>
        </w:rPr>
        <w:t>2021. This franchise revenue increase was partially offset by the closure of two franchise locations during or subsequent to the third quarter of 2021.</w:t>
      </w:r>
    </w:p>
    <w:p>
      <w:pPr>
        <w:spacing w:after="0" w:line="170"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Year-to-date, franchise revenue increased $3.9 million, or 15.8%, from the comparable period in the prior year. This increase was primarily due to a franchise comparable restaurant sales increase of 8.6% and the opening of nine restaurants during or subsequent to the third quarter of 2021. The remainder of the franchise revenue increase is attributed to the pass through income related to a corresponding increase in franchise expenses. This franchise revenue increase was partially offset by the closure of three franchise locations during or subsequent to the first quarter of 2021.</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Franchise Advertising Fee Revenue</w:t>
      </w:r>
    </w:p>
    <w:p>
      <w:pPr>
        <w:spacing w:after="0" w:line="220"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7"/>
          <w:szCs w:val="17"/>
          <w:color w:val="auto"/>
        </w:rPr>
        <w:t>For the quarter, franchise advertising fee revenue increased $0.4 million, or 5.4%, from the comparable period in the prior year. Year-to-date, franchise advertising fee revenue increased $2.2 million, or 11.5%, from the comparable period in the prior year. As advertising fee revenue is a percentage of franchisees’ revenue, the quarter-to-date and year-to-date fluctuations were due to the increases and decreases noted in franchise revenue above.</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Food and Paper Costs</w:t>
      </w:r>
    </w:p>
    <w:p>
      <w:pPr>
        <w:spacing w:after="0" w:line="220" w:lineRule="exact"/>
        <w:rPr>
          <w:sz w:val="20"/>
          <w:szCs w:val="20"/>
          <w:color w:val="auto"/>
        </w:rPr>
      </w:pPr>
    </w:p>
    <w:p>
      <w:pPr>
        <w:ind w:left="40" w:right="79"/>
        <w:spacing w:after="0" w:line="257" w:lineRule="auto"/>
        <w:rPr>
          <w:sz w:val="20"/>
          <w:szCs w:val="20"/>
          <w:color w:val="auto"/>
        </w:rPr>
      </w:pPr>
      <w:r>
        <w:rPr>
          <w:rFonts w:ascii="Times New Roman" w:cs="Times New Roman" w:eastAsia="Times New Roman" w:hAnsi="Times New Roman"/>
          <w:sz w:val="17"/>
          <w:szCs w:val="17"/>
          <w:color w:val="auto"/>
        </w:rPr>
        <w:t>For the quarter, food and paper costs increased $3.5 million, or 13.0%, from the comparable period in the prior year, primarily due to a $3.2 million increase in food costs and a $0.3 million increase in paper costs. Year-to-date, food and paper costs increased $10.6 million, or 13.4%, from the comparable period in the prior year, due to a $1.4 million increase in paper costs and a $9.2 million increase in food costs. The increase in food and paper costs for the quarter and year-to-date periods resulted primarily from commodity inflation, partially offset by lower transactions. For the quarter, food and paper costs as a percentage of company-operated restaurant revenue were 29.2%, up from 26.7% in the comparable period of the prior year.</w:t>
      </w:r>
    </w:p>
    <w:p>
      <w:pPr>
        <w:spacing w:after="0" w:line="177" w:lineRule="exact"/>
        <w:rPr>
          <w:sz w:val="20"/>
          <w:szCs w:val="20"/>
          <w:color w:val="auto"/>
        </w:rPr>
      </w:pPr>
    </w:p>
    <w:p>
      <w:pPr>
        <w:ind w:left="40" w:right="359"/>
        <w:spacing w:after="0" w:line="267" w:lineRule="auto"/>
        <w:rPr>
          <w:sz w:val="20"/>
          <w:szCs w:val="20"/>
          <w:color w:val="auto"/>
        </w:rPr>
      </w:pPr>
      <w:r>
        <w:rPr>
          <w:rFonts w:ascii="Times New Roman" w:cs="Times New Roman" w:eastAsia="Times New Roman" w:hAnsi="Times New Roman"/>
          <w:sz w:val="17"/>
          <w:szCs w:val="17"/>
          <w:color w:val="auto"/>
        </w:rPr>
        <w:t>Year-to-date, food and paper costs as a percentage of company-operated restaurant revenue were 29.5%, up from 26.2% in the comparable period of the prior year. The percentage increase for the quarter and year-to-date periods was primarily due to an investment in new elevated packaging, partially offset by an increase in pricing.</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Labor and Related Expenses</w:t>
      </w:r>
    </w:p>
    <w:p>
      <w:pPr>
        <w:spacing w:after="0" w:line="220"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For the quarter, labor and related expenses increased $5.5 million, or 19.7%, from the comparable period in the prior year. The increase for the quarter was primarily due to recognizing a $3.2 million Employee Retention Credit (“ERC”) which was recorded as an offset to the corresponding payroll tax expense and was classified as part of the labor and other operating expenses on the condensed consolidated statements of income during the thirteen weeks ended September 29, 2021. Further, the increase for the quarter was impacted by a $2.1 million increase primarily related to minimum wage increases in California during fiscal 2022 and other labor wage increases as a result of competitive pressures, a $1.0 million increase in other labor related expenses primarily related to overtime and payroll taxes and a $0.4 million increase from restaurants opened during or after the third quarter of the prior year and. The increase in labor and related expenses for the quarter was partially offset by a $0.8 million decrease related to the 4.1% decrease in year-over-year transactions and a $0.4 million decrease in worker’s compensation expense.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7"/>
          <w:szCs w:val="17"/>
          <w:color w:val="auto"/>
        </w:rPr>
        <w:t>Year-to-date, labor and related expenses increased $8.9 million, or 9.9%, from the comparable period in the prior year. The increase for the year-to-date period was due to a $6.2 million increase related to higher minimum wage increases in California during fiscal 2022 and other labor wage increases as a result of competitive pressures, a $1.3 million increase in overtime, $0.8 million in higher payroll taxes, a $0.7 million increase from restaurants opened during or after the third quarter of the prior year and a $1.1 million increase in other labor related expenses primarily related to training. Further, the increase for the year-to-date period was primarily due to recognizing a $3.2 million ERC which was recorded as an offset to the corresponding payroll tax expense and was classified as part of the labor and other operating expenses on the condensed consolidated statements of income during the thirty-nine weeks ended September 29, 2021. The increase in labor and related expenses for the year-to-date period was partially offset by a $2.0 million reduction in labor related to the eight locations sold to an existing franchisee during the prior year, a $1.8 million decrease related to the 4.1% decrease in year-over-year transactions and a $0.6 million decrease in worker’s compensation expense.</w:t>
      </w:r>
    </w:p>
    <w:p>
      <w:pPr>
        <w:spacing w:after="0" w:line="180"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For the quarter, labor and related expenses as a percentage of company-operated restaurant revenue were 32.3%, up from 27.8% in the comparable period in the prior year due to the cost increases highlighted above, partially offset by the higher menu prices. Year-to-date labor and related expenses as a percentage of company-operated restaurant revenue were 32.6%, up from 29.9% in the comparable period in the prior year. The year-to-date percentage was impacted by the cost increases highlighted above, partially offset by an increase in menu pricing.</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Occupancy and Other Operating Expenses</w:t>
      </w:r>
    </w:p>
    <w:p>
      <w:pPr>
        <w:spacing w:after="0" w:line="220" w:lineRule="exact"/>
        <w:rPr>
          <w:sz w:val="20"/>
          <w:szCs w:val="20"/>
          <w:color w:val="auto"/>
        </w:rPr>
      </w:pPr>
    </w:p>
    <w:p>
      <w:pPr>
        <w:ind w:left="40" w:right="219"/>
        <w:spacing w:after="0" w:line="262" w:lineRule="auto"/>
        <w:rPr>
          <w:sz w:val="20"/>
          <w:szCs w:val="20"/>
          <w:color w:val="auto"/>
        </w:rPr>
      </w:pPr>
      <w:r>
        <w:rPr>
          <w:rFonts w:ascii="Times New Roman" w:cs="Times New Roman" w:eastAsia="Times New Roman" w:hAnsi="Times New Roman"/>
          <w:sz w:val="17"/>
          <w:szCs w:val="17"/>
          <w:color w:val="auto"/>
        </w:rPr>
        <w:t>For the quarter, occupancy and other operating expenses increased $1.8 million, or 7.2%, from the comparable period in the prior year. The increase was primarily due to a $0.7 million increase in utilities, a $0.2 million increase in repairs and maintenance, a $0.2 million increase in market place delivery fees, a $0.2 million increase in occupancy costs and a $0.5 million increase in other operating supplies.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Year-to-date, occupancy and other operating expenses increased $2.3 million, or 3.1%, from the comparable period in the</w:t>
      </w:r>
    </w:p>
    <w:p>
      <w:pPr>
        <w:spacing w:after="0" w:line="26" w:lineRule="exact"/>
        <w:rPr>
          <w:sz w:val="20"/>
          <w:szCs w:val="20"/>
          <w:color w:val="auto"/>
        </w:rPr>
      </w:pPr>
    </w:p>
    <w:p>
      <w:pPr>
        <w:ind w:left="40" w:right="259"/>
        <w:spacing w:after="0" w:line="255" w:lineRule="auto"/>
        <w:rPr>
          <w:sz w:val="20"/>
          <w:szCs w:val="20"/>
          <w:color w:val="auto"/>
        </w:rPr>
      </w:pPr>
      <w:r>
        <w:rPr>
          <w:rFonts w:ascii="Times New Roman" w:cs="Times New Roman" w:eastAsia="Times New Roman" w:hAnsi="Times New Roman"/>
          <w:sz w:val="17"/>
          <w:szCs w:val="17"/>
          <w:color w:val="auto"/>
        </w:rPr>
        <w:t>prior year. The increase was primarily due to a $1.6 million increase in utilities, a $0.5 million increase in market place delivery fees, a $0.3 million increase in repairs and maintenance and a $0.4 million increase in other operating expenses. The increase in occupancy and other operating expenses was partially offset by a $0.3 million decrease in occupancy costs and a $0.2 million decrease in operating services and supplies.</w:t>
      </w:r>
    </w:p>
    <w:p>
      <w:pPr>
        <w:spacing w:after="0" w:line="175"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7"/>
          <w:szCs w:val="17"/>
          <w:color w:val="auto"/>
        </w:rPr>
        <w:t>For the quarter, occupancy and other operating expenses as a percentage of company-operated restaurant revenue were 26.1%, up from 25.1% in the comparable period. Year-to-date, occupancy and other operating expenses as a percentage of company-operated restaurant revenue were 25.2%, up from 24.7% in the comparable period of the prior year. Both the quarter and year-to-date increases resulted from cost increases highlighted above.</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the quarter, general and administrative expenses increased $0.5 million, or 5.3%, from the comparable period in the prior year.</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increase for the quarter was primarily due to a $0.4 million increase in recruiting and training costs.</w:t>
      </w:r>
    </w:p>
    <w:p>
      <w:pPr>
        <w:spacing w:after="0" w:line="197" w:lineRule="exact"/>
        <w:rPr>
          <w:sz w:val="20"/>
          <w:szCs w:val="20"/>
          <w:color w:val="auto"/>
        </w:rPr>
      </w:pPr>
    </w:p>
    <w:p>
      <w:pPr>
        <w:ind w:left="40" w:right="199"/>
        <w:spacing w:after="0" w:line="262" w:lineRule="auto"/>
        <w:rPr>
          <w:sz w:val="20"/>
          <w:szCs w:val="20"/>
          <w:color w:val="auto"/>
        </w:rPr>
      </w:pPr>
      <w:r>
        <w:rPr>
          <w:rFonts w:ascii="Times New Roman" w:cs="Times New Roman" w:eastAsia="Times New Roman" w:hAnsi="Times New Roman"/>
          <w:sz w:val="17"/>
          <w:szCs w:val="17"/>
          <w:color w:val="auto"/>
        </w:rPr>
        <w:t>Year-to-date, general and administrative expenses decreased $0.9 million, or 2.9%, from the comparable period in the prior year. The decrease for the year-to-date period was due primarily to a $0.5 million decrease in labor related costs, primarily related to a decrease in estimated management bonus expense and a $0.5 million decrease in legal and outside professional services. This decrease was partially offset by a $0.1 million increase in professional services.</w:t>
      </w:r>
    </w:p>
    <w:p>
      <w:pPr>
        <w:spacing w:after="0" w:line="170"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7"/>
          <w:szCs w:val="17"/>
          <w:color w:val="auto"/>
        </w:rPr>
        <w:t>For the quarter, general and administrative expenses as a percentage of total revenue were 8.2%, up from 8.1% in the comparable period of the prior year. Year-to-date, general and administrative expenses as a percentage of total revenue were 8.3%, down from 8.8% in the comparable period of the prior year. The percentage increase for the quarterly period is primarily due to the cost increases discussed above. The percentage decrease for the year-to-date period is primarily due to the cost decreases noted above.</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Loss on Disposition of Restaurants</w:t>
      </w:r>
    </w:p>
    <w:p>
      <w:pPr>
        <w:spacing w:after="0" w:line="220" w:lineRule="exact"/>
        <w:rPr>
          <w:sz w:val="20"/>
          <w:szCs w:val="20"/>
          <w:color w:val="auto"/>
        </w:rPr>
      </w:pPr>
    </w:p>
    <w:p>
      <w:pPr>
        <w:ind w:left="40" w:right="359"/>
        <w:spacing w:after="0" w:line="283" w:lineRule="auto"/>
        <w:rPr>
          <w:sz w:val="20"/>
          <w:szCs w:val="20"/>
          <w:color w:val="auto"/>
        </w:rPr>
      </w:pPr>
      <w:r>
        <w:rPr>
          <w:rFonts w:ascii="Times New Roman" w:cs="Times New Roman" w:eastAsia="Times New Roman" w:hAnsi="Times New Roman"/>
          <w:sz w:val="17"/>
          <w:szCs w:val="17"/>
          <w:color w:val="auto"/>
        </w:rPr>
        <w:t>During the thirteen and thirty-nine weeks ended September 29, 2021, we completed the sale of our eight restaurants within the Sacramento area to an existing franchisee. This sale resulted in cash proceeds of $4.6 million and a net loss on</w:t>
      </w:r>
    </w:p>
    <w:p>
      <w:pPr>
        <w:sectPr>
          <w:pgSz w:w="11900" w:h="16838" w:orient="portrait"/>
          <w:cols w:equalWidth="0" w:num="1">
            <w:col w:w="9019"/>
          </w:cols>
          <w:pgMar w:left="1440" w:top="494" w:right="1440"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348615</wp:posOffset>
            </wp:positionV>
            <wp:extent cx="566102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399"/>
        <w:spacing w:after="0" w:line="283" w:lineRule="auto"/>
        <w:rPr>
          <w:sz w:val="20"/>
          <w:szCs w:val="20"/>
          <w:color w:val="auto"/>
        </w:rPr>
      </w:pPr>
      <w:r>
        <w:rPr>
          <w:rFonts w:ascii="Times New Roman" w:cs="Times New Roman" w:eastAsia="Times New Roman" w:hAnsi="Times New Roman"/>
          <w:sz w:val="17"/>
          <w:szCs w:val="17"/>
          <w:color w:val="auto"/>
        </w:rPr>
        <w:t>sale of restaurants of less than $0.1 million and $1.5 million for the thirteen and thirty-nine weeks ended September 29, 2021, respectively.</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Impairment and Closed-Store Reserves</w:t>
      </w:r>
    </w:p>
    <w:p>
      <w:pPr>
        <w:spacing w:after="0" w:line="220" w:lineRule="exact"/>
        <w:rPr>
          <w:sz w:val="20"/>
          <w:szCs w:val="20"/>
          <w:color w:val="auto"/>
        </w:rPr>
      </w:pPr>
    </w:p>
    <w:p>
      <w:pPr>
        <w:ind w:left="40" w:right="239"/>
        <w:spacing w:after="0" w:line="255" w:lineRule="auto"/>
        <w:rPr>
          <w:sz w:val="20"/>
          <w:szCs w:val="20"/>
          <w:color w:val="auto"/>
        </w:rPr>
      </w:pPr>
      <w:r>
        <w:rPr>
          <w:rFonts w:ascii="Times New Roman" w:cs="Times New Roman" w:eastAsia="Times New Roman" w:hAnsi="Times New Roman"/>
          <w:sz w:val="17"/>
          <w:szCs w:val="17"/>
          <w:color w:val="auto"/>
        </w:rPr>
        <w:t>During the thirteen and thirty-nine weeks ended September 28, 2022, we recorded non-cash impairment charges of $0.1 million and $0.4 million, respectively, primarily related to the long-lived assets of one restaurant in California. During the thirteen and thirty-nine weeks ended September 29, 2021, we recorded non-cash impairment charges of $0.1 million and $0.7 million, respectively, primarily related to the carrying value of the ROU assets of one restaurant in Texas closed in 2019, the ROU assets of one restaurant in California, and the long-lived assets of three restaurants in California. Given the inherent uncertainty in projecting results for newer restaurants in newer markets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80"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the thirteen and thirty-nine weeks ended September 28, 2022, we recognized $0.1 million and $0.2 million, respectively, of closed-store reserve expense related to the amortization of ROU assets, property taxes and CAM payments for our closed locations. During the thirteen and thirty-nine weeks ended September 29, 2021, we recognized $0.1 million and $0.4 million, respectively, of closed-store reserve expense, primarily related to the amortization of ROU assets, property taxes and CAM payments for our closed locations.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220" w:lineRule="exact"/>
        <w:rPr>
          <w:sz w:val="20"/>
          <w:szCs w:val="20"/>
          <w:color w:val="auto"/>
        </w:rPr>
      </w:pPr>
    </w:p>
    <w:p>
      <w:pPr>
        <w:ind w:left="40" w:right="179"/>
        <w:spacing w:after="0" w:line="259" w:lineRule="auto"/>
        <w:rPr>
          <w:sz w:val="20"/>
          <w:szCs w:val="20"/>
          <w:color w:val="auto"/>
        </w:rPr>
      </w:pPr>
      <w:r>
        <w:rPr>
          <w:rFonts w:ascii="Times New Roman" w:cs="Times New Roman" w:eastAsia="Times New Roman" w:hAnsi="Times New Roman"/>
          <w:sz w:val="17"/>
          <w:szCs w:val="17"/>
          <w:color w:val="auto"/>
        </w:rPr>
        <w:t>For the quarter, interest expense, net, decreased $0.3 million from the comparable period in the prior year. For the year-to-date period, interest expense, net, decreased $0.4 million from the comparable period in the prior year. Both the quarter and year-to-date decreases in interest expense were primarily related to the unwinding of our interest rate swap and the corresponding payout that was recognized as part of interest income during the thirteen and thirty-nine weeks ended September 28, 2022 and lower outstanding balances on our 2022 Revolver (as defined below).</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Income Tax Receivable Agreement</w:t>
      </w:r>
    </w:p>
    <w:p>
      <w:pPr>
        <w:spacing w:after="0" w:line="220" w:lineRule="exact"/>
        <w:rPr>
          <w:sz w:val="20"/>
          <w:szCs w:val="20"/>
          <w:color w:val="auto"/>
        </w:rPr>
      </w:pPr>
    </w:p>
    <w:p>
      <w:pPr>
        <w:ind w:left="40" w:right="179"/>
        <w:spacing w:after="0" w:line="257" w:lineRule="auto"/>
        <w:rPr>
          <w:sz w:val="20"/>
          <w:szCs w:val="20"/>
          <w:color w:val="auto"/>
        </w:rPr>
      </w:pPr>
      <w:r>
        <w:rPr>
          <w:rFonts w:ascii="Times New Roman" w:cs="Times New Roman" w:eastAsia="Times New Roman" w:hAnsi="Times New Roman"/>
          <w:sz w:val="17"/>
          <w:szCs w:val="17"/>
          <w:color w:val="auto"/>
        </w:rPr>
        <w:t>On July 30, 2014, we entered into the income tax receivable agreement (the “TRA”). The TRA calls for us to pay to our pre-IPO stockholders 85% of the savings in cash that we realize in our taxes as a result of utilizing our net operating losses (“NOLs”) and other tax attributes attributable to preceding periods. For the thirteen and thirty-nine weeks ended September 28, 2022, we recorded income tax receivable agreement income of less than $0.1 million and $0.3 million, respectively, and for both the thirteen and thirty-nine weeks ended September 29, 2021 we recorded income tax receivable agreement income of less than $0.1 million.</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20" w:lineRule="exact"/>
        <w:rPr>
          <w:sz w:val="20"/>
          <w:szCs w:val="20"/>
          <w:color w:val="auto"/>
        </w:rPr>
      </w:pPr>
    </w:p>
    <w:p>
      <w:pPr>
        <w:ind w:left="40" w:right="79"/>
        <w:spacing w:after="0" w:line="257" w:lineRule="auto"/>
        <w:rPr>
          <w:sz w:val="20"/>
          <w:szCs w:val="20"/>
          <w:color w:val="auto"/>
        </w:rPr>
      </w:pPr>
      <w:r>
        <w:rPr>
          <w:rFonts w:ascii="Times New Roman" w:cs="Times New Roman" w:eastAsia="Times New Roman" w:hAnsi="Times New Roman"/>
          <w:sz w:val="17"/>
          <w:szCs w:val="17"/>
          <w:color w:val="auto"/>
        </w:rPr>
        <w:t>For the quarter ended September 28, 2022, we recorded an income tax provision of $1.8 million, reflecting an estimated effective tax rate of 26.2%. For the quarter ended September 29, 2021, we recorded an income tax provision of $3.7 million, reflecting an estimated effective tax rate of approximately 26.4%. For the year-to-date period ended September 28, 2022, we recorded an income tax provision of $5.7 million, reflecting an estimated effective tax rate of approximately 28.7%. For the year-to-date ended September 29, 2021, we recorded an income tax provision of $8.7 million, reflecting an estimated effective tax rate of approximately 27.4%.</w:t>
      </w:r>
    </w:p>
    <w:p>
      <w:pPr>
        <w:spacing w:after="0" w:line="177"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7"/>
          <w:szCs w:val="17"/>
          <w:color w:val="auto"/>
        </w:rPr>
        <w:t>The difference between the 21.0% statutory rate and our effective tax rate of 28.7% for the year-to-date ended September 28, 2022 is primarily a result of state taxes, the change in valuation allowance against certain state credits, a tax shortfall related to non-deductible executive compensation, partially offset by a Work Opportunity Tax Credit benefit.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Key Performance Indicators</w:t>
      </w:r>
    </w:p>
    <w:p>
      <w:pPr>
        <w:spacing w:after="0" w:line="218" w:lineRule="exact"/>
        <w:rPr>
          <w:sz w:val="20"/>
          <w:szCs w:val="20"/>
          <w:color w:val="auto"/>
        </w:rPr>
      </w:pPr>
    </w:p>
    <w:p>
      <w:pPr>
        <w:ind w:left="40" w:right="179"/>
        <w:spacing w:after="0" w:line="267" w:lineRule="auto"/>
        <w:rPr>
          <w:sz w:val="20"/>
          <w:szCs w:val="20"/>
          <w:color w:val="auto"/>
        </w:rPr>
      </w:pPr>
      <w:r>
        <w:rPr>
          <w:rFonts w:ascii="Times New Roman" w:cs="Times New Roman" w:eastAsia="Times New Roman" w:hAnsi="Times New Roman"/>
          <w:sz w:val="17"/>
          <w:szCs w:val="17"/>
          <w:color w:val="auto"/>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System-Wide Sales</w:t>
      </w:r>
    </w:p>
    <w:p>
      <w:pPr>
        <w:spacing w:after="0" w:line="220" w:lineRule="exact"/>
        <w:rPr>
          <w:sz w:val="20"/>
          <w:szCs w:val="20"/>
          <w:color w:val="auto"/>
        </w:rPr>
      </w:pPr>
    </w:p>
    <w:p>
      <w:pPr>
        <w:ind w:left="40" w:right="139"/>
        <w:spacing w:after="0" w:line="257" w:lineRule="auto"/>
        <w:rPr>
          <w:sz w:val="20"/>
          <w:szCs w:val="20"/>
          <w:color w:val="auto"/>
        </w:rPr>
      </w:pPr>
      <w:r>
        <w:rPr>
          <w:rFonts w:ascii="Times New Roman" w:cs="Times New Roman" w:eastAsia="Times New Roman" w:hAnsi="Times New Roman"/>
          <w:sz w:val="17"/>
          <w:szCs w:val="17"/>
          <w:color w:val="auto"/>
        </w:rPr>
        <w:t>System-wide sales are neither required by, nor presented in accordance with GAAP. System-wide sales are the sum of company-operated restaurant revenue and sales from franchised restaurants. Our total revenue in our condensed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reconciles system-wide sales to company-operated restaurant revenue and total revenue:</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6"/>
              </w:rPr>
              <w:t>Thirty-Nine Weeks Ended</w:t>
            </w:r>
          </w:p>
        </w:tc>
        <w:tc>
          <w:tcPr>
            <w:tcW w:w="0" w:type="dxa"/>
            <w:vAlign w:val="bottom"/>
          </w:tcPr>
          <w:p>
            <w:pPr>
              <w:spacing w:after="0"/>
              <w:rPr>
                <w:sz w:val="1"/>
                <w:szCs w:val="1"/>
                <w:color w:val="auto"/>
              </w:rPr>
            </w:pPr>
          </w:p>
        </w:tc>
      </w:tr>
      <w:tr>
        <w:trPr>
          <w:trHeight w:val="133"/>
        </w:trPr>
        <w:tc>
          <w:tcPr>
            <w:tcW w:w="390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7"/>
              </w:rPr>
              <w:t>September 28, 2022</w:t>
            </w:r>
          </w:p>
        </w:tc>
        <w:tc>
          <w:tcPr>
            <w:tcW w:w="124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1220" w:type="dxa"/>
            <w:vAlign w:val="bottom"/>
            <w:tcBorders>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7"/>
              </w:rPr>
              <w:t>September 29, 2021</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Company-operated restaurant revenue</w:t>
            </w:r>
          </w:p>
        </w:tc>
        <w:tc>
          <w:tcPr>
            <w:tcW w:w="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103,174</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99,986</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303,585</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301,117</w:t>
            </w:r>
          </w:p>
        </w:tc>
        <w:tc>
          <w:tcPr>
            <w:tcW w:w="0" w:type="dxa"/>
            <w:vAlign w:val="bottom"/>
          </w:tcPr>
          <w:p>
            <w:pPr>
              <w:spacing w:after="0"/>
              <w:rPr>
                <w:sz w:val="1"/>
                <w:szCs w:val="1"/>
                <w:color w:val="auto"/>
              </w:rPr>
            </w:pPr>
          </w:p>
        </w:tc>
      </w:tr>
      <w:tr>
        <w:trPr>
          <w:trHeight w:val="205"/>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Franchise revenue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9,543</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8,918</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28,862</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24,919</w:t>
            </w: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Franchise advertising fee revenue</w:t>
            </w: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7,161</w:t>
            </w: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6,796</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21,590</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19,370</w:t>
            </w:r>
          </w:p>
        </w:tc>
        <w:tc>
          <w:tcPr>
            <w:tcW w:w="0" w:type="dxa"/>
            <w:vAlign w:val="bottom"/>
          </w:tcPr>
          <w:p>
            <w:pPr>
              <w:spacing w:after="0"/>
              <w:rPr>
                <w:sz w:val="1"/>
                <w:szCs w:val="1"/>
                <w:color w:val="auto"/>
              </w:rPr>
            </w:pPr>
          </w:p>
        </w:tc>
      </w:tr>
      <w:tr>
        <w:trPr>
          <w:trHeight w:val="197"/>
        </w:trPr>
        <w:tc>
          <w:tcPr>
            <w:tcW w:w="3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119,878</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115,700</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354,037</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345,406</w:t>
            </w: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Franchise revenue</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(9,543)</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(8,918)</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(28,862)</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(24,919)</w:t>
            </w:r>
          </w:p>
        </w:tc>
        <w:tc>
          <w:tcPr>
            <w:tcW w:w="0" w:type="dxa"/>
            <w:vAlign w:val="bottom"/>
          </w:tcPr>
          <w:p>
            <w:pPr>
              <w:spacing w:after="0"/>
              <w:rPr>
                <w:sz w:val="1"/>
                <w:szCs w:val="1"/>
                <w:color w:val="auto"/>
              </w:rPr>
            </w:pPr>
          </w:p>
        </w:tc>
      </w:tr>
      <w:tr>
        <w:trPr>
          <w:trHeight w:val="205"/>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Franchise advertising fee revenue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(7,161)</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(6,796)</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(21,590)</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(19,370)</w:t>
            </w: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from franchised restaurants</w:t>
            </w: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159,742</w:t>
            </w: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151,657</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481,351</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432,752</w:t>
            </w:r>
          </w:p>
        </w:tc>
        <w:tc>
          <w:tcPr>
            <w:tcW w:w="0" w:type="dxa"/>
            <w:vAlign w:val="bottom"/>
          </w:tcPr>
          <w:p>
            <w:pPr>
              <w:spacing w:after="0"/>
              <w:rPr>
                <w:sz w:val="1"/>
                <w:szCs w:val="1"/>
                <w:color w:val="auto"/>
              </w:rPr>
            </w:pPr>
          </w:p>
        </w:tc>
      </w:tr>
      <w:tr>
        <w:trPr>
          <w:trHeight w:val="197"/>
        </w:trPr>
        <w:tc>
          <w:tcPr>
            <w:tcW w:w="3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System-wide sales</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262,916</w:t>
            </w: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251,643</w:t>
            </w: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784,936</w:t>
            </w: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733,869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Company-Operated Restaurant Revenue</w:t>
      </w:r>
    </w:p>
    <w:p>
      <w:pPr>
        <w:spacing w:after="0" w:line="220" w:lineRule="exact"/>
        <w:rPr>
          <w:sz w:val="20"/>
          <w:szCs w:val="20"/>
          <w:color w:val="auto"/>
        </w:rPr>
      </w:pPr>
    </w:p>
    <w:p>
      <w:pPr>
        <w:ind w:left="40" w:right="99"/>
        <w:spacing w:after="0" w:line="267" w:lineRule="auto"/>
        <w:rPr>
          <w:sz w:val="20"/>
          <w:szCs w:val="20"/>
          <w:color w:val="auto"/>
        </w:rPr>
      </w:pPr>
      <w:r>
        <w:rPr>
          <w:rFonts w:ascii="Times New Roman" w:cs="Times New Roman" w:eastAsia="Times New Roman" w:hAnsi="Times New Roman"/>
          <w:sz w:val="17"/>
          <w:szCs w:val="17"/>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66" w:lineRule="exact"/>
        <w:rPr>
          <w:sz w:val="20"/>
          <w:szCs w:val="20"/>
          <w:color w:val="auto"/>
        </w:rPr>
      </w:pPr>
    </w:p>
    <w:p>
      <w:pPr>
        <w:ind w:left="40" w:right="279"/>
        <w:spacing w:after="0" w:line="262" w:lineRule="auto"/>
        <w:rPr>
          <w:sz w:val="20"/>
          <w:szCs w:val="20"/>
          <w:color w:val="auto"/>
        </w:rPr>
      </w:pPr>
      <w:r>
        <w:rPr>
          <w:rFonts w:ascii="Times New Roman" w:cs="Times New Roman" w:eastAsia="Times New Roman" w:hAnsi="Times New Roman"/>
          <w:sz w:val="17"/>
          <w:szCs w:val="17"/>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Comparable Restaurant Sales</w:t>
      </w:r>
    </w:p>
    <w:p>
      <w:pPr>
        <w:spacing w:after="0" w:line="220"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7"/>
          <w:szCs w:val="17"/>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September 28, 2022 and</w:t>
      </w:r>
    </w:p>
    <w:p>
      <w:pPr>
        <w:spacing w:after="0" w:line="1"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7"/>
          <w:szCs w:val="17"/>
          <w:color w:val="auto"/>
        </w:rPr>
        <w:t>September 29, 2021, there were 466 and 462 comparable restaurants, 184 and 189 company-operated restaurants and 282 and 273 franchised restaurants, respectively. Comparable restaurant sales indicate the performance of existing restaurants, since new restaurants are excluded.</w:t>
      </w:r>
    </w:p>
    <w:p>
      <w:pPr>
        <w:spacing w:after="0" w:line="176" w:lineRule="exact"/>
        <w:rPr>
          <w:sz w:val="20"/>
          <w:szCs w:val="20"/>
          <w:color w:val="auto"/>
        </w:rPr>
      </w:pPr>
    </w:p>
    <w:p>
      <w:pPr>
        <w:ind w:left="40" w:right="379"/>
        <w:spacing w:after="0" w:line="283" w:lineRule="auto"/>
        <w:rPr>
          <w:sz w:val="20"/>
          <w:szCs w:val="20"/>
          <w:color w:val="auto"/>
        </w:rPr>
      </w:pPr>
      <w:r>
        <w:rPr>
          <w:rFonts w:ascii="Times New Roman" w:cs="Times New Roman" w:eastAsia="Times New Roman" w:hAnsi="Times New Roman"/>
          <w:sz w:val="17"/>
          <w:szCs w:val="17"/>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Restaurant Contribution and Restaurant Contribution Margin</w:t>
      </w:r>
    </w:p>
    <w:p>
      <w:pPr>
        <w:spacing w:after="0" w:line="220" w:lineRule="exact"/>
        <w:rPr>
          <w:sz w:val="20"/>
          <w:szCs w:val="20"/>
          <w:color w:val="auto"/>
        </w:rPr>
      </w:pPr>
    </w:p>
    <w:p>
      <w:pPr>
        <w:ind w:left="40" w:right="479"/>
        <w:spacing w:after="0" w:line="283" w:lineRule="auto"/>
        <w:rPr>
          <w:sz w:val="20"/>
          <w:szCs w:val="20"/>
          <w:color w:val="auto"/>
        </w:rPr>
      </w:pPr>
      <w:r>
        <w:rPr>
          <w:rFonts w:ascii="Times New Roman" w:cs="Times New Roman" w:eastAsia="Times New Roman" w:hAnsi="Times New Roman"/>
          <w:sz w:val="17"/>
          <w:szCs w:val="17"/>
          <w:color w:val="auto"/>
        </w:rPr>
        <w:t>Restaurant contribution and restaurant contribution margin are neither required by, nor presented in accordance with, GAAP. Restaurant contribution is defined as company-operated restaurant revenue less company restaurant expenses</w:t>
      </w:r>
    </w:p>
    <w:p>
      <w:pPr>
        <w:sectPr>
          <w:pgSz w:w="11900" w:h="16838" w:orient="portrait"/>
          <w:cols w:equalWidth="0" w:num="1">
            <w:col w:w="9019"/>
          </w:cols>
          <w:pgMar w:left="1440" w:top="494" w:right="1440"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348615</wp:posOffset>
            </wp:positionV>
            <wp:extent cx="566102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type w:val="continuous"/>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20"/>
        <w:spacing w:after="0" w:line="257" w:lineRule="auto"/>
        <w:rPr>
          <w:sz w:val="20"/>
          <w:szCs w:val="20"/>
          <w:color w:val="auto"/>
        </w:rPr>
      </w:pPr>
      <w:r>
        <w:rPr>
          <w:rFonts w:ascii="Times New Roman" w:cs="Times New Roman" w:eastAsia="Times New Roman" w:hAnsi="Times New Roman"/>
          <w:sz w:val="17"/>
          <w:szCs w:val="17"/>
          <w:color w:val="auto"/>
        </w:rPr>
        <w:t>which includes food and paper cost, labor and related expenses and occupancy and other operating expenses, where applicable. Restaurant contribution excludes certain costs, such as general and administrative expenses, depreciation and amortization, impairment and closed-store reserve and other costs that are considered normal operating costs and,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pacing w:after="0" w:line="177" w:lineRule="exact"/>
        <w:rPr>
          <w:sz w:val="20"/>
          <w:szCs w:val="20"/>
          <w:color w:val="auto"/>
        </w:rPr>
      </w:pPr>
    </w:p>
    <w:p>
      <w:pPr>
        <w:ind w:left="40" w:right="60"/>
        <w:spacing w:after="0" w:line="254" w:lineRule="auto"/>
        <w:rPr>
          <w:sz w:val="20"/>
          <w:szCs w:val="20"/>
          <w:color w:val="auto"/>
        </w:rPr>
      </w:pPr>
      <w:r>
        <w:rPr>
          <w:rFonts w:ascii="Times New Roman" w:cs="Times New Roman" w:eastAsia="Times New Roman" w:hAnsi="Times New Roman"/>
          <w:sz w:val="17"/>
          <w:szCs w:val="17"/>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our financial condition and results of operations.</w:t>
      </w:r>
    </w:p>
    <w:p>
      <w:pPr>
        <w:spacing w:after="0" w:line="182" w:lineRule="exact"/>
        <w:rPr>
          <w:sz w:val="20"/>
          <w:szCs w:val="20"/>
          <w:color w:val="auto"/>
        </w:rPr>
      </w:pPr>
    </w:p>
    <w:p>
      <w:pPr>
        <w:ind w:left="40" w:right="100"/>
        <w:spacing w:after="0" w:line="283" w:lineRule="auto"/>
        <w:rPr>
          <w:sz w:val="20"/>
          <w:szCs w:val="20"/>
          <w:color w:val="auto"/>
        </w:rPr>
      </w:pPr>
      <w:r>
        <w:rPr>
          <w:rFonts w:ascii="Times New Roman" w:cs="Times New Roman" w:eastAsia="Times New Roman" w:hAnsi="Times New Roman"/>
          <w:sz w:val="17"/>
          <w:szCs w:val="17"/>
          <w:color w:val="auto"/>
        </w:rPr>
        <w:t>A reconciliation of restaurant contribution and restaurant contribution margin to company-operated restaurant revenue is provided below:</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2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Borders>
              <w:top w:val="single" w:sz="8" w:color="auto"/>
            </w:tcBorders>
            <w:gridSpan w:val="3"/>
          </w:tcPr>
          <w:p>
            <w:pPr>
              <w:jc w:val="right"/>
              <w:ind w:right="240"/>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Borders>
              <w:top w:val="single" w:sz="8" w:color="auto"/>
            </w:tcBorders>
            <w:gridSpan w:val="3"/>
          </w:tcPr>
          <w:p>
            <w:pPr>
              <w:jc w:val="right"/>
              <w:ind w:right="240"/>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September 29, 2021</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Restaurant contribution:</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500" w:type="dxa"/>
            <w:vAlign w:val="bottom"/>
            <w:gridSpan w:val="2"/>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6,864</w:t>
            </w:r>
          </w:p>
        </w:tc>
        <w:tc>
          <w:tcPr>
            <w:tcW w:w="200" w:type="dxa"/>
            <w:vAlign w:val="bottom"/>
          </w:tcPr>
          <w:p>
            <w:pPr>
              <w:spacing w:after="0"/>
              <w:rPr>
                <w:sz w:val="17"/>
                <w:szCs w:val="17"/>
                <w:color w:val="auto"/>
              </w:rPr>
            </w:pPr>
          </w:p>
        </w:tc>
        <w:tc>
          <w:tcPr>
            <w:tcW w:w="640" w:type="dxa"/>
            <w:vAlign w:val="bottom"/>
            <w:gridSpan w:val="2"/>
          </w:tcPr>
          <w:p>
            <w:pPr>
              <w:jc w:val="right"/>
              <w:ind w:right="42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14,245</w:t>
            </w:r>
          </w:p>
        </w:tc>
        <w:tc>
          <w:tcPr>
            <w:tcW w:w="180" w:type="dxa"/>
            <w:vAlign w:val="bottom"/>
          </w:tcPr>
          <w:p>
            <w:pPr>
              <w:spacing w:after="0"/>
              <w:rPr>
                <w:sz w:val="17"/>
                <w:szCs w:val="17"/>
                <w:color w:val="auto"/>
              </w:rPr>
            </w:pPr>
          </w:p>
        </w:tc>
        <w:tc>
          <w:tcPr>
            <w:tcW w:w="400" w:type="dxa"/>
            <w:vAlign w:val="bottom"/>
            <w:gridSpan w:val="2"/>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20,613</w:t>
            </w:r>
          </w:p>
        </w:tc>
        <w:tc>
          <w:tcPr>
            <w:tcW w:w="200" w:type="dxa"/>
            <w:vAlign w:val="bottom"/>
          </w:tcPr>
          <w:p>
            <w:pPr>
              <w:spacing w:after="0"/>
              <w:rPr>
                <w:sz w:val="17"/>
                <w:szCs w:val="17"/>
                <w:color w:val="auto"/>
              </w:rPr>
            </w:pPr>
          </w:p>
        </w:tc>
        <w:tc>
          <w:tcPr>
            <w:tcW w:w="400" w:type="dxa"/>
            <w:vAlign w:val="bottom"/>
            <w:gridSpan w:val="2"/>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32,917</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(less):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29,488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30,354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Franchise expenses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27,315</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24,457</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Loss on disposal of assets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Loss on disposition of restaurants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Franchise revenue</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(9,543)</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Franchise advertising fee revenue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Impairment and closed-store reserves</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Restaurant contribution</w:t>
            </w:r>
          </w:p>
        </w:tc>
        <w:tc>
          <w:tcPr>
            <w:tcW w:w="14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20,378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38,436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57,798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7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7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Company-operated restaurant</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50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119,878</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2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115,700</w:t>
            </w:r>
          </w:p>
        </w:tc>
        <w:tc>
          <w:tcPr>
            <w:tcW w:w="1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354,037</w:t>
            </w: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345,406</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Less: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Franchise revenue</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(9,543)</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Franchise advertising fee revenue</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(7,161)</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(6,796)</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(21,590)</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(19,370)</w:t>
            </w: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auto"/>
              </w:rPr>
              <w:t>Company-operated restaurant</w:t>
            </w:r>
          </w:p>
        </w:tc>
        <w:tc>
          <w:tcPr>
            <w:tcW w:w="500" w:type="dxa"/>
            <w:vAlign w:val="bottom"/>
            <w:gridSpan w:val="2"/>
            <w:vMerge w:val="restart"/>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103,174</w:t>
            </w:r>
          </w:p>
        </w:tc>
        <w:tc>
          <w:tcPr>
            <w:tcW w:w="20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42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99,986</w:t>
            </w:r>
          </w:p>
        </w:tc>
        <w:tc>
          <w:tcPr>
            <w:tcW w:w="18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303,585</w:t>
            </w:r>
          </w:p>
        </w:tc>
        <w:tc>
          <w:tcPr>
            <w:tcW w:w="20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301,117</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5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Restaurant contribution margin (%)</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12.4 %</w:t>
            </w: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20.4 %</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12.7 %</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New Restaurant Openings</w:t>
      </w:r>
    </w:p>
    <w:p>
      <w:pPr>
        <w:spacing w:after="0" w:line="220" w:lineRule="exact"/>
        <w:rPr>
          <w:sz w:val="20"/>
          <w:szCs w:val="20"/>
          <w:color w:val="auto"/>
        </w:rPr>
      </w:pPr>
    </w:p>
    <w:p>
      <w:pPr>
        <w:ind w:left="40" w:right="320"/>
        <w:spacing w:after="0" w:line="262" w:lineRule="auto"/>
        <w:rPr>
          <w:sz w:val="20"/>
          <w:szCs w:val="20"/>
          <w:color w:val="auto"/>
        </w:rPr>
      </w:pPr>
      <w:r>
        <w:rPr>
          <w:rFonts w:ascii="Times New Roman" w:cs="Times New Roman" w:eastAsia="Times New Roman" w:hAnsi="Times New Roman"/>
          <w:sz w:val="17"/>
          <w:szCs w:val="17"/>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20"/>
          </w:cols>
          <w:pgMar w:left="1440" w:top="494" w:right="1439"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99"/>
        <w:spacing w:after="0" w:line="262" w:lineRule="auto"/>
        <w:rPr>
          <w:sz w:val="20"/>
          <w:szCs w:val="20"/>
          <w:color w:val="auto"/>
        </w:rPr>
      </w:pPr>
      <w:r>
        <w:rPr>
          <w:rFonts w:ascii="Times New Roman" w:cs="Times New Roman" w:eastAsia="Times New Roman" w:hAnsi="Times New Roman"/>
          <w:sz w:val="17"/>
          <w:szCs w:val="17"/>
          <w:color w:val="auto"/>
        </w:rPr>
        <w:t>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EBITDA and Adjusted EBITDA</w:t>
      </w:r>
    </w:p>
    <w:p>
      <w:pPr>
        <w:spacing w:after="0" w:line="220" w:lineRule="exact"/>
        <w:rPr>
          <w:sz w:val="20"/>
          <w:szCs w:val="20"/>
          <w:color w:val="auto"/>
        </w:rPr>
      </w:pPr>
    </w:p>
    <w:p>
      <w:pPr>
        <w:ind w:left="40" w:right="279"/>
        <w:spacing w:after="0" w:line="267" w:lineRule="auto"/>
        <w:rPr>
          <w:sz w:val="20"/>
          <w:szCs w:val="20"/>
          <w:color w:val="auto"/>
        </w:rPr>
      </w:pPr>
      <w:r>
        <w:rPr>
          <w:rFonts w:ascii="Times New Roman" w:cs="Times New Roman" w:eastAsia="Times New Roman" w:hAnsi="Times New Roman"/>
          <w:sz w:val="17"/>
          <w:szCs w:val="17"/>
          <w:color w:val="auto"/>
        </w:rPr>
        <w:t>EBITDA represents net income before interest expense, provision for income taxes, depreciation, and amortization. Adjusted EBITDA represents net income before interest expense, provision for income taxes, depreciation, amortization, and other items that we do not consider representative of our on-going operating performance, as identified in the reconciliation table below.</w:t>
      </w:r>
    </w:p>
    <w:p>
      <w:pPr>
        <w:spacing w:after="0" w:line="166"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7"/>
          <w:szCs w:val="17"/>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82" w:lineRule="exact"/>
        <w:rPr>
          <w:sz w:val="20"/>
          <w:szCs w:val="20"/>
          <w:color w:val="auto"/>
        </w:rPr>
      </w:pPr>
    </w:p>
    <w:p>
      <w:pPr>
        <w:jc w:val="both"/>
        <w:ind w:left="40" w:right="259"/>
        <w:spacing w:after="0" w:line="267" w:lineRule="auto"/>
        <w:rPr>
          <w:sz w:val="20"/>
          <w:szCs w:val="20"/>
          <w:color w:val="auto"/>
        </w:rPr>
      </w:pPr>
      <w:r>
        <w:rPr>
          <w:rFonts w:ascii="Times New Roman" w:cs="Times New Roman" w:eastAsia="Times New Roman" w:hAnsi="Times New Roman"/>
          <w:sz w:val="17"/>
          <w:szCs w:val="17"/>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66"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7"/>
          <w:szCs w:val="17"/>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sets forth reconciliations of our net income to our EBITDA and Adjusted EBITDA:</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20" w:type="dxa"/>
            <w:vAlign w:val="bottom"/>
            <w:gridSpan w:val="3"/>
            <w:vMerge w:val="continue"/>
          </w:tcPr>
          <w:p>
            <w:pPr>
              <w:spacing w:after="0"/>
              <w:rPr>
                <w:sz w:val="11"/>
                <w:szCs w:val="11"/>
                <w:color w:val="auto"/>
              </w:rPr>
            </w:pPr>
          </w:p>
        </w:tc>
        <w:tc>
          <w:tcPr>
            <w:tcW w:w="1380" w:type="dxa"/>
            <w:vAlign w:val="bottom"/>
            <w:gridSpan w:val="3"/>
          </w:tcPr>
          <w:p>
            <w:pPr>
              <w:jc w:val="right"/>
              <w:ind w:right="2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12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28, 2022</w:t>
            </w:r>
          </w:p>
        </w:tc>
        <w:tc>
          <w:tcPr>
            <w:tcW w:w="20" w:type="dxa"/>
            <w:vAlign w:val="bottom"/>
          </w:tcPr>
          <w:p>
            <w:pPr>
              <w:spacing w:after="0"/>
              <w:rPr>
                <w:sz w:val="11"/>
                <w:szCs w:val="11"/>
                <w:color w:val="auto"/>
              </w:rPr>
            </w:pPr>
          </w:p>
        </w:tc>
        <w:tc>
          <w:tcPr>
            <w:tcW w:w="12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7"/>
              </w:rPr>
              <w:t>September 29, 2021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5,009</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10,161</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14,265</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22,943</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Non-GAAP adjustments:</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Interest expense, net of interest income</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3,530</w:t>
            </w:r>
          </w:p>
        </w:tc>
        <w:tc>
          <w:tcPr>
            <w:tcW w:w="16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11,540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10,423</w:t>
            </w:r>
          </w:p>
        </w:tc>
        <w:tc>
          <w:tcPr>
            <w:tcW w:w="16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17,949</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31,703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44,526</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 (a)</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Loss on disposal of assets (b)</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disposition of restaurants (c)</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Impairment and closed-store reserves (d)</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receivable agreement income (e)</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w:t>
            </w: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(345)</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05"/>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class action legal expense (f)</w:t>
            </w:r>
          </w:p>
        </w:tc>
        <w:tc>
          <w:tcPr>
            <w:tcW w:w="3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w:t>
            </w:r>
          </w:p>
        </w:tc>
        <w:tc>
          <w:tcPr>
            <w:tcW w:w="6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settlements (g)</w:t>
            </w: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(541)</w:t>
            </w: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(541)</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Special legal expenses (h)</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Pre-opening costs (i)</w:t>
            </w: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6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11,573</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18,853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35,423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50,688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24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60" w:hanging="314"/>
        <w:spacing w:after="0"/>
        <w:tabs>
          <w:tab w:leader="none" w:pos="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non-cash, stock-based compensation.</w:t>
      </w:r>
    </w:p>
    <w:p>
      <w:pPr>
        <w:spacing w:after="0" w:line="26" w:lineRule="exact"/>
        <w:rPr>
          <w:rFonts w:ascii="Times New Roman" w:cs="Times New Roman" w:eastAsia="Times New Roman" w:hAnsi="Times New Roman"/>
          <w:sz w:val="17"/>
          <w:szCs w:val="17"/>
          <w:color w:val="auto"/>
        </w:rPr>
      </w:pPr>
    </w:p>
    <w:p>
      <w:pPr>
        <w:ind w:left="360" w:right="619" w:hanging="314"/>
        <w:spacing w:after="0" w:line="251" w:lineRule="auto"/>
        <w:tabs>
          <w:tab w:leader="none" w:pos="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on disposal of assets includes the loss on disposal of assets related to retirements and replacement or write-off of leasehold improvements or equipment.</w:t>
      </w:r>
    </w:p>
    <w:p>
      <w:pPr>
        <w:ind w:left="360" w:right="319" w:hanging="314"/>
        <w:spacing w:after="0" w:line="251" w:lineRule="auto"/>
        <w:tabs>
          <w:tab w:leader="none" w:pos="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thirteen and thirty-nine weeks ended September 29, 2021, we completed the sale of eight restaurants within the Sacramento area to an existing franchisee. This sale resulted in cash proceeds of $4.6 million during the thirty-nine weeks ended September 29, 2021 and a net loss on sale of restaurants of less than $0.1 million and $1.5 million for the thirteen and thirty-nine weeks ended September 29, 2021, respectively.</w:t>
      </w:r>
    </w:p>
    <w:p>
      <w:pPr>
        <w:ind w:left="360" w:right="99" w:hanging="314"/>
        <w:spacing w:after="0" w:line="251" w:lineRule="auto"/>
        <w:tabs>
          <w:tab w:leader="none" w:pos="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costs related to impairment of long-lived and ROU assets and closing restaurants. During the thirteen and thirty-nine weeks ended September 28, 2022, we recorded non-cash impairment charges of $0.1 million and $0.4 million, respectively, primarily related to the long-lived assets of one restaurant in California.</w:t>
      </w:r>
    </w:p>
    <w:p>
      <w:pPr>
        <w:ind w:left="360" w:right="5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thirteen and thirty-nine weeks ended September 29, 2021, we recorded non-cash impairment charges of $0.1 million and $0.7 million, respectively, primarily related to the carrying value of the ROU assets of one restaurant in Texas closed in 2019, the ROU assets of one restaurant in California, and the long-lived assets of three restaurants in California. During the thirteen and thirty-nine weeks ended September 28, 2022, we recognized $0.1 million and $0.2 million, respectively, of closed-store reserve expense related to the amortization of ROU assets, property taxes and CAM payments for our closed locations. During the thirteen and thirty-nine weeks ended September 29, 2021, we recognized $0.1 million and $0.4 million, respectively, of closed-store reserve expense, primarily related to the amortization of ROU assets, property taxes and CAM payments for our closed locations.</w:t>
      </w:r>
    </w:p>
    <w:p>
      <w:pPr>
        <w:spacing w:after="0" w:line="1" w:lineRule="exact"/>
        <w:rPr>
          <w:rFonts w:ascii="Times New Roman" w:cs="Times New Roman" w:eastAsia="Times New Roman" w:hAnsi="Times New Roman"/>
          <w:sz w:val="17"/>
          <w:szCs w:val="17"/>
          <w:color w:val="auto"/>
        </w:rPr>
      </w:pPr>
    </w:p>
    <w:p>
      <w:pPr>
        <w:ind w:left="360" w:right="199" w:hanging="314"/>
        <w:spacing w:after="0" w:line="251" w:lineRule="auto"/>
        <w:tabs>
          <w:tab w:leader="none" w:pos="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30, 2014, we entered into the TRA. This agreement calls for us to pay to our pre-IPO stockholders 85% of the savings in cash that we realize in our taxes as a result of utilizing our NOLs and other tax attributes attributable to preceding periods. For the thirteen and thirty-nine weeks ended September 28, 2022 and September 29, 2021, income tax receivable agreement income consisted of the amortization of interest expense and changes in estimates for actual tax returns filed, related to our total expected TRA payments.</w:t>
      </w:r>
    </w:p>
    <w:p>
      <w:pPr>
        <w:spacing w:after="0" w:line="1" w:lineRule="exact"/>
        <w:rPr>
          <w:rFonts w:ascii="Times New Roman" w:cs="Times New Roman" w:eastAsia="Times New Roman" w:hAnsi="Times New Roman"/>
          <w:sz w:val="17"/>
          <w:szCs w:val="17"/>
          <w:color w:val="auto"/>
        </w:rPr>
      </w:pPr>
    </w:p>
    <w:p>
      <w:pPr>
        <w:jc w:val="both"/>
        <w:ind w:left="360" w:right="159" w:hanging="314"/>
        <w:spacing w:after="0" w:line="251" w:lineRule="auto"/>
        <w:tabs>
          <w:tab w:leader="none" w:pos="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costs and recoveries related to the defense of securities lawsuits. During the thirteen and thirty-nine weeks ended September 29, 2021, we received $0.5 million in insurance proceeds, net of legal expenses, related to a derivative complaint.</w:t>
      </w:r>
    </w:p>
    <w:p>
      <w:pPr>
        <w:ind w:left="360" w:hanging="314"/>
        <w:spacing w:after="0"/>
        <w:tabs>
          <w:tab w:leader="none" w:pos="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$0.5 million received from legal settlement, net of legal expenses.</w:t>
      </w:r>
    </w:p>
    <w:p>
      <w:pPr>
        <w:spacing w:after="0" w:line="9" w:lineRule="exact"/>
        <w:rPr>
          <w:rFonts w:ascii="Times New Roman" w:cs="Times New Roman" w:eastAsia="Times New Roman" w:hAnsi="Times New Roman"/>
          <w:sz w:val="17"/>
          <w:szCs w:val="17"/>
          <w:color w:val="auto"/>
        </w:rPr>
      </w:pPr>
    </w:p>
    <w:p>
      <w:pPr>
        <w:ind w:left="360" w:right="379" w:hanging="314"/>
        <w:spacing w:after="0" w:line="251" w:lineRule="auto"/>
        <w:tabs>
          <w:tab w:leader="none" w:pos="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costs related to a special dividend declaration. On October 11, 2022, the Board of Directors declared a special dividend of $1.50 per share on the common stock of the Company.</w:t>
      </w:r>
    </w:p>
    <w:p>
      <w:pPr>
        <w:ind w:left="360" w:right="99" w:hanging="314"/>
        <w:spacing w:after="0" w:line="254" w:lineRule="auto"/>
        <w:tabs>
          <w:tab w:leader="none" w:pos="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8"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7"/>
          <w:szCs w:val="17"/>
          <w:color w:val="auto"/>
        </w:rPr>
        <w:t>Our primary sources of liquidity and capital resources have been cash provided from operations, cash and cash equivalents, and our revolving credit facility.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from the issuance of the condensed consolidated financial statements.</w:t>
      </w: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presents summary cash flow information for the periods indicated (in thousands):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60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28, 2022</w:t>
            </w:r>
          </w:p>
        </w:tc>
        <w:tc>
          <w:tcPr>
            <w:tcW w:w="140" w:type="dxa"/>
            <w:vAlign w:val="bottom"/>
            <w:tcBorders>
              <w:top w:val="single" w:sz="8" w:color="auto"/>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9"/>
              </w:rPr>
              <w:t>September 29, 2021</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Operating activities</w:t>
            </w:r>
          </w:p>
        </w:tc>
        <w:tc>
          <w:tcPr>
            <w:tcW w:w="44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21,907</w:t>
            </w:r>
          </w:p>
        </w:tc>
        <w:tc>
          <w:tcPr>
            <w:tcW w:w="500" w:type="dxa"/>
            <w:vAlign w:val="bottom"/>
            <w:gridSpan w:val="2"/>
          </w:tcPr>
          <w:p>
            <w:pPr>
              <w:jc w:val="right"/>
              <w:ind w:right="20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Investing activities</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(13,022)</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Financing activities</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(19,656)</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(22,739)</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increase (decrease) in cash</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(10,771)</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11,450</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20" w:lineRule="exact"/>
        <w:rPr>
          <w:sz w:val="20"/>
          <w:szCs w:val="20"/>
          <w:color w:val="auto"/>
        </w:rPr>
      </w:pPr>
    </w:p>
    <w:p>
      <w:pPr>
        <w:ind w:left="40" w:right="219"/>
        <w:spacing w:after="0" w:line="267" w:lineRule="auto"/>
        <w:rPr>
          <w:sz w:val="20"/>
          <w:szCs w:val="20"/>
          <w:color w:val="auto"/>
        </w:rPr>
      </w:pPr>
      <w:r>
        <w:rPr>
          <w:rFonts w:ascii="Times New Roman" w:cs="Times New Roman" w:eastAsia="Times New Roman" w:hAnsi="Times New Roman"/>
          <w:sz w:val="17"/>
          <w:szCs w:val="17"/>
          <w:color w:val="auto"/>
        </w:rPr>
        <w:t>For the thirty-nine weeks ended September 28, 2022, net cash from operating activities changed by approximately $20.4 million from the comparable period of the prior year. This change was due to unfavorable working capital fluctuations and lower profitability compared to the same period in the prior year.</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20"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7"/>
          <w:szCs w:val="17"/>
          <w:color w:val="auto"/>
        </w:rPr>
        <w:t>For the thirty-nine weeks ended September 28, 2022, net cash used in investing activities changed by $4.9 million from the comparable period of the prior year. This change was due primarily to the Company receiving a deposit of $4.6 million on the sale of eight restaurants within the Sacramento area during the thirty-nine weeks ended September 29, 2021.</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0" w:lineRule="exact"/>
        <w:rPr>
          <w:sz w:val="20"/>
          <w:szCs w:val="20"/>
          <w:color w:val="auto"/>
        </w:rPr>
      </w:pPr>
    </w:p>
    <w:p>
      <w:pPr>
        <w:ind w:left="40" w:right="59"/>
        <w:spacing w:after="0" w:line="257" w:lineRule="auto"/>
        <w:rPr>
          <w:sz w:val="20"/>
          <w:szCs w:val="20"/>
          <w:color w:val="auto"/>
        </w:rPr>
      </w:pPr>
      <w:r>
        <w:rPr>
          <w:rFonts w:ascii="Times New Roman" w:cs="Times New Roman" w:eastAsia="Times New Roman" w:hAnsi="Times New Roman"/>
          <w:sz w:val="17"/>
          <w:szCs w:val="17"/>
          <w:color w:val="auto"/>
        </w:rPr>
        <w:t>For the thirty-nine weeks ended September 28, 2022, net cash from financing activities changed by $3.1 million from the comparable period of the prior year. The change was due primarily to $22.8 million of net pay downs on the 2018 Revolver during the thirty-nine weeks ended September 29, 2021, compared to net pay downs of $20.0 million during the thirty-nine weeks ended September 28, 2022. This change was partially offset by a $1.6 million cash inflow related to option exercises during the thirty-nine weeks ended September 28, 2022, compared to a $0.9 million cash inflow during the thirty-nine weeks ended September 29, 2021.</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Debt and Other Obligations</w:t>
      </w:r>
    </w:p>
    <w:p>
      <w:pPr>
        <w:spacing w:after="0" w:line="220" w:lineRule="exact"/>
        <w:rPr>
          <w:sz w:val="20"/>
          <w:szCs w:val="20"/>
          <w:color w:val="auto"/>
        </w:rPr>
      </w:pPr>
    </w:p>
    <w:p>
      <w:pPr>
        <w:ind w:left="40" w:right="79"/>
        <w:spacing w:after="0" w:line="257" w:lineRule="auto"/>
        <w:rPr>
          <w:sz w:val="20"/>
          <w:szCs w:val="20"/>
          <w:color w:val="auto"/>
        </w:rPr>
      </w:pPr>
      <w:r>
        <w:rPr>
          <w:rFonts w:ascii="Times New Roman" w:cs="Times New Roman" w:eastAsia="Times New Roman" w:hAnsi="Times New Roman"/>
          <w:sz w:val="17"/>
          <w:szCs w:val="17"/>
          <w:color w:val="auto"/>
        </w:rPr>
        <w:t>The Company, as a guarantor, is a party to a credit agreement (the “2022 Credit Agreement”) among EPL, as borrower, Intermediate, as a guarantor, Bank of America, N.A., as administrative agent, swingline lender, and letter of credit issuer, the lenders party thereto, and the other parties thereto, which provides for a $150.0 million five-year senior secured revolving credit facility (the “2022 Revolver”). The 2022 Revolver, which is available pursuant to the 2022 Credit Agreement, includes a sub limit of $15.0 million for letters of credit and a sub limit of $15.0 million for swingline loans. The 2022 Revolver and 2022 Credit Agreement will mature on July 27, 2027. The obligations under the 2022</w:t>
      </w:r>
    </w:p>
    <w:p>
      <w:pPr>
        <w:sectPr>
          <w:pgSz w:w="11900" w:h="16838" w:orient="portrait"/>
          <w:cols w:equalWidth="0" w:num="1">
            <w:col w:w="9019"/>
          </w:cols>
          <w:pgMar w:left="1440" w:top="494"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348615</wp:posOffset>
            </wp:positionV>
            <wp:extent cx="566102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type w:val="continuous"/>
        </w:sectPr>
      </w:pPr>
    </w:p>
    <w:bookmarkStart w:id="43" w:name="page44"/>
    <w:bookmarkEnd w:id="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39"/>
        <w:spacing w:after="0" w:line="267" w:lineRule="auto"/>
        <w:rPr>
          <w:sz w:val="20"/>
          <w:szCs w:val="20"/>
          <w:color w:val="auto"/>
        </w:rPr>
      </w:pPr>
      <w:r>
        <w:rPr>
          <w:rFonts w:ascii="Times New Roman" w:cs="Times New Roman" w:eastAsia="Times New Roman" w:hAnsi="Times New Roman"/>
          <w:sz w:val="17"/>
          <w:szCs w:val="17"/>
          <w:color w:val="auto"/>
        </w:rPr>
        <w:t>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spacing w:after="0" w:line="166"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7"/>
          <w:szCs w:val="17"/>
          <w:color w:val="auto"/>
        </w:rPr>
        <w:t>The special dividend announced by the Company’s Board of Directors on October 11, 2022 is permitted under the terms of 2022 Revolver pursuant to both subclause (iii)(d) and (iii)(e) of the preceding sentence. Under the 2022 Revolver, Holdings is restricted from making certain payments such as cash dividends, except that it may, inter alia, (i) pay up to $1.0 million per year to repurchase or redeem qualified equity interests of Holdings held by our past or present officers, directors, or employees (or their estates)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w:t>
      </w:r>
    </w:p>
    <w:p>
      <w:pPr>
        <w:spacing w:after="0" w:line="3" w:lineRule="exact"/>
        <w:rPr>
          <w:sz w:val="20"/>
          <w:szCs w:val="20"/>
          <w:color w:val="auto"/>
        </w:rPr>
      </w:pPr>
    </w:p>
    <w:p>
      <w:pPr>
        <w:ind w:left="40" w:right="599" w:firstLine="6"/>
        <w:spacing w:after="0" w:line="256" w:lineRule="auto"/>
        <w:tabs>
          <w:tab w:leader="none" w:pos="28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pacing w:after="0" w:line="176" w:lineRule="exact"/>
        <w:rPr>
          <w:sz w:val="20"/>
          <w:szCs w:val="20"/>
          <w:color w:val="auto"/>
        </w:rPr>
      </w:pPr>
    </w:p>
    <w:p>
      <w:pPr>
        <w:ind w:left="40" w:right="419"/>
        <w:spacing w:after="0" w:line="258" w:lineRule="auto"/>
        <w:rPr>
          <w:sz w:val="20"/>
          <w:szCs w:val="20"/>
          <w:color w:val="auto"/>
        </w:rPr>
      </w:pPr>
      <w:r>
        <w:rPr>
          <w:rFonts w:ascii="Times New Roman" w:cs="Times New Roman" w:eastAsia="Times New Roman" w:hAnsi="Times New Roman"/>
          <w:sz w:val="17"/>
          <w:szCs w:val="17"/>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w:t>
      </w:r>
    </w:p>
    <w:p>
      <w:pPr>
        <w:spacing w:after="0" w:line="1" w:lineRule="exact"/>
        <w:rPr>
          <w:sz w:val="20"/>
          <w:szCs w:val="20"/>
          <w:color w:val="auto"/>
        </w:rPr>
      </w:pPr>
    </w:p>
    <w:p>
      <w:pPr>
        <w:jc w:val="both"/>
        <w:ind w:left="40" w:right="119" w:firstLine="6"/>
        <w:spacing w:after="0" w:line="254" w:lineRule="auto"/>
        <w:tabs>
          <w:tab w:leader="none" w:pos="27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funds rate plus 0.50%, (b) the published Bank of America prime rate, or (c) Term SOFR with a term of one-month SOFR plus 1.00%. For Term SOFR loans, the margin is in the range of 1.25% to 2.25%, and for base rate loans the margin is in a range of 0.25% to 1.25%. Borrowings under the 2022 Revolver may be repaid and reborrowed. The interest rate range was 2.87% to 6.00% and 1.35% to 6.00% for the thirteen and thirty-nine weeks ended September 28, 2022, respectively, and 1.34% to 1.35% and 1.34% to 1.65% for the thirteen and thirty-nine weeks ended September 29, 2021, respectively.</w:t>
      </w:r>
    </w:p>
    <w:p>
      <w:pPr>
        <w:spacing w:after="0" w:line="176" w:lineRule="exact"/>
        <w:rPr>
          <w:sz w:val="20"/>
          <w:szCs w:val="20"/>
          <w:color w:val="auto"/>
        </w:rPr>
      </w:pPr>
    </w:p>
    <w:p>
      <w:pPr>
        <w:ind w:left="40" w:right="559"/>
        <w:spacing w:after="0" w:line="283" w:lineRule="auto"/>
        <w:rPr>
          <w:sz w:val="20"/>
          <w:szCs w:val="20"/>
          <w:color w:val="auto"/>
        </w:rPr>
      </w:pPr>
      <w:r>
        <w:rPr>
          <w:rFonts w:ascii="Times New Roman" w:cs="Times New Roman" w:eastAsia="Times New Roman" w:hAnsi="Times New Roman"/>
          <w:sz w:val="17"/>
          <w:szCs w:val="17"/>
          <w:color w:val="auto"/>
        </w:rPr>
        <w:t>The 2022 Credit Agreement contains certain financial covenants. We were in compliance with the financial covenants as of September 28, 2022.</w:t>
      </w:r>
    </w:p>
    <w:p>
      <w:pPr>
        <w:spacing w:after="0" w:line="153" w:lineRule="exact"/>
        <w:rPr>
          <w:sz w:val="20"/>
          <w:szCs w:val="20"/>
          <w:color w:val="auto"/>
        </w:rPr>
      </w:pPr>
    </w:p>
    <w:p>
      <w:pPr>
        <w:ind w:left="40" w:right="599"/>
        <w:spacing w:after="0" w:line="283" w:lineRule="auto"/>
        <w:rPr>
          <w:sz w:val="20"/>
          <w:szCs w:val="20"/>
          <w:color w:val="auto"/>
        </w:rPr>
      </w:pPr>
      <w:r>
        <w:rPr>
          <w:rFonts w:ascii="Times New Roman" w:cs="Times New Roman" w:eastAsia="Times New Roman" w:hAnsi="Times New Roman"/>
          <w:sz w:val="17"/>
          <w:szCs w:val="17"/>
          <w:color w:val="auto"/>
        </w:rPr>
        <w:t>At September 28, 2022, $10.0 million of letters of credit and $20.0 million of borrowings were outstanding under the 2022 Revolver. There were $120.0 million remaining borrowings available under the 2022 Revolver at September 28, 2022.</w:t>
      </w:r>
    </w:p>
    <w:p>
      <w:pPr>
        <w:spacing w:after="0" w:line="153" w:lineRule="exact"/>
        <w:rPr>
          <w:sz w:val="20"/>
          <w:szCs w:val="20"/>
          <w:color w:val="auto"/>
        </w:rPr>
      </w:pPr>
    </w:p>
    <w:p>
      <w:pPr>
        <w:ind w:left="40" w:right="179"/>
        <w:spacing w:after="0" w:line="262" w:lineRule="auto"/>
        <w:rPr>
          <w:sz w:val="20"/>
          <w:szCs w:val="20"/>
          <w:color w:val="auto"/>
        </w:rPr>
      </w:pPr>
      <w:r>
        <w:rPr>
          <w:rFonts w:ascii="Times New Roman" w:cs="Times New Roman" w:eastAsia="Times New Roman" w:hAnsi="Times New Roman"/>
          <w:sz w:val="17"/>
          <w:szCs w:val="17"/>
          <w:color w:val="auto"/>
        </w:rPr>
        <w:t>During the year ended December 25, 2019, we entered into an interest rate swap with a notional amount of $40.0 million, related to the outstanding borrowings under our 2018 Revolver (defined below). The interest rate swap was designated as a cash flow hedge and effectively converted a portion of our outstanding borrowings to a fixed rate of 1.31%, plus the applicable margin spread, which was 1.5% for the thirty-nine weeks ended September 28, 2022.</w:t>
      </w:r>
    </w:p>
    <w:p>
      <w:pPr>
        <w:spacing w:after="0" w:line="170" w:lineRule="exact"/>
        <w:rPr>
          <w:sz w:val="20"/>
          <w:szCs w:val="20"/>
          <w:color w:val="auto"/>
        </w:rPr>
      </w:pPr>
    </w:p>
    <w:p>
      <w:pPr>
        <w:ind w:left="40" w:right="239"/>
        <w:spacing w:after="0" w:line="257" w:lineRule="auto"/>
        <w:rPr>
          <w:sz w:val="20"/>
          <w:szCs w:val="20"/>
          <w:color w:val="auto"/>
        </w:rPr>
      </w:pPr>
      <w:r>
        <w:rPr>
          <w:rFonts w:ascii="Times New Roman" w:cs="Times New Roman" w:eastAsia="Times New Roman" w:hAnsi="Times New Roman"/>
          <w:sz w:val="17"/>
          <w:szCs w:val="17"/>
          <w:color w:val="auto"/>
        </w:rPr>
        <w:t>During the thirty-nine weeks ended September 28, 2022, we refinanced and terminated our credit agreement (the “2018 Credit Agreement”) among EPL, as borrower, the Company and Intermediate, as guarantors, Bank of America, N.A., as administrative agent, swingline lender, and letter of credit issuer, the lenders party thereto, and the other parties thereto, which provided for a $150.0 million five-year senior secured revolving credit facility (the “2018 Revolver”) and entered into the 2022 Credit Agreement. On July 29, 2022, we made a $20.0 million payment to the 2022 Revolver and the outstanding balance as of September 28, 2022 was $20.0 million. See Note 4, “Long-term debt” for additional information.</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Material Cash Requirements</w:t>
      </w:r>
    </w:p>
    <w:p>
      <w:pPr>
        <w:spacing w:after="0" w:line="220"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Our material cash requirements as of September 28, 2022 have not changed materially since those disclosed under “Material Cash Requirements” in Part II, Item 7 of our annual report on Form 10-K for the year ended December 29, 2021. Our material cash requirements relate mostly to future (i) debt payments, including expected interest expense, calculated based on current interest rates, (ii) restaurant operating lease payments, (iii) income tax receivable agreement payments, (iv) purchasing commitments for chicken, (v) restaurant finance lease payments, and (vi) capital expenditures.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Share Repurchase Program and Subsequent Borrowings</w:t>
      </w:r>
    </w:p>
    <w:p>
      <w:pPr>
        <w:spacing w:after="0" w:line="218" w:lineRule="exact"/>
        <w:rPr>
          <w:sz w:val="20"/>
          <w:szCs w:val="20"/>
          <w:color w:val="auto"/>
        </w:rPr>
      </w:pPr>
    </w:p>
    <w:p>
      <w:pPr>
        <w:ind w:left="40" w:right="199"/>
        <w:spacing w:after="0" w:line="267" w:lineRule="auto"/>
        <w:rPr>
          <w:sz w:val="20"/>
          <w:szCs w:val="20"/>
          <w:color w:val="auto"/>
        </w:rPr>
      </w:pPr>
      <w:r>
        <w:rPr>
          <w:rFonts w:ascii="Times New Roman" w:cs="Times New Roman" w:eastAsia="Times New Roman" w:hAnsi="Times New Roman"/>
          <w:sz w:val="17"/>
          <w:szCs w:val="17"/>
          <w:color w:val="auto"/>
        </w:rPr>
        <w:t>On October 11, 2022, our Board of Directors approved a share repurchase program under which the Company is authorized to repurchase up to $20.0 million of shares of our Common Stock. The repurchase program will terminate on March 28, 2024, may be modified, suspended or discontinued at any time, and does not obligate us to acquire any particular number of shares.</w:t>
      </w:r>
    </w:p>
    <w:p>
      <w:pPr>
        <w:spacing w:after="0" w:line="166"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7"/>
          <w:szCs w:val="17"/>
          <w:color w:val="auto"/>
        </w:rPr>
        <w:t>In addition, on October 11, 2022, our Board of Directors declared a special dividend of $1.50 per share on our common stock. The special dividend is payable on November 9, 2022, to stockholders of record, including holders of restricted stock and restricted stock units, at the close of business on October 24, 2022.</w:t>
      </w:r>
    </w:p>
    <w:p>
      <w:pPr>
        <w:spacing w:after="0" w:line="166" w:lineRule="exact"/>
        <w:rPr>
          <w:sz w:val="20"/>
          <w:szCs w:val="20"/>
          <w:color w:val="auto"/>
        </w:rPr>
      </w:pPr>
    </w:p>
    <w:p>
      <w:pPr>
        <w:jc w:val="both"/>
        <w:ind w:left="40" w:right="179"/>
        <w:spacing w:after="0" w:line="267" w:lineRule="auto"/>
        <w:rPr>
          <w:sz w:val="20"/>
          <w:szCs w:val="20"/>
          <w:color w:val="auto"/>
        </w:rPr>
      </w:pPr>
      <w:r>
        <w:rPr>
          <w:rFonts w:ascii="Times New Roman" w:cs="Times New Roman" w:eastAsia="Times New Roman" w:hAnsi="Times New Roman"/>
          <w:sz w:val="17"/>
          <w:szCs w:val="17"/>
          <w:color w:val="auto"/>
        </w:rPr>
        <w:t>Lastly, on November 3, 2022, we borrowed $46.0 million on our 2022 Revolver and outstanding borrowings as of November 3, 2022 were $66.0 million. After payment of the special dividend, we are expected to have approximately $10.0 million in cash on hand.</w:t>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18"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7"/>
          <w:szCs w:val="17"/>
          <w:color w:val="auto"/>
        </w:rPr>
        <w:t>On July 27, 2022, we refinanced the 2018 Revolver and entered into the 2022 Credit Agreement, which provides for a $150 million five-year senior secured revolving facility. In connection with the refinancing, the 2018 Credit Agreement was terminated. We are exposed to market risk from changes in interest rates on our debt, which bears interest, at secured overnight financing rate (“SOFR”) plus a margin between 1.25% and 2.25%. As of September 28, 2022, we had outstanding borrowings of $20.0 million under our 2022 Revolver, $10.0 million of letters of credit in support of our insurance programs, and the applicable margin on outstanding borrowings under 2022 Revolver was 1.5%. We effectively did not have any long-term debt subject to variations in interest rates as of September 28, 2022 as a one percent increase in the variable rate of interest would not result in a material increase in annual interest expense.</w:t>
      </w:r>
    </w:p>
    <w:p>
      <w:pPr>
        <w:spacing w:after="0" w:line="180" w:lineRule="exact"/>
        <w:rPr>
          <w:sz w:val="20"/>
          <w:szCs w:val="20"/>
          <w:color w:val="auto"/>
        </w:rPr>
      </w:pPr>
    </w:p>
    <w:p>
      <w:pPr>
        <w:ind w:left="40" w:right="159"/>
        <w:spacing w:after="0" w:line="257" w:lineRule="auto"/>
        <w:rPr>
          <w:sz w:val="20"/>
          <w:szCs w:val="20"/>
          <w:color w:val="auto"/>
        </w:rPr>
      </w:pPr>
      <w:r>
        <w:rPr>
          <w:rFonts w:ascii="Times New Roman" w:cs="Times New Roman" w:eastAsia="Times New Roman" w:hAnsi="Times New Roman"/>
          <w:sz w:val="17"/>
          <w:szCs w:val="17"/>
          <w:color w:val="auto"/>
        </w:rPr>
        <w:t>On July 29, 2022, we made a $20.0 million payment to the 2022 Revolver and the outstanding balance as of September 28, 2022 was $20.0 million. Borrowings under the 2022 Credit Agreement (other than any swingline loans) bear interest, at the borrowers’ option, at rates based upon either “SOFR” or a base rate, plus, for each rate, a margin determined in accordance with a lease-adjusted consolidated leverage ratio-based pricing grid. If future rates based upon SOFR are higher than SOFR rates as currently determined, we may experience potential increases in interest rates on our variable rate debt, which could adversely impact our interest expense, results of operations and cash flows.</w:t>
      </w:r>
    </w:p>
    <w:p>
      <w:pPr>
        <w:spacing w:after="0" w:line="177" w:lineRule="exact"/>
        <w:rPr>
          <w:sz w:val="20"/>
          <w:szCs w:val="20"/>
          <w:color w:val="auto"/>
        </w:rPr>
      </w:pPr>
    </w:p>
    <w:p>
      <w:pPr>
        <w:ind w:left="40" w:right="279"/>
        <w:spacing w:after="0" w:line="267" w:lineRule="auto"/>
        <w:rPr>
          <w:sz w:val="20"/>
          <w:szCs w:val="20"/>
          <w:color w:val="auto"/>
        </w:rPr>
      </w:pPr>
      <w:r>
        <w:rPr>
          <w:rFonts w:ascii="Times New Roman" w:cs="Times New Roman" w:eastAsia="Times New Roman" w:hAnsi="Times New Roman"/>
          <w:sz w:val="17"/>
          <w:szCs w:val="17"/>
          <w:color w:val="auto"/>
        </w:rPr>
        <w:t>In connection with our entry into the 2022 Credit Agreement, we terminated the interest rate swap previously used to hedge interest rate risk. In settlement of this swap, we received approximately $0.6 million. The remaining amount in AOCI related to the hedging relationship will be reclassified into earnings when the hedged forecasted transaction is reported in earnings.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Inflation</w:t>
      </w:r>
    </w:p>
    <w:p>
      <w:pPr>
        <w:spacing w:after="0" w:line="218" w:lineRule="exact"/>
        <w:rPr>
          <w:sz w:val="20"/>
          <w:szCs w:val="20"/>
          <w:color w:val="auto"/>
        </w:rPr>
      </w:pPr>
    </w:p>
    <w:p>
      <w:pPr>
        <w:ind w:left="40" w:right="159"/>
        <w:spacing w:after="0" w:line="257" w:lineRule="auto"/>
        <w:rPr>
          <w:sz w:val="20"/>
          <w:szCs w:val="20"/>
          <w:color w:val="auto"/>
        </w:rPr>
      </w:pPr>
      <w:r>
        <w:rPr>
          <w:rFonts w:ascii="Times New Roman" w:cs="Times New Roman" w:eastAsia="Times New Roman" w:hAnsi="Times New Roman"/>
          <w:sz w:val="17"/>
          <w:szCs w:val="17"/>
          <w:color w:val="auto"/>
        </w:rPr>
        <w:t>Inflation has an impact on food, paper, construction, utility, labor and benefits, general and administrative, and other costs, all of which can materially impact our operations. In general, we have been able to substantially offset cost increases resulting from inflation by increasing menu prices, managing menu mix, improving productivity, or making other adjustments. We may not be able to offset cost increases in the future. In addition, we have a substantial number of hourly employees who are paid wage rates at or based on the applicable federal, state, or local minimum wage, and increases in the minimum wage will increase our labor costs.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Commodity Price Risk</w:t>
      </w:r>
    </w:p>
    <w:p>
      <w:pPr>
        <w:spacing w:after="0" w:line="218" w:lineRule="exact"/>
        <w:rPr>
          <w:sz w:val="20"/>
          <w:szCs w:val="20"/>
          <w:color w:val="auto"/>
        </w:rPr>
      </w:pPr>
    </w:p>
    <w:p>
      <w:pPr>
        <w:ind w:left="40" w:right="339"/>
        <w:spacing w:after="0" w:line="283" w:lineRule="auto"/>
        <w:rPr>
          <w:sz w:val="20"/>
          <w:szCs w:val="20"/>
          <w:color w:val="auto"/>
        </w:rPr>
      </w:pPr>
      <w:r>
        <w:rPr>
          <w:rFonts w:ascii="Times New Roman" w:cs="Times New Roman" w:eastAsia="Times New Roman" w:hAnsi="Times New Roman"/>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7"/>
          <w:szCs w:val="17"/>
          <w:color w:val="auto"/>
        </w:rPr>
        <w:t>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18" w:lineRule="exact"/>
        <w:rPr>
          <w:sz w:val="20"/>
          <w:szCs w:val="20"/>
          <w:color w:val="auto"/>
        </w:rPr>
      </w:pPr>
    </w:p>
    <w:p>
      <w:pPr>
        <w:ind w:left="40" w:right="179"/>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in Rules 13a-15(e) of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7"/>
          <w:szCs w:val="17"/>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70" w:lineRule="exact"/>
        <w:rPr>
          <w:sz w:val="20"/>
          <w:szCs w:val="20"/>
          <w:color w:val="auto"/>
        </w:rPr>
      </w:pPr>
    </w:p>
    <w:p>
      <w:pPr>
        <w:ind w:left="40" w:right="259"/>
        <w:spacing w:after="0" w:line="262" w:lineRule="auto"/>
        <w:rPr>
          <w:sz w:val="20"/>
          <w:szCs w:val="20"/>
          <w:color w:val="auto"/>
        </w:rPr>
      </w:pPr>
      <w:r>
        <w:rPr>
          <w:rFonts w:ascii="Times New Roman" w:cs="Times New Roman" w:eastAsia="Times New Roman" w:hAnsi="Times New Roman"/>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concluded that our disclosure controls and procedures were effective, at the reasonable assurance level, as of September 28, 2022.</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18" w:lineRule="exact"/>
        <w:rPr>
          <w:sz w:val="20"/>
          <w:szCs w:val="20"/>
          <w:color w:val="auto"/>
        </w:rPr>
      </w:pPr>
    </w:p>
    <w:p>
      <w:pPr>
        <w:ind w:left="40" w:right="559"/>
        <w:spacing w:after="0" w:line="283" w:lineRule="auto"/>
        <w:rPr>
          <w:sz w:val="20"/>
          <w:szCs w:val="20"/>
          <w:color w:val="auto"/>
        </w:rPr>
      </w:pPr>
      <w:r>
        <w:rPr>
          <w:rFonts w:ascii="Times New Roman" w:cs="Times New Roman" w:eastAsia="Times New Roman" w:hAnsi="Times New Roman"/>
          <w:sz w:val="17"/>
          <w:szCs w:val="17"/>
          <w:color w:val="auto"/>
        </w:rPr>
        <w:t>No changes in our internal control over financial reporting occurred during the quarter ended September 28,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97" w:lineRule="exact"/>
        <w:rPr>
          <w:sz w:val="20"/>
          <w:szCs w:val="20"/>
          <w:color w:val="auto"/>
        </w:rPr>
      </w:pPr>
    </w:p>
    <w:p>
      <w:pPr>
        <w:ind w:left="40" w:right="159"/>
        <w:spacing w:after="0" w:line="283" w:lineRule="auto"/>
        <w:rPr>
          <w:sz w:val="20"/>
          <w:szCs w:val="20"/>
          <w:color w:val="auto"/>
        </w:rPr>
      </w:pPr>
      <w:r>
        <w:rPr>
          <w:rFonts w:ascii="Times New Roman" w:cs="Times New Roman" w:eastAsia="Times New Roman" w:hAnsi="Times New Roman"/>
          <w:sz w:val="17"/>
          <w:szCs w:val="17"/>
          <w:color w:val="auto"/>
        </w:rPr>
        <w:t>For information regarding material legal proceedings, see Note 7, “Commitments and Contingencies—Legal Matters” in the “Notes to Condensed Consolidated Financial Statements” above, which information is incorporated by reference into this Item 1.</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8" w:lineRule="exact"/>
        <w:rPr>
          <w:sz w:val="20"/>
          <w:szCs w:val="20"/>
          <w:color w:val="auto"/>
        </w:rPr>
      </w:pPr>
    </w:p>
    <w:p>
      <w:pPr>
        <w:ind w:left="40" w:right="339"/>
        <w:spacing w:after="0" w:line="267" w:lineRule="auto"/>
        <w:rPr>
          <w:sz w:val="20"/>
          <w:szCs w:val="20"/>
          <w:color w:val="auto"/>
        </w:rPr>
      </w:pPr>
      <w:r>
        <w:rPr>
          <w:rFonts w:ascii="Times New Roman" w:cs="Times New Roman" w:eastAsia="Times New Roman" w:hAnsi="Times New Roman"/>
          <w:sz w:val="17"/>
          <w:szCs w:val="17"/>
          <w:color w:val="auto"/>
        </w:rPr>
        <w:t>There have been no material changes from the risk factors previously disclosed in our annual report on Form 10-K for the year ended December 29, 2021 filed with the SEC on March 11, 2022, except for the revision of the risk factors that immediately follow.</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Matters relating to employment and labor law may adversely affect our business.</w:t>
      </w:r>
    </w:p>
    <w:p>
      <w:pPr>
        <w:spacing w:after="0" w:line="220"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7"/>
          <w:szCs w:val="17"/>
          <w:color w:val="auto"/>
        </w:rPr>
        <w:t>Various federal, state and local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 Significant additional government regulations and new laws mandating increases in minimum wages or benefits such as health insurance could materially affect our business, financial condition, operating results, and cash flow. In particular, our labor and regulatory compliance costs could be adversely impacted as a result of California Assembly Bill No. 257, the Fast Food Accountability and Standards Recovery Act (“FAST Act”), which was signed into law in September 2022. The FAST Act, currently subject to a referendum campaign, authorizes the creation of a council to set minimum standards for workers in the industry, including for wages, working hours, and other health and safety conditions. The implementation of the FAST Act could result in increased labor cost at our California restaurants thereby potentially impacting the profitability of our California restaurants. Further, this bill could prompt similar legislation in other states. In addition, the unionization of our employees and of the employees of our franchisees could materially affect our business, financial condition, operating results, and cash flow.</w:t>
      </w:r>
    </w:p>
    <w:p>
      <w:pPr>
        <w:spacing w:after="0" w:line="178" w:lineRule="exact"/>
        <w:rPr>
          <w:sz w:val="20"/>
          <w:szCs w:val="20"/>
          <w:color w:val="auto"/>
        </w:rPr>
      </w:pPr>
    </w:p>
    <w:p>
      <w:pPr>
        <w:ind w:left="40" w:right="379"/>
        <w:spacing w:after="0" w:line="256" w:lineRule="auto"/>
        <w:rPr>
          <w:sz w:val="20"/>
          <w:szCs w:val="20"/>
          <w:color w:val="auto"/>
        </w:rPr>
      </w:pPr>
      <w:r>
        <w:rPr>
          <w:rFonts w:ascii="Times New Roman" w:cs="Times New Roman" w:eastAsia="Times New Roman" w:hAnsi="Times New Roman"/>
          <w:sz w:val="17"/>
          <w:szCs w:val="17"/>
          <w:color w:val="auto"/>
        </w:rPr>
        <w:t>Employee claims against us or our franchisees based on, among other things, wage and hour violations, discrimination, harassment, or wrongful termination may also create not only legal and financial liability but negative publicity that could adversely affect us and divert our financial and management resources that could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and adversely affect our business, brand image, employee recruitment, financial condition, results of operations, or cash flows.</w:t>
      </w:r>
    </w:p>
    <w:p>
      <w:pPr>
        <w:spacing w:after="0" w:line="172" w:lineRule="exact"/>
        <w:rPr>
          <w:sz w:val="20"/>
          <w:szCs w:val="20"/>
          <w:color w:val="auto"/>
        </w:rPr>
      </w:pPr>
    </w:p>
    <w:p>
      <w:pPr>
        <w:ind w:left="40" w:right="1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or our franchisees face labor shortages or increased labor costs, our results of operations and growth could be adversely affected.</w:t>
      </w:r>
    </w:p>
    <w:p>
      <w:pPr>
        <w:spacing w:after="0" w:line="146"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7"/>
          <w:szCs w:val="17"/>
          <w:color w:val="auto"/>
        </w:rPr>
        <w:t>Labor is a primary component in the cost of operating our company-operated and franchised restaurants. Labor shortages and increased labor costs are subject to numerous internal and external factors, including higher employee-turnover rates, changes in immigration policy including barriers to immigrants entering, working in, or remaining in the United States, regulatory changes, prevailing wage rates, including increases in federal, state, or local minimum wages or in other employee benefit costs (including costs associated with health insurance coverage or workers’ compensation insurance), and increased competition we face from other companies for qualified employees. During 2021, we experienced an increasingly competitive and overall tightening of the labor market. This was attributed to, among other things, increased federal unemployment subsidies, including unemployment benefits offered in response to the ongoing COVID-19 pandemic, and other government regulations. A sustained labor shortage could lead to increased costs, such as increased overtime incurred to meet the demands of our customers and increased wage rates to attract and retain employees. Any failure to meet our staffing needs or any material increases in employee turnover rates could adversely affect our business and results of operations, including our ability to grow our restaurant base. See also our risk factor titled “The COVID-19 pandemic and measures intended to prevent its spread may have a significant negative impact on our business, sales, results of operations and financial condition” above for labor shortage risks we may face in connection with the COVID-19 pandemic.</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7"/>
          <w:szCs w:val="17"/>
          <w:color w:val="auto"/>
        </w:rPr>
        <w:t>Federally-mandated, state-mandated, or locally-mandated minimum wages have recently increased in several jurisdictions, including the State of California and Los Angeles County, and may be further raised in the future, including as a result of the FAST Act in California. We may be unable to sufficiently increase our menu prices in order to pass future increased labor costs on to our customers, in which case our margins would be negatively affected. Also, reduced margins of franchisees could make it more difficult to sell franchises. In addition, increases in menu prices by us and our franchisees to cover increased labor costs could have the effect of lowering sales, which would thereby reduce our margins and the royalties that we receive from franchisees.</w:t>
      </w:r>
    </w:p>
    <w:p>
      <w:pPr>
        <w:spacing w:after="0" w:line="172" w:lineRule="exact"/>
        <w:rPr>
          <w:sz w:val="20"/>
          <w:szCs w:val="20"/>
          <w:color w:val="auto"/>
        </w:rPr>
      </w:pPr>
    </w:p>
    <w:p>
      <w:pPr>
        <w:ind w:left="40" w:right="7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146" w:lineRule="exact"/>
        <w:rPr>
          <w:sz w:val="20"/>
          <w:szCs w:val="20"/>
          <w:color w:val="auto"/>
        </w:rPr>
      </w:pPr>
    </w:p>
    <w:p>
      <w:pPr>
        <w:ind w:left="40" w:right="219"/>
        <w:spacing w:after="0" w:line="255" w:lineRule="auto"/>
        <w:rPr>
          <w:sz w:val="20"/>
          <w:szCs w:val="20"/>
          <w:color w:val="auto"/>
        </w:rPr>
      </w:pPr>
      <w:r>
        <w:rPr>
          <w:rFonts w:ascii="Times New Roman" w:cs="Times New Roman" w:eastAsia="Times New Roman" w:hAnsi="Times New Roman"/>
          <w:sz w:val="17"/>
          <w:szCs w:val="17"/>
          <w:color w:val="auto"/>
        </w:rPr>
        <w:t>As of September 28, 2022, Trimaran Pollo Partners, L.L.C. (“LLC”) owns approximately 30.2% of our outstanding common stock. This large position means that LLC and its majority owners—which are predecessors and affiliates of, and certain funds managed by, Trimaran Capital Partners (collectively, “Trimaran”)—possess significant influence when stockholders vote on matters such as election of directors, mergers, consolidations and acquisitions, the sale of all or substantially all of our assets, decisions affecting our capital structure, amendments to our certificate of incorporation or our by-laws, and our winding up and dissolution. In addition, as of September 28, 2022, certain affiliates of Freeman Spogli &amp; Co., FS Equity Partners V, L.P. and FS Affiliates V, L.P. (“Freeman Spogli”), own collectively approximately 14.9% of our outstanding common stock, which they received in August 2022 following a distribution by the LLC of a portion of its shares to Freeman Spogli.</w:t>
      </w:r>
    </w:p>
    <w:p>
      <w:pPr>
        <w:spacing w:after="0" w:line="180"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7"/>
          <w:szCs w:val="17"/>
          <w:color w:val="auto"/>
        </w:rPr>
        <w:t>Further, two of our eleven directors, including our chairman, are affiliated with Trimaran and one of our directors is affiliated with Freeman Spogli. The interests of Trimaran and Freeman Spogli, either individually or collectively, may not always coincide with our interests or the interests of our other stockholders. While Trimaran and Freeman Spogli act separately with respect to their respective ownership of our shares, their significant ownership may have the effect of delaying, deterring, or preventing acts that would be favored by our other stockholders, including a change in control of us. Also, Trimaran and/or Freeman Spogli may seek to cause us to take courses of action that, in their judgments, could enhance their investments in us, but that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ownership may adversely affect the trading price of our common stock, because investors may perceive disadvantages in owning shares of a company with significant stockholders.</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18"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7"/>
          <w:szCs w:val="17"/>
          <w:color w:val="auto"/>
        </w:rPr>
        <w:t>During the thirteen weeks ended September 28, 2022, the Company acquired shares of its common stock held by its employees to satisfy tax withholding obligations in connection with the vesting of previously issued restricted stock. The number of shares of common stock acquired and the average price paid per share for each month in the third quarter ended September 28, 2022 are as shown in the table below.</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65"/>
        </w:trPr>
        <w:tc>
          <w:tcPr>
            <w:tcW w:w="572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Paid Per Share</w:t>
            </w:r>
          </w:p>
        </w:tc>
      </w:tr>
      <w:tr>
        <w:trPr>
          <w:trHeight w:val="197"/>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30, 2022 to July 27, 2022</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r>
      <w:tr>
        <w:trPr>
          <w:trHeight w:val="205"/>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July 28, 2022 to August 24,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2,584</w:t>
            </w:r>
          </w:p>
        </w:tc>
        <w:tc>
          <w:tcPr>
            <w:tcW w:w="200" w:type="dxa"/>
            <w:vAlign w:val="bottom"/>
          </w:tcPr>
          <w:p>
            <w:pPr>
              <w:spacing w:after="0"/>
              <w:rPr>
                <w:sz w:val="17"/>
                <w:szCs w:val="17"/>
                <w:color w:val="auto"/>
              </w:rPr>
            </w:pPr>
          </w:p>
        </w:tc>
        <w:tc>
          <w:tcPr>
            <w:tcW w:w="180" w:type="dxa"/>
            <w:vAlign w:val="bottom"/>
            <w:gridSpan w:val="2"/>
          </w:tcPr>
          <w:p>
            <w:pPr>
              <w:jc w:val="right"/>
              <w:ind w:right="4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200" w:type="dxa"/>
            <w:vAlign w:val="bottom"/>
          </w:tcPr>
          <w:p>
            <w:pPr>
              <w:spacing w:after="0"/>
              <w:rPr>
                <w:sz w:val="17"/>
                <w:szCs w:val="17"/>
                <w:color w:val="auto"/>
              </w:rPr>
            </w:pPr>
          </w:p>
        </w:tc>
      </w:tr>
      <w:tr>
        <w:trPr>
          <w:trHeight w:val="205"/>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August 25, 2022 to September 28, 2022</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5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200" w:type="dxa"/>
            <w:vAlign w:val="bottom"/>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None.</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348615</wp:posOffset>
            </wp:positionV>
            <wp:extent cx="566102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color w:val="auto"/>
                <w:w w:val="97"/>
              </w:rPr>
              <w:t>Filed</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 File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2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Number</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19"/>
          </w:tcPr>
          <w:p>
            <w:pPr>
              <w:spacing w:after="0" w:line="121" w:lineRule="exact"/>
              <w:rPr>
                <w:sz w:val="20"/>
                <w:szCs w:val="20"/>
                <w:color w:val="auto"/>
              </w:rPr>
            </w:pPr>
            <w:r>
              <w:rPr>
                <w:rFonts w:ascii="Times New Roman" w:cs="Times New Roman" w:eastAsia="Times New Roman" w:hAnsi="Times New Roman"/>
                <w:sz w:val="12"/>
                <w:szCs w:val="12"/>
                <w:color w:val="auto"/>
              </w:rPr>
              <w:t>Description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75"/>
              </w:rPr>
              <w:t>Herewith</w:t>
            </w:r>
          </w:p>
        </w:tc>
        <w:tc>
          <w:tcPr>
            <w:tcW w:w="120" w:type="dxa"/>
            <w:vAlign w:val="bottom"/>
          </w:tcPr>
          <w:p>
            <w:pPr>
              <w:spacing w:after="0"/>
              <w:rPr>
                <w:sz w:val="10"/>
                <w:szCs w:val="10"/>
                <w:color w:val="auto"/>
              </w:rPr>
            </w:pPr>
          </w:p>
        </w:tc>
        <w:tc>
          <w:tcPr>
            <w:tcW w:w="700" w:type="dxa"/>
            <w:vAlign w:val="bottom"/>
            <w:gridSpan w:val="3"/>
          </w:tcPr>
          <w:p>
            <w:pPr>
              <w:ind w:left="220"/>
              <w:spacing w:after="0" w:line="121" w:lineRule="exact"/>
              <w:rPr>
                <w:sz w:val="20"/>
                <w:szCs w:val="20"/>
                <w:color w:val="auto"/>
              </w:rPr>
            </w:pPr>
            <w:r>
              <w:rPr>
                <w:rFonts w:ascii="Times New Roman" w:cs="Times New Roman" w:eastAsia="Times New Roman" w:hAnsi="Times New Roman"/>
                <w:sz w:val="12"/>
                <w:szCs w:val="12"/>
                <w:color w:val="auto"/>
              </w:rPr>
              <w:t>Form</w:t>
            </w:r>
          </w:p>
        </w:tc>
        <w:tc>
          <w:tcPr>
            <w:tcW w:w="88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2"/>
                <w:szCs w:val="12"/>
                <w:color w:val="auto"/>
              </w:rPr>
              <w:t>Period Ended</w:t>
            </w:r>
          </w:p>
        </w:tc>
        <w:tc>
          <w:tcPr>
            <w:tcW w:w="4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Exhibit</w:t>
            </w:r>
          </w:p>
        </w:tc>
        <w:tc>
          <w:tcPr>
            <w:tcW w:w="1040" w:type="dxa"/>
            <w:vAlign w:val="bottom"/>
            <w:gridSpan w:val="3"/>
          </w:tcPr>
          <w:p>
            <w:pPr>
              <w:jc w:val="right"/>
              <w:ind w:right="180"/>
              <w:spacing w:after="0" w:line="121" w:lineRule="exact"/>
              <w:rPr>
                <w:sz w:val="20"/>
                <w:szCs w:val="20"/>
                <w:color w:val="auto"/>
              </w:rPr>
            </w:pPr>
            <w:r>
              <w:rPr>
                <w:rFonts w:ascii="Times New Roman" w:cs="Times New Roman" w:eastAsia="Times New Roman" w:hAnsi="Times New Roman"/>
                <w:sz w:val="12"/>
                <w:szCs w:val="12"/>
                <w:color w:val="auto"/>
              </w:rPr>
              <w:t>Filing Date</w:t>
            </w:r>
          </w:p>
        </w:tc>
        <w:tc>
          <w:tcPr>
            <w:tcW w:w="2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spacing w:after="0" w:line="121" w:lineRule="exact"/>
              <w:rPr>
                <w:sz w:val="20"/>
                <w:szCs w:val="20"/>
                <w:color w:val="auto"/>
              </w:rPr>
            </w:pPr>
            <w:r>
              <w:rPr>
                <w:rFonts w:ascii="Times New Roman" w:cs="Times New Roman" w:eastAsia="Times New Roman" w:hAnsi="Times New Roman"/>
                <w:sz w:val="12"/>
                <w:szCs w:val="12"/>
                <w:color w:val="auto"/>
              </w:rPr>
              <w:t>Number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380" w:type="dxa"/>
            <w:vAlign w:val="bottom"/>
          </w:tcPr>
          <w:p>
            <w:pPr>
              <w:spacing w:after="0"/>
              <w:rPr>
                <w:sz w:val="24"/>
                <w:szCs w:val="24"/>
                <w:color w:val="auto"/>
              </w:rPr>
            </w:pPr>
          </w:p>
        </w:tc>
        <w:tc>
          <w:tcPr>
            <w:tcW w:w="2540" w:type="dxa"/>
            <w:vAlign w:val="bottom"/>
            <w:tcBorders>
              <w:bottom w:val="single" w:sz="8" w:color="0000EE"/>
            </w:tcBorders>
            <w:gridSpan w:val="7"/>
          </w:tcPr>
          <w:p>
            <w:pPr>
              <w:spacing w:after="0"/>
              <w:rPr>
                <w:rFonts w:ascii="Times New Roman" w:cs="Times New Roman" w:eastAsia="Times New Roman" w:hAnsi="Times New Roman"/>
                <w:sz w:val="17"/>
                <w:szCs w:val="17"/>
                <w:color w:val="0000EE"/>
                <w:w w:val="99"/>
              </w:rPr>
            </w:pPr>
            <w:hyperlink r:id="rId63">
              <w:r>
                <w:rPr>
                  <w:rFonts w:ascii="Times New Roman" w:cs="Times New Roman" w:eastAsia="Times New Roman" w:hAnsi="Times New Roman"/>
                  <w:sz w:val="17"/>
                  <w:szCs w:val="17"/>
                  <w:color w:val="0000EE"/>
                  <w:w w:val="99"/>
                </w:rPr>
                <w:t>Amended and Restated Certificate of</w:t>
              </w:r>
            </w:hyperlink>
          </w:p>
        </w:tc>
        <w:tc>
          <w:tcPr>
            <w:tcW w:w="96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00" w:type="dxa"/>
            <w:vAlign w:val="bottom"/>
            <w:gridSpan w:val="24"/>
          </w:tcPr>
          <w:p>
            <w:pPr>
              <w:spacing w:after="0" w:line="185" w:lineRule="exact"/>
              <w:rPr>
                <w:rFonts w:ascii="Times New Roman" w:cs="Times New Roman" w:eastAsia="Times New Roman" w:hAnsi="Times New Roman"/>
                <w:sz w:val="17"/>
                <w:szCs w:val="17"/>
                <w:color w:val="0000EE"/>
              </w:rPr>
            </w:pPr>
            <w:hyperlink r:id="rId63">
              <w:r>
                <w:rPr>
                  <w:rFonts w:ascii="Times New Roman" w:cs="Times New Roman" w:eastAsia="Times New Roman" w:hAnsi="Times New Roman"/>
                  <w:sz w:val="17"/>
                  <w:szCs w:val="17"/>
                  <w:color w:val="0000EE"/>
                </w:rPr>
                <w:t>Incorporation of El Pollo Loco Holdings, Inc.</w:t>
              </w:r>
            </w:hyperlink>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7"/>
                <w:szCs w:val="17"/>
                <w:color w:val="auto"/>
              </w:rPr>
              <w:t>10-Q</w:t>
            </w:r>
          </w:p>
        </w:tc>
        <w:tc>
          <w:tcPr>
            <w:tcW w:w="7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6/25/2014</w:t>
            </w:r>
          </w:p>
        </w:tc>
        <w:tc>
          <w:tcPr>
            <w:tcW w:w="160" w:type="dxa"/>
            <w:vAlign w:val="bottom"/>
          </w:tcPr>
          <w:p>
            <w:pPr>
              <w:spacing w:after="0"/>
              <w:rPr>
                <w:sz w:val="16"/>
                <w:szCs w:val="16"/>
                <w:color w:val="auto"/>
              </w:rPr>
            </w:pPr>
          </w:p>
        </w:tc>
        <w:tc>
          <w:tcPr>
            <w:tcW w:w="4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3.1</w:t>
            </w:r>
          </w:p>
        </w:tc>
        <w:tc>
          <w:tcPr>
            <w:tcW w:w="1040" w:type="dxa"/>
            <w:vAlign w:val="bottom"/>
            <w:gridSpan w:val="3"/>
          </w:tcPr>
          <w:p>
            <w:pPr>
              <w:jc w:val="right"/>
              <w:ind w:right="180"/>
              <w:spacing w:after="0" w:line="185" w:lineRule="exact"/>
              <w:rPr>
                <w:sz w:val="20"/>
                <w:szCs w:val="20"/>
                <w:color w:val="auto"/>
              </w:rPr>
            </w:pPr>
            <w:r>
              <w:rPr>
                <w:rFonts w:ascii="Times New Roman" w:cs="Times New Roman" w:eastAsia="Times New Roman" w:hAnsi="Times New Roman"/>
                <w:sz w:val="17"/>
                <w:szCs w:val="17"/>
                <w:color w:val="auto"/>
              </w:rPr>
              <w:t>9/5/2014</w:t>
            </w:r>
          </w:p>
        </w:tc>
        <w:tc>
          <w:tcPr>
            <w:tcW w:w="920" w:type="dxa"/>
            <w:vAlign w:val="bottom"/>
            <w:gridSpan w:val="5"/>
          </w:tcPr>
          <w:p>
            <w:pPr>
              <w:jc w:val="right"/>
              <w:ind w:right="80"/>
              <w:spacing w:after="0" w:line="185" w:lineRule="exact"/>
              <w:rPr>
                <w:sz w:val="20"/>
                <w:szCs w:val="20"/>
                <w:color w:val="auto"/>
              </w:rPr>
            </w:pPr>
            <w:r>
              <w:rPr>
                <w:rFonts w:ascii="Times New Roman" w:cs="Times New Roman" w:eastAsia="Times New Roman" w:hAnsi="Times New Roman"/>
                <w:sz w:val="17"/>
                <w:szCs w:val="17"/>
                <w:color w:val="auto"/>
              </w:rPr>
              <w:t>001-36556</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380" w:type="dxa"/>
            <w:vAlign w:val="bottom"/>
          </w:tcPr>
          <w:p>
            <w:pPr>
              <w:spacing w:after="0"/>
              <w:rPr>
                <w:sz w:val="24"/>
                <w:szCs w:val="24"/>
                <w:color w:val="auto"/>
              </w:rPr>
            </w:pPr>
          </w:p>
        </w:tc>
        <w:tc>
          <w:tcPr>
            <w:tcW w:w="344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64">
              <w:r>
                <w:rPr>
                  <w:rFonts w:ascii="Times New Roman" w:cs="Times New Roman" w:eastAsia="Times New Roman" w:hAnsi="Times New Roman"/>
                  <w:sz w:val="17"/>
                  <w:szCs w:val="17"/>
                  <w:color w:val="0000EE"/>
                </w:rPr>
                <w:t>Amended and Restated By-Laws of El Pollo Loco</w:t>
              </w:r>
            </w:hyperlink>
          </w:p>
        </w:tc>
        <w:tc>
          <w:tcPr>
            <w:tcW w:w="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Borders>
              <w:bottom w:val="single" w:sz="8" w:color="0000EE"/>
            </w:tcBorders>
            <w:gridSpan w:val="3"/>
          </w:tcPr>
          <w:p>
            <w:pPr>
              <w:spacing w:after="0" w:line="185" w:lineRule="exact"/>
              <w:rPr>
                <w:rFonts w:ascii="Times New Roman" w:cs="Times New Roman" w:eastAsia="Times New Roman" w:hAnsi="Times New Roman"/>
                <w:sz w:val="17"/>
                <w:szCs w:val="17"/>
                <w:color w:val="0000EE"/>
                <w:w w:val="99"/>
              </w:rPr>
            </w:pPr>
            <w:hyperlink r:id="rId64">
              <w:r>
                <w:rPr>
                  <w:rFonts w:ascii="Times New Roman" w:cs="Times New Roman" w:eastAsia="Times New Roman" w:hAnsi="Times New Roman"/>
                  <w:sz w:val="17"/>
                  <w:szCs w:val="17"/>
                  <w:color w:val="0000EE"/>
                  <w:w w:val="99"/>
                </w:rPr>
                <w:t>Holdings, Inc.</w:t>
              </w:r>
            </w:hyperlink>
          </w:p>
        </w:tc>
        <w:tc>
          <w:tcPr>
            <w:tcW w:w="2520" w:type="dxa"/>
            <w:vAlign w:val="bottom"/>
            <w:gridSpan w:val="21"/>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7"/>
                <w:szCs w:val="17"/>
                <w:color w:val="auto"/>
              </w:rPr>
              <w:t>10-Q</w:t>
            </w:r>
          </w:p>
        </w:tc>
        <w:tc>
          <w:tcPr>
            <w:tcW w:w="7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6/25/2014</w:t>
            </w:r>
          </w:p>
        </w:tc>
        <w:tc>
          <w:tcPr>
            <w:tcW w:w="160" w:type="dxa"/>
            <w:vAlign w:val="bottom"/>
          </w:tcPr>
          <w:p>
            <w:pPr>
              <w:spacing w:after="0"/>
              <w:rPr>
                <w:sz w:val="16"/>
                <w:szCs w:val="16"/>
                <w:color w:val="auto"/>
              </w:rPr>
            </w:pPr>
          </w:p>
        </w:tc>
        <w:tc>
          <w:tcPr>
            <w:tcW w:w="4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3.2</w:t>
            </w:r>
          </w:p>
        </w:tc>
        <w:tc>
          <w:tcPr>
            <w:tcW w:w="1040" w:type="dxa"/>
            <w:vAlign w:val="bottom"/>
            <w:gridSpan w:val="3"/>
          </w:tcPr>
          <w:p>
            <w:pPr>
              <w:jc w:val="right"/>
              <w:ind w:right="180"/>
              <w:spacing w:after="0" w:line="185" w:lineRule="exact"/>
              <w:rPr>
                <w:sz w:val="20"/>
                <w:szCs w:val="20"/>
                <w:color w:val="auto"/>
              </w:rPr>
            </w:pPr>
            <w:r>
              <w:rPr>
                <w:rFonts w:ascii="Times New Roman" w:cs="Times New Roman" w:eastAsia="Times New Roman" w:hAnsi="Times New Roman"/>
                <w:sz w:val="17"/>
                <w:szCs w:val="17"/>
                <w:color w:val="auto"/>
              </w:rPr>
              <w:t>9/5/2014</w:t>
            </w:r>
          </w:p>
        </w:tc>
        <w:tc>
          <w:tcPr>
            <w:tcW w:w="920" w:type="dxa"/>
            <w:vAlign w:val="bottom"/>
            <w:gridSpan w:val="5"/>
          </w:tcPr>
          <w:p>
            <w:pPr>
              <w:jc w:val="right"/>
              <w:ind w:right="80"/>
              <w:spacing w:after="0" w:line="185" w:lineRule="exact"/>
              <w:rPr>
                <w:sz w:val="20"/>
                <w:szCs w:val="20"/>
                <w:color w:val="auto"/>
              </w:rPr>
            </w:pPr>
            <w:r>
              <w:rPr>
                <w:rFonts w:ascii="Times New Roman" w:cs="Times New Roman" w:eastAsia="Times New Roman" w:hAnsi="Times New Roman"/>
                <w:sz w:val="17"/>
                <w:szCs w:val="17"/>
                <w:color w:val="auto"/>
              </w:rPr>
              <w:t>001-36556</w:t>
            </w:r>
          </w:p>
        </w:tc>
        <w:tc>
          <w:tcPr>
            <w:tcW w:w="0" w:type="dxa"/>
            <w:vAlign w:val="bottom"/>
          </w:tcPr>
          <w:p>
            <w:pPr>
              <w:spacing w:after="0"/>
              <w:rPr>
                <w:sz w:val="1"/>
                <w:szCs w:val="1"/>
                <w:color w:val="auto"/>
              </w:rPr>
            </w:pPr>
          </w:p>
        </w:tc>
      </w:tr>
      <w:tr>
        <w:trPr>
          <w:trHeight w:val="389"/>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380" w:type="dxa"/>
            <w:vAlign w:val="bottom"/>
          </w:tcPr>
          <w:p>
            <w:pPr>
              <w:spacing w:after="0"/>
              <w:rPr>
                <w:sz w:val="24"/>
                <w:szCs w:val="24"/>
                <w:color w:val="auto"/>
              </w:rPr>
            </w:pPr>
          </w:p>
        </w:tc>
        <w:tc>
          <w:tcPr>
            <w:tcW w:w="340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rPr>
            </w:pPr>
            <w:hyperlink r:id="rId65">
              <w:r>
                <w:rPr>
                  <w:rFonts w:ascii="Times New Roman" w:cs="Times New Roman" w:eastAsia="Times New Roman" w:hAnsi="Times New Roman"/>
                  <w:sz w:val="17"/>
                  <w:szCs w:val="17"/>
                  <w:color w:val="0000EE"/>
                </w:rPr>
                <w:t>Severance and Separation Agreement, dated June</w:t>
              </w:r>
            </w:hyperlink>
          </w:p>
        </w:tc>
        <w:tc>
          <w:tcPr>
            <w:tcW w:w="1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00" w:type="dxa"/>
            <w:vAlign w:val="bottom"/>
            <w:gridSpan w:val="24"/>
          </w:tcPr>
          <w:p>
            <w:pPr>
              <w:spacing w:after="0" w:line="185" w:lineRule="exact"/>
              <w:rPr>
                <w:rFonts w:ascii="Times New Roman" w:cs="Times New Roman" w:eastAsia="Times New Roman" w:hAnsi="Times New Roman"/>
                <w:sz w:val="17"/>
                <w:szCs w:val="17"/>
                <w:color w:val="0000EE"/>
              </w:rPr>
            </w:pPr>
            <w:hyperlink r:id="rId65">
              <w:r>
                <w:rPr>
                  <w:rFonts w:ascii="Times New Roman" w:cs="Times New Roman" w:eastAsia="Times New Roman" w:hAnsi="Times New Roman"/>
                  <w:sz w:val="17"/>
                  <w:szCs w:val="17"/>
                  <w:color w:val="0000EE"/>
                </w:rPr>
                <w:t>15, 2022, between El Pollo Loco Holdings, Inc.</w:t>
              </w:r>
            </w:hyperlink>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60" w:type="dxa"/>
            <w:vAlign w:val="bottom"/>
            <w:tcBorders>
              <w:top w:val="single" w:sz="8" w:color="0000EE"/>
            </w:tcBorders>
            <w:gridSpan w:val="16"/>
          </w:tcPr>
          <w:p>
            <w:pPr>
              <w:spacing w:after="0" w:line="185" w:lineRule="exact"/>
              <w:rPr>
                <w:rFonts w:ascii="Times New Roman" w:cs="Times New Roman" w:eastAsia="Times New Roman" w:hAnsi="Times New Roman"/>
                <w:sz w:val="17"/>
                <w:szCs w:val="17"/>
                <w:color w:val="0000EE"/>
              </w:rPr>
            </w:pPr>
            <w:hyperlink r:id="rId65">
              <w:r>
                <w:rPr>
                  <w:rFonts w:ascii="Times New Roman" w:cs="Times New Roman" w:eastAsia="Times New Roman" w:hAnsi="Times New Roman"/>
                  <w:sz w:val="17"/>
                  <w:szCs w:val="17"/>
                  <w:color w:val="0000EE"/>
                </w:rPr>
                <w:t>and Miguel Lozano</w:t>
              </w:r>
            </w:hyperlink>
          </w:p>
        </w:tc>
        <w:tc>
          <w:tcPr>
            <w:tcW w:w="240" w:type="dxa"/>
            <w:vAlign w:val="bottom"/>
            <w:gridSpan w:val="8"/>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center"/>
              <w:ind w:right="140"/>
              <w:spacing w:after="0" w:line="185" w:lineRule="exact"/>
              <w:rPr>
                <w:sz w:val="20"/>
                <w:szCs w:val="20"/>
                <w:color w:val="auto"/>
              </w:rPr>
            </w:pPr>
            <w:r>
              <w:rPr>
                <w:rFonts w:ascii="Times New Roman" w:cs="Times New Roman" w:eastAsia="Times New Roman" w:hAnsi="Times New Roman"/>
                <w:sz w:val="17"/>
                <w:szCs w:val="17"/>
                <w:color w:val="auto"/>
                <w:w w:val="98"/>
              </w:rPr>
              <w:t>8-K</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10.1</w:t>
            </w:r>
          </w:p>
        </w:tc>
        <w:tc>
          <w:tcPr>
            <w:tcW w:w="1040" w:type="dxa"/>
            <w:vAlign w:val="bottom"/>
            <w:gridSpan w:val="3"/>
          </w:tcPr>
          <w:p>
            <w:pPr>
              <w:jc w:val="center"/>
              <w:ind w:left="39"/>
              <w:spacing w:after="0" w:line="185" w:lineRule="exact"/>
              <w:rPr>
                <w:sz w:val="20"/>
                <w:szCs w:val="20"/>
                <w:color w:val="auto"/>
              </w:rPr>
            </w:pPr>
            <w:r>
              <w:rPr>
                <w:rFonts w:ascii="Times New Roman" w:cs="Times New Roman" w:eastAsia="Times New Roman" w:hAnsi="Times New Roman"/>
                <w:sz w:val="17"/>
                <w:szCs w:val="17"/>
                <w:color w:val="auto"/>
                <w:w w:val="98"/>
              </w:rPr>
              <w:t>6/21/2022</w:t>
            </w:r>
          </w:p>
        </w:tc>
        <w:tc>
          <w:tcPr>
            <w:tcW w:w="920" w:type="dxa"/>
            <w:vAlign w:val="bottom"/>
            <w:gridSpan w:val="5"/>
          </w:tcPr>
          <w:p>
            <w:pPr>
              <w:jc w:val="right"/>
              <w:ind w:right="60"/>
              <w:spacing w:after="0" w:line="185" w:lineRule="exact"/>
              <w:rPr>
                <w:sz w:val="20"/>
                <w:szCs w:val="20"/>
                <w:color w:val="auto"/>
              </w:rPr>
            </w:pPr>
            <w:r>
              <w:rPr>
                <w:rFonts w:ascii="Times New Roman" w:cs="Times New Roman" w:eastAsia="Times New Roman" w:hAnsi="Times New Roman"/>
                <w:sz w:val="17"/>
                <w:szCs w:val="17"/>
                <w:color w:val="auto"/>
              </w:rPr>
              <w:t>001-36556</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380" w:type="dxa"/>
            <w:vAlign w:val="bottom"/>
          </w:tcPr>
          <w:p>
            <w:pPr>
              <w:spacing w:after="0"/>
              <w:rPr>
                <w:sz w:val="24"/>
                <w:szCs w:val="24"/>
                <w:color w:val="auto"/>
              </w:rPr>
            </w:pPr>
          </w:p>
        </w:tc>
        <w:tc>
          <w:tcPr>
            <w:tcW w:w="320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66">
              <w:r>
                <w:rPr>
                  <w:rFonts w:ascii="Times New Roman" w:cs="Times New Roman" w:eastAsia="Times New Roman" w:hAnsi="Times New Roman"/>
                  <w:sz w:val="17"/>
                  <w:szCs w:val="17"/>
                  <w:color w:val="0000EE"/>
                </w:rPr>
                <w:t>Employment Agreement, dated June 28, 2022,</w:t>
              </w:r>
            </w:hyperlink>
          </w:p>
        </w:tc>
        <w:tc>
          <w:tcPr>
            <w:tcW w:w="30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0" w:type="dxa"/>
            <w:vAlign w:val="bottom"/>
            <w:tcBorders>
              <w:bottom w:val="single" w:sz="8" w:color="0000EE"/>
            </w:tcBorders>
            <w:gridSpan w:val="21"/>
          </w:tcPr>
          <w:p>
            <w:pPr>
              <w:spacing w:after="0" w:line="172" w:lineRule="exact"/>
              <w:rPr>
                <w:rFonts w:ascii="Times New Roman" w:cs="Times New Roman" w:eastAsia="Times New Roman" w:hAnsi="Times New Roman"/>
                <w:sz w:val="17"/>
                <w:szCs w:val="17"/>
                <w:color w:val="0000EE"/>
                <w:w w:val="99"/>
              </w:rPr>
            </w:pPr>
            <w:hyperlink r:id="rId66">
              <w:r>
                <w:rPr>
                  <w:rFonts w:ascii="Times New Roman" w:cs="Times New Roman" w:eastAsia="Times New Roman" w:hAnsi="Times New Roman"/>
                  <w:sz w:val="17"/>
                  <w:szCs w:val="17"/>
                  <w:color w:val="0000EE"/>
                  <w:w w:val="99"/>
                </w:rPr>
                <w:t>between El Pollo Loco Holdings, Inc. and Ira Fils</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w w:val="98"/>
              </w:rPr>
              <w:t>8-K</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40" w:type="dxa"/>
            <w:vAlign w:val="bottom"/>
            <w:gridSpan w:val="3"/>
            <w:vMerge w:val="restart"/>
          </w:tcPr>
          <w:p>
            <w:pPr>
              <w:jc w:val="center"/>
              <w:ind w:left="39"/>
              <w:spacing w:after="0"/>
              <w:rPr>
                <w:sz w:val="20"/>
                <w:szCs w:val="20"/>
                <w:color w:val="auto"/>
              </w:rPr>
            </w:pPr>
            <w:r>
              <w:rPr>
                <w:rFonts w:ascii="Times New Roman" w:cs="Times New Roman" w:eastAsia="Times New Roman" w:hAnsi="Times New Roman"/>
                <w:sz w:val="17"/>
                <w:szCs w:val="17"/>
                <w:color w:val="auto"/>
                <w:w w:val="99"/>
              </w:rPr>
              <w:t>7/1/2022</w:t>
            </w:r>
          </w:p>
        </w:tc>
        <w:tc>
          <w:tcPr>
            <w:tcW w:w="92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001-36556</w:t>
            </w:r>
          </w:p>
        </w:tc>
        <w:tc>
          <w:tcPr>
            <w:tcW w:w="0" w:type="dxa"/>
            <w:vAlign w:val="bottom"/>
          </w:tcPr>
          <w:p>
            <w:pPr>
              <w:spacing w:after="0"/>
              <w:rPr>
                <w:sz w:val="1"/>
                <w:szCs w:val="1"/>
                <w:color w:val="auto"/>
              </w:rPr>
            </w:pPr>
          </w:p>
        </w:tc>
      </w:tr>
      <w:tr>
        <w:trPr>
          <w:trHeight w:val="58"/>
        </w:trPr>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380" w:type="dxa"/>
            <w:vAlign w:val="bottom"/>
          </w:tcPr>
          <w:p>
            <w:pPr>
              <w:spacing w:after="0"/>
              <w:rPr>
                <w:sz w:val="5"/>
                <w:szCs w:val="5"/>
                <w:color w:val="auto"/>
              </w:rPr>
            </w:pPr>
          </w:p>
        </w:tc>
        <w:tc>
          <w:tcPr>
            <w:tcW w:w="3500" w:type="dxa"/>
            <w:vAlign w:val="bottom"/>
            <w:gridSpan w:val="24"/>
            <w:vMerge w:val="restart"/>
          </w:tcPr>
          <w:p>
            <w:pPr>
              <w:spacing w:after="0"/>
              <w:rPr>
                <w:rFonts w:ascii="Times New Roman" w:cs="Times New Roman" w:eastAsia="Times New Roman" w:hAnsi="Times New Roman"/>
                <w:sz w:val="17"/>
                <w:szCs w:val="17"/>
                <w:color w:val="0000EE"/>
              </w:rPr>
            </w:pPr>
            <w:hyperlink r:id="rId67">
              <w:r>
                <w:rPr>
                  <w:rFonts w:ascii="Times New Roman" w:cs="Times New Roman" w:eastAsia="Times New Roman" w:hAnsi="Times New Roman"/>
                  <w:sz w:val="17"/>
                  <w:szCs w:val="17"/>
                  <w:color w:val="0000EE"/>
                </w:rPr>
                <w:t>Credit Agreement, dated as of July 27, 2022,</w:t>
              </w:r>
            </w:hyperlink>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9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0"/>
        </w:trPr>
        <w:tc>
          <w:tcPr>
            <w:tcW w:w="4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3500" w:type="dxa"/>
            <w:vAlign w:val="bottom"/>
            <w:gridSpan w:val="24"/>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4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40" w:type="dxa"/>
            <w:vAlign w:val="bottom"/>
            <w:tcBorders>
              <w:bottom w:val="single" w:sz="8" w:color="0000EE"/>
            </w:tcBorders>
            <w:gridSpan w:val="18"/>
          </w:tcPr>
          <w:p>
            <w:pPr>
              <w:spacing w:after="0" w:line="185" w:lineRule="exact"/>
              <w:rPr>
                <w:rFonts w:ascii="Times New Roman" w:cs="Times New Roman" w:eastAsia="Times New Roman" w:hAnsi="Times New Roman"/>
                <w:sz w:val="17"/>
                <w:szCs w:val="17"/>
                <w:color w:val="0000EE"/>
                <w:w w:val="99"/>
              </w:rPr>
            </w:pPr>
            <w:hyperlink r:id="rId67">
              <w:r>
                <w:rPr>
                  <w:rFonts w:ascii="Times New Roman" w:cs="Times New Roman" w:eastAsia="Times New Roman" w:hAnsi="Times New Roman"/>
                  <w:sz w:val="17"/>
                  <w:szCs w:val="17"/>
                  <w:color w:val="0000EE"/>
                  <w:w w:val="99"/>
                </w:rPr>
                <w:t>among El Pollo Loco, Inc., as borrower, El Pollo</w:t>
              </w:r>
            </w:hyperlink>
          </w:p>
        </w:tc>
        <w:tc>
          <w:tcPr>
            <w:tcW w:w="16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tcBorders>
              <w:bottom w:val="single" w:sz="8" w:color="0000EE"/>
            </w:tcBorders>
            <w:gridSpan w:val="9"/>
          </w:tcPr>
          <w:p>
            <w:pPr>
              <w:spacing w:after="0" w:line="185" w:lineRule="exact"/>
              <w:rPr>
                <w:rFonts w:ascii="Times New Roman" w:cs="Times New Roman" w:eastAsia="Times New Roman" w:hAnsi="Times New Roman"/>
                <w:sz w:val="17"/>
                <w:szCs w:val="17"/>
                <w:color w:val="0000EE"/>
                <w:w w:val="99"/>
              </w:rPr>
            </w:pPr>
            <w:hyperlink r:id="rId67">
              <w:r>
                <w:rPr>
                  <w:rFonts w:ascii="Times New Roman" w:cs="Times New Roman" w:eastAsia="Times New Roman" w:hAnsi="Times New Roman"/>
                  <w:sz w:val="17"/>
                  <w:szCs w:val="17"/>
                  <w:color w:val="0000EE"/>
                  <w:w w:val="99"/>
                </w:rPr>
                <w:t>Loco Holdings, Inc., as guarantor, the other</w:t>
              </w:r>
            </w:hyperlink>
          </w:p>
        </w:tc>
        <w:tc>
          <w:tcPr>
            <w:tcW w:w="520" w:type="dxa"/>
            <w:vAlign w:val="bottom"/>
            <w:gridSpan w:val="15"/>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80" w:type="dxa"/>
            <w:vAlign w:val="bottom"/>
            <w:tcBorders>
              <w:bottom w:val="single" w:sz="8" w:color="0000EE"/>
            </w:tcBorders>
            <w:gridSpan w:val="20"/>
          </w:tcPr>
          <w:p>
            <w:pPr>
              <w:spacing w:after="0" w:line="185" w:lineRule="exact"/>
              <w:rPr>
                <w:rFonts w:ascii="Times New Roman" w:cs="Times New Roman" w:eastAsia="Times New Roman" w:hAnsi="Times New Roman"/>
                <w:sz w:val="17"/>
                <w:szCs w:val="17"/>
                <w:color w:val="0000EE"/>
              </w:rPr>
            </w:pPr>
            <w:hyperlink r:id="rId67">
              <w:r>
                <w:rPr>
                  <w:rFonts w:ascii="Times New Roman" w:cs="Times New Roman" w:eastAsia="Times New Roman" w:hAnsi="Times New Roman"/>
                  <w:sz w:val="17"/>
                  <w:szCs w:val="17"/>
                  <w:color w:val="0000EE"/>
                </w:rPr>
                <w:t>guarantors party thereto, the lenders party thereto</w:t>
              </w:r>
            </w:hyperlink>
          </w:p>
        </w:tc>
        <w:tc>
          <w:tcPr>
            <w:tcW w:w="120" w:type="dxa"/>
            <w:vAlign w:val="bottom"/>
            <w:gridSpan w:val="4"/>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tcBorders>
              <w:bottom w:val="single" w:sz="8" w:color="0000EE"/>
            </w:tcBorders>
            <w:gridSpan w:val="12"/>
          </w:tcPr>
          <w:p>
            <w:pPr>
              <w:spacing w:after="0" w:line="185" w:lineRule="exact"/>
              <w:rPr>
                <w:rFonts w:ascii="Times New Roman" w:cs="Times New Roman" w:eastAsia="Times New Roman" w:hAnsi="Times New Roman"/>
                <w:sz w:val="17"/>
                <w:szCs w:val="17"/>
                <w:color w:val="0000EE"/>
              </w:rPr>
            </w:pPr>
            <w:hyperlink r:id="rId67">
              <w:r>
                <w:rPr>
                  <w:rFonts w:ascii="Times New Roman" w:cs="Times New Roman" w:eastAsia="Times New Roman" w:hAnsi="Times New Roman"/>
                  <w:sz w:val="17"/>
                  <w:szCs w:val="17"/>
                  <w:color w:val="0000EE"/>
                </w:rPr>
                <w:t>and Bank of America, as administrative agent,</w:t>
              </w:r>
            </w:hyperlink>
          </w:p>
        </w:tc>
        <w:tc>
          <w:tcPr>
            <w:tcW w:w="320" w:type="dxa"/>
            <w:vAlign w:val="bottom"/>
            <w:gridSpan w:val="1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tcBorders>
              <w:bottom w:val="single" w:sz="8" w:color="0000EE"/>
            </w:tcBorders>
            <w:gridSpan w:val="8"/>
          </w:tcPr>
          <w:p>
            <w:pPr>
              <w:spacing w:after="0" w:line="185" w:lineRule="exact"/>
              <w:rPr>
                <w:rFonts w:ascii="Times New Roman" w:cs="Times New Roman" w:eastAsia="Times New Roman" w:hAnsi="Times New Roman"/>
                <w:sz w:val="17"/>
                <w:szCs w:val="17"/>
                <w:color w:val="0000EE"/>
                <w:w w:val="99"/>
              </w:rPr>
            </w:pPr>
            <w:hyperlink r:id="rId67">
              <w:r>
                <w:rPr>
                  <w:rFonts w:ascii="Times New Roman" w:cs="Times New Roman" w:eastAsia="Times New Roman" w:hAnsi="Times New Roman"/>
                  <w:sz w:val="17"/>
                  <w:szCs w:val="17"/>
                  <w:color w:val="0000EE"/>
                  <w:w w:val="99"/>
                </w:rPr>
                <w:t>swingline lender and letter of credit issuer</w:t>
              </w:r>
            </w:hyperlink>
          </w:p>
        </w:tc>
        <w:tc>
          <w:tcPr>
            <w:tcW w:w="620" w:type="dxa"/>
            <w:vAlign w:val="bottom"/>
            <w:gridSpan w:val="16"/>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center"/>
              <w:ind w:right="140"/>
              <w:spacing w:after="0" w:line="185" w:lineRule="exact"/>
              <w:rPr>
                <w:sz w:val="20"/>
                <w:szCs w:val="20"/>
                <w:color w:val="auto"/>
              </w:rPr>
            </w:pPr>
            <w:r>
              <w:rPr>
                <w:rFonts w:ascii="Times New Roman" w:cs="Times New Roman" w:eastAsia="Times New Roman" w:hAnsi="Times New Roman"/>
                <w:sz w:val="17"/>
                <w:szCs w:val="17"/>
                <w:color w:val="auto"/>
                <w:w w:val="98"/>
              </w:rPr>
              <w:t>8-K</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10.1</w:t>
            </w:r>
          </w:p>
        </w:tc>
        <w:tc>
          <w:tcPr>
            <w:tcW w:w="1040" w:type="dxa"/>
            <w:vAlign w:val="bottom"/>
            <w:gridSpan w:val="3"/>
          </w:tcPr>
          <w:p>
            <w:pPr>
              <w:jc w:val="center"/>
              <w:ind w:left="39"/>
              <w:spacing w:after="0" w:line="185" w:lineRule="exact"/>
              <w:rPr>
                <w:sz w:val="20"/>
                <w:szCs w:val="20"/>
                <w:color w:val="auto"/>
              </w:rPr>
            </w:pPr>
            <w:r>
              <w:rPr>
                <w:rFonts w:ascii="Times New Roman" w:cs="Times New Roman" w:eastAsia="Times New Roman" w:hAnsi="Times New Roman"/>
                <w:sz w:val="17"/>
                <w:szCs w:val="17"/>
                <w:color w:val="auto"/>
                <w:w w:val="99"/>
              </w:rPr>
              <w:t>8/2/2022</w:t>
            </w:r>
          </w:p>
        </w:tc>
        <w:tc>
          <w:tcPr>
            <w:tcW w:w="920" w:type="dxa"/>
            <w:vAlign w:val="bottom"/>
            <w:gridSpan w:val="5"/>
          </w:tcPr>
          <w:p>
            <w:pPr>
              <w:jc w:val="right"/>
              <w:ind w:right="60"/>
              <w:spacing w:after="0" w:line="185" w:lineRule="exact"/>
              <w:rPr>
                <w:sz w:val="20"/>
                <w:szCs w:val="20"/>
                <w:color w:val="auto"/>
              </w:rPr>
            </w:pPr>
            <w:r>
              <w:rPr>
                <w:rFonts w:ascii="Times New Roman" w:cs="Times New Roman" w:eastAsia="Times New Roman" w:hAnsi="Times New Roman"/>
                <w:sz w:val="17"/>
                <w:szCs w:val="17"/>
                <w:color w:val="auto"/>
              </w:rPr>
              <w:t>001-36556</w:t>
            </w:r>
          </w:p>
        </w:tc>
        <w:tc>
          <w:tcPr>
            <w:tcW w:w="0" w:type="dxa"/>
            <w:vAlign w:val="bottom"/>
          </w:tcPr>
          <w:p>
            <w:pPr>
              <w:spacing w:after="0"/>
              <w:rPr>
                <w:sz w:val="1"/>
                <w:szCs w:val="1"/>
                <w:color w:val="auto"/>
              </w:rPr>
            </w:pPr>
          </w:p>
        </w:tc>
      </w:tr>
      <w:tr>
        <w:trPr>
          <w:trHeight w:val="389"/>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380" w:type="dxa"/>
            <w:vAlign w:val="bottom"/>
          </w:tcPr>
          <w:p>
            <w:pPr>
              <w:spacing w:after="0"/>
              <w:rPr>
                <w:sz w:val="24"/>
                <w:szCs w:val="24"/>
                <w:color w:val="auto"/>
              </w:rPr>
            </w:pPr>
          </w:p>
        </w:tc>
        <w:tc>
          <w:tcPr>
            <w:tcW w:w="33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w w:val="99"/>
              </w:rPr>
              <w:t>Supplemental Agreement, dated as of August 31,</w:t>
            </w:r>
          </w:p>
        </w:tc>
        <w:tc>
          <w:tcPr>
            <w:tcW w:w="14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5"/>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60" w:type="dxa"/>
            <w:vAlign w:val="bottom"/>
            <w:tcBorders>
              <w:bottom w:val="single" w:sz="8" w:color="0000EE"/>
            </w:tcBorders>
            <w:gridSpan w:val="23"/>
          </w:tcPr>
          <w:p>
            <w:pPr>
              <w:spacing w:after="0" w:line="185" w:lineRule="exact"/>
              <w:rPr>
                <w:sz w:val="20"/>
                <w:szCs w:val="20"/>
                <w:color w:val="auto"/>
              </w:rPr>
            </w:pPr>
            <w:r>
              <w:rPr>
                <w:rFonts w:ascii="Times New Roman" w:cs="Times New Roman" w:eastAsia="Times New Roman" w:hAnsi="Times New Roman"/>
                <w:sz w:val="17"/>
                <w:szCs w:val="17"/>
                <w:color w:val="0000EE"/>
              </w:rPr>
              <w:t>2022, by and among El Pollo Loco Holdings, Inc.,</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00" w:type="dxa"/>
            <w:vAlign w:val="bottom"/>
            <w:gridSpan w:val="24"/>
          </w:tcPr>
          <w:p>
            <w:pPr>
              <w:spacing w:after="0" w:line="185" w:lineRule="exact"/>
              <w:rPr>
                <w:sz w:val="20"/>
                <w:szCs w:val="20"/>
                <w:color w:val="auto"/>
              </w:rPr>
            </w:pPr>
            <w:r>
              <w:rPr>
                <w:rFonts w:ascii="Times New Roman" w:cs="Times New Roman" w:eastAsia="Times New Roman" w:hAnsi="Times New Roman"/>
                <w:sz w:val="17"/>
                <w:szCs w:val="17"/>
                <w:color w:val="0000EE"/>
              </w:rPr>
              <w:t>FS Equity Partners V, L.P., and FS Affiliates V,</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Borders>
              <w:top w:val="single" w:sz="8" w:color="0000EE"/>
              <w:bottom w:val="single" w:sz="8" w:color="0000EE"/>
            </w:tcBorders>
          </w:tcPr>
          <w:p>
            <w:pPr>
              <w:spacing w:after="0" w:line="185" w:lineRule="exact"/>
              <w:rPr>
                <w:sz w:val="20"/>
                <w:szCs w:val="20"/>
                <w:color w:val="auto"/>
              </w:rPr>
            </w:pPr>
            <w:r>
              <w:rPr>
                <w:rFonts w:ascii="Times New Roman" w:cs="Times New Roman" w:eastAsia="Times New Roman" w:hAnsi="Times New Roman"/>
                <w:sz w:val="17"/>
                <w:szCs w:val="17"/>
                <w:color w:val="0000EE"/>
                <w:w w:val="91"/>
              </w:rPr>
              <w:t>L.P.</w:t>
            </w:r>
          </w:p>
        </w:tc>
        <w:tc>
          <w:tcPr>
            <w:tcW w:w="2940" w:type="dxa"/>
            <w:vAlign w:val="bottom"/>
            <w:tcBorders>
              <w:top w:val="single" w:sz="8" w:color="0000EE"/>
            </w:tcBorders>
            <w:gridSpan w:val="13"/>
          </w:tcPr>
          <w:p>
            <w:pPr>
              <w:spacing w:after="0"/>
              <w:rPr>
                <w:sz w:val="16"/>
                <w:szCs w:val="16"/>
                <w:color w:val="auto"/>
              </w:rPr>
            </w:pPr>
          </w:p>
        </w:tc>
        <w:tc>
          <w:tcPr>
            <w:tcW w:w="280" w:type="dxa"/>
            <w:vAlign w:val="bottom"/>
            <w:gridSpan w:val="10"/>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380" w:type="dxa"/>
            <w:vAlign w:val="bottom"/>
          </w:tcPr>
          <w:p>
            <w:pPr>
              <w:spacing w:after="0"/>
              <w:rPr>
                <w:sz w:val="24"/>
                <w:szCs w:val="24"/>
                <w:color w:val="auto"/>
              </w:rPr>
            </w:pPr>
          </w:p>
        </w:tc>
        <w:tc>
          <w:tcPr>
            <w:tcW w:w="3500" w:type="dxa"/>
            <w:vAlign w:val="bottom"/>
            <w:gridSpan w:val="24"/>
          </w:tcPr>
          <w:p>
            <w:pPr>
              <w:spacing w:after="0"/>
              <w:rPr>
                <w:sz w:val="20"/>
                <w:szCs w:val="20"/>
                <w:color w:val="auto"/>
              </w:rPr>
            </w:pPr>
            <w:r>
              <w:rPr>
                <w:rFonts w:ascii="Times New Roman" w:cs="Times New Roman" w:eastAsia="Times New Roman" w:hAnsi="Times New Roman"/>
                <w:sz w:val="17"/>
                <w:szCs w:val="17"/>
                <w:color w:val="0000EE"/>
              </w:rPr>
              <w:t>Certification of Chief Executive Officer under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5"/>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20" w:type="dxa"/>
            <w:vAlign w:val="bottom"/>
            <w:gridSpan w:val="9"/>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00" w:type="dxa"/>
            <w:vAlign w:val="bottom"/>
            <w:gridSpan w:val="24"/>
          </w:tcPr>
          <w:p>
            <w:pPr>
              <w:spacing w:after="0" w:line="185" w:lineRule="exact"/>
              <w:rPr>
                <w:sz w:val="20"/>
                <w:szCs w:val="20"/>
                <w:color w:val="auto"/>
              </w:rPr>
            </w:pPr>
            <w:r>
              <w:rPr>
                <w:rFonts w:ascii="Times New Roman" w:cs="Times New Roman" w:eastAsia="Times New Roman" w:hAnsi="Times New Roman"/>
                <w:sz w:val="17"/>
                <w:szCs w:val="17"/>
                <w:color w:val="0000EE"/>
              </w:rPr>
              <w:t>section 302 of the Sarbanes–Oxley Act of 2002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380" w:type="dxa"/>
            <w:vAlign w:val="bottom"/>
          </w:tcPr>
          <w:p>
            <w:pPr>
              <w:spacing w:after="0"/>
              <w:rPr>
                <w:sz w:val="24"/>
                <w:szCs w:val="24"/>
                <w:color w:val="auto"/>
              </w:rPr>
            </w:pPr>
          </w:p>
        </w:tc>
        <w:tc>
          <w:tcPr>
            <w:tcW w:w="320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Certification of Chief Financial Officer under</w:t>
            </w:r>
          </w:p>
        </w:tc>
        <w:tc>
          <w:tcPr>
            <w:tcW w:w="40" w:type="dxa"/>
            <w:vAlign w:val="bottom"/>
            <w:tcBorders>
              <w:top w:val="single" w:sz="8" w:color="0000EE"/>
            </w:tcBorders>
            <w:gridSpan w:val="2"/>
          </w:tcPr>
          <w:p>
            <w:pPr>
              <w:spacing w:after="0"/>
              <w:rPr>
                <w:sz w:val="24"/>
                <w:szCs w:val="24"/>
                <w:color w:val="auto"/>
              </w:rPr>
            </w:pPr>
          </w:p>
        </w:tc>
        <w:tc>
          <w:tcPr>
            <w:tcW w:w="26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5"/>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00" w:type="dxa"/>
            <w:vAlign w:val="bottom"/>
            <w:gridSpan w:val="24"/>
          </w:tcPr>
          <w:p>
            <w:pPr>
              <w:spacing w:after="0" w:line="185" w:lineRule="exact"/>
              <w:rPr>
                <w:sz w:val="20"/>
                <w:szCs w:val="20"/>
                <w:color w:val="auto"/>
              </w:rPr>
            </w:pPr>
            <w:r>
              <w:rPr>
                <w:rFonts w:ascii="Times New Roman" w:cs="Times New Roman" w:eastAsia="Times New Roman" w:hAnsi="Times New Roman"/>
                <w:sz w:val="17"/>
                <w:szCs w:val="17"/>
                <w:color w:val="0000EE"/>
              </w:rPr>
              <w:t>section 302 of the Sarbanes–Oxley Act of 2002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700" w:type="dxa"/>
            <w:vAlign w:val="bottom"/>
            <w:gridSpan w:val="1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380" w:type="dxa"/>
            <w:vAlign w:val="bottom"/>
          </w:tcPr>
          <w:p>
            <w:pPr>
              <w:spacing w:after="0"/>
              <w:rPr>
                <w:sz w:val="24"/>
                <w:szCs w:val="24"/>
                <w:color w:val="auto"/>
              </w:rPr>
            </w:pPr>
          </w:p>
        </w:tc>
        <w:tc>
          <w:tcPr>
            <w:tcW w:w="3500" w:type="dxa"/>
            <w:vAlign w:val="bottom"/>
            <w:gridSpan w:val="24"/>
          </w:tcPr>
          <w:p>
            <w:pPr>
              <w:spacing w:after="0"/>
              <w:rPr>
                <w:sz w:val="20"/>
                <w:szCs w:val="20"/>
                <w:color w:val="auto"/>
              </w:rPr>
            </w:pPr>
            <w:r>
              <w:rPr>
                <w:rFonts w:ascii="Times New Roman" w:cs="Times New Roman" w:eastAsia="Times New Roman" w:hAnsi="Times New Roman"/>
                <w:sz w:val="17"/>
                <w:szCs w:val="17"/>
                <w:color w:val="0000EE"/>
              </w:rPr>
              <w:t>Certification of Chief Executive Officer and Chief</w:t>
            </w:r>
          </w:p>
        </w:tc>
        <w:tc>
          <w:tcPr>
            <w:tcW w:w="520" w:type="dxa"/>
            <w:vAlign w:val="bottom"/>
            <w:gridSpan w:val="3"/>
          </w:tcPr>
          <w:p>
            <w:pPr>
              <w:jc w:val="center"/>
              <w:ind w:left="155"/>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80" w:type="dxa"/>
            <w:vAlign w:val="bottom"/>
            <w:tcBorders>
              <w:top w:val="single" w:sz="8" w:color="0000EE"/>
              <w:bottom w:val="single" w:sz="8" w:color="0000EE"/>
            </w:tcBorders>
            <w:gridSpan w:val="17"/>
          </w:tcPr>
          <w:p>
            <w:pPr>
              <w:spacing w:after="0" w:line="185" w:lineRule="exact"/>
              <w:rPr>
                <w:sz w:val="20"/>
                <w:szCs w:val="20"/>
                <w:color w:val="auto"/>
              </w:rPr>
            </w:pPr>
            <w:r>
              <w:rPr>
                <w:rFonts w:ascii="Times New Roman" w:cs="Times New Roman" w:eastAsia="Times New Roman" w:hAnsi="Times New Roman"/>
                <w:sz w:val="17"/>
                <w:szCs w:val="17"/>
                <w:color w:val="0000EE"/>
              </w:rPr>
              <w:t>Financial Officer under 18 U.S.C. section 1350,</w:t>
            </w:r>
          </w:p>
        </w:tc>
        <w:tc>
          <w:tcPr>
            <w:tcW w:w="160" w:type="dxa"/>
            <w:vAlign w:val="bottom"/>
            <w:tcBorders>
              <w:top w:val="single" w:sz="8" w:color="0000EE"/>
            </w:tcBorders>
            <w:gridSpan w:val="5"/>
          </w:tcPr>
          <w:p>
            <w:pPr>
              <w:spacing w:after="0"/>
              <w:rPr>
                <w:sz w:val="16"/>
                <w:szCs w:val="16"/>
                <w:color w:val="auto"/>
              </w:rPr>
            </w:pPr>
          </w:p>
        </w:tc>
        <w:tc>
          <w:tcPr>
            <w:tcW w:w="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00" w:type="dxa"/>
            <w:vAlign w:val="bottom"/>
            <w:gridSpan w:val="24"/>
          </w:tcPr>
          <w:p>
            <w:pPr>
              <w:spacing w:after="0" w:line="185" w:lineRule="exact"/>
              <w:rPr>
                <w:sz w:val="20"/>
                <w:szCs w:val="20"/>
                <w:color w:val="auto"/>
              </w:rPr>
            </w:pPr>
            <w:r>
              <w:rPr>
                <w:rFonts w:ascii="Times New Roman" w:cs="Times New Roman" w:eastAsia="Times New Roman" w:hAnsi="Times New Roman"/>
                <w:sz w:val="17"/>
                <w:szCs w:val="17"/>
                <w:color w:val="0000EE"/>
              </w:rPr>
              <w:t>adopted by section 906 of the Sarbanes–Oxley Act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Borders>
              <w:top w:val="single" w:sz="8" w:color="0000EE"/>
              <w:bottom w:val="single" w:sz="8" w:color="0000EE"/>
            </w:tcBorders>
            <w:gridSpan w:val="2"/>
          </w:tcPr>
          <w:p>
            <w:pPr>
              <w:spacing w:after="0" w:line="185" w:lineRule="exact"/>
              <w:rPr>
                <w:sz w:val="20"/>
                <w:szCs w:val="20"/>
                <w:color w:val="auto"/>
              </w:rPr>
            </w:pPr>
            <w:r>
              <w:rPr>
                <w:rFonts w:ascii="Times New Roman" w:cs="Times New Roman" w:eastAsia="Times New Roman" w:hAnsi="Times New Roman"/>
                <w:sz w:val="17"/>
                <w:szCs w:val="17"/>
                <w:color w:val="0000EE"/>
                <w:w w:val="99"/>
              </w:rPr>
              <w:t>of 2002</w:t>
            </w:r>
          </w:p>
        </w:tc>
        <w:tc>
          <w:tcPr>
            <w:tcW w:w="2920" w:type="dxa"/>
            <w:vAlign w:val="bottom"/>
            <w:tcBorders>
              <w:top w:val="single" w:sz="8" w:color="0000EE"/>
            </w:tcBorders>
            <w:gridSpan w:val="21"/>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101.INS</w:t>
            </w:r>
          </w:p>
        </w:tc>
        <w:tc>
          <w:tcPr>
            <w:tcW w:w="350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5"/>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0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document does not appear in the Interactive Data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0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File because its XBRL tags are embedded within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0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the Inline XBRL document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101.SCH</w:t>
            </w:r>
          </w:p>
        </w:tc>
        <w:tc>
          <w:tcPr>
            <w:tcW w:w="350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5"/>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101.CAL</w:t>
            </w:r>
          </w:p>
        </w:tc>
        <w:tc>
          <w:tcPr>
            <w:tcW w:w="350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5"/>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0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Document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4"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3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XBRL Taxonomy Extension Definition Linkbase</w:t>
            </w:r>
          </w:p>
        </w:tc>
        <w:tc>
          <w:tcPr>
            <w:tcW w:w="34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81"/>
              </w:rPr>
              <w:t>X</w:t>
            </w:r>
          </w:p>
        </w:tc>
      </w:tr>
      <w:tr>
        <w:trPr>
          <w:trHeight w:val="222"/>
        </w:trPr>
        <w:tc>
          <w:tcPr>
            <w:tcW w:w="740" w:type="dxa"/>
            <w:vAlign w:val="bottom"/>
          </w:tcPr>
          <w:p>
            <w:pPr>
              <w:spacing w:after="0"/>
              <w:rPr>
                <w:sz w:val="19"/>
                <w:szCs w:val="19"/>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Document</w:t>
            </w:r>
          </w:p>
        </w:tc>
        <w:tc>
          <w:tcPr>
            <w:tcW w:w="340" w:type="dxa"/>
            <w:vAlign w:val="bottom"/>
          </w:tcPr>
          <w:p>
            <w:pPr>
              <w:spacing w:after="0"/>
              <w:rPr>
                <w:sz w:val="19"/>
                <w:szCs w:val="19"/>
                <w:color w:val="auto"/>
              </w:rPr>
            </w:pPr>
          </w:p>
        </w:tc>
      </w:tr>
      <w:tr>
        <w:trPr>
          <w:trHeight w:val="392"/>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3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XBRL Taxonomy Extension Label Linkbase</w:t>
            </w:r>
          </w:p>
        </w:tc>
        <w:tc>
          <w:tcPr>
            <w:tcW w:w="34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81"/>
              </w:rPr>
              <w:t>X</w:t>
            </w:r>
          </w:p>
        </w:tc>
      </w:tr>
      <w:tr>
        <w:trPr>
          <w:trHeight w:val="222"/>
        </w:trPr>
        <w:tc>
          <w:tcPr>
            <w:tcW w:w="740" w:type="dxa"/>
            <w:vAlign w:val="bottom"/>
          </w:tcPr>
          <w:p>
            <w:pPr>
              <w:spacing w:after="0"/>
              <w:rPr>
                <w:sz w:val="19"/>
                <w:szCs w:val="19"/>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Document</w:t>
            </w:r>
          </w:p>
        </w:tc>
        <w:tc>
          <w:tcPr>
            <w:tcW w:w="340" w:type="dxa"/>
            <w:vAlign w:val="bottom"/>
          </w:tcPr>
          <w:p>
            <w:pPr>
              <w:spacing w:after="0"/>
              <w:rPr>
                <w:sz w:val="19"/>
                <w:szCs w:val="19"/>
                <w:color w:val="auto"/>
              </w:rPr>
            </w:pPr>
          </w:p>
        </w:tc>
      </w:tr>
      <w:tr>
        <w:trPr>
          <w:trHeight w:val="392"/>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3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XBRL Taxonomy Extension Presentation</w:t>
            </w:r>
          </w:p>
        </w:tc>
        <w:tc>
          <w:tcPr>
            <w:tcW w:w="34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81"/>
              </w:rPr>
              <w:t>X</w:t>
            </w:r>
          </w:p>
        </w:tc>
      </w:tr>
      <w:tr>
        <w:trPr>
          <w:trHeight w:val="222"/>
        </w:trPr>
        <w:tc>
          <w:tcPr>
            <w:tcW w:w="740" w:type="dxa"/>
            <w:vAlign w:val="bottom"/>
          </w:tcPr>
          <w:p>
            <w:pPr>
              <w:spacing w:after="0"/>
              <w:rPr>
                <w:sz w:val="19"/>
                <w:szCs w:val="19"/>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Linkbase Document</w:t>
            </w:r>
          </w:p>
        </w:tc>
        <w:tc>
          <w:tcPr>
            <w:tcW w:w="340" w:type="dxa"/>
            <w:vAlign w:val="bottom"/>
          </w:tcPr>
          <w:p>
            <w:pPr>
              <w:spacing w:after="0"/>
              <w:rPr>
                <w:sz w:val="19"/>
                <w:szCs w:val="19"/>
                <w:color w:val="auto"/>
              </w:rPr>
            </w:pPr>
          </w:p>
        </w:tc>
      </w:tr>
      <w:tr>
        <w:trPr>
          <w:trHeight w:val="392"/>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3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Cover Page Interactive Data File - the cover page</w:t>
            </w:r>
          </w:p>
        </w:tc>
        <w:tc>
          <w:tcPr>
            <w:tcW w:w="34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81"/>
              </w:rPr>
              <w:t>X</w:t>
            </w:r>
          </w:p>
        </w:tc>
      </w:tr>
      <w:tr>
        <w:trPr>
          <w:trHeight w:val="205"/>
        </w:trPr>
        <w:tc>
          <w:tcPr>
            <w:tcW w:w="740" w:type="dxa"/>
            <w:vAlign w:val="bottom"/>
          </w:tcPr>
          <w:p>
            <w:pPr>
              <w:spacing w:after="0"/>
              <w:rPr>
                <w:sz w:val="17"/>
                <w:szCs w:val="17"/>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interactive data file does not appear in the</w:t>
            </w:r>
          </w:p>
        </w:tc>
        <w:tc>
          <w:tcPr>
            <w:tcW w:w="340" w:type="dxa"/>
            <w:vAlign w:val="bottom"/>
          </w:tcPr>
          <w:p>
            <w:pPr>
              <w:spacing w:after="0"/>
              <w:rPr>
                <w:sz w:val="17"/>
                <w:szCs w:val="17"/>
                <w:color w:val="auto"/>
              </w:rPr>
            </w:pPr>
          </w:p>
        </w:tc>
      </w:tr>
      <w:tr>
        <w:trPr>
          <w:trHeight w:val="205"/>
        </w:trPr>
        <w:tc>
          <w:tcPr>
            <w:tcW w:w="740" w:type="dxa"/>
            <w:vAlign w:val="bottom"/>
          </w:tcPr>
          <w:p>
            <w:pPr>
              <w:spacing w:after="0"/>
              <w:rPr>
                <w:sz w:val="17"/>
                <w:szCs w:val="17"/>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Interactive Data File because its XBRL tags are</w:t>
            </w:r>
          </w:p>
        </w:tc>
        <w:tc>
          <w:tcPr>
            <w:tcW w:w="340" w:type="dxa"/>
            <w:vAlign w:val="bottom"/>
          </w:tcPr>
          <w:p>
            <w:pPr>
              <w:spacing w:after="0"/>
              <w:rPr>
                <w:sz w:val="17"/>
                <w:szCs w:val="17"/>
                <w:color w:val="auto"/>
              </w:rPr>
            </w:pPr>
          </w:p>
        </w:tc>
      </w:tr>
      <w:tr>
        <w:trPr>
          <w:trHeight w:val="222"/>
        </w:trPr>
        <w:tc>
          <w:tcPr>
            <w:tcW w:w="740" w:type="dxa"/>
            <w:vAlign w:val="bottom"/>
          </w:tcPr>
          <w:p>
            <w:pPr>
              <w:spacing w:after="0"/>
              <w:rPr>
                <w:sz w:val="19"/>
                <w:szCs w:val="19"/>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64135</wp:posOffset>
            </wp:positionV>
            <wp:extent cx="141351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1413510" cy="16510"/>
                    </a:xfrm>
                    <a:prstGeom prst="rect">
                      <a:avLst/>
                    </a:prstGeom>
                    <a:noFill/>
                  </pic:spPr>
                </pic:pic>
              </a:graphicData>
            </a:graphic>
          </wp:anchor>
        </w:drawing>
      </w:r>
    </w:p>
    <w:p>
      <w:pPr>
        <w:spacing w:after="0" w:line="167" w:lineRule="exact"/>
        <w:rPr>
          <w:sz w:val="20"/>
          <w:szCs w:val="20"/>
          <w:color w:val="auto"/>
        </w:rPr>
      </w:pPr>
    </w:p>
    <w:p>
      <w:pPr>
        <w:ind w:left="360" w:right="119" w:hanging="314"/>
        <w:spacing w:after="0" w:line="262" w:lineRule="auto"/>
        <w:tabs>
          <w:tab w:leader="none" w:pos="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8" w:lineRule="exact"/>
        <w:rPr>
          <w:sz w:val="20"/>
          <w:szCs w:val="20"/>
          <w:color w:val="auto"/>
        </w:rPr>
      </w:pPr>
    </w:p>
    <w:p>
      <w:pPr>
        <w:ind w:left="40" w:right="179"/>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El Pollo Loco Holdings, Inc.</w:t>
      </w:r>
    </w:p>
    <w:p>
      <w:pPr>
        <w:spacing w:after="0" w:line="6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-121285</wp:posOffset>
            </wp:positionV>
            <wp:extent cx="2778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p>
      <w:pPr>
        <w:spacing w:after="0" w:line="271" w:lineRule="exact"/>
        <w:rPr>
          <w:sz w:val="20"/>
          <w:szCs w:val="20"/>
          <w:color w:val="auto"/>
        </w:rPr>
      </w:pPr>
    </w:p>
    <w:p>
      <w:pPr>
        <w:ind w:left="100"/>
        <w:spacing w:after="0"/>
        <w:tabs>
          <w:tab w:leader="none" w:pos="4620" w:val="left"/>
        </w:tabs>
        <w:rPr>
          <w:sz w:val="20"/>
          <w:szCs w:val="20"/>
          <w:color w:val="auto"/>
        </w:rPr>
      </w:pPr>
      <w:r>
        <w:rPr>
          <w:rFonts w:ascii="Times New Roman" w:cs="Times New Roman" w:eastAsia="Times New Roman" w:hAnsi="Times New Roman"/>
          <w:sz w:val="17"/>
          <w:szCs w:val="17"/>
          <w:color w:val="auto"/>
        </w:rPr>
        <w:t>Date: November 4, 2022</w:t>
      </w:r>
      <w:r>
        <w:rPr>
          <w:sz w:val="20"/>
          <w:szCs w:val="20"/>
          <w:color w:val="auto"/>
        </w:rPr>
        <w:tab/>
      </w:r>
      <w:r>
        <w:rPr>
          <w:rFonts w:ascii="Times New Roman" w:cs="Times New Roman" w:eastAsia="Times New Roman" w:hAnsi="Times New Roman"/>
          <w:sz w:val="16"/>
          <w:szCs w:val="16"/>
          <w:color w:val="auto"/>
        </w:rPr>
        <w:t>/s/ Laurance Roberts</w:t>
      </w:r>
    </w:p>
    <w:p>
      <w:pPr>
        <w:spacing w:after="0" w:line="6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-121285</wp:posOffset>
            </wp:positionV>
            <wp:extent cx="2778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p>
      <w:pPr>
        <w:spacing w:after="0" w:line="2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i w:val="1"/>
          <w:iCs w:val="1"/>
          <w:color w:val="auto"/>
        </w:rPr>
        <w:t>(duly authorized officer)</w:t>
      </w:r>
    </w:p>
    <w:p>
      <w:pPr>
        <w:spacing w:after="0" w:line="282" w:lineRule="exact"/>
        <w:rPr>
          <w:sz w:val="20"/>
          <w:szCs w:val="20"/>
          <w:color w:val="auto"/>
        </w:rPr>
      </w:pPr>
    </w:p>
    <w:p>
      <w:pPr>
        <w:ind w:left="100"/>
        <w:spacing w:after="0"/>
        <w:tabs>
          <w:tab w:leader="none" w:pos="4620" w:val="left"/>
        </w:tabs>
        <w:rPr>
          <w:sz w:val="20"/>
          <w:szCs w:val="20"/>
          <w:color w:val="auto"/>
        </w:rPr>
      </w:pPr>
      <w:r>
        <w:rPr>
          <w:rFonts w:ascii="Times New Roman" w:cs="Times New Roman" w:eastAsia="Times New Roman" w:hAnsi="Times New Roman"/>
          <w:sz w:val="17"/>
          <w:szCs w:val="17"/>
          <w:color w:val="auto"/>
        </w:rPr>
        <w:t>Date: November 4, 2022</w:t>
      </w:r>
      <w:r>
        <w:rPr>
          <w:sz w:val="20"/>
          <w:szCs w:val="20"/>
          <w:color w:val="auto"/>
        </w:rPr>
        <w:tab/>
      </w:r>
      <w:r>
        <w:rPr>
          <w:rFonts w:ascii="Times New Roman" w:cs="Times New Roman" w:eastAsia="Times New Roman" w:hAnsi="Times New Roman"/>
          <w:sz w:val="16"/>
          <w:szCs w:val="16"/>
          <w:color w:val="auto"/>
        </w:rPr>
        <w:t>/s/ Ira Fils</w:t>
      </w:r>
    </w:p>
    <w:p>
      <w:pPr>
        <w:spacing w:after="0" w:line="6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-121285</wp:posOffset>
            </wp:positionV>
            <wp:extent cx="2778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p>
      <w:pPr>
        <w:spacing w:after="0" w:line="2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SUPPLEMENTAL AGREEMENT</w:t>
      </w:r>
    </w:p>
    <w:p>
      <w:pPr>
        <w:spacing w:after="0" w:line="205" w:lineRule="exact"/>
        <w:rPr>
          <w:sz w:val="20"/>
          <w:szCs w:val="20"/>
          <w:color w:val="auto"/>
        </w:rPr>
      </w:pPr>
    </w:p>
    <w:p>
      <w:pPr>
        <w:jc w:val="both"/>
        <w:ind w:left="200" w:right="219" w:firstLine="614"/>
        <w:spacing w:after="0" w:line="248" w:lineRule="auto"/>
        <w:rPr>
          <w:sz w:val="20"/>
          <w:szCs w:val="20"/>
          <w:color w:val="auto"/>
        </w:rPr>
      </w:pPr>
      <w:r>
        <w:rPr>
          <w:rFonts w:ascii="Times New Roman" w:cs="Times New Roman" w:eastAsia="Times New Roman" w:hAnsi="Times New Roman"/>
          <w:sz w:val="20"/>
          <w:szCs w:val="20"/>
          <w:color w:val="auto"/>
        </w:rPr>
        <w:t>SUPPLEMENTAL AGREEMENT (the “</w:t>
      </w:r>
      <w:r>
        <w:rPr>
          <w:rFonts w:ascii="Times New Roman" w:cs="Times New Roman" w:eastAsia="Times New Roman" w:hAnsi="Times New Roman"/>
          <w:sz w:val="20"/>
          <w:szCs w:val="20"/>
          <w:u w:val="single" w:color="auto"/>
          <w:color w:val="auto"/>
        </w:rPr>
        <w:t>Supplemental Agreement</w:t>
      </w:r>
      <w:r>
        <w:rPr>
          <w:rFonts w:ascii="Times New Roman" w:cs="Times New Roman" w:eastAsia="Times New Roman" w:hAnsi="Times New Roman"/>
          <w:sz w:val="20"/>
          <w:szCs w:val="20"/>
          <w:color w:val="auto"/>
        </w:rPr>
        <w:t>”), dated as of August 31, 2022, by and among El Pollo Loco Holdings, Inc. (formerly known as Chicken Acquisition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FS Equity Partners V, L.P. (“FSEP V”), and FS Affiliates V, L.P. (“FSA V”) (collectively, the “</w:t>
      </w:r>
      <w:r>
        <w:rPr>
          <w:rFonts w:ascii="Times New Roman" w:cs="Times New Roman" w:eastAsia="Times New Roman" w:hAnsi="Times New Roman"/>
          <w:sz w:val="20"/>
          <w:szCs w:val="20"/>
          <w:u w:val="single" w:color="auto"/>
          <w:color w:val="auto"/>
        </w:rPr>
        <w:t>New Stockholders</w:t>
      </w:r>
      <w:r>
        <w:rPr>
          <w:rFonts w:ascii="Times New Roman" w:cs="Times New Roman" w:eastAsia="Times New Roman" w:hAnsi="Times New Roman"/>
          <w:sz w:val="20"/>
          <w:szCs w:val="20"/>
          <w:color w:val="auto"/>
        </w:rPr>
        <w:t>”). All capitalized terms used herein without meaning shall have the meanings ascribed to such terms in the Stockholders Agreement (as defined below).</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RECITALS</w:t>
      </w:r>
    </w:p>
    <w:p>
      <w:pPr>
        <w:spacing w:after="0" w:line="205" w:lineRule="exact"/>
        <w:rPr>
          <w:sz w:val="20"/>
          <w:szCs w:val="20"/>
          <w:color w:val="auto"/>
        </w:rPr>
      </w:pPr>
    </w:p>
    <w:p>
      <w:pPr>
        <w:jc w:val="both"/>
        <w:ind w:left="200" w:right="219" w:firstLine="614"/>
        <w:spacing w:after="0" w:line="249" w:lineRule="auto"/>
        <w:rPr>
          <w:sz w:val="20"/>
          <w:szCs w:val="20"/>
          <w:color w:val="auto"/>
        </w:rPr>
      </w:pPr>
      <w:r>
        <w:rPr>
          <w:rFonts w:ascii="Times New Roman" w:cs="Times New Roman" w:eastAsia="Times New Roman" w:hAnsi="Times New Roman"/>
          <w:sz w:val="20"/>
          <w:szCs w:val="20"/>
          <w:color w:val="auto"/>
        </w:rPr>
        <w:t>WHEREAS, the Company entered into a Stockholders Agreement, dated as of November 18, 2005, with Trimaran Pollo Partners, L.L.C. and certain other stockholders of the Company party thereto, as amended by Amendment No. 1 to the Stockholders Agreement dated April 20, 2006 and Amendment No. 2 to the Stockholders Agreement dated December 26, 2007 (as amended or otherwise modified from time to time, the “</w:t>
      </w:r>
      <w:r>
        <w:rPr>
          <w:rFonts w:ascii="Times New Roman" w:cs="Times New Roman" w:eastAsia="Times New Roman" w:hAnsi="Times New Roman"/>
          <w:sz w:val="20"/>
          <w:szCs w:val="20"/>
          <w:u w:val="single" w:color="auto"/>
          <w:color w:val="auto"/>
        </w:rPr>
        <w:t>Stockholders Agreement</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jc w:val="both"/>
        <w:ind w:left="200" w:right="219" w:firstLine="614"/>
        <w:spacing w:after="0" w:line="259" w:lineRule="auto"/>
        <w:rPr>
          <w:sz w:val="20"/>
          <w:szCs w:val="20"/>
          <w:color w:val="auto"/>
        </w:rPr>
      </w:pPr>
      <w:r>
        <w:rPr>
          <w:rFonts w:ascii="Times New Roman" w:cs="Times New Roman" w:eastAsia="Times New Roman" w:hAnsi="Times New Roman"/>
          <w:sz w:val="20"/>
          <w:szCs w:val="20"/>
          <w:color w:val="auto"/>
        </w:rPr>
        <w:t>WHEREAS, the Company and the New Stockholders desire to execute this Supplemental Agreement pursuant to Section 9.1 of the Stockholders Agreement in order that the New Stockholders may be a party to the Stockholders Agreement.</w:t>
      </w:r>
    </w:p>
    <w:p>
      <w:pPr>
        <w:spacing w:after="0" w:line="151" w:lineRule="exact"/>
        <w:rPr>
          <w:sz w:val="20"/>
          <w:szCs w:val="20"/>
          <w:color w:val="auto"/>
        </w:rPr>
      </w:pPr>
    </w:p>
    <w:p>
      <w:pPr>
        <w:jc w:val="both"/>
        <w:ind w:left="200" w:right="219" w:firstLine="614"/>
        <w:spacing w:after="0" w:line="278" w:lineRule="auto"/>
        <w:rPr>
          <w:sz w:val="20"/>
          <w:szCs w:val="20"/>
          <w:color w:val="auto"/>
        </w:rPr>
      </w:pPr>
      <w:r>
        <w:rPr>
          <w:rFonts w:ascii="Times New Roman" w:cs="Times New Roman" w:eastAsia="Times New Roman" w:hAnsi="Times New Roman"/>
          <w:sz w:val="20"/>
          <w:szCs w:val="20"/>
          <w:color w:val="auto"/>
        </w:rPr>
        <w:t>NOW THEREFORE, in consideration of the foregoing and the agreements set forth below, the parties hereto agree as follows:</w:t>
      </w:r>
    </w:p>
    <w:p>
      <w:pPr>
        <w:spacing w:after="0" w:line="132" w:lineRule="exact"/>
        <w:rPr>
          <w:sz w:val="20"/>
          <w:szCs w:val="20"/>
          <w:color w:val="auto"/>
        </w:rPr>
      </w:pPr>
    </w:p>
    <w:p>
      <w:pPr>
        <w:jc w:val="both"/>
        <w:ind w:left="200" w:right="219" w:firstLine="618"/>
        <w:spacing w:after="0" w:line="252" w:lineRule="auto"/>
        <w:tabs>
          <w:tab w:leader="none" w:pos="142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by the New Stockholders</w:t>
      </w:r>
      <w:r>
        <w:rPr>
          <w:rFonts w:ascii="Times New Roman" w:cs="Times New Roman" w:eastAsia="Times New Roman" w:hAnsi="Times New Roman"/>
          <w:sz w:val="20"/>
          <w:szCs w:val="20"/>
          <w:color w:val="auto"/>
        </w:rPr>
        <w:t>. By executing this agreement, the New Stockholders hereby agree to be bound, as a party to the Stockholder Agreement, to all of the provisions of the Stockholder Agreement applicable to a Stockholder, in the same manner as if each of the New Stockholders had executed the Stockholder Agreement.</w:t>
      </w:r>
    </w:p>
    <w:p>
      <w:pPr>
        <w:spacing w:after="0" w:line="159" w:lineRule="exact"/>
        <w:rPr>
          <w:rFonts w:ascii="Times New Roman" w:cs="Times New Roman" w:eastAsia="Times New Roman" w:hAnsi="Times New Roman"/>
          <w:sz w:val="20"/>
          <w:szCs w:val="20"/>
          <w:color w:val="auto"/>
        </w:rPr>
      </w:pPr>
    </w:p>
    <w:p>
      <w:pPr>
        <w:ind w:left="1440" w:hanging="622"/>
        <w:spacing w:after="0"/>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by the Company</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820" w:right="219" w:hanging="2"/>
        <w:spacing w:after="0" w:line="259" w:lineRule="auto"/>
        <w:tabs>
          <w:tab w:leader="none" w:pos="143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accepts each of the New Stockholders as a party to the Stockholders Agreement with all of the rights and privileges, and subject to all of the obligations, to which a Stockholder is entitled or subject to under the Stockholders Agreement.</w:t>
      </w:r>
    </w:p>
    <w:p>
      <w:pPr>
        <w:spacing w:after="0" w:line="150" w:lineRule="exact"/>
        <w:rPr>
          <w:rFonts w:ascii="Times New Roman" w:cs="Times New Roman" w:eastAsia="Times New Roman" w:hAnsi="Times New Roman"/>
          <w:sz w:val="20"/>
          <w:szCs w:val="20"/>
          <w:color w:val="auto"/>
        </w:rPr>
      </w:pPr>
    </w:p>
    <w:p>
      <w:pPr>
        <w:jc w:val="both"/>
        <w:ind w:left="820" w:right="219" w:hanging="2"/>
        <w:spacing w:after="0" w:line="247" w:lineRule="auto"/>
        <w:tabs>
          <w:tab w:leader="none" w:pos="143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within six months from the date hereof, the Company consummates a merger, reclassification or consolidation (but for the avoidance of doubt, excluding any acquisition of Common Stock pursuant to any share buyback, tender offer or otherwise) (the “</w:t>
      </w:r>
      <w:r>
        <w:rPr>
          <w:rFonts w:ascii="Times New Roman" w:cs="Times New Roman" w:eastAsia="Times New Roman" w:hAnsi="Times New Roman"/>
          <w:sz w:val="20"/>
          <w:szCs w:val="20"/>
          <w:u w:val="single" w:color="auto"/>
          <w:color w:val="auto"/>
        </w:rPr>
        <w:t>Merger</w:t>
      </w:r>
      <w:r>
        <w:rPr>
          <w:rFonts w:ascii="Times New Roman" w:cs="Times New Roman" w:eastAsia="Times New Roman" w:hAnsi="Times New Roman"/>
          <w:sz w:val="20"/>
          <w:szCs w:val="20"/>
          <w:color w:val="auto"/>
        </w:rPr>
        <w:t>”), and in connection with such consummation of the Merger, upon the written request of FS, the Company agrees to adopt the resolutions substantially in the form attached hereto as Exhibit A prior to the consummation of such Merger .</w:t>
      </w:r>
    </w:p>
    <w:p>
      <w:pPr>
        <w:spacing w:after="0" w:line="166" w:lineRule="exact"/>
        <w:rPr>
          <w:sz w:val="20"/>
          <w:szCs w:val="20"/>
          <w:color w:val="auto"/>
        </w:rPr>
      </w:pPr>
    </w:p>
    <w:p>
      <w:pPr>
        <w:jc w:val="both"/>
        <w:ind w:left="200" w:right="219" w:firstLine="618"/>
        <w:spacing w:after="0" w:line="252" w:lineRule="auto"/>
        <w:tabs>
          <w:tab w:leader="none" w:pos="142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rights and obligations of the parties hereunder and the parties subject hereto shall be governed by, and construed and interpreted in accordance with, the law of the state of Delaware, without giving effect to any contrary result otherwise required under applicable choice of law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621030</wp:posOffset>
            </wp:positionV>
            <wp:extent cx="5466080"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5466080" cy="2413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53" w:name="page54"/>
    <w:bookmarkEnd w:id="53"/>
    <w:p>
      <w:pPr>
        <w:ind w:left="200" w:right="219" w:firstLine="618"/>
        <w:spacing w:after="0" w:line="278" w:lineRule="auto"/>
        <w:tabs>
          <w:tab w:leader="none" w:pos="142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counterparts, each of which shall be deemed an original but all of which shall constitute one and the same Agreement.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remainder of this page intentionally left blank.</w:t>
      </w:r>
      <w:r>
        <w:rPr>
          <w:rFonts w:ascii="Times New Roman" w:cs="Times New Roman" w:eastAsia="Times New Roman" w:hAnsi="Times New Roman"/>
          <w:sz w:val="20"/>
          <w:szCs w:val="20"/>
          <w:color w:val="auto"/>
        </w:rPr>
        <w:t>]</w:t>
      </w:r>
    </w:p>
    <w:p>
      <w:pPr>
        <w:spacing w:after="0" w:line="36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487045</wp:posOffset>
            </wp:positionV>
            <wp:extent cx="5466080"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466080" cy="2413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200" w:right="219" w:firstLine="614"/>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undersigned have executed this Supplemental Agreement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date first set forth above.</w:t>
      </w:r>
    </w:p>
    <w:p>
      <w:pPr>
        <w:spacing w:after="0" w:line="1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EL POLLO LOCO HOLDINGS, INC.</w:t>
      </w:r>
    </w:p>
    <w:p>
      <w:pPr>
        <w:spacing w:after="0" w:line="25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By: /s/ Anne Jollay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16510</wp:posOffset>
            </wp:positionV>
            <wp:extent cx="16814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Name: Anne Jollay</w:t>
      </w:r>
    </w:p>
    <w:p>
      <w:pPr>
        <w:spacing w:after="0" w:line="22" w:lineRule="exact"/>
        <w:rPr>
          <w:sz w:val="20"/>
          <w:szCs w:val="20"/>
          <w:color w:val="auto"/>
        </w:rPr>
      </w:pPr>
    </w:p>
    <w:p>
      <w:pPr>
        <w:ind w:left="3940"/>
        <w:spacing w:after="0"/>
        <w:tabs>
          <w:tab w:leader="none" w:pos="4580" w:val="left"/>
          <w:tab w:leader="none" w:pos="5200" w:val="left"/>
          <w:tab w:leader="none" w:pos="5840" w:val="left"/>
        </w:tabs>
        <w:rPr>
          <w:sz w:val="20"/>
          <w:szCs w:val="20"/>
          <w:color w:val="auto"/>
        </w:rPr>
      </w:pPr>
      <w:r>
        <w:rPr>
          <w:rFonts w:ascii="Times New Roman" w:cs="Times New Roman" w:eastAsia="Times New Roman" w:hAnsi="Times New Roman"/>
          <w:sz w:val="20"/>
          <w:szCs w:val="20"/>
          <w:color w:val="auto"/>
        </w:rPr>
        <w:t>Tittle:</w:t>
        <w:tab/>
        <w:t>Chief</w:t>
        <w:tab/>
        <w:t>Legal</w:t>
        <w:tab/>
        <w:t>Officer,</w:t>
      </w:r>
    </w:p>
    <w:p>
      <w:pPr>
        <w:ind w:left="3940"/>
        <w:spacing w:after="0"/>
        <w:rPr>
          <w:sz w:val="20"/>
          <w:szCs w:val="20"/>
          <w:color w:val="auto"/>
        </w:rPr>
      </w:pPr>
      <w:r>
        <w:rPr>
          <w:rFonts w:ascii="Times New Roman" w:cs="Times New Roman" w:eastAsia="Times New Roman" w:hAnsi="Times New Roman"/>
          <w:sz w:val="20"/>
          <w:szCs w:val="20"/>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FS EQUITY PARTNERS V, L.P.</w:t>
      </w:r>
    </w:p>
    <w:p>
      <w:pPr>
        <w:spacing w:after="0" w:line="2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FS CAPITAL PARTNERS V, LLC</w:t>
      </w:r>
    </w:p>
    <w:p>
      <w:pPr>
        <w:spacing w:after="0" w:line="2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By: /s/ 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16510</wp:posOffset>
            </wp:positionV>
            <wp:extent cx="16814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Name: John M Roth</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FS AFFILIATES V, L.P.</w:t>
      </w:r>
    </w:p>
    <w:p>
      <w:pPr>
        <w:spacing w:after="0" w:line="2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FS CAPITAL PARTNERS V, LLC</w:t>
      </w:r>
    </w:p>
    <w:p>
      <w:pPr>
        <w:spacing w:after="0" w:line="23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By: /s/ 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16510</wp:posOffset>
            </wp:positionV>
            <wp:extent cx="16814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Name: John M Roth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487045</wp:posOffset>
            </wp:positionV>
            <wp:extent cx="5466080"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466080" cy="2413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5" w:name="page56"/>
    <w:bookmarkEnd w:id="55"/>
    <w:p>
      <w:pPr>
        <w:ind w:left="8000"/>
        <w:spacing w:after="0"/>
        <w:rPr>
          <w:sz w:val="20"/>
          <w:szCs w:val="20"/>
          <w:color w:val="auto"/>
        </w:rPr>
      </w:pPr>
      <w:r>
        <w:rPr>
          <w:rFonts w:ascii="Times New Roman" w:cs="Times New Roman" w:eastAsia="Times New Roman" w:hAnsi="Times New Roman"/>
          <w:sz w:val="20"/>
          <w:szCs w:val="20"/>
          <w:color w:val="auto"/>
        </w:rPr>
        <w:t>Exhibit A</w:t>
      </w:r>
    </w:p>
    <w:p>
      <w:pPr>
        <w:spacing w:after="0" w:line="227"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has determined that the disposition of shares of [Company Stock,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Stock Options, Company Restricted Shares, Company RSUs, Company PSUs and Company SARs] held by each of the persons listed in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hereto (who are officers, directors (including “directors by deputization”) and other employees of the Company) (“</w:t>
      </w:r>
      <w:r>
        <w:rPr>
          <w:rFonts w:ascii="Times New Roman" w:cs="Times New Roman" w:eastAsia="Times New Roman" w:hAnsi="Times New Roman"/>
          <w:sz w:val="20"/>
          <w:szCs w:val="20"/>
          <w:b w:val="1"/>
          <w:bCs w:val="1"/>
          <w:i w:val="1"/>
          <w:iCs w:val="1"/>
          <w:color w:val="auto"/>
        </w:rPr>
        <w:t>Company Insiders</w:t>
      </w:r>
      <w:r>
        <w:rPr>
          <w:rFonts w:ascii="Times New Roman" w:cs="Times New Roman" w:eastAsia="Times New Roman" w:hAnsi="Times New Roman"/>
          <w:sz w:val="20"/>
          <w:szCs w:val="20"/>
          <w:color w:val="auto"/>
        </w:rPr>
        <w:t>”) pursuant to the Merger should have the benefit of an exemption from Section 16 of the Exchange Act.</w:t>
      </w:r>
    </w:p>
    <w:p>
      <w:pPr>
        <w:spacing w:after="0" w:line="184"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is aware that John Roth has relationships with affiliates (such affiliates, the “FS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Sponsor Entities”) of [FS Funds that hold the shares] (the “FS Funds”), and that Mr. Roth and the FS Sponsor Entities have certain direct or indirect pecuniary interests in the [</w:t>
      </w:r>
      <w:r>
        <w:rPr>
          <w:rFonts w:ascii="Times New Roman" w:cs="Times New Roman" w:eastAsia="Times New Roman" w:hAnsi="Times New Roman"/>
          <w:sz w:val="20"/>
          <w:szCs w:val="20"/>
          <w:i w:val="1"/>
          <w:iCs w:val="1"/>
          <w:color w:val="auto"/>
        </w:rPr>
        <w:t>list relevant securities</w:t>
      </w:r>
      <w:r>
        <w:rPr>
          <w:rFonts w:ascii="Times New Roman" w:cs="Times New Roman" w:eastAsia="Times New Roman" w:hAnsi="Times New Roman"/>
          <w:sz w:val="20"/>
          <w:szCs w:val="20"/>
          <w:color w:val="auto"/>
        </w:rPr>
        <w:t>] held through the FS Funds, and that the FS Sponsor Entities (including, for the avoidance of doubt, the FS Funds) are “directors by deputization” of the Company for purposes of Section 16 under the Securities Exchange Act of 1934 (as amended, the “Exchange Act”) by virtue of such relationships.</w:t>
      </w:r>
    </w:p>
    <w:p>
      <w:pPr>
        <w:spacing w:after="0" w:line="186"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0"/>
          <w:szCs w:val="20"/>
          <w:b w:val="1"/>
          <w:bCs w:val="1"/>
          <w:color w:val="auto"/>
        </w:rPr>
        <w:t>NOW, THEREFORE, BE IT RESOLVED</w:t>
      </w:r>
      <w:r>
        <w:rPr>
          <w:rFonts w:ascii="Times New Roman" w:cs="Times New Roman" w:eastAsia="Times New Roman" w:hAnsi="Times New Roman"/>
          <w:sz w:val="20"/>
          <w:szCs w:val="20"/>
          <w:color w:val="auto"/>
        </w:rPr>
        <w:t>, that the Board hereby approves the disposition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Merger of the shares of [Company Stock, Company Stock Options, Company Restricted Shares, Company RSUs, Company PSUs and Company SARs] held by each of the Company Insiders named in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hereto, pursuant to and in accordance with the terms of the Merger Agreement and approves any and all other transactions involving the Company Insiders relating to the Merger that may be considered “acquisitions” or “dispositions” by such persons under Section 16 of the Exchange Act.</w:t>
      </w:r>
    </w:p>
    <w:p>
      <w:pPr>
        <w:spacing w:after="0" w:line="186"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0"/>
          <w:szCs w:val="20"/>
          <w:b w:val="1"/>
          <w:bCs w:val="1"/>
          <w:color w:val="auto"/>
        </w:rPr>
        <w:t>RESOLVED, FURTHER</w:t>
      </w:r>
      <w:r>
        <w:rPr>
          <w:rFonts w:ascii="Times New Roman" w:cs="Times New Roman" w:eastAsia="Times New Roman" w:hAnsi="Times New Roman"/>
          <w:sz w:val="20"/>
          <w:szCs w:val="20"/>
          <w:color w:val="auto"/>
        </w:rPr>
        <w:t>, that the foregoing approval of the disposition of the shares of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Stock, Company Stock Options, Company Restricted Stock, Company RSUs, Company PSUs and Company SARs] held by the Company Insiders named in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in connection with the Merger is intended to exempt such dispositions and any related transactions from Section 16(b) under the Exchange Act, as provided for in Rule 16b-3 promulgated under the Exchange Act, including with respect to the disposition of direct or indirect pecuniary interests of Mr. Roth and the FS Sponsor Entities in the Shares held through the FS Funds.</w:t>
      </w:r>
    </w:p>
    <w:p>
      <w:pPr>
        <w:spacing w:after="0" w:line="34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487045</wp:posOffset>
            </wp:positionV>
            <wp:extent cx="5466080"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5466080" cy="2413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Annex I</w:t>
      </w:r>
    </w:p>
    <w:p>
      <w:pPr>
        <w:spacing w:after="0" w:line="235" w:lineRule="exact"/>
        <w:rPr>
          <w:sz w:val="20"/>
          <w:szCs w:val="20"/>
          <w:color w:val="auto"/>
        </w:rPr>
      </w:pPr>
    </w:p>
    <w:p>
      <w:pPr>
        <w:ind w:left="820" w:right="559" w:hanging="309"/>
        <w:spacing w:after="0" w:line="251" w:lineRule="auto"/>
        <w:tabs>
          <w:tab w:leader="none" w:pos="8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FS Equity Partners V, L.P., FS Affiliates V, L.P., Mr. John Roth and their respective Affiliates that are Company Insiders</w:t>
      </w:r>
    </w:p>
    <w:p>
      <w:pPr>
        <w:spacing w:after="0" w:line="1" w:lineRule="exact"/>
        <w:rPr>
          <w:rFonts w:ascii="Times New Roman" w:cs="Times New Roman" w:eastAsia="Times New Roman" w:hAnsi="Times New Roman"/>
          <w:sz w:val="19"/>
          <w:szCs w:val="19"/>
          <w:color w:val="auto"/>
        </w:rPr>
      </w:pPr>
    </w:p>
    <w:p>
      <w:pPr>
        <w:ind w:left="820" w:hanging="309"/>
        <w:spacing w:after="0"/>
        <w:tabs>
          <w:tab w:leader="none" w:pos="8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Others – to be determined in the Company’s sole discretion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506095</wp:posOffset>
            </wp:positionV>
            <wp:extent cx="5466080"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5466080" cy="24130"/>
                    </a:xfrm>
                    <a:prstGeom prst="rect">
                      <a:avLst/>
                    </a:prstGeom>
                    <a:noFill/>
                  </pic:spPr>
                </pic:pic>
              </a:graphicData>
            </a:graphic>
          </wp:anchor>
        </w:drawing>
      </w:r>
    </w:p>
    <w:p>
      <w:pPr>
        <w:sectPr>
          <w:pgSz w:w="11900" w:h="16838" w:orient="portrait"/>
          <w:cols w:equalWidth="0" w:num="1">
            <w:col w:w="9019"/>
          </w:cols>
          <w:pgMar w:left="1440" w:top="1082"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Laurance Roberts, certify that:</w:t>
      </w:r>
    </w:p>
    <w:p>
      <w:pPr>
        <w:spacing w:after="0" w:line="252" w:lineRule="exact"/>
        <w:rPr>
          <w:sz w:val="20"/>
          <w:szCs w:val="20"/>
          <w:color w:val="auto"/>
        </w:rPr>
      </w:pPr>
    </w:p>
    <w:p>
      <w:pPr>
        <w:ind w:left="180" w:hanging="179"/>
        <w:spacing w:after="0"/>
        <w:tabs>
          <w:tab w:leader="none" w:pos="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El Pollo Loco Holdings, Inc.;</w:t>
      </w:r>
    </w:p>
    <w:p>
      <w:pPr>
        <w:spacing w:after="0" w:line="252" w:lineRule="exact"/>
        <w:rPr>
          <w:rFonts w:ascii="Times New Roman" w:cs="Times New Roman" w:eastAsia="Times New Roman" w:hAnsi="Times New Roman"/>
          <w:sz w:val="17"/>
          <w:szCs w:val="17"/>
          <w:color w:val="auto"/>
        </w:rPr>
      </w:pPr>
    </w:p>
    <w:p>
      <w:pPr>
        <w:ind w:right="140" w:firstLine="1"/>
        <w:spacing w:after="0" w:line="314" w:lineRule="auto"/>
        <w:tabs>
          <w:tab w:leader="none" w:pos="17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7"/>
          <w:szCs w:val="17"/>
          <w:color w:val="auto"/>
        </w:rPr>
      </w:pPr>
    </w:p>
    <w:p>
      <w:pPr>
        <w:ind w:right="120" w:firstLine="1"/>
        <w:spacing w:after="0" w:line="330" w:lineRule="auto"/>
        <w:tabs>
          <w:tab w:leader="none" w:pos="17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7"/>
          <w:szCs w:val="17"/>
          <w:color w:val="auto"/>
        </w:rPr>
      </w:pPr>
    </w:p>
    <w:p>
      <w:pPr>
        <w:ind w:left="180" w:hanging="179"/>
        <w:spacing w:after="0"/>
        <w:tabs>
          <w:tab w:leader="none" w:pos="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w:t>
      </w:r>
    </w:p>
    <w:p>
      <w:pPr>
        <w:spacing w:after="0" w:line="6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defined in Exchange Act Rules 13a–15(e) and 15d–15(e)) and internal control over financial reporting (as defined in Exchange Act Rules</w:t>
      </w:r>
    </w:p>
    <w:p>
      <w:pPr>
        <w:spacing w:after="0" w:line="4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13a-15(f) and 15d-15(f)) for the registrant and have:</w:t>
      </w:r>
    </w:p>
    <w:p>
      <w:pPr>
        <w:spacing w:after="0" w:line="150" w:lineRule="exact"/>
        <w:rPr>
          <w:sz w:val="20"/>
          <w:szCs w:val="20"/>
          <w:color w:val="auto"/>
        </w:rPr>
      </w:pPr>
    </w:p>
    <w:p>
      <w:pPr>
        <w:ind w:right="100" w:firstLine="1"/>
        <w:spacing w:after="0" w:line="314" w:lineRule="auto"/>
        <w:tabs>
          <w:tab w:leader="none" w:pos="23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7"/>
          <w:szCs w:val="17"/>
          <w:color w:val="auto"/>
        </w:rPr>
      </w:pPr>
    </w:p>
    <w:p>
      <w:pPr>
        <w:ind w:firstLine="1"/>
        <w:spacing w:after="0" w:line="314" w:lineRule="auto"/>
        <w:tabs>
          <w:tab w:leader="none" w:pos="24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jc w:val="both"/>
        <w:ind w:right="220" w:firstLine="1"/>
        <w:spacing w:after="0" w:line="314" w:lineRule="auto"/>
        <w:tabs>
          <w:tab w:leader="none" w:pos="23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Times New Roman" w:cs="Times New Roman" w:eastAsia="Times New Roman" w:hAnsi="Times New Roman"/>
          <w:sz w:val="17"/>
          <w:szCs w:val="17"/>
          <w:color w:val="auto"/>
        </w:rPr>
      </w:pPr>
    </w:p>
    <w:p>
      <w:pPr>
        <w:ind w:right="20" w:firstLine="1"/>
        <w:spacing w:after="0" w:line="309" w:lineRule="auto"/>
        <w:tabs>
          <w:tab w:leader="none" w:pos="24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(as defined in Exchange Act Rules 13a– 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20" w:firstLine="1"/>
        <w:spacing w:after="0" w:line="314" w:lineRule="auto"/>
        <w:tabs>
          <w:tab w:leader="none" w:pos="17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sz w:val="20"/>
          <w:szCs w:val="20"/>
          <w:color w:val="auto"/>
        </w:rPr>
      </w:pPr>
    </w:p>
    <w:p>
      <w:pPr>
        <w:ind w:right="180" w:firstLine="1"/>
        <w:spacing w:after="0" w:line="330" w:lineRule="auto"/>
        <w:tabs>
          <w:tab w:leader="none" w:pos="23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7"/>
          <w:szCs w:val="17"/>
          <w:color w:val="auto"/>
        </w:rPr>
      </w:pPr>
    </w:p>
    <w:p>
      <w:pPr>
        <w:ind w:right="440" w:firstLine="1"/>
        <w:spacing w:after="0" w:line="346" w:lineRule="auto"/>
        <w:tabs>
          <w:tab w:leader="none" w:pos="24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4, 2022</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9696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5969635" cy="825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Laurance Roberts</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606425</wp:posOffset>
            </wp:positionV>
            <wp:extent cx="596963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969635" cy="16510"/>
                    </a:xfrm>
                    <a:prstGeom prst="rect">
                      <a:avLst/>
                    </a:prstGeom>
                    <a:noFill/>
                  </pic:spPr>
                </pic:pic>
              </a:graphicData>
            </a:graphic>
          </wp:anchor>
        </w:drawing>
      </w:r>
    </w:p>
    <w:p>
      <w:pPr>
        <w:sectPr>
          <w:pgSz w:w="11900" w:h="16838" w:orient="portrait"/>
          <w:cols w:equalWidth="0" w:num="1">
            <w:col w:w="9400"/>
          </w:cols>
          <w:pgMar w:left="1240" w:top="388" w:right="12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Ira Fils, certify that:</w:t>
      </w:r>
    </w:p>
    <w:p>
      <w:pPr>
        <w:spacing w:after="0" w:line="252" w:lineRule="exact"/>
        <w:rPr>
          <w:sz w:val="20"/>
          <w:szCs w:val="20"/>
          <w:color w:val="auto"/>
        </w:rPr>
      </w:pPr>
    </w:p>
    <w:p>
      <w:pPr>
        <w:ind w:left="180" w:hanging="179"/>
        <w:spacing w:after="0"/>
        <w:tabs>
          <w:tab w:leader="none" w:pos="1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El Pollo Loco Holdings, Inc.;</w:t>
      </w:r>
    </w:p>
    <w:p>
      <w:pPr>
        <w:spacing w:after="0" w:line="252" w:lineRule="exact"/>
        <w:rPr>
          <w:rFonts w:ascii="Times New Roman" w:cs="Times New Roman" w:eastAsia="Times New Roman" w:hAnsi="Times New Roman"/>
          <w:sz w:val="17"/>
          <w:szCs w:val="17"/>
          <w:color w:val="auto"/>
        </w:rPr>
      </w:pPr>
    </w:p>
    <w:p>
      <w:pPr>
        <w:ind w:right="140" w:firstLine="1"/>
        <w:spacing w:after="0" w:line="314" w:lineRule="auto"/>
        <w:tabs>
          <w:tab w:leader="none" w:pos="17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7"/>
          <w:szCs w:val="17"/>
          <w:color w:val="auto"/>
        </w:rPr>
      </w:pPr>
    </w:p>
    <w:p>
      <w:pPr>
        <w:ind w:right="120" w:firstLine="1"/>
        <w:spacing w:after="0" w:line="330" w:lineRule="auto"/>
        <w:tabs>
          <w:tab w:leader="none" w:pos="17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7"/>
          <w:szCs w:val="17"/>
          <w:color w:val="auto"/>
        </w:rPr>
      </w:pPr>
    </w:p>
    <w:p>
      <w:pPr>
        <w:ind w:left="180" w:hanging="179"/>
        <w:spacing w:after="0"/>
        <w:tabs>
          <w:tab w:leader="none" w:pos="1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w:t>
      </w:r>
    </w:p>
    <w:p>
      <w:pPr>
        <w:spacing w:after="0" w:line="6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defined in Exchange Act Rules 13a–15(e) and 15d–15(e)) and internal control over financial reporting (as defined in Exchange Act Rules</w:t>
      </w:r>
    </w:p>
    <w:p>
      <w:pPr>
        <w:spacing w:after="0" w:line="4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13a-15(f) and 15d-15(f)) for the registrant and have:</w:t>
      </w:r>
    </w:p>
    <w:p>
      <w:pPr>
        <w:spacing w:after="0" w:line="150" w:lineRule="exact"/>
        <w:rPr>
          <w:sz w:val="20"/>
          <w:szCs w:val="20"/>
          <w:color w:val="auto"/>
        </w:rPr>
      </w:pPr>
    </w:p>
    <w:p>
      <w:pPr>
        <w:ind w:right="100" w:firstLine="1"/>
        <w:spacing w:after="0" w:line="314" w:lineRule="auto"/>
        <w:tabs>
          <w:tab w:leader="none" w:pos="23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7"/>
          <w:szCs w:val="17"/>
          <w:color w:val="auto"/>
        </w:rPr>
      </w:pPr>
    </w:p>
    <w:p>
      <w:pPr>
        <w:ind w:firstLine="1"/>
        <w:spacing w:after="0" w:line="314" w:lineRule="auto"/>
        <w:tabs>
          <w:tab w:leader="none" w:pos="24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jc w:val="both"/>
        <w:ind w:right="220" w:firstLine="1"/>
        <w:spacing w:after="0" w:line="314" w:lineRule="auto"/>
        <w:tabs>
          <w:tab w:leader="none" w:pos="23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Times New Roman" w:cs="Times New Roman" w:eastAsia="Times New Roman" w:hAnsi="Times New Roman"/>
          <w:sz w:val="17"/>
          <w:szCs w:val="17"/>
          <w:color w:val="auto"/>
        </w:rPr>
      </w:pPr>
    </w:p>
    <w:p>
      <w:pPr>
        <w:ind w:right="20" w:firstLine="1"/>
        <w:spacing w:after="0" w:line="309" w:lineRule="auto"/>
        <w:tabs>
          <w:tab w:leader="none" w:pos="24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(as defined in Exchange Act Rules 13a– 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20" w:firstLine="1"/>
        <w:spacing w:after="0" w:line="314" w:lineRule="auto"/>
        <w:tabs>
          <w:tab w:leader="none" w:pos="17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sz w:val="20"/>
          <w:szCs w:val="20"/>
          <w:color w:val="auto"/>
        </w:rPr>
      </w:pPr>
    </w:p>
    <w:p>
      <w:pPr>
        <w:ind w:right="180" w:firstLine="1"/>
        <w:spacing w:after="0" w:line="330" w:lineRule="auto"/>
        <w:tabs>
          <w:tab w:leader="none" w:pos="23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7"/>
          <w:szCs w:val="17"/>
          <w:color w:val="auto"/>
        </w:rPr>
      </w:pPr>
    </w:p>
    <w:p>
      <w:pPr>
        <w:ind w:right="440" w:firstLine="1"/>
        <w:spacing w:after="0" w:line="346" w:lineRule="auto"/>
        <w:tabs>
          <w:tab w:leader="none" w:pos="24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4, 2022</w:t>
      </w:r>
    </w:p>
    <w:p>
      <w:pPr>
        <w:spacing w:after="0" w:line="2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24130</wp:posOffset>
            </wp:positionV>
            <wp:extent cx="59372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5937250" cy="8255"/>
                    </a:xfrm>
                    <a:prstGeom prst="rect">
                      <a:avLst/>
                    </a:prstGeom>
                    <a:noFill/>
                  </pic:spPr>
                </pic:pic>
              </a:graphicData>
            </a:graphic>
          </wp:anchor>
        </w:drawing>
      </w:r>
    </w:p>
    <w:p>
      <w:pPr>
        <w:spacing w:after="0" w:line="2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Ira Fils</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638810</wp:posOffset>
            </wp:positionV>
            <wp:extent cx="596963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5969635" cy="16510"/>
                    </a:xfrm>
                    <a:prstGeom prst="rect">
                      <a:avLst/>
                    </a:prstGeom>
                    <a:noFill/>
                  </pic:spPr>
                </pic:pic>
              </a:graphicData>
            </a:graphic>
          </wp:anchor>
        </w:drawing>
      </w:r>
    </w:p>
    <w:p>
      <w:pPr>
        <w:sectPr>
          <w:pgSz w:w="11900" w:h="16838" w:orient="portrait"/>
          <w:cols w:equalWidth="0" w:num="1">
            <w:col w:w="9400"/>
          </w:cols>
          <w:pgMar w:left="1240" w:top="388" w:right="12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252" w:lineRule="exact"/>
        <w:rPr>
          <w:sz w:val="20"/>
          <w:szCs w:val="20"/>
          <w:color w:val="auto"/>
        </w:rPr>
      </w:pPr>
    </w:p>
    <w:p>
      <w:pPr>
        <w:jc w:val="both"/>
        <w:ind w:right="400"/>
        <w:spacing w:after="0" w:line="309" w:lineRule="auto"/>
        <w:rPr>
          <w:sz w:val="20"/>
          <w:szCs w:val="20"/>
          <w:color w:val="auto"/>
        </w:rPr>
      </w:pPr>
      <w:r>
        <w:rPr>
          <w:rFonts w:ascii="Times New Roman" w:cs="Times New Roman" w:eastAsia="Times New Roman" w:hAnsi="Times New Roman"/>
          <w:sz w:val="17"/>
          <w:szCs w:val="17"/>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4, 2022</w:t>
      </w:r>
    </w:p>
    <w:p>
      <w:pPr>
        <w:spacing w:after="0" w:line="2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16510</wp:posOffset>
            </wp:positionV>
            <wp:extent cx="59372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5937250" cy="8255"/>
                    </a:xfrm>
                    <a:prstGeom prst="rect">
                      <a:avLst/>
                    </a:prstGeom>
                    <a:noFill/>
                  </pic:spPr>
                </pic:pic>
              </a:graphicData>
            </a:graphic>
          </wp:anchor>
        </w:drawing>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Laurance Roberts</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16510</wp:posOffset>
            </wp:positionV>
            <wp:extent cx="59372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5937250" cy="8255"/>
                    </a:xfrm>
                    <a:prstGeom prst="rect">
                      <a:avLst/>
                    </a:prstGeom>
                    <a:noFill/>
                  </pic:spPr>
                </pic:pic>
              </a:graphicData>
            </a:graphic>
          </wp:anchor>
        </w:drawing>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Ira Fils</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630555</wp:posOffset>
            </wp:positionV>
            <wp:extent cx="5969635"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969635" cy="24130"/>
                    </a:xfrm>
                    <a:prstGeom prst="rect">
                      <a:avLst/>
                    </a:prstGeom>
                    <a:noFill/>
                  </pic:spPr>
                </pic:pic>
              </a:graphicData>
            </a:graphic>
          </wp:anchor>
        </w:drawing>
      </w:r>
    </w:p>
    <w:sectPr>
      <w:pgSz w:w="11900" w:h="16838" w:orient="portrait"/>
      <w:cols w:equalWidth="0" w:num="1">
        <w:col w:w="9400"/>
      </w:cols>
      <w:pgMar w:left="1240" w:top="388"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0"/>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lowerLetter"/>
      <w:start w:val="4"/>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decimal"/>
      <w:start w:val="3"/>
    </w:lvl>
  </w:abstractNum>
  <w:abstractNum w:abstractNumId="20">
    <w:nsid w:val="4353D0CD"/>
    <w:multiLevelType w:val="hybridMultilevel"/>
    <w:lvl w:ilvl="0">
      <w:lvlJc w:val="left"/>
      <w:lvlText w:val="%1."/>
      <w:numFmt w:val="decimal"/>
      <w:start w:val="4"/>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5"/>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5"/>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63" Type="http://schemas.openxmlformats.org/officeDocument/2006/relationships/hyperlink" Target="https://www.sec.gov/Archives/edgar/data/1606366/000119312514332367/d779664dex31.htm" TargetMode="External"/><Relationship Id="rId64" Type="http://schemas.openxmlformats.org/officeDocument/2006/relationships/hyperlink" Target="https://www.sec.gov/Archives/edgar/data/1606366/000119312514332367/d779664dex32.htm" TargetMode="External"/><Relationship Id="rId65" Type="http://schemas.openxmlformats.org/officeDocument/2006/relationships/hyperlink" Target="https://www.sec.gov/Archives/edgar/data/1606366/000160636622000042/loco-20220615ex1016f5c59.htm" TargetMode="External"/><Relationship Id="rId66" Type="http://schemas.openxmlformats.org/officeDocument/2006/relationships/hyperlink" Target="https://www.sec.gov/Archives/edgar/data/1606366/000160636622000044/loco-20220628ex10170ac6b.htm" TargetMode="External"/><Relationship Id="rId67" Type="http://schemas.openxmlformats.org/officeDocument/2006/relationships/hyperlink" Target="https://www.sec.gov/Archives/edgar/data/0001606366/000155837022011677/loco-20220802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2022-11-04T12:07:17Z</dcterms:created>
  <dcterms:modified xsi:type="dcterms:W3CDTF">2022-11-04T12:07:17Z</dcterms:modified>
</cp:coreProperties>
</file>