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26, 2026</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EL POLLO LOCO HOLDINGS,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c>
          <w:tcPr>
            <w:tcW w:w="300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w w:val="99"/>
              </w:rPr>
              <w:t>001-36556</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20-3563182</w:t>
            </w:r>
          </w:p>
        </w:tc>
      </w:tr>
      <w:tr>
        <w:trPr>
          <w:trHeight w:val="191"/>
        </w:trPr>
        <w:tc>
          <w:tcPr>
            <w:tcW w:w="5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000" w:type="dxa"/>
            <w:vAlign w:val="bottom"/>
            <w:tcBorders>
              <w:top w:val="single" w:sz="8" w:color="auto"/>
            </w:tcBorders>
          </w:tcPr>
          <w:p>
            <w:pPr>
              <w:jc w:val="center"/>
              <w:ind w:right="17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3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3000" w:type="dxa"/>
            <w:vAlign w:val="bottom"/>
          </w:tcPr>
          <w:p>
            <w:pPr>
              <w:jc w:val="center"/>
              <w:ind w:right="1670"/>
              <w:spacing w:after="0"/>
              <w:rPr>
                <w:sz w:val="20"/>
                <w:szCs w:val="20"/>
                <w:color w:val="auto"/>
              </w:rPr>
            </w:pPr>
            <w:r>
              <w:rPr>
                <w:rFonts w:ascii="Times New Roman" w:cs="Times New Roman" w:eastAsia="Times New Roman" w:hAnsi="Times New Roman"/>
                <w:sz w:val="18"/>
                <w:szCs w:val="18"/>
                <w:color w:val="auto"/>
                <w:w w:val="98"/>
              </w:rPr>
              <w:t>File Number)</w:t>
            </w: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32"/>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575 Anton Boulevard, Suite 1100, Costa Mesa, California</w:t>
            </w:r>
          </w:p>
        </w:tc>
        <w:tc>
          <w:tcPr>
            <w:tcW w:w="30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92626</w:t>
            </w:r>
          </w:p>
        </w:tc>
      </w:tr>
      <w:tr>
        <w:trPr>
          <w:trHeight w:val="228"/>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19"/>
                <w:szCs w:val="19"/>
                <w:color w:val="auto"/>
              </w:rPr>
            </w:pPr>
          </w:p>
        </w:tc>
        <w:tc>
          <w:tcPr>
            <w:tcW w:w="3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(714) 599-5000</w:t>
            </w: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420" w:type="dxa"/>
            <w:vAlign w:val="bottom"/>
            <w:tcBorders>
              <w:top w:val="single" w:sz="8" w:color="auto"/>
              <w:left w:val="single" w:sz="8" w:color="auto"/>
              <w:right w:val="single" w:sz="8" w:color="auto"/>
            </w:tcBorders>
          </w:tcPr>
          <w:p>
            <w:pPr>
              <w:spacing w:after="0"/>
              <w:rPr>
                <w:sz w:val="18"/>
                <w:szCs w:val="18"/>
                <w:color w:val="auto"/>
              </w:rPr>
            </w:pP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4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r>
      <w:tr>
        <w:trPr>
          <w:trHeight w:val="209"/>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LOCO</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191"/>
        </w:trPr>
        <w:tc>
          <w:tcPr>
            <w:tcW w:w="44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Rights to Purchase Series A Preferred Stock, par value</w:t>
            </w:r>
          </w:p>
        </w:tc>
        <w:tc>
          <w:tcPr>
            <w:tcW w:w="2680" w:type="dxa"/>
            <w:vAlign w:val="bottom"/>
            <w:tcBorders>
              <w:right w:val="single" w:sz="8" w:color="auto"/>
            </w:tcBorders>
          </w:tcPr>
          <w:p>
            <w:pPr>
              <w:spacing w:after="0"/>
              <w:rPr>
                <w:sz w:val="16"/>
                <w:szCs w:val="16"/>
                <w:color w:val="auto"/>
              </w:rPr>
            </w:pPr>
          </w:p>
        </w:tc>
        <w:tc>
          <w:tcPr>
            <w:tcW w:w="4140" w:type="dxa"/>
            <w:vAlign w:val="bottom"/>
            <w:tcBorders>
              <w:right w:val="single" w:sz="8" w:color="auto"/>
            </w:tcBorders>
          </w:tcPr>
          <w:p>
            <w:pPr>
              <w:spacing w:after="0"/>
              <w:rPr>
                <w:sz w:val="16"/>
                <w:szCs w:val="16"/>
                <w:color w:val="auto"/>
              </w:rPr>
            </w:pPr>
          </w:p>
        </w:tc>
      </w:tr>
      <w:tr>
        <w:trPr>
          <w:trHeight w:val="234"/>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268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ind w:right="46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12b- 2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of Directors of El Pollo Loco Holdings, Inc. (the “Company”) previously approved amending the El Pollo Loco Holdings, Inc. Equity Incentive Plan (the “Equity Incentive Plan”), subject to stockholder approval. As disclosed in Item 5.07 of this Form 8-K, at the Company’s 2026 annual meeting of stockholders (the “Annual Meeting”), the Company’s stockholders approved the amendments to the Equity Incentive Plan that, among other things, increased the number of shares of the Company’s common stock available for award grants under the Equity Incentive Plan by 1,250,000 shares.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amendments to the Equity Incentive Plan is qualified in its entirety by reference to the Equity Incentive Plan, as amended, which is included as Exhibit 10.1 hereto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May 26, 2026, the Company held the Annual Meeting. Of the 30,455,[298][190] shares of common stock outstanding and entitled to vote as of April 2, 2026, the record date for the Annual Meeting, 26,789,139 shares were present in person or represented by proxy, or 87.96%, constituting a quorum. At the Annual Meeting, the Company’s stockholders voted on six proposals, each of which is described in more detail in the Company’s definitive proxy statement on Schedule 14A filed with the Securities and Exchange Commission </w:t>
      </w:r>
      <w:hyperlink r:id="rId14">
        <w:r>
          <w:rPr>
            <w:rFonts w:ascii="Times New Roman" w:cs="Times New Roman" w:eastAsia="Times New Roman" w:hAnsi="Times New Roman"/>
            <w:sz w:val="18"/>
            <w:szCs w:val="18"/>
            <w:u w:val="single" w:color="auto"/>
            <w:color w:val="0000EE"/>
          </w:rPr>
          <w:t>on April 30, 2026</w:t>
        </w:r>
      </w:hyperlink>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final results of voting for each matter submitted to a vote of stockholders at the Annual Meeting are as follows:</w:t>
      </w:r>
    </w:p>
    <w:p>
      <w:pPr>
        <w:spacing w:after="0" w:line="221"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Proposal 1 was the election of two nominees to serve as Class III directors until the 2027 annual meeting or until their successors are duly elected and qualified. The result of the vote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2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0"/>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Tana Davila</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22,085,229</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44,996</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4,658,914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Garrido</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22,082,786</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47,439</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4,658,914</w:t>
            </w:r>
          </w:p>
        </w:tc>
        <w:tc>
          <w:tcPr>
            <w:tcW w:w="100" w:type="dxa"/>
            <w:vAlign w:val="bottom"/>
          </w:tcPr>
          <w:p>
            <w:pPr>
              <w:spacing w:after="0"/>
              <w:rPr>
                <w:sz w:val="20"/>
                <w:szCs w:val="20"/>
                <w:color w:val="auto"/>
              </w:rPr>
            </w:pPr>
          </w:p>
        </w:tc>
      </w:tr>
    </w:tbl>
    <w:p>
      <w:pPr>
        <w:spacing w:after="0" w:line="175"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Ratification of appointment of BDO USA, P.C. as the Company's independent registered public accounting firm</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Proposal 2 was the ratification of the appointment of BDO USA, P.C., as the Company’s independent registered public accounting firm for 2026. The result of the vote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26,723,782</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54,103</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11,254</w:t>
            </w:r>
          </w:p>
        </w:tc>
      </w:tr>
    </w:tbl>
    <w:p>
      <w:pPr>
        <w:spacing w:after="0" w:line="194"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Non-binding advisory vote regarding approval of the Company's named executive officers’ compensation</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Proposal 3 was the non-binding advisory proposal regarding approval of the compensation of the Company's named executive officers. The result of the vote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21,942,592</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175,574</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12,059</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4,658,914</w:t>
            </w:r>
          </w:p>
        </w:tc>
      </w:tr>
      <w:tr>
        <w:trPr>
          <w:trHeight w:val="432"/>
        </w:trPr>
        <w:tc>
          <w:tcPr>
            <w:tcW w:w="2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Non-binding advisory vote regarding the frequency of the Company's future advisory votes on named executive officers’ compensation</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Proposal 4 was the non-binding advisory proposal regarding approval of the frequency of the Company’s future advisory votes on the compensation of the Company's named executive officers (the “Say-on-Frequency Proposal”). The result of the vote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YEAR”</w:t>
            </w:r>
          </w:p>
        </w:tc>
        <w:tc>
          <w:tcPr>
            <w:tcW w:w="2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YEARS”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20,056,383</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6,777</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1,999,819</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67,246</w:t>
            </w:r>
          </w:p>
        </w:tc>
      </w:tr>
    </w:tbl>
    <w:p>
      <w:pPr>
        <w:spacing w:after="0" w:line="194"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 of the amendments to the Company's Equity Incentive Plan</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Proposal 5 was the proposal regarding approval of amendments to the El Pollo Loco Holdings, Inc. Equity Incentive Plan. The result of the vote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21,485,764</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638,820</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5,641</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4,658,914</w:t>
            </w:r>
          </w:p>
        </w:tc>
      </w:tr>
    </w:tbl>
    <w:p>
      <w:pPr>
        <w:spacing w:after="0" w:line="194"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proposal requesting the adoption of a majority voting standard for the election of directors in uncontested elections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Proposal 6 was a shareholder proposal requesting the adoption of a majority voting standard for the election of directors in uncontested elections. The result of the vote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7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15,630,362</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6,432,820</w:t>
            </w:r>
          </w:p>
        </w:tc>
        <w:tc>
          <w:tcPr>
            <w:tcW w:w="22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67,043</w:t>
            </w:r>
          </w:p>
        </w:tc>
        <w:tc>
          <w:tcPr>
            <w:tcW w:w="2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4,658,914</w:t>
            </w:r>
          </w:p>
        </w:tc>
      </w:tr>
    </w:tbl>
    <w:p>
      <w:pPr>
        <w:spacing w:after="0" w:line="19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response to the voting results on the Say-on-Frequency Proposal and other factors, the Company’s Board of Directors determined that the Company will hold an advisory vote on named executive officer compensation every year. The Company will continue to hold advisory votes on named executive officer compensation every year until the Company’s Board of Directors decides to hold the next stockholder advisory vote on the frequency of advisory votes, which shall be no later than the Company’s annual meeting of stockholders in 2032.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41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260" w:type="dxa"/>
            <w:vAlign w:val="bottom"/>
            <w:tcBorders>
              <w:top w:val="single" w:sz="8" w:color="CCEEFF"/>
            </w:tcBorders>
            <w:shd w:val="clear" w:color="auto" w:fill="CCEEFF"/>
          </w:tcPr>
          <w:p>
            <w:pPr>
              <w:spacing w:after="0"/>
              <w:rPr>
                <w:sz w:val="14"/>
                <w:szCs w:val="14"/>
                <w:color w:val="auto"/>
              </w:rPr>
            </w:pPr>
          </w:p>
        </w:tc>
        <w:tc>
          <w:tcPr>
            <w:tcW w:w="10000" w:type="dxa"/>
            <w:vAlign w:val="bottom"/>
            <w:tcBorders>
              <w:top w:val="single" w:sz="8" w:color="auto"/>
              <w:right w:val="single" w:sz="8" w:color="CCEEFF"/>
            </w:tcBorders>
            <w:gridSpan w:val="2"/>
            <w:shd w:val="clear" w:color="auto" w:fill="CCEEFF"/>
          </w:tcPr>
          <w:p>
            <w:pPr>
              <w:spacing w:after="0" w:line="169"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El Pollo Loco Holdings, Inc. Equity Incentive Plan, as amended (included as Appendix B to the Company’s Definitive Proxy Statement</w:t>
              </w:r>
            </w:hyperlink>
          </w:p>
        </w:tc>
      </w:tr>
      <w:tr>
        <w:trPr>
          <w:trHeight w:val="20"/>
        </w:trPr>
        <w:tc>
          <w:tcPr>
            <w:tcW w:w="320" w:type="dxa"/>
            <w:vAlign w:val="bottom"/>
            <w:shd w:val="clear" w:color="auto" w:fill="0000EE"/>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980" w:type="dxa"/>
            <w:vAlign w:val="bottom"/>
            <w:shd w:val="clear" w:color="auto" w:fill="0000EE"/>
          </w:tcPr>
          <w:p>
            <w:pPr>
              <w:spacing w:after="0" w:line="20" w:lineRule="exact"/>
              <w:rPr>
                <w:sz w:val="1"/>
                <w:szCs w:val="1"/>
                <w:color w:val="auto"/>
              </w:rPr>
            </w:pPr>
          </w:p>
        </w:tc>
        <w:tc>
          <w:tcPr>
            <w:tcW w:w="402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260" w:type="dxa"/>
            <w:vAlign w:val="bottom"/>
            <w:tcBorders>
              <w:right w:val="single" w:sz="8" w:color="CCEEFF"/>
            </w:tcBorders>
            <w:gridSpan w:val="3"/>
            <w:shd w:val="clear" w:color="auto" w:fill="CCEEFF"/>
          </w:tcPr>
          <w:p>
            <w:pPr>
              <w:ind w:left="260"/>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filed with the Commission on April 30, 2026 and incorporated herein by reference)</w:t>
              </w:r>
            </w:hyperlink>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980" w:type="dxa"/>
            <w:vAlign w:val="bottom"/>
            <w:tcBorders>
              <w:top w:val="single" w:sz="8" w:color="0000EE"/>
            </w:tcBorders>
            <w:shd w:val="clear" w:color="auto" w:fill="CCEEFF"/>
          </w:tcPr>
          <w:p>
            <w:pPr>
              <w:spacing w:after="0" w:line="20" w:lineRule="exact"/>
              <w:rPr>
                <w:sz w:val="1"/>
                <w:szCs w:val="1"/>
                <w:color w:val="auto"/>
              </w:rPr>
            </w:pPr>
          </w:p>
        </w:tc>
        <w:tc>
          <w:tcPr>
            <w:tcW w:w="402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0"/>
                <w:szCs w:val="20"/>
                <w:color w:val="auto"/>
              </w:rPr>
            </w:pPr>
          </w:p>
        </w:tc>
        <w:tc>
          <w:tcPr>
            <w:tcW w:w="102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14"/>
        </w:trPr>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17145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7" w:lineRule="exact"/>
        <w:rPr>
          <w:sz w:val="20"/>
          <w:szCs w:val="20"/>
          <w:color w:val="auto"/>
        </w:rPr>
      </w:pPr>
    </w:p>
    <w:p>
      <w:pPr>
        <w:ind w:left="9760"/>
        <w:spacing w:after="0"/>
        <w:rPr>
          <w:sz w:val="20"/>
          <w:szCs w:val="20"/>
          <w:color w:val="auto"/>
        </w:rPr>
      </w:pPr>
      <w:r>
        <w:rPr>
          <w:rFonts w:ascii="Times New Roman" w:cs="Times New Roman" w:eastAsia="Times New Roman" w:hAnsi="Times New Roman"/>
          <w:sz w:val="18"/>
          <w:szCs w:val="18"/>
          <w:color w:val="auto"/>
        </w:rPr>
        <w:t>/s/ Ira Fils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14605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Ira Fils</w:t>
      </w:r>
    </w:p>
    <w:p>
      <w:pPr>
        <w:spacing w:after="0" w:line="23"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33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1."/>
      <w:numFmt w:val="decimal"/>
      <w:start w:val="4"/>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4" Type="http://schemas.openxmlformats.org/officeDocument/2006/relationships/hyperlink" Target="https://www.sec.gov/ix?doc=/Archives/edgar/data/1606366/000160636626000021/loco-20260526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2026-05-29T16:37:06Z</dcterms:created>
  <dcterms:modified xsi:type="dcterms:W3CDTF">2026-05-29T16:37:06Z</dcterms:modified>
</cp:coreProperties>
</file>