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10-Q/A</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25,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6600" w:type="dxa"/>
            <w:vAlign w:val="bottom"/>
          </w:tcPr>
          <w:p>
            <w:pPr>
              <w:jc w:val="center"/>
              <w:ind w:right="2419"/>
              <w:spacing w:after="0"/>
              <w:rPr>
                <w:sz w:val="20"/>
                <w:szCs w:val="20"/>
                <w:color w:val="auto"/>
              </w:rPr>
            </w:pPr>
            <w:r>
              <w:rPr>
                <w:rFonts w:ascii="Arial" w:cs="Arial" w:eastAsia="Arial" w:hAnsi="Arial"/>
                <w:sz w:val="18"/>
                <w:szCs w:val="18"/>
                <w:b w:val="1"/>
                <w:bCs w:val="1"/>
                <w:color w:val="auto"/>
                <w:w w:val="93"/>
              </w:rPr>
              <w:t>Delaware</w:t>
            </w:r>
          </w:p>
        </w:tc>
        <w:tc>
          <w:tcPr>
            <w:tcW w:w="2320" w:type="dxa"/>
            <w:vAlign w:val="bottom"/>
          </w:tcPr>
          <w:p>
            <w:pPr>
              <w:jc w:val="right"/>
              <w:ind w:right="599"/>
              <w:spacing w:after="0"/>
              <w:rPr>
                <w:sz w:val="20"/>
                <w:szCs w:val="20"/>
                <w:color w:val="auto"/>
              </w:rPr>
            </w:pPr>
            <w:r>
              <w:rPr>
                <w:rFonts w:ascii="Arial" w:cs="Arial" w:eastAsia="Arial" w:hAnsi="Arial"/>
                <w:sz w:val="18"/>
                <w:szCs w:val="18"/>
                <w:b w:val="1"/>
                <w:bCs w:val="1"/>
                <w:color w:val="auto"/>
              </w:rPr>
              <w:t>20-3563182</w:t>
            </w:r>
          </w:p>
        </w:tc>
      </w:tr>
      <w:tr>
        <w:trPr>
          <w:trHeight w:val="186"/>
        </w:trPr>
        <w:tc>
          <w:tcPr>
            <w:tcW w:w="6600" w:type="dxa"/>
            <w:vAlign w:val="bottom"/>
          </w:tcPr>
          <w:p>
            <w:pPr>
              <w:jc w:val="center"/>
              <w:ind w:right="24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1"/>
        </w:trPr>
        <w:tc>
          <w:tcPr>
            <w:tcW w:w="6600" w:type="dxa"/>
            <w:vAlign w:val="bottom"/>
          </w:tcPr>
          <w:p>
            <w:pPr>
              <w:jc w:val="center"/>
              <w:ind w:right="2419"/>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320" w:type="dxa"/>
            <w:vAlign w:val="bottom"/>
          </w:tcPr>
          <w:p>
            <w:pPr>
              <w:jc w:val="right"/>
              <w:ind w:right="799"/>
              <w:spacing w:after="0"/>
              <w:rPr>
                <w:sz w:val="20"/>
                <w:szCs w:val="20"/>
                <w:color w:val="auto"/>
              </w:rPr>
            </w:pPr>
            <w:r>
              <w:rPr>
                <w:rFonts w:ascii="Arial" w:cs="Arial" w:eastAsia="Arial" w:hAnsi="Arial"/>
                <w:sz w:val="18"/>
                <w:szCs w:val="18"/>
                <w:b w:val="1"/>
                <w:bCs w:val="1"/>
                <w:color w:val="auto"/>
              </w:rPr>
              <w:t>92626</w:t>
            </w:r>
          </w:p>
        </w:tc>
      </w:tr>
      <w:tr>
        <w:trPr>
          <w:trHeight w:val="186"/>
        </w:trPr>
        <w:tc>
          <w:tcPr>
            <w:tcW w:w="6600" w:type="dxa"/>
            <w:vAlign w:val="bottom"/>
          </w:tcPr>
          <w:p>
            <w:pPr>
              <w:jc w:val="center"/>
              <w:ind w:right="24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600" w:type="dxa"/>
            <w:vAlign w:val="bottom"/>
          </w:tcPr>
          <w:p>
            <w:pPr>
              <w:jc w:val="right"/>
              <w:ind w:right="1079"/>
              <w:spacing w:after="0"/>
              <w:rPr>
                <w:sz w:val="20"/>
                <w:szCs w:val="20"/>
                <w:color w:val="auto"/>
              </w:rPr>
            </w:pPr>
            <w:r>
              <w:rPr>
                <w:rFonts w:ascii="Arial" w:cs="Arial" w:eastAsia="Arial" w:hAnsi="Arial"/>
                <w:sz w:val="18"/>
                <w:szCs w:val="18"/>
                <w:b w:val="1"/>
                <w:bCs w:val="1"/>
                <w:color w:val="auto"/>
              </w:rPr>
              <w:t>(714) 599-5000</w:t>
            </w:r>
          </w:p>
        </w:tc>
        <w:tc>
          <w:tcPr>
            <w:tcW w:w="2320" w:type="dxa"/>
            <w:vAlign w:val="bottom"/>
          </w:tcPr>
          <w:p>
            <w:pPr>
              <w:spacing w:after="0"/>
              <w:rPr>
                <w:sz w:val="24"/>
                <w:szCs w:val="24"/>
                <w:color w:val="auto"/>
              </w:rPr>
            </w:pPr>
          </w:p>
        </w:tc>
      </w:tr>
      <w:tr>
        <w:trPr>
          <w:trHeight w:val="186"/>
        </w:trPr>
        <w:tc>
          <w:tcPr>
            <w:tcW w:w="6600" w:type="dxa"/>
            <w:vAlign w:val="bottom"/>
          </w:tcPr>
          <w:p>
            <w:pPr>
              <w:jc w:val="center"/>
              <w:ind w:left="30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20" w:type="dxa"/>
            <w:vAlign w:val="bottom"/>
          </w:tcPr>
          <w:p>
            <w:pPr>
              <w:spacing w:after="0"/>
              <w:rPr>
                <w:sz w:val="16"/>
                <w:szCs w:val="16"/>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5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4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Exchange Act).</w:t>
            </w:r>
          </w:p>
        </w:tc>
        <w:tc>
          <w:tcPr>
            <w:tcW w:w="27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80" w:type="dxa"/>
            <w:vAlign w:val="bottom"/>
          </w:tcPr>
          <w:p>
            <w:pPr>
              <w:spacing w:after="0"/>
              <w:rPr>
                <w:sz w:val="24"/>
                <w:szCs w:val="24"/>
                <w:color w:val="auto"/>
              </w:rPr>
            </w:pPr>
          </w:p>
        </w:tc>
      </w:tr>
      <w:tr>
        <w:trPr>
          <w:trHeight w:val="412"/>
        </w:trPr>
        <w:tc>
          <w:tcPr>
            <w:tcW w:w="8300" w:type="dxa"/>
            <w:vAlign w:val="bottom"/>
            <w:gridSpan w:val="2"/>
          </w:tcPr>
          <w:p>
            <w:pPr>
              <w:spacing w:after="0"/>
              <w:rPr>
                <w:sz w:val="20"/>
                <w:szCs w:val="20"/>
                <w:color w:val="auto"/>
              </w:rPr>
            </w:pPr>
            <w:r>
              <w:rPr>
                <w:rFonts w:ascii="Arial" w:cs="Arial" w:eastAsia="Arial" w:hAnsi="Arial"/>
                <w:sz w:val="18"/>
                <w:szCs w:val="18"/>
                <w:color w:val="auto"/>
              </w:rPr>
              <w:t>As of September 4, 2014, there were 36,929,836 shares of the issuer’s common stock outstanding.</w:t>
            </w: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5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5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089"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sole purpose of this Amendment No. 1 to our Quarterly Report on Form 10-Q for the period ended June 25, 2014, is to furnish Exhibit 101, which provides certain items from the report in eXtensible Business Reporting Language (“XBRL”), within 30 days of the original filing date of the report, as permitted by Rule 405(a)(2)(ii) of Regulation S-T (17 C.F.R. § 232.405). We have made no other changes to the report, and this amendment does not reflect any events subsequent to the original filing, nor modify or update the report’s disclosures in any way.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7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88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128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4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92"/>
        </w:trPr>
        <w:tc>
          <w:tcPr>
            <w:tcW w:w="2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3960" w:type="dxa"/>
            <w:vAlign w:val="bottom"/>
          </w:tcPr>
          <w:p>
            <w:pPr>
              <w:spacing w:after="0"/>
              <w:rPr>
                <w:sz w:val="24"/>
                <w:szCs w:val="24"/>
                <w:color w:val="auto"/>
              </w:rPr>
            </w:pPr>
          </w:p>
        </w:tc>
      </w:tr>
      <w:tr>
        <w:trPr>
          <w:trHeight w:val="318"/>
        </w:trPr>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rPr>
              <w:t>Amended and Restated Certificate of Incorporation of El Pollo Loco Holdings, Inc.</w:t>
            </w:r>
          </w:p>
        </w:tc>
      </w:tr>
      <w:tr>
        <w:trPr>
          <w:trHeight w:val="324"/>
        </w:trPr>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rPr>
              <w:t>Amended and Restated By-Laws of El Pollo Loco Holdings, Inc.</w:t>
            </w:r>
          </w:p>
        </w:tc>
      </w:tr>
      <w:tr>
        <w:trPr>
          <w:trHeight w:val="324"/>
        </w:trPr>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rPr>
              <w:t>Certification of Principal Executive Officer under section 302 of the Sarbanes–Oxley Act of 2002</w:t>
            </w:r>
          </w:p>
        </w:tc>
      </w:tr>
      <w:tr>
        <w:trPr>
          <w:trHeight w:val="324"/>
        </w:trPr>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rPr>
              <w:t>Certification of Principal Financial Officer under section 302 of the Sarbanes–Oxley Act of 2002</w:t>
            </w:r>
          </w:p>
        </w:tc>
      </w:tr>
      <w:tr>
        <w:trPr>
          <w:trHeight w:val="310"/>
        </w:trPr>
        <w:tc>
          <w:tcPr>
            <w:tcW w:w="740" w:type="dxa"/>
            <w:vAlign w:val="bottom"/>
            <w:gridSpan w:val="2"/>
          </w:tcPr>
          <w:p>
            <w:pPr>
              <w:jc w:val="right"/>
              <w:ind w:right="68"/>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w w:val="91"/>
              </w:rPr>
              <w:t>Certification of Chief Executive Officer and Chief Financial Officer under 18 U.S.C. section 1350, adopted by section 906 of the</w:t>
            </w:r>
          </w:p>
        </w:tc>
      </w:tr>
      <w:tr>
        <w:trPr>
          <w:trHeight w:val="230"/>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rPr>
              <w:t>Sarbanes–Oxley Act of 2002</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24"/>
                <w:szCs w:val="24"/>
                <w:color w:val="auto"/>
              </w:rPr>
            </w:pP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12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2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2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2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2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with this report as originally filed.</w:t>
      </w:r>
    </w:p>
    <w:p>
      <w:pPr>
        <w:spacing w:after="0" w:line="23" w:lineRule="exact"/>
        <w:rPr>
          <w:sz w:val="20"/>
          <w:szCs w:val="20"/>
          <w:color w:val="auto"/>
        </w:rPr>
      </w:pPr>
    </w:p>
    <w:p>
      <w:pPr>
        <w:ind w:left="460" w:right="1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with this report as originally filed. 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Rule 406T of Regulation S-T (17 C.F.R. § 232.406T), this interactive data file is deemed furnished, not filed. It is deemed not to be part of a registration statement or prospectus for purposes of sections 11 or 12 of the Securities Act, is deemed not filed for purposes of section 18 of the Exchange Act, and otherwise is not subject to liability under these sections.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 Pollo Loco Holdings, Inc.</w:t>
            </w:r>
          </w:p>
        </w:tc>
      </w:tr>
      <w:tr>
        <w:trPr>
          <w:trHeight w:val="224"/>
        </w:trPr>
        <w:tc>
          <w:tcPr>
            <w:tcW w:w="35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1"/>
        </w:trPr>
        <w:tc>
          <w:tcPr>
            <w:tcW w:w="3520" w:type="dxa"/>
            <w:vAlign w:val="bottom"/>
          </w:tcPr>
          <w:p>
            <w:pPr>
              <w:jc w:val="center"/>
              <w:ind w:right="1990"/>
              <w:spacing w:after="0"/>
              <w:rPr>
                <w:sz w:val="20"/>
                <w:szCs w:val="20"/>
                <w:color w:val="auto"/>
              </w:rPr>
            </w:pPr>
            <w:r>
              <w:rPr>
                <w:rFonts w:ascii="Arial" w:cs="Arial" w:eastAsia="Arial" w:hAnsi="Arial"/>
                <w:sz w:val="18"/>
                <w:szCs w:val="18"/>
                <w:color w:val="auto"/>
                <w:w w:val="88"/>
              </w:rPr>
              <w:t>September 26, 2014</w:t>
            </w:r>
          </w:p>
        </w:tc>
        <w:tc>
          <w:tcPr>
            <w:tcW w:w="314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Sather</w:t>
            </w:r>
          </w:p>
        </w:tc>
      </w:tr>
      <w:tr>
        <w:trPr>
          <w:trHeight w:val="209"/>
        </w:trPr>
        <w:tc>
          <w:tcPr>
            <w:tcW w:w="3520" w:type="dxa"/>
            <w:vAlign w:val="bottom"/>
          </w:tcPr>
          <w:p>
            <w:pPr>
              <w:jc w:val="center"/>
              <w:ind w:right="1970"/>
              <w:spacing w:after="0"/>
              <w:rPr>
                <w:sz w:val="20"/>
                <w:szCs w:val="20"/>
                <w:color w:val="auto"/>
              </w:rPr>
            </w:pPr>
            <w:r>
              <w:rPr>
                <w:rFonts w:ascii="Arial" w:cs="Arial" w:eastAsia="Arial" w:hAnsi="Arial"/>
                <w:sz w:val="18"/>
                <w:szCs w:val="18"/>
                <w:color w:val="auto"/>
                <w:w w:val="89"/>
              </w:rPr>
              <w:t>Date</w:t>
            </w:r>
          </w:p>
        </w:tc>
        <w:tc>
          <w:tcPr>
            <w:tcW w:w="31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Stephen J. Sather</w:t>
            </w:r>
          </w:p>
        </w:tc>
      </w:tr>
      <w:tr>
        <w:trPr>
          <w:trHeight w:val="230"/>
        </w:trPr>
        <w:tc>
          <w:tcPr>
            <w:tcW w:w="3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520" w:type="dxa"/>
            <w:vAlign w:val="bottom"/>
          </w:tcPr>
          <w:p>
            <w:pPr>
              <w:jc w:val="center"/>
              <w:ind w:right="1990"/>
              <w:spacing w:after="0"/>
              <w:rPr>
                <w:sz w:val="20"/>
                <w:szCs w:val="20"/>
                <w:color w:val="auto"/>
              </w:rPr>
            </w:pPr>
            <w:r>
              <w:rPr>
                <w:rFonts w:ascii="Arial" w:cs="Arial" w:eastAsia="Arial" w:hAnsi="Arial"/>
                <w:sz w:val="18"/>
                <w:szCs w:val="18"/>
                <w:color w:val="auto"/>
                <w:w w:val="88"/>
              </w:rPr>
              <w:t>September 26, 2014</w:t>
            </w:r>
          </w:p>
        </w:tc>
        <w:tc>
          <w:tcPr>
            <w:tcW w:w="314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Laurance Roberts</w:t>
            </w:r>
          </w:p>
        </w:tc>
      </w:tr>
      <w:tr>
        <w:trPr>
          <w:trHeight w:val="209"/>
        </w:trPr>
        <w:tc>
          <w:tcPr>
            <w:tcW w:w="3520" w:type="dxa"/>
            <w:vAlign w:val="bottom"/>
          </w:tcPr>
          <w:p>
            <w:pPr>
              <w:jc w:val="center"/>
              <w:ind w:right="1970"/>
              <w:spacing w:after="0"/>
              <w:rPr>
                <w:sz w:val="20"/>
                <w:szCs w:val="20"/>
                <w:color w:val="auto"/>
              </w:rPr>
            </w:pPr>
            <w:r>
              <w:rPr>
                <w:rFonts w:ascii="Arial" w:cs="Arial" w:eastAsia="Arial" w:hAnsi="Arial"/>
                <w:sz w:val="18"/>
                <w:szCs w:val="18"/>
                <w:color w:val="auto"/>
                <w:w w:val="89"/>
              </w:rPr>
              <w:t>Date</w:t>
            </w:r>
          </w:p>
        </w:tc>
        <w:tc>
          <w:tcPr>
            <w:tcW w:w="31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Laurance Roberts</w:t>
            </w:r>
          </w:p>
        </w:tc>
      </w:tr>
      <w:tr>
        <w:trPr>
          <w:trHeight w:val="230"/>
        </w:trPr>
        <w:tc>
          <w:tcPr>
            <w:tcW w:w="3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65"/>
        </w:trPr>
        <w:tc>
          <w:tcPr>
            <w:tcW w:w="3520" w:type="dxa"/>
            <w:vAlign w:val="bottom"/>
          </w:tcPr>
          <w:p>
            <w:pPr>
              <w:spacing w:after="0"/>
              <w:rPr>
                <w:sz w:val="24"/>
                <w:szCs w:val="24"/>
                <w:color w:val="auto"/>
              </w:rPr>
            </w:pPr>
          </w:p>
        </w:tc>
        <w:tc>
          <w:tcPr>
            <w:tcW w:w="3140" w:type="dxa"/>
            <w:vAlign w:val="bottom"/>
          </w:tcPr>
          <w:p>
            <w:pPr>
              <w:jc w:val="right"/>
              <w:ind w:right="890"/>
              <w:spacing w:after="0"/>
              <w:rPr>
                <w:sz w:val="20"/>
                <w:szCs w:val="20"/>
                <w:color w:val="auto"/>
              </w:rPr>
            </w:pPr>
            <w:r>
              <w:rPr>
                <w:rFonts w:ascii="Arial" w:cs="Arial" w:eastAsia="Arial" w:hAnsi="Arial"/>
                <w:sz w:val="18"/>
                <w:szCs w:val="18"/>
                <w:color w:val="auto"/>
              </w:rPr>
              <w:t>4</w:t>
            </w:r>
          </w:p>
        </w:tc>
        <w:tc>
          <w:tcPr>
            <w:tcW w:w="46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2019-12-08T11:19:49Z</dcterms:created>
  <dcterms:modified xsi:type="dcterms:W3CDTF">2019-12-08T11:19:49Z</dcterms:modified>
</cp:coreProperties>
</file>