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111760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83820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04" w:lineRule="exact"/>
        <w:rPr>
          <w:sz w:val="24"/>
          <w:szCs w:val="24"/>
          <w:color w:val="auto"/>
        </w:rPr>
      </w:pPr>
    </w:p>
    <w:p>
      <w:pPr>
        <w:ind w:left="700" w:right="240" w:hanging="652"/>
        <w:spacing w:after="0" w:line="267" w:lineRule="auto"/>
        <w:tabs>
          <w:tab w:leader="none" w:pos="7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24, 2020</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5" w:lineRule="exact"/>
        <w:rPr>
          <w:sz w:val="24"/>
          <w:szCs w:val="24"/>
          <w:color w:val="auto"/>
        </w:rPr>
      </w:pPr>
    </w:p>
    <w:p>
      <w:pPr>
        <w:ind w:left="700" w:right="220" w:hanging="645"/>
        <w:spacing w:after="0" w:line="266" w:lineRule="auto"/>
        <w:tabs>
          <w:tab w:leader="none" w:pos="7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9" w:lineRule="exact"/>
        <w:rPr>
          <w:sz w:val="24"/>
          <w:szCs w:val="24"/>
          <w:color w:val="auto"/>
        </w:rPr>
      </w:pPr>
    </w:p>
    <w:p>
      <w:pPr>
        <w:ind w:left="3540"/>
        <w:spacing w:after="0"/>
        <w:tabs>
          <w:tab w:leader="none" w:pos="65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3605530</wp:posOffset>
            </wp:positionH>
            <wp:positionV relativeFrom="paragraph">
              <wp:posOffset>-4445</wp:posOffset>
            </wp:positionV>
            <wp:extent cx="4889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80645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EL POLLO LOCO HOLDINGS,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120650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tbl>
      <w:tblPr>
        <w:tblLayout w:type="fixed"/>
        <w:tblInd w:w="600" w:type="dxa"/>
        <w:tblCellMar>
          <w:top w:w="0" w:type="dxa"/>
          <w:left w:w="0" w:type="dxa"/>
          <w:bottom w:w="0" w:type="dxa"/>
          <w:right w:w="0" w:type="dxa"/>
        </w:tblCellMar>
      </w:tblPr>
      <w:tr>
        <w:trPr>
          <w:trHeight w:val="198"/>
        </w:trPr>
        <w:tc>
          <w:tcPr>
            <w:tcW w:w="6060" w:type="dxa"/>
            <w:vAlign w:val="bottom"/>
          </w:tcPr>
          <w:p>
            <w:pPr>
              <w:jc w:val="center"/>
              <w:ind w:right="2288"/>
              <w:spacing w:after="0"/>
              <w:rPr>
                <w:sz w:val="20"/>
                <w:szCs w:val="20"/>
                <w:color w:val="auto"/>
              </w:rPr>
            </w:pPr>
            <w:r>
              <w:rPr>
                <w:rFonts w:ascii="Arial" w:cs="Arial" w:eastAsia="Arial" w:hAnsi="Arial"/>
                <w:sz w:val="16"/>
                <w:szCs w:val="16"/>
                <w:b w:val="1"/>
                <w:bCs w:val="1"/>
                <w:color w:val="auto"/>
                <w:w w:val="93"/>
              </w:rPr>
              <w:t>Delaware</w:t>
            </w:r>
          </w:p>
        </w:tc>
        <w:tc>
          <w:tcPr>
            <w:tcW w:w="2060" w:type="dxa"/>
            <w:vAlign w:val="bottom"/>
          </w:tcPr>
          <w:p>
            <w:pPr>
              <w:jc w:val="right"/>
              <w:ind w:right="508"/>
              <w:spacing w:after="0"/>
              <w:rPr>
                <w:sz w:val="20"/>
                <w:szCs w:val="20"/>
                <w:color w:val="auto"/>
              </w:rPr>
            </w:pPr>
            <w:r>
              <w:rPr>
                <w:rFonts w:ascii="Arial" w:cs="Arial" w:eastAsia="Arial" w:hAnsi="Arial"/>
                <w:sz w:val="16"/>
                <w:szCs w:val="16"/>
                <w:b w:val="1"/>
                <w:bCs w:val="1"/>
                <w:color w:val="auto"/>
              </w:rPr>
              <w:t>20-3563182</w:t>
            </w:r>
          </w:p>
        </w:tc>
      </w:tr>
      <w:tr>
        <w:trPr>
          <w:trHeight w:val="164"/>
        </w:trPr>
        <w:tc>
          <w:tcPr>
            <w:tcW w:w="6060" w:type="dxa"/>
            <w:vAlign w:val="bottom"/>
          </w:tcPr>
          <w:p>
            <w:pPr>
              <w:jc w:val="center"/>
              <w:ind w:right="2288"/>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060" w:type="dxa"/>
            <w:vAlign w:val="bottom"/>
          </w:tcPr>
          <w:p>
            <w:pPr>
              <w:jc w:val="center"/>
              <w:ind w:left="48"/>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322"/>
        </w:trPr>
        <w:tc>
          <w:tcPr>
            <w:tcW w:w="6060" w:type="dxa"/>
            <w:vAlign w:val="bottom"/>
          </w:tcPr>
          <w:p>
            <w:pPr>
              <w:jc w:val="center"/>
              <w:ind w:right="2288"/>
              <w:spacing w:after="0"/>
              <w:rPr>
                <w:sz w:val="20"/>
                <w:szCs w:val="20"/>
                <w:color w:val="auto"/>
              </w:rPr>
            </w:pPr>
            <w:r>
              <w:rPr>
                <w:rFonts w:ascii="Arial" w:cs="Arial" w:eastAsia="Arial" w:hAnsi="Arial"/>
                <w:sz w:val="16"/>
                <w:szCs w:val="16"/>
                <w:b w:val="1"/>
                <w:bCs w:val="1"/>
                <w:color w:val="auto"/>
                <w:w w:val="93"/>
              </w:rPr>
              <w:t>3535 Harbor Blvd., Suite 100, Costa Mesa, California</w:t>
            </w:r>
          </w:p>
        </w:tc>
        <w:tc>
          <w:tcPr>
            <w:tcW w:w="2060" w:type="dxa"/>
            <w:vAlign w:val="bottom"/>
          </w:tcPr>
          <w:p>
            <w:pPr>
              <w:jc w:val="right"/>
              <w:ind w:right="688"/>
              <w:spacing w:after="0"/>
              <w:rPr>
                <w:sz w:val="20"/>
                <w:szCs w:val="20"/>
                <w:color w:val="auto"/>
              </w:rPr>
            </w:pPr>
            <w:r>
              <w:rPr>
                <w:rFonts w:ascii="Arial" w:cs="Arial" w:eastAsia="Arial" w:hAnsi="Arial"/>
                <w:sz w:val="16"/>
                <w:szCs w:val="16"/>
                <w:b w:val="1"/>
                <w:bCs w:val="1"/>
                <w:color w:val="auto"/>
              </w:rPr>
              <w:t>92626</w:t>
            </w:r>
          </w:p>
        </w:tc>
      </w:tr>
      <w:tr>
        <w:trPr>
          <w:trHeight w:val="164"/>
        </w:trPr>
        <w:tc>
          <w:tcPr>
            <w:tcW w:w="6060" w:type="dxa"/>
            <w:vAlign w:val="bottom"/>
          </w:tcPr>
          <w:p>
            <w:pPr>
              <w:jc w:val="center"/>
              <w:ind w:right="226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060" w:type="dxa"/>
            <w:vAlign w:val="bottom"/>
          </w:tcPr>
          <w:p>
            <w:pPr>
              <w:jc w:val="center"/>
              <w:ind w:left="48"/>
              <w:spacing w:after="0"/>
              <w:rPr>
                <w:sz w:val="20"/>
                <w:szCs w:val="20"/>
                <w:color w:val="auto"/>
              </w:rPr>
            </w:pPr>
            <w:r>
              <w:rPr>
                <w:rFonts w:ascii="Arial" w:cs="Arial" w:eastAsia="Arial" w:hAnsi="Arial"/>
                <w:sz w:val="13"/>
                <w:szCs w:val="13"/>
                <w:b w:val="1"/>
                <w:bCs w:val="1"/>
                <w:color w:val="auto"/>
                <w:w w:val="90"/>
              </w:rPr>
              <w:t>(Zip Code)</w:t>
            </w:r>
          </w:p>
        </w:tc>
      </w:tr>
      <w:tr>
        <w:trPr>
          <w:trHeight w:val="322"/>
        </w:trPr>
        <w:tc>
          <w:tcPr>
            <w:tcW w:w="6060" w:type="dxa"/>
            <w:vAlign w:val="bottom"/>
          </w:tcPr>
          <w:p>
            <w:pPr>
              <w:jc w:val="right"/>
              <w:ind w:right="968"/>
              <w:spacing w:after="0"/>
              <w:rPr>
                <w:sz w:val="20"/>
                <w:szCs w:val="20"/>
                <w:color w:val="auto"/>
              </w:rPr>
            </w:pPr>
            <w:r>
              <w:rPr>
                <w:rFonts w:ascii="Arial" w:cs="Arial" w:eastAsia="Arial" w:hAnsi="Arial"/>
                <w:sz w:val="16"/>
                <w:szCs w:val="16"/>
                <w:b w:val="1"/>
                <w:bCs w:val="1"/>
                <w:color w:val="auto"/>
              </w:rPr>
              <w:t>(714) 599-5000</w:t>
            </w:r>
          </w:p>
        </w:tc>
        <w:tc>
          <w:tcPr>
            <w:tcW w:w="2060" w:type="dxa"/>
            <w:vAlign w:val="bottom"/>
          </w:tcPr>
          <w:p>
            <w:pPr>
              <w:spacing w:after="0"/>
              <w:rPr>
                <w:sz w:val="24"/>
                <w:szCs w:val="24"/>
                <w:color w:val="auto"/>
              </w:rPr>
            </w:pPr>
          </w:p>
        </w:tc>
      </w:tr>
      <w:tr>
        <w:trPr>
          <w:trHeight w:val="164"/>
        </w:trPr>
        <w:tc>
          <w:tcPr>
            <w:tcW w:w="6060" w:type="dxa"/>
            <w:vAlign w:val="bottom"/>
          </w:tcPr>
          <w:p>
            <w:pPr>
              <w:jc w:val="center"/>
              <w:ind w:left="2868"/>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2060" w:type="dxa"/>
            <w:vAlign w:val="bottom"/>
          </w:tcPr>
          <w:p>
            <w:pPr>
              <w:spacing w:after="0"/>
              <w:rPr>
                <w:sz w:val="14"/>
                <w:szCs w:val="14"/>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w:t>
      </w: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60" w:type="dxa"/>
            <w:vAlign w:val="bottom"/>
            <w:tcBorders>
              <w:top w:val="single" w:sz="8" w:color="auto"/>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0"/>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20" w:type="dxa"/>
            <w:vAlign w:val="bottom"/>
            <w:tcBorders>
              <w:top w:val="single" w:sz="8" w:color="auto"/>
              <w:bottom w:val="single" w:sz="8" w:color="auto"/>
            </w:tcBorders>
          </w:tcPr>
          <w:p>
            <w:pPr>
              <w:spacing w:after="0"/>
              <w:rPr>
                <w:sz w:val="18"/>
                <w:szCs w:val="18"/>
                <w:color w:val="auto"/>
              </w:rPr>
            </w:pP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86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0"/>
              </w:rPr>
              <w:t>Common Stock, par value $0.01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LOCO</w:t>
            </w:r>
          </w:p>
        </w:tc>
        <w:tc>
          <w:tcPr>
            <w:tcW w:w="20" w:type="dxa"/>
            <w:vAlign w:val="bottom"/>
            <w:tcBorders>
              <w:bottom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176"/>
        </w:trPr>
        <w:tc>
          <w:tcPr>
            <w:tcW w:w="38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40" w:type="dxa"/>
            <w:vAlign w:val="bottom"/>
          </w:tcPr>
          <w:p>
            <w:pPr>
              <w:spacing w:after="0"/>
              <w:rPr>
                <w:sz w:val="15"/>
                <w:szCs w:val="15"/>
                <w:color w:val="auto"/>
              </w:rPr>
            </w:pPr>
          </w:p>
        </w:tc>
      </w:tr>
    </w:tbl>
    <w:p>
      <w:pPr>
        <w:spacing w:after="0" w:line="152" w:lineRule="exact"/>
        <w:rPr>
          <w:sz w:val="24"/>
          <w:szCs w:val="24"/>
          <w:color w:val="auto"/>
        </w:rPr>
      </w:pPr>
    </w:p>
    <w:p>
      <w:pPr>
        <w:jc w:val="both"/>
        <w:ind w:right="160" w:firstLine="506"/>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7" w:lineRule="exact"/>
        <w:rPr>
          <w:sz w:val="24"/>
          <w:szCs w:val="24"/>
          <w:color w:val="auto"/>
        </w:rPr>
      </w:pPr>
    </w:p>
    <w:p>
      <w:pPr>
        <w:ind w:right="40" w:firstLine="506"/>
        <w:spacing w:after="0" w:line="30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300" w:hanging="229"/>
        <w:spacing w:after="0" w:line="184" w:lineRule="exact"/>
        <w:tabs>
          <w:tab w:leader="none" w:pos="3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6" w:lineRule="exact"/>
        <w:rPr>
          <w:sz w:val="24"/>
          <w:szCs w:val="24"/>
          <w:color w:val="auto"/>
        </w:rPr>
      </w:pPr>
    </w:p>
    <w:p>
      <w:pPr>
        <w:ind w:firstLine="50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tcPr>
          <w:p>
            <w:pPr>
              <w:ind w:left="264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60" w:firstLine="50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00" w:right="120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As of July 24, 2020, there were 35,922,099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664210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64135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106680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Arial" w:cs="Arial" w:eastAsia="Arial" w:hAnsi="Arial"/>
                <w:sz w:val="14"/>
                <w:szCs w:val="14"/>
                <w:b w:val="1"/>
                <w:bCs w:val="1"/>
                <w:color w:val="auto"/>
                <w:w w:val="89"/>
              </w:rPr>
              <w:t>Table of Contents</w:t>
            </w:r>
          </w:p>
        </w:tc>
        <w:tc>
          <w:tcPr>
            <w:tcW w:w="734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108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19"/>
        </w:trPr>
        <w:tc>
          <w:tcPr>
            <w:tcW w:w="842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I—FINANCIAL INFORMATION</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(Unaudited)</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56"/>
        </w:trPr>
        <w:tc>
          <w:tcPr>
            <w:tcW w:w="842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Income (Unaudited)</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Comprehensive Income (Unaudited)</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Changes in Stockholders’ Equity (Unaudited)</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(Unaudited)</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 (Unaudited)</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56"/>
        </w:trPr>
        <w:tc>
          <w:tcPr>
            <w:tcW w:w="8420" w:type="dxa"/>
            <w:vAlign w:val="bottom"/>
            <w:gridSpan w:val="2"/>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2. Management’s Discussion and Analysis of Financial Condition and Results of Operations.</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3. Quantitative and Qualitative Disclosures About Market Risk.</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Item 4. Controls and Procedures.</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PART II—OTHER INFORMATION</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56"/>
        </w:trPr>
        <w:tc>
          <w:tcPr>
            <w:tcW w:w="8420" w:type="dxa"/>
            <w:vAlign w:val="bottom"/>
            <w:gridSpan w:val="2"/>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1. Legal Proceedings.</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1A. Risk Factors.</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2. Unregistered Sales of Equity Securities and Use of Proceeds.</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56"/>
        </w:trPr>
        <w:tc>
          <w:tcPr>
            <w:tcW w:w="8420" w:type="dxa"/>
            <w:vAlign w:val="bottom"/>
            <w:gridSpan w:val="2"/>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3. Defaults of Senior Securities.</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4. Mine Safety Disclosures.</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57"/>
        </w:trPr>
        <w:tc>
          <w:tcPr>
            <w:tcW w:w="8420" w:type="dxa"/>
            <w:vAlign w:val="bottom"/>
            <w:gridSpan w:val="2"/>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5. Other Information.</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56"/>
        </w:trPr>
        <w:tc>
          <w:tcPr>
            <w:tcW w:w="8420" w:type="dxa"/>
            <w:vAlign w:val="bottom"/>
            <w:gridSpan w:val="2"/>
          </w:tcPr>
          <w:p>
            <w:pPr>
              <w:spacing w:after="0"/>
              <w:rPr>
                <w:rFonts w:ascii="Arial" w:cs="Arial" w:eastAsia="Arial" w:hAnsi="Arial"/>
                <w:sz w:val="18"/>
                <w:szCs w:val="18"/>
                <w:color w:val="0000EE"/>
              </w:rPr>
            </w:pPr>
            <w:hyperlink w:anchor="page52">
              <w:r>
                <w:rPr>
                  <w:rFonts w:ascii="Arial" w:cs="Arial" w:eastAsia="Arial" w:hAnsi="Arial"/>
                  <w:sz w:val="18"/>
                  <w:szCs w:val="18"/>
                  <w:u w:val="single" w:color="auto"/>
                  <w:color w:val="0000EE"/>
                </w:rPr>
                <w:t>Item 6. Exhibits</w:t>
              </w:r>
              <w:r>
                <w:rPr>
                  <w:rFonts w:ascii="Arial" w:cs="Arial" w:eastAsia="Arial" w:hAnsi="Arial"/>
                  <w:sz w:val="18"/>
                  <w:szCs w:val="18"/>
                  <w:color w:val="0000EE"/>
                </w:rPr>
                <w:t>.</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71"/>
        </w:trPr>
        <w:tc>
          <w:tcPr>
            <w:tcW w:w="8420" w:type="dxa"/>
            <w:vAlign w:val="bottom"/>
            <w:gridSpan w:val="2"/>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Signatures</w:t>
              </w:r>
            </w:hyperlink>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left="1580" w:right="1600"/>
        <w:spacing w:after="0" w:line="384" w:lineRule="auto"/>
        <w:rPr>
          <w:sz w:val="20"/>
          <w:szCs w:val="20"/>
          <w:color w:val="auto"/>
        </w:rPr>
      </w:pPr>
      <w:r>
        <w:rPr>
          <w:rFonts w:ascii="Arial" w:cs="Arial" w:eastAsia="Arial" w:hAnsi="Arial"/>
          <w:sz w:val="18"/>
          <w:szCs w:val="18"/>
          <w:b w:val="1"/>
          <w:bCs w:val="1"/>
          <w:color w:val="auto"/>
        </w:rPr>
        <w:t>EL POLLO LOCO HOLDINGS, INC. CONDENSED CONSOLIDATED BALANCE SHEETS (UNAUDITED) (Amounts in thousands, except share data)</w:t>
      </w:r>
    </w:p>
    <w:tbl>
      <w:tblPr>
        <w:tblLayout w:type="fixed"/>
        <w:tblInd w:w="40" w:type="dxa"/>
        <w:tblCellMar>
          <w:top w:w="0" w:type="dxa"/>
          <w:left w:w="0" w:type="dxa"/>
          <w:bottom w:w="0" w:type="dxa"/>
          <w:right w:w="0" w:type="dxa"/>
        </w:tblCellMar>
      </w:tblPr>
      <w:tr>
        <w:trPr>
          <w:trHeight w:val="150"/>
        </w:trPr>
        <w:tc>
          <w:tcPr>
            <w:tcW w:w="6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60"/>
              <w:spacing w:after="0" w:line="150" w:lineRule="exact"/>
              <w:rPr>
                <w:sz w:val="20"/>
                <w:szCs w:val="20"/>
                <w:color w:val="auto"/>
              </w:rPr>
            </w:pPr>
            <w:r>
              <w:rPr>
                <w:rFonts w:ascii="Arial" w:cs="Arial" w:eastAsia="Arial" w:hAnsi="Arial"/>
                <w:sz w:val="14"/>
                <w:szCs w:val="14"/>
                <w:b w:val="1"/>
                <w:bCs w:val="1"/>
                <w:color w:val="auto"/>
              </w:rPr>
              <w:t>June 24,</w:t>
            </w:r>
          </w:p>
        </w:tc>
        <w:tc>
          <w:tcPr>
            <w:tcW w:w="120" w:type="dxa"/>
            <w:vAlign w:val="bottom"/>
          </w:tcPr>
          <w:p>
            <w:pPr>
              <w:spacing w:after="0"/>
              <w:rPr>
                <w:sz w:val="13"/>
                <w:szCs w:val="13"/>
                <w:color w:val="auto"/>
              </w:rPr>
            </w:pPr>
          </w:p>
        </w:tc>
        <w:tc>
          <w:tcPr>
            <w:tcW w:w="1020" w:type="dxa"/>
            <w:vAlign w:val="bottom"/>
          </w:tcPr>
          <w:p>
            <w:pPr>
              <w:jc w:val="right"/>
              <w:ind w:right="71"/>
              <w:spacing w:after="0" w:line="150" w:lineRule="exact"/>
              <w:rPr>
                <w:sz w:val="20"/>
                <w:szCs w:val="20"/>
                <w:color w:val="auto"/>
              </w:rPr>
            </w:pPr>
            <w:r>
              <w:rPr>
                <w:rFonts w:ascii="Arial" w:cs="Arial" w:eastAsia="Arial" w:hAnsi="Arial"/>
                <w:sz w:val="14"/>
                <w:szCs w:val="14"/>
                <w:b w:val="1"/>
                <w:bCs w:val="1"/>
                <w:color w:val="auto"/>
                <w:w w:val="92"/>
              </w:rPr>
              <w:t>December 25,</w:t>
            </w:r>
          </w:p>
        </w:tc>
      </w:tr>
      <w:tr>
        <w:trPr>
          <w:trHeight w:val="171"/>
        </w:trPr>
        <w:tc>
          <w:tcPr>
            <w:tcW w:w="6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Accounts and other receivables,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8,505</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5,718</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10"/>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81,107</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24,678</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owned,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91,778</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Property held under operating leases, net ("ROU asset")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184,308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192,395</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248,674</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61,888</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r>
      <w:tr>
        <w:trPr>
          <w:trHeight w:val="21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665,592</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624,752</w:t>
            </w:r>
          </w:p>
        </w:tc>
      </w:tr>
      <w:tr>
        <w:trPr>
          <w:trHeight w:val="210"/>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Current portion of obligations under finance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obligations under operating leases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16,406</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5,627</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and vacation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Accrued insurance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9,440</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 taxes payable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income tax receivable agreement payable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r>
      <w:tr>
        <w:trPr>
          <w:trHeight w:val="21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28,597</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73,959</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Revolver loan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138,800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under finance leases, net of current portion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Obligations under operating leases, net of current portion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189,060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197,492</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Income tax receivable agreement payable, net of current portion</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3,301</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w:t>
            </w: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409,033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379,186</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63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Preferred stock, $0.01 par value, 100,000,000 shares authorized; none issued or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tcPr>
          <w:p>
            <w:pPr>
              <w:ind w:left="20"/>
              <w:spacing w:after="0" w:line="201" w:lineRule="exact"/>
              <w:rPr>
                <w:sz w:val="20"/>
                <w:szCs w:val="20"/>
                <w:color w:val="auto"/>
              </w:rPr>
            </w:pPr>
            <w:r>
              <w:rPr>
                <w:rFonts w:ascii="Arial" w:cs="Arial" w:eastAsia="Arial" w:hAnsi="Arial"/>
                <w:sz w:val="18"/>
                <w:szCs w:val="18"/>
                <w:color w:val="auto"/>
                <w:w w:val="97"/>
              </w:rPr>
              <w:t>Common stock, $0.01 par value, 200,000,000 shares authorized; 35,854,122 and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35,126,582 shares issued and outstanding</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330,950</w:t>
            </w: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(76,889)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(85,988)</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256,559</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245,566</w:t>
            </w:r>
          </w:p>
        </w:tc>
      </w:tr>
      <w:tr>
        <w:trPr>
          <w:trHeight w:val="20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665,592</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624,752</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22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7"/>
              </w:rPr>
              <w:t>June 24, 2020</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7"/>
              </w:rPr>
              <w:t>June 26, 2019</w:t>
            </w:r>
          </w:p>
        </w:tc>
        <w:tc>
          <w:tcPr>
            <w:tcW w:w="160" w:type="dxa"/>
            <w:vAlign w:val="bottom"/>
          </w:tcPr>
          <w:p>
            <w:pPr>
              <w:spacing w:after="0"/>
              <w:rPr>
                <w:sz w:val="12"/>
                <w:szCs w:val="12"/>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Company-operated restaurant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87,707</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100,139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180,341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197,289</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Franchise advertising fee revenue</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11,066</w:t>
            </w:r>
          </w:p>
        </w:tc>
        <w:tc>
          <w:tcPr>
            <w:tcW w:w="160" w:type="dxa"/>
            <w:vAlign w:val="bottom"/>
            <w:tcBorders>
              <w:bottom w:val="single" w:sz="8" w:color="CCEEFF"/>
            </w:tcBorders>
          </w:tcPr>
          <w:p>
            <w:pPr>
              <w:spacing w:after="0"/>
              <w:rPr>
                <w:sz w:val="18"/>
                <w:szCs w:val="18"/>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99,604</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204,767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222,717</w:t>
            </w:r>
          </w:p>
        </w:tc>
        <w:tc>
          <w:tcPr>
            <w:tcW w:w="160" w:type="dxa"/>
            <w:vAlign w:val="bottom"/>
            <w:shd w:val="clear" w:color="auto" w:fill="CCEEFF"/>
          </w:tcPr>
          <w:p>
            <w:pPr>
              <w:spacing w:after="0"/>
              <w:rPr>
                <w:sz w:val="18"/>
                <w:szCs w:val="18"/>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Cost of operations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and paper cost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55,038</w:t>
            </w: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Labor and related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54,452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58,848</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and other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46,259</w:t>
            </w:r>
          </w:p>
        </w:tc>
        <w:tc>
          <w:tcPr>
            <w:tcW w:w="160" w:type="dxa"/>
            <w:vAlign w:val="bottom"/>
            <w:shd w:val="clear" w:color="auto" w:fill="CCEEFF"/>
          </w:tcPr>
          <w:p>
            <w:pPr>
              <w:spacing w:after="0"/>
              <w:rPr>
                <w:sz w:val="18"/>
                <w:szCs w:val="18"/>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Company restaurant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146,918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160,145</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Franchise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13,686</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Loss on disposal of assets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r>
      <w:tr>
        <w:trPr>
          <w:trHeight w:val="202"/>
        </w:trPr>
        <w:tc>
          <w:tcPr>
            <w:tcW w:w="43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Recovery of securities lawsuits related legal expenses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insurance claims</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Impairment and closed-store reserves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disposition of restaurants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60" w:type="dxa"/>
            <w:vAlign w:val="bottom"/>
            <w:shd w:val="clear" w:color="auto" w:fill="CCEEFF"/>
          </w:tcPr>
          <w:p>
            <w:pPr>
              <w:spacing w:after="0"/>
              <w:rPr>
                <w:sz w:val="18"/>
                <w:szCs w:val="18"/>
                <w:color w:val="auto"/>
              </w:rPr>
            </w:pPr>
          </w:p>
        </w:tc>
      </w:tr>
      <w:tr>
        <w:trPr>
          <w:trHeight w:val="21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92,155</w:t>
            </w: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93,160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191,632</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199,845</w:t>
            </w:r>
          </w:p>
        </w:tc>
        <w:tc>
          <w:tcPr>
            <w:tcW w:w="160" w:type="dxa"/>
            <w:vAlign w:val="bottom"/>
            <w:tcBorders>
              <w:bottom w:val="single" w:sz="8" w:color="CCEEFF"/>
            </w:tcBorders>
          </w:tcPr>
          <w:p>
            <w:pPr>
              <w:spacing w:after="0"/>
              <w:rPr>
                <w:sz w:val="18"/>
                <w:szCs w:val="18"/>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22,872</w:t>
            </w: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1,781</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 agreement expense (income)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21,014</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60" w:type="dxa"/>
            <w:vAlign w:val="bottom"/>
            <w:shd w:val="clear" w:color="auto" w:fill="CCEEFF"/>
          </w:tcPr>
          <w:p>
            <w:pPr>
              <w:spacing w:after="0"/>
              <w:rPr>
                <w:sz w:val="18"/>
                <w:szCs w:val="18"/>
                <w:color w:val="auto"/>
              </w:rPr>
            </w:pPr>
          </w:p>
        </w:tc>
      </w:tr>
      <w:tr>
        <w:trPr>
          <w:trHeight w:val="25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tcPr>
          <w:p>
            <w:pPr>
              <w:spacing w:after="0"/>
              <w:rPr>
                <w:sz w:val="21"/>
                <w:szCs w:val="21"/>
                <w:color w:val="auto"/>
              </w:rPr>
            </w:pPr>
          </w:p>
        </w:tc>
      </w:tr>
      <w:tr>
        <w:trPr>
          <w:trHeight w:val="196"/>
        </w:trPr>
        <w:tc>
          <w:tcPr>
            <w:tcW w:w="4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 per share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18"/>
                <w:szCs w:val="18"/>
                <w:color w:val="auto"/>
              </w:rPr>
            </w:pPr>
          </w:p>
        </w:tc>
      </w:tr>
      <w:tr>
        <w:trPr>
          <w:trHeight w:val="198"/>
        </w:trPr>
        <w:tc>
          <w:tcPr>
            <w:tcW w:w="43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Weighted-average shares used in computing net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income per share</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34,836,410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37,939,912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34,747,785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38,296,807</w:t>
            </w:r>
          </w:p>
        </w:tc>
        <w:tc>
          <w:tcPr>
            <w:tcW w:w="160" w:type="dxa"/>
            <w:vAlign w:val="bottom"/>
            <w:shd w:val="clear" w:color="auto" w:fill="CCEEFF"/>
          </w:tcPr>
          <w:p>
            <w:pPr>
              <w:spacing w:after="0"/>
              <w:rPr>
                <w:sz w:val="18"/>
                <w:szCs w:val="18"/>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35,410,198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38,580,722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35,382,607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39,043,477</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ind w:left="8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4"/>
                <w:szCs w:val="14"/>
                <w:color w:val="auto"/>
              </w:rPr>
            </w:pPr>
          </w:p>
        </w:tc>
        <w:tc>
          <w:tcPr>
            <w:tcW w:w="180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w w:val="94"/>
              </w:rPr>
              <w:t>Twenty-Six Weeks Ended</w:t>
            </w:r>
          </w:p>
        </w:tc>
      </w:tr>
      <w:tr>
        <w:trPr>
          <w:trHeight w:val="142"/>
        </w:trPr>
        <w:tc>
          <w:tcPr>
            <w:tcW w:w="4860" w:type="dxa"/>
            <w:vAlign w:val="bottom"/>
          </w:tcPr>
          <w:p>
            <w:pPr>
              <w:spacing w:after="0"/>
              <w:rPr>
                <w:sz w:val="12"/>
                <w:szCs w:val="12"/>
                <w:color w:val="auto"/>
              </w:rPr>
            </w:pPr>
          </w:p>
        </w:tc>
        <w:tc>
          <w:tcPr>
            <w:tcW w:w="10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24, 2020</w:t>
            </w: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June 26, 2019</w:t>
            </w:r>
          </w:p>
        </w:tc>
        <w:tc>
          <w:tcPr>
            <w:tcW w:w="18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24, 2020</w:t>
            </w: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June 26, 2019</w:t>
            </w: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derivative instruments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02"/>
        </w:trPr>
        <w:tc>
          <w:tcPr>
            <w:tcW w:w="4860" w:type="dxa"/>
            <w:vAlign w:val="bottom"/>
          </w:tcPr>
          <w:p>
            <w:pPr>
              <w:ind w:left="220"/>
              <w:spacing w:after="0" w:line="201" w:lineRule="exact"/>
              <w:rPr>
                <w:sz w:val="20"/>
                <w:szCs w:val="20"/>
                <w:color w:val="auto"/>
              </w:rPr>
            </w:pPr>
            <w:r>
              <w:rPr>
                <w:rFonts w:ascii="Arial" w:cs="Arial" w:eastAsia="Arial" w:hAnsi="Arial"/>
                <w:sz w:val="18"/>
                <w:szCs w:val="18"/>
                <w:color w:val="auto"/>
                <w:w w:val="97"/>
              </w:rPr>
              <w:t>Unrealized net losses arising during the period from interest</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rate swap</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Reclassifications of losses into net income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Income benefit</w:t>
            </w: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w:t>
            </w:r>
          </w:p>
        </w:tc>
        <w:tc>
          <w:tcPr>
            <w:tcW w:w="18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14,087</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Thirteen Weeks Ended June 24, 2020</w:t>
            </w: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3"/>
            <w:vMerge w:val="continue"/>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0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1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25,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35,089,983</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$ 331,484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(82,388)</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436,263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tcPr>
          <w:p>
            <w:pPr>
              <w:ind w:left="20"/>
              <w:spacing w:after="0" w:line="201" w:lineRule="exact"/>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372,556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(20,193)</w:t>
            </w:r>
          </w:p>
        </w:tc>
        <w:tc>
          <w:tcPr>
            <w:tcW w:w="3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tcPr>
          <w:p>
            <w:pPr>
              <w:ind w:left="20"/>
              <w:spacing w:after="0" w:line="201" w:lineRule="exact"/>
              <w:rPr>
                <w:sz w:val="20"/>
                <w:szCs w:val="20"/>
                <w:color w:val="auto"/>
              </w:rPr>
            </w:pPr>
            <w:r>
              <w:rPr>
                <w:rFonts w:ascii="Arial" w:cs="Arial" w:eastAsia="Arial" w:hAnsi="Arial"/>
                <w:sz w:val="18"/>
                <w:szCs w:val="18"/>
                <w:color w:val="auto"/>
              </w:rPr>
              <w:t>Forfeiture of common stock related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restricted shares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(24,487)</w:t>
            </w:r>
          </w:p>
        </w:tc>
        <w:tc>
          <w:tcPr>
            <w:tcW w:w="3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5,499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24,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35,854,122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$ 334,088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(76,889)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Thirteen Weeks Ended June 26, 2019</w:t>
            </w: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3"/>
            <w:vMerge w:val="continue"/>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0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2"/>
                <w:szCs w:val="12"/>
                <w:color w:val="auto"/>
              </w:rPr>
            </w:pPr>
          </w:p>
        </w:tc>
        <w:tc>
          <w:tcPr>
            <w:tcW w:w="8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27,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38,730,204</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$ 372,825</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(109,975)</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323,489</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tcPr>
          <w:p>
            <w:pPr>
              <w:ind w:left="20"/>
              <w:spacing w:after="0" w:line="201" w:lineRule="exact"/>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6,709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Shares repurchased for employee tax</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withholdings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(24,172)</w:t>
            </w:r>
          </w:p>
        </w:tc>
        <w:tc>
          <w:tcPr>
            <w:tcW w:w="3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(1,303,282)</w:t>
            </w:r>
          </w:p>
        </w:tc>
        <w:tc>
          <w:tcPr>
            <w:tcW w:w="3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(14,930)</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Balance, June 26,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37,732,948</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$ 358,335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(95,888)</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23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Twenty-Six Weeks Ended June 24, 2020</w:t>
            </w: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02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2"/>
            <w:vMerge w:val="continue"/>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3"/>
            <w:vMerge w:val="continue"/>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14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2"/>
                <w:szCs w:val="12"/>
                <w:color w:val="auto"/>
              </w:rPr>
            </w:pPr>
          </w:p>
        </w:tc>
        <w:tc>
          <w:tcPr>
            <w:tcW w:w="720" w:type="dxa"/>
            <w:vAlign w:val="bottom"/>
          </w:tcPr>
          <w:p>
            <w:pPr>
              <w:jc w:val="center"/>
              <w:ind w:right="53"/>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25,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35,126,582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$ 330,950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(85,988)</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245,566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436,263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372,556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repurchased for employee tax</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(20,193)</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w w:val="98"/>
              </w:rPr>
              <w:t>Forfeiture of common stock related to</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restricted shares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(61,086)</w:t>
            </w: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9,099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9,099</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24,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35,854,122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$ 334,088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(76,889)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256,559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9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Twenty-Six Weeks Ended June 26, 2019</w:t>
            </w: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72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02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2"/>
            <w:vMerge w:val="continue"/>
          </w:tcPr>
          <w:p>
            <w:pPr>
              <w:spacing w:after="0"/>
              <w:rPr>
                <w:sz w:val="12"/>
                <w:szCs w:val="12"/>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3"/>
            <w:vMerge w:val="continue"/>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2"/>
                <w:szCs w:val="12"/>
                <w:color w:val="auto"/>
              </w:rPr>
            </w:pPr>
          </w:p>
        </w:tc>
        <w:tc>
          <w:tcPr>
            <w:tcW w:w="8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720" w:type="dxa"/>
            <w:vAlign w:val="bottom"/>
          </w:tcPr>
          <w:p>
            <w:pPr>
              <w:jc w:val="center"/>
              <w:ind w:right="53"/>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26,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39,009,451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$ 375,734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(110,888)</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265,236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related to</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301,371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96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6,709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repurchased for employee tax</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withholdings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(25,747)</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(1,558,836)</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(18,311)</w:t>
            </w:r>
          </w:p>
        </w:tc>
        <w:tc>
          <w:tcPr>
            <w:tcW w:w="1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(18,326)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8"/>
                <w:szCs w:val="18"/>
                <w:b w:val="1"/>
                <w:bCs w:val="1"/>
                <w:color w:val="auto"/>
              </w:rPr>
              <w:t>Balance, June 26,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37,732,948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$ 358,335</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(95,888)</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262,824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7"/>
          </w:tcPr>
          <w:p>
            <w:pPr>
              <w:ind w:left="30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24, 2020</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2"/>
              </w:rPr>
              <w:t>June 26, 2019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Adjustments to reconcile net income to net cash flows provided by operating</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Income tax receivable agreement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disposition of restaurants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Loss on disposal of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favorable and unfavorable leases,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Accounts and other receivables,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(7,610)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salaries and vacation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Accrued insurance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Other accrued expenses and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(23,077)</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disposition of restaurants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tax withholdings related to net share settlements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Payments on revolver and swingline loan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(10,700)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on revolver and swingline loan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20" w:type="dxa"/>
            <w:vAlign w:val="bottom"/>
          </w:tcPr>
          <w:p>
            <w:pPr>
              <w:ind w:left="20"/>
              <w:spacing w:after="0" w:line="201" w:lineRule="exact"/>
              <w:rPr>
                <w:sz w:val="20"/>
                <w:szCs w:val="20"/>
                <w:color w:val="auto"/>
              </w:rPr>
            </w:pPr>
            <w:r>
              <w:rPr>
                <w:rFonts w:ascii="Arial" w:cs="Arial" w:eastAsia="Arial" w:hAnsi="Arial"/>
                <w:sz w:val="18"/>
                <w:szCs w:val="18"/>
                <w:color w:val="auto"/>
                <w:w w:val="98"/>
              </w:rPr>
              <w:t>Proceeds from issuance of common stock upon exercise of stock options, net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obligations under finance leases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Stock buybacks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(18,151)</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financing activities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43,669</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Increase in cash and cash equivalents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7"/>
          </w:tcPr>
          <w:p>
            <w:pPr>
              <w:ind w:left="30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24, 2020</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2"/>
              </w:rPr>
              <w:t>June 26, 2019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320" w:type="dxa"/>
            <w:vAlign w:val="bottom"/>
          </w:tcPr>
          <w:p>
            <w:pPr>
              <w:ind w:left="20"/>
              <w:spacing w:after="0"/>
              <w:rPr>
                <w:sz w:val="20"/>
                <w:szCs w:val="20"/>
                <w:color w:val="auto"/>
              </w:rPr>
            </w:pPr>
            <w:r>
              <w:rPr>
                <w:rFonts w:ascii="Arial" w:cs="Arial" w:eastAsia="Arial" w:hAnsi="Arial"/>
                <w:sz w:val="18"/>
                <w:szCs w:val="18"/>
                <w:color w:val="auto"/>
              </w:rPr>
              <w:t>Cash paid during the period for interest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1,738</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during the period for income taxes</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20"/>
              <w:spacing w:after="0"/>
              <w:rPr>
                <w:sz w:val="20"/>
                <w:szCs w:val="20"/>
                <w:color w:val="auto"/>
              </w:rPr>
            </w:pPr>
            <w:r>
              <w:rPr>
                <w:rFonts w:ascii="Arial" w:cs="Arial" w:eastAsia="Arial" w:hAnsi="Arial"/>
                <w:sz w:val="18"/>
                <w:szCs w:val="18"/>
                <w:color w:val="auto"/>
              </w:rPr>
              <w:t>Unpaid purchases of property and equipment</w:t>
            </w: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846</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980</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Unpaid stock buybacks</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the condensed consolidated financial statements (unaudited).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ind w:left="60" w:right="1359" w:hanging="10"/>
        <w:spacing w:after="0" w:line="503" w:lineRule="auto"/>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left="60" w:right="199"/>
        <w:spacing w:after="0" w:line="296" w:lineRule="auto"/>
        <w:rPr>
          <w:sz w:val="20"/>
          <w:szCs w:val="20"/>
          <w:color w:val="auto"/>
        </w:rPr>
      </w:pPr>
      <w:r>
        <w:rPr>
          <w:rFonts w:ascii="Arial" w:cs="Arial" w:eastAsia="Arial" w:hAnsi="Arial"/>
          <w:sz w:val="16"/>
          <w:szCs w:val="16"/>
          <w:color w:val="auto"/>
        </w:rPr>
        <w:t>El Pollo Loco Holdings, Inc. (“Holdings”) is a Delaware corporation headquartered in Costa Mesa, California. Holdings and its direct and indirect subsidiaries are collectively referred to herein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June 24, 2020, the Company operated 196 and franchised 283 El Pollo Loco restaurants.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25, 2019.</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uses a 52- or 53-week fiscal year ending on the last Wednesday of the calendar year. In a 52-week</w:t>
      </w:r>
    </w:p>
    <w:p>
      <w:pPr>
        <w:spacing w:after="0" w:line="35"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fiscal year, each quarter includes 13 weeks of operations; in a 53-week fiscal year, the first, second and third quarters each include 13 weeks of operations, and the fourth quarter includes 14 weeks of operations. Every six or seven years, a 53-week fiscal year occurs. Fiscal 2020 is a 53-week year ending on December 30, 2020, and fiscal 2019 was a 52-week year ending on December 25, 2019. Revenues, expenses, and other financial and operational figures may be elevated in a 53-week year.</w:t>
      </w:r>
    </w:p>
    <w:p>
      <w:pPr>
        <w:spacing w:after="0" w:line="191" w:lineRule="exact"/>
        <w:rPr>
          <w:sz w:val="20"/>
          <w:szCs w:val="20"/>
          <w:color w:val="auto"/>
        </w:rPr>
      </w:pPr>
    </w:p>
    <w:p>
      <w:pPr>
        <w:ind w:left="60" w:right="239"/>
        <w:spacing w:after="0" w:line="257" w:lineRule="auto"/>
        <w:rPr>
          <w:sz w:val="20"/>
          <w:szCs w:val="20"/>
          <w:color w:val="auto"/>
        </w:rPr>
      </w:pPr>
      <w:r>
        <w:rPr>
          <w:rFonts w:ascii="Arial" w:cs="Arial" w:eastAsia="Arial" w:hAnsi="Arial"/>
          <w:sz w:val="18"/>
          <w:szCs w:val="18"/>
          <w:color w:val="auto"/>
        </w:rPr>
        <w:t>Holdings has no material assets or operations. Holdings and Holdings’ direct subsidiary, EPL Intermediate, Inc. (“Intermediate”), guarantee EPL’s 2018 Revolver (as defined below) on a full and unconditional basis (see Note 4), and Intermediate has no subsidiaries other than EPL. EPL is a separate and distinct legal entity and has no obligation to make funds available to Intermediate. EPL and Intermediate may pay dividends to Intermediate and to Holdings, respectively, subject to the terms of the 2018 Revolver.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left="60" w:right="359"/>
        <w:spacing w:after="0" w:line="308" w:lineRule="auto"/>
        <w:rPr>
          <w:sz w:val="20"/>
          <w:szCs w:val="20"/>
          <w:color w:val="auto"/>
        </w:rPr>
      </w:pPr>
      <w:r>
        <w:rPr>
          <w:rFonts w:ascii="Arial" w:cs="Arial" w:eastAsia="Arial" w:hAnsi="Arial"/>
          <w:sz w:val="17"/>
          <w:szCs w:val="17"/>
          <w:color w:val="auto"/>
        </w:rPr>
        <w:t>The accompanying condensed consolidated financial statements include the accounts of Holdings and its wholly owned subsidiaries. All intercompany balances and transactions have been eliminated in consolidation.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stock-based compensation, income tax receivable agreement liability, contingent liabilities and income tax valuation allowances.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("COVID-19") and the risks to the international community as the virus spreads globally beyond its point of origin. On March 11, 2020, the WHO classified the COVID-19 outbreak as a pandemic, based on the rapid increase in exposure globally.</w:t>
      </w:r>
    </w:p>
    <w:p>
      <w:pPr>
        <w:spacing w:after="0" w:line="187"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 xml:space="preserve">The COVID-19 pandemic has significantly disrupted consumer demand, as well as the Company’s restaurant operations. Following the pandemic declaration in March 2020, federal, state and local governments began to respond to the public health crisis by requiring social distancing, "stay at home" directives, and restaurant restrictions - including government-mandated dining room closures - that limited business to off-premise services only (take-out, drive-thru and delivery). Historically, approximately 20% of the Company’s sales are associated with dine-in service. In May 2020, the “stay at home” directive was modified in most areas in which the Company operates, allowing for the opening of lower-risk workplaces, including restaurants, but with restrictions such as limited capacity. However, in recent months a surge in the COVID-19 pandemic has caused many state and local governments to re-implement certain restrictions to try and contain the spread of the virus. Except for nine restaurants in Houston and one in Utah, all of the Company’s restaurants are operating on a take-away, mobile pick-up and delivery basis, as well as maintaining drive-thru operations where available, </w:t>
      </w:r>
      <w:r>
        <w:rPr>
          <w:rFonts w:ascii="Arial" w:cs="Arial" w:eastAsia="Arial" w:hAnsi="Arial"/>
          <w:sz w:val="16"/>
          <w:szCs w:val="16"/>
          <w:color w:val="212529"/>
        </w:rPr>
        <w:t xml:space="preserve">in order to protect its employees </w:t>
      </w:r>
      <w:r>
        <w:rPr>
          <w:rFonts w:ascii="Arial" w:cs="Arial" w:eastAsia="Arial" w:hAnsi="Arial"/>
          <w:sz w:val="16"/>
          <w:szCs w:val="16"/>
          <w:color w:val="000000"/>
        </w:rPr>
        <w:t>and customers from the spread of the COVID-19 pandemic and to comply with the</w:t>
      </w:r>
      <w:r>
        <w:rPr>
          <w:rFonts w:ascii="Arial" w:cs="Arial" w:eastAsia="Arial" w:hAnsi="Arial"/>
          <w:sz w:val="16"/>
          <w:szCs w:val="16"/>
          <w:color w:val="212529"/>
        </w:rPr>
        <w:t xml:space="preserve"> </w:t>
      </w:r>
      <w:r>
        <w:rPr>
          <w:rFonts w:ascii="Arial" w:cs="Arial" w:eastAsia="Arial" w:hAnsi="Arial"/>
          <w:sz w:val="16"/>
          <w:szCs w:val="16"/>
          <w:color w:val="000000"/>
        </w:rPr>
        <w:t>government mandates. Due to the impact of the COVID-19 pandemic, during the thirteen and twenty-six weeks ended June 24, 2020, the Company has temporarily closed 31 restaurants, typically for one to three days, 30 of which have reopened and 1 remained closed as of June 24, 2020. Similarly, franchisees have temporarily closed 21 restaurants, of which 17 have reopened and four remain closed as of June 24, 2020. As of June 24, 2020, the Company had not permanently closed any restaurants due to the COVID-19 pandemic.</w:t>
      </w:r>
    </w:p>
    <w:p>
      <w:pPr>
        <w:spacing w:after="0" w:line="176"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The full impact of the COVID-19 outbreak continues to evolve as of the date of this report. Management has taken precautionary actions, such as drawing on its 2018 Revolver (see Note 4), temporarily suspending all but essential capital spending and share repurchase activity, reevaluating essential support center general and administrative expenses and fine-tuning its restaurant labor model based on indoor dining room restrictions, limited dining room capacity in restaurants located in geographies where indoor dining is permitted, dining room closures and fluctuating sales volumes. Additionally, Management has delayed making April, May and June rent payments on the majority of its leased properties and has reached agreements for rent abatement and/or deferment with the Company’s landlords for those properties. See Note 5 “Other Accrued Expenses and Current Liabilities” and Note 6 “Other Noncurrent Liabilities” for details of these balances. For the Company’s franchisees, the Company deferred 50% of their April royalties as well as 100% of their 2020 remodel and new restaurant build requirements until 2021. Management is continually evaluating the impact of the global crisis on its financial condition, liquidity, operations, suppliers, industry, and workforce and will take additional actions as necessary. The disruption in operations led to the Company considering the impact of the COVID-19 pandemic on its liquidity, debt covenant compliance, and recoverability of long-lived and ROU assets, goodwill and intangible assets, among others. If these disruptions to the Company’s operations from the COVID-19 pandemic continue, they may have a material negative impact on the Company’s consolidated financial condition, future results of operations and liquidity. The extent of such negative impact will depend, in part, on the longevity and severity of the pandemic.</w:t>
      </w:r>
    </w:p>
    <w:p>
      <w:pPr>
        <w:spacing w:after="0" w:line="1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Due to the rapid development and fluidity of this situation, the Company cannot determine the ultimate impact that the COVID-19 pandemic will have on the Company’s consolidated financial condition, liquidity, and future results of operations, and therefore any prediction as to the ultimate materiality of the adverse impact on the Company’s consolidated financial condition, liquidity, and future results of operations is uncertain.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color w:val="auto"/>
        </w:rPr>
        <w:t>Subsequent to June 24, 2020, the Company has temporarily closed 36 restaurants, typically for one to three days, and franchisees have temporarily closed 11 restaurants. As of July 31, 2020, four company-operated and three franchise locations remained closed.</w:t>
      </w:r>
    </w:p>
    <w:p>
      <w:pPr>
        <w:spacing w:after="0" w:line="184"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color w:val="auto"/>
        </w:rPr>
        <w:t>Subsequent to June 24, 2020, the Surety, from whom the Company procured an appeal bond to secure the judgement against the Company in the matter of Janice P. Handlers-Bryman and Michael D. Bryman v. El Pollo Loco, Inc., released its collateral demand, freeing the $2.7 million Letter of Credit previously issued in April 2020. Additionally,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subsequent to June 24, 2020, the Company reached an agreement in principle with the plaintiffs to resolve the lawsuit. See Note 7, “Commitments and Contingencies, Legal Matters” for more details.</w:t>
      </w:r>
    </w:p>
    <w:p>
      <w:pPr>
        <w:spacing w:after="0" w:line="170"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The Company has evaluated subsequent events that have occurred after June 24, 2020, and determined that there were no other events or transactions occurring during this reporting period that require recognition or disclosure in the condensed consolidated financial statements.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The Company considers all highly-liquid instruments with an original maturity of three months or less at the date of purchase to be cash equivalents.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 xml:space="preserve">The Company’s principal liquidity and capital requirements are new restaurants, existing restaurant capital investments (remodels and maintenance), interest payments on our debt, lease obligations and working capital and general corporate needs. At June 24, 2020, the Company’s total debt was $138.8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and available cash of $60.3 million at June 24, 2020 will be adequate to meet the Company’s liquidity needs for the next twelve months from the date of filing of these condensed consolidated financial statements. However, </w:t>
      </w:r>
      <w:r>
        <w:rPr>
          <w:rFonts w:ascii="Arial" w:cs="Arial" w:eastAsia="Arial" w:hAnsi="Arial"/>
          <w:sz w:val="16"/>
          <w:szCs w:val="16"/>
          <w:color w:val="212529"/>
        </w:rPr>
        <w:t xml:space="preserve">depending on the severity and longevity of the COVID-19 pandemic, </w:t>
      </w:r>
      <w:r>
        <w:rPr>
          <w:rFonts w:ascii="Arial" w:cs="Arial" w:eastAsia="Arial" w:hAnsi="Arial"/>
          <w:sz w:val="16"/>
          <w:szCs w:val="16"/>
          <w:color w:val="000000"/>
        </w:rPr>
        <w:t>the Company’s financial performance and liquidity</w:t>
      </w:r>
      <w:r>
        <w:rPr>
          <w:rFonts w:ascii="Arial" w:cs="Arial" w:eastAsia="Arial" w:hAnsi="Arial"/>
          <w:sz w:val="16"/>
          <w:szCs w:val="16"/>
          <w:color w:val="212529"/>
        </w:rPr>
        <w:t xml:space="preserve"> </w:t>
      </w:r>
      <w:r>
        <w:rPr>
          <w:rFonts w:ascii="Arial" w:cs="Arial" w:eastAsia="Arial" w:hAnsi="Arial"/>
          <w:sz w:val="16"/>
          <w:szCs w:val="16"/>
          <w:color w:val="000000"/>
        </w:rPr>
        <w:t>could be further impacted and could impact the Company’s ability to meet certain covenants required in its 2018 Credit Agreement (as defined below), specifically the lease-adjusted coverage ratio and fixed-charge coverage ratio.</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Recovery of Securities Class Action Legal Expenses and Other Insurance Claims</w:t>
      </w:r>
    </w:p>
    <w:p>
      <w:pPr>
        <w:spacing w:after="0" w:line="229"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During the thirteen and twenty-six weeks ended June 24, 2020, the Company received insurance proceeds of $0.1 million related to a property claim. During the thirteen and twenty-six weeks ended June 26, 2019, the Company received insurance proceeds of $10.0 million related to the settlement of a securities class action lawsuit. See Note 7, “Commitments and Contingencies, Legal Matters.’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on Disposition of Restaurants</w:t>
      </w:r>
    </w:p>
    <w:p>
      <w:pPr>
        <w:spacing w:after="0" w:line="229" w:lineRule="exact"/>
        <w:rPr>
          <w:sz w:val="20"/>
          <w:szCs w:val="20"/>
          <w:color w:val="auto"/>
        </w:rPr>
      </w:pPr>
    </w:p>
    <w:p>
      <w:pPr>
        <w:ind w:left="60" w:right="119"/>
        <w:spacing w:after="0" w:line="288" w:lineRule="auto"/>
        <w:rPr>
          <w:sz w:val="20"/>
          <w:szCs w:val="20"/>
          <w:color w:val="auto"/>
        </w:rPr>
      </w:pPr>
      <w:r>
        <w:rPr>
          <w:rFonts w:ascii="Arial" w:cs="Arial" w:eastAsia="Arial" w:hAnsi="Arial"/>
          <w:sz w:val="16"/>
          <w:szCs w:val="16"/>
          <w:color w:val="auto"/>
        </w:rPr>
        <w:t>During the thirteen and twenty-six weeks ended June 26, 2019, the Company completed the sale of four company-operated restaurants within the San Francisco area to an existing franchisee and seven company-operated restaurants in the Phoenix area to another existing franchisee. The Company determined that these restaurant dispositions represent multiple element arrangements, and as a result, the cash consideration received was allocated to the separate elements based on their relative selling price. Cash proceeds included upfront consideration for the sale of the restaurants and franchise fees, as well as future cash consideration for royalties and lease payments. The Company considered the future lease payments in allocating the initial cash consideration received. The cash consideration per restaurant for franchise fees is consistent with the amounts stated in the related franchise agreements, which are charged for separate standalone arrangements. The Company initially defers and subsequently recognizes the franchise fees over the term of the franchise agreement. Future royalty income is also recognized in revenue as earned.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These sales resulted in cash proceeds of $4.8 million and a net loss on sale of restaurants of $0.9 million and $5.1</w:t>
      </w:r>
    </w:p>
    <w:p>
      <w:pPr>
        <w:spacing w:after="0" w:line="35"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million for the thirteen and twenty-six weeks ended June 26, 2019, respectively. These restaurants are now included in the total number of franchised El Pollo Loco restaurants.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60" w:right="499"/>
        <w:spacing w:after="0" w:line="311" w:lineRule="auto"/>
        <w:rPr>
          <w:sz w:val="20"/>
          <w:szCs w:val="20"/>
          <w:color w:val="auto"/>
        </w:rPr>
      </w:pPr>
      <w:r>
        <w:rPr>
          <w:rFonts w:ascii="Arial" w:cs="Arial" w:eastAsia="Arial" w:hAnsi="Arial"/>
          <w:sz w:val="16"/>
          <w:szCs w:val="16"/>
          <w:color w:val="auto"/>
        </w:rPr>
        <w:t>In March 2020, the Financial Accounting Standards Board ("FASB") issued Accounting Standards Update ("ASU") No. 2020-04, "Reference Rate Reform (Topic 848): Facilitation of the Effects of Reference Rate Reform on Financial Reporting," which provides optional guidance, for a limited time, to ease the potential burden in accounting for 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311" w:lineRule="auto"/>
        <w:rPr>
          <w:sz w:val="20"/>
          <w:szCs w:val="20"/>
          <w:color w:val="auto"/>
        </w:rPr>
      </w:pPr>
      <w:r>
        <w:rPr>
          <w:rFonts w:ascii="Arial" w:cs="Arial" w:eastAsia="Arial" w:hAnsi="Arial"/>
          <w:sz w:val="16"/>
          <w:szCs w:val="16"/>
          <w:color w:val="auto"/>
        </w:rPr>
        <w:t>recognizing the effects of reference rate reform on financial reporting. ASU 2020-04 is effective for a limited time, from March 12, 2020, through December 31, 2022. The Company adopted this ASU on March 12, 2020. The adoption of ASU 2020-04 did not have a significant impact on the Company’s consolidated financial position or results of operations.</w:t>
      </w:r>
    </w:p>
    <w:p>
      <w:pPr>
        <w:spacing w:after="0" w:line="149"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In February 2018, the FASB issued ASU No. 2018-13, "Fair Value Measurement (Topic 820): Disclosure Framework— Changes to the Disclosure Requirements for Fair Value Measurement," which finalizes proposed ASU No. 2015-350, and of the same name as part of its disclosure framework project, which focuses on improving the effectiveness of disclosures in the notes to financial statements by facilitating clear communication of the information required by U.S. GAAP that is most important to users of each entity’s financial statements. The Company adopted ASU No. 2018-13 during the first quarter of 2020. The adoption of ASU 2018-13 did not have a significant impact on the Company’s consolidated financial position or results of operations.</w:t>
      </w:r>
    </w:p>
    <w:p>
      <w:pPr>
        <w:spacing w:after="0" w:line="177" w:lineRule="exact"/>
        <w:rPr>
          <w:sz w:val="20"/>
          <w:szCs w:val="20"/>
          <w:color w:val="auto"/>
        </w:rPr>
      </w:pPr>
    </w:p>
    <w:p>
      <w:pPr>
        <w:ind w:left="60" w:right="319"/>
        <w:spacing w:after="0" w:line="289"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which finalizes proposed ASU No. 2012-260 "Financial Instruments—Credit Losses (Subtopic 825-15)" and adds Topic 326 "Financial Instruments—Credit Losses", to provide financial statement users with more decision-useful information about the expected credit losses on financial instruments and other commitments to extend credit held by a reporting entity at each reporting date by replacing the incurred loss impairment methodology in current GAAP with a methodology that reflects expected credit losses and requires consideration of a broader range of reasonable and supportable information to inform credit loss estimates. The Company adopted ASU No. 2016-13 during the first quarter of 2020. The adoption of ASU 2016-03 did not have a significant impact on the Company’s consolidated financial position or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229"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modifies Topic 740 to simplify the accounting for income taxes. ASU 2019-12 is effective for financial statements issued for annual periods beginning after December 15, 2020, and for the interim periods therein. The adoption of ASU 2019-12 is not expected to have a significant impact on the Company’s consolidated financial position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Cash and cash equivalents are maintained at financial institutions and, at times, these balances may exceed federally-insured limits. The Company has never experienced any losses related to these balances.</w:t>
      </w:r>
    </w:p>
    <w:p>
      <w:pPr>
        <w:spacing w:after="0" w:line="146" w:lineRule="exact"/>
        <w:rPr>
          <w:sz w:val="20"/>
          <w:szCs w:val="20"/>
          <w:color w:val="auto"/>
        </w:rPr>
      </w:pPr>
    </w:p>
    <w:p>
      <w:pPr>
        <w:ind w:left="60" w:right="379"/>
        <w:spacing w:after="0" w:line="291" w:lineRule="auto"/>
        <w:rPr>
          <w:sz w:val="20"/>
          <w:szCs w:val="20"/>
          <w:color w:val="auto"/>
        </w:rPr>
      </w:pPr>
      <w:r>
        <w:rPr>
          <w:rFonts w:ascii="Arial" w:cs="Arial" w:eastAsia="Arial" w:hAnsi="Arial"/>
          <w:sz w:val="16"/>
          <w:szCs w:val="16"/>
          <w:color w:val="auto"/>
        </w:rPr>
        <w:t>The Company had one supplier for which amounts due totaled 44.5% and 11.7% of the Company’s accounts payable at June 24, 2020 and December 25, 2019, respectively. Purchases from the Company’s largest supplier totaled 26.4% and</w:t>
      </w:r>
    </w:p>
    <w:p>
      <w:pPr>
        <w:ind w:left="60" w:right="199"/>
        <w:spacing w:after="0" w:line="260" w:lineRule="auto"/>
        <w:rPr>
          <w:sz w:val="20"/>
          <w:szCs w:val="20"/>
          <w:color w:val="auto"/>
        </w:rPr>
      </w:pPr>
      <w:r>
        <w:rPr>
          <w:rFonts w:ascii="Arial" w:cs="Arial" w:eastAsia="Arial" w:hAnsi="Arial"/>
          <w:sz w:val="18"/>
          <w:szCs w:val="18"/>
          <w:color w:val="auto"/>
        </w:rPr>
        <w:t>27.0% of total expenses for the thirteen and twenty-six weeks ended June 24, 2020, respectively, and 30.3% and 28.8% of total expenses for the thirteen and twenty-six weeks ended June 26, 2019.</w:t>
      </w:r>
    </w:p>
    <w:p>
      <w:pPr>
        <w:spacing w:after="0" w:line="185"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Company-operated and franchised restaurants in the greater Los Angeles area generated, in the aggregate, approximately 71.1% and 71.7% of total revenue for the thirteen and twenty-six weeks ended June 24, 2020, respectively, and 69.3% for each of the thirteen and twenty-six weeks ended June 26, 2019.</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22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87"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determined there was no decrement of goodwill related to the disposition of restaurants during the thirteen and twenty-six weeks ended June 26,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The Company performs an annual impairment test for goodwill during the fourth fiscal quarter of each year, or more frequently if impairment indicators arise.</w:t>
      </w:r>
    </w:p>
    <w:p>
      <w:pPr>
        <w:spacing w:after="0" w:line="170"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96" w:lineRule="exact"/>
        <w:rPr>
          <w:sz w:val="20"/>
          <w:szCs w:val="20"/>
          <w:color w:val="auto"/>
        </w:rPr>
      </w:pPr>
    </w:p>
    <w:p>
      <w:pPr>
        <w:jc w:val="both"/>
        <w:ind w:left="60" w:right="159"/>
        <w:spacing w:after="0" w:line="259" w:lineRule="auto"/>
        <w:rPr>
          <w:sz w:val="20"/>
          <w:szCs w:val="20"/>
          <w:color w:val="auto"/>
        </w:rPr>
      </w:pPr>
      <w:r>
        <w:rPr>
          <w:rFonts w:ascii="Arial" w:cs="Arial" w:eastAsia="Arial" w:hAnsi="Arial"/>
          <w:sz w:val="18"/>
          <w:szCs w:val="18"/>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187" w:lineRule="exact"/>
        <w:rPr>
          <w:sz w:val="20"/>
          <w:szCs w:val="20"/>
          <w:color w:val="auto"/>
        </w:rPr>
      </w:pPr>
    </w:p>
    <w:p>
      <w:pPr>
        <w:jc w:val="both"/>
        <w:ind w:left="60" w:right="379"/>
        <w:spacing w:after="0" w:line="311" w:lineRule="auto"/>
        <w:rPr>
          <w:sz w:val="20"/>
          <w:szCs w:val="20"/>
          <w:color w:val="auto"/>
        </w:rPr>
      </w:pPr>
      <w:r>
        <w:rPr>
          <w:rFonts w:ascii="Arial" w:cs="Arial" w:eastAsia="Arial" w:hAnsi="Arial"/>
          <w:sz w:val="16"/>
          <w:szCs w:val="16"/>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49" w:lineRule="exact"/>
        <w:rPr>
          <w:sz w:val="20"/>
          <w:szCs w:val="20"/>
          <w:color w:val="auto"/>
        </w:rPr>
      </w:pPr>
    </w:p>
    <w:p>
      <w:pPr>
        <w:ind w:left="60" w:right="239"/>
        <w:spacing w:after="0" w:line="289" w:lineRule="auto"/>
        <w:rPr>
          <w:sz w:val="20"/>
          <w:szCs w:val="20"/>
          <w:color w:val="auto"/>
        </w:rPr>
      </w:pPr>
      <w:r>
        <w:rPr>
          <w:rFonts w:ascii="Arial" w:cs="Arial" w:eastAsia="Arial" w:hAnsi="Arial"/>
          <w:sz w:val="16"/>
          <w:szCs w:val="16"/>
          <w:color w:val="auto"/>
        </w:rPr>
        <w:t>Due to the recent impact of the COVID-19 pandemic to the global economy, including but not limited to, the volatility of the Company’s stock price as well as that of its competitors and the challenging environment for the restaurant industry generally, the Company determined that there were indicators of potential impairment of its goodwill and indefinite-lived intangible assets during the thirteen and twenty-six weeks ended June 24, 2020. As such, the Company performed an impairment assessment for both goodwill and indefinite-lived intangible assets and concluded that the fair value of these assets substantially exceeded their carrying values. Accordingly, the Company did not record any impairment to its goodwill or indefinite-lived intangible assets during the thirteen and twenty-six weeks ended June 24, 2020. T</w:t>
      </w:r>
      <w:r>
        <w:rPr>
          <w:rFonts w:ascii="Arial" w:cs="Arial" w:eastAsia="Arial" w:hAnsi="Arial"/>
          <w:sz w:val="16"/>
          <w:szCs w:val="16"/>
          <w:color w:val="212529"/>
        </w:rPr>
        <w:t>he ultimate</w:t>
      </w:r>
      <w:r>
        <w:rPr>
          <w:rFonts w:ascii="Arial" w:cs="Arial" w:eastAsia="Arial" w:hAnsi="Arial"/>
          <w:sz w:val="16"/>
          <w:szCs w:val="16"/>
          <w:color w:val="auto"/>
        </w:rPr>
        <w:t xml:space="preserve"> </w:t>
      </w:r>
      <w:r>
        <w:rPr>
          <w:rFonts w:ascii="Arial" w:cs="Arial" w:eastAsia="Arial" w:hAnsi="Arial"/>
          <w:sz w:val="16"/>
          <w:szCs w:val="16"/>
          <w:color w:val="212529"/>
        </w:rPr>
        <w:t xml:space="preserve">severity and longevity of the COVID-19 pandemic is unknown, and therefore, </w:t>
      </w:r>
      <w:r>
        <w:rPr>
          <w:rFonts w:ascii="Arial" w:cs="Arial" w:eastAsia="Arial" w:hAnsi="Arial"/>
          <w:sz w:val="16"/>
          <w:szCs w:val="16"/>
          <w:color w:val="000000"/>
        </w:rPr>
        <w:t>it is possible that impairments could be</w:t>
      </w:r>
      <w:r>
        <w:rPr>
          <w:rFonts w:ascii="Arial" w:cs="Arial" w:eastAsia="Arial" w:hAnsi="Arial"/>
          <w:sz w:val="16"/>
          <w:szCs w:val="16"/>
          <w:color w:val="212529"/>
        </w:rPr>
        <w:t xml:space="preserve"> </w:t>
      </w:r>
      <w:r>
        <w:rPr>
          <w:rFonts w:ascii="Arial" w:cs="Arial" w:eastAsia="Arial" w:hAnsi="Arial"/>
          <w:sz w:val="16"/>
          <w:szCs w:val="16"/>
          <w:color w:val="000000"/>
        </w:rPr>
        <w:t>identified in future periods, and such amounts could be material.</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84"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225"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225"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During fiscal 2019, the Company entered into an interest rate swap,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based on the terms of the contract and the forward yield curves adjusted for the Company’s credit risk. The key inputs for the valuation models are observable market prices, discount rates, and forward yield curves. See "Note 4.</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Long-Term Debt" for further discussion regarding our interest rate swaps. The following table presents fair value for the interest rate swap at June 24, 2020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jc w:val="center"/>
              <w:ind w:right="99"/>
              <w:spacing w:after="0"/>
              <w:rPr>
                <w:sz w:val="20"/>
                <w:szCs w:val="20"/>
                <w:color w:val="auto"/>
              </w:rPr>
            </w:pPr>
            <w:r>
              <w:rPr>
                <w:rFonts w:ascii="Arial" w:cs="Arial" w:eastAsia="Arial" w:hAnsi="Arial"/>
                <w:sz w:val="14"/>
                <w:szCs w:val="14"/>
                <w:b w:val="1"/>
                <w:bCs w:val="1"/>
                <w:color w:val="auto"/>
                <w:w w:val="93"/>
              </w:rPr>
              <w:t>Fair Value Measurements Using</w:t>
            </w:r>
          </w:p>
        </w:tc>
        <w:tc>
          <w:tcPr>
            <w:tcW w:w="0" w:type="dxa"/>
            <w:vAlign w:val="bottom"/>
          </w:tcPr>
          <w:p>
            <w:pPr>
              <w:spacing w:after="0"/>
              <w:rPr>
                <w:sz w:val="1"/>
                <w:szCs w:val="1"/>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99"/>
              <w:spacing w:after="0" w:line="142" w:lineRule="exact"/>
              <w:rPr>
                <w:sz w:val="20"/>
                <w:szCs w:val="20"/>
                <w:color w:val="auto"/>
              </w:rPr>
            </w:pPr>
            <w:r>
              <w:rPr>
                <w:rFonts w:ascii="Arial" w:cs="Arial" w:eastAsia="Arial" w:hAnsi="Arial"/>
                <w:sz w:val="14"/>
                <w:szCs w:val="14"/>
                <w:b w:val="1"/>
                <w:bCs w:val="1"/>
                <w:color w:val="auto"/>
                <w:w w:val="92"/>
              </w:rPr>
              <w:t>Level 2</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 - 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fair value for the interest rate swap at December 25, 2019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jc w:val="center"/>
              <w:ind w:right="79"/>
              <w:spacing w:after="0"/>
              <w:rPr>
                <w:sz w:val="20"/>
                <w:szCs w:val="20"/>
                <w:color w:val="auto"/>
              </w:rPr>
            </w:pPr>
            <w:r>
              <w:rPr>
                <w:rFonts w:ascii="Arial" w:cs="Arial" w:eastAsia="Arial" w:hAnsi="Arial"/>
                <w:sz w:val="14"/>
                <w:szCs w:val="14"/>
                <w:b w:val="1"/>
                <w:bCs w:val="1"/>
                <w:color w:val="auto"/>
                <w:w w:val="93"/>
              </w:rPr>
              <w:t>Fair Value Measurements Using</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02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2"/>
                <w:szCs w:val="12"/>
                <w:color w:val="auto"/>
              </w:rPr>
            </w:pPr>
          </w:p>
        </w:tc>
        <w:tc>
          <w:tcPr>
            <w:tcW w:w="7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 Interest rate swap</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419"/>
        <w:spacing w:after="0" w:line="263" w:lineRule="auto"/>
        <w:rPr>
          <w:sz w:val="20"/>
          <w:szCs w:val="20"/>
          <w:color w:val="auto"/>
        </w:rPr>
      </w:pPr>
      <w:r>
        <w:rPr>
          <w:rFonts w:ascii="Arial" w:cs="Arial" w:eastAsia="Arial" w:hAnsi="Arial"/>
          <w:sz w:val="18"/>
          <w:szCs w:val="18"/>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pacing w:after="0" w:line="184"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and twenty-six weeks ended June 24, 2020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9"/>
            <w:vMerge w:val="restart"/>
          </w:tcPr>
          <w:p>
            <w:pPr>
              <w:ind w:left="40"/>
              <w:spacing w:after="0"/>
              <w:rPr>
                <w:sz w:val="20"/>
                <w:szCs w:val="20"/>
                <w:color w:val="auto"/>
              </w:rPr>
            </w:pPr>
            <w:r>
              <w:rPr>
                <w:rFonts w:ascii="Arial" w:cs="Arial" w:eastAsia="Arial" w:hAnsi="Arial"/>
                <w:sz w:val="14"/>
                <w:szCs w:val="14"/>
                <w:b w:val="1"/>
                <w:bCs w:val="1"/>
                <w:color w:val="auto"/>
                <w:w w:val="94"/>
              </w:rPr>
              <w:t>Fair Value Measurements at June 24, 2020 Using</w:t>
            </w: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Thirteen Weeks</w:t>
            </w:r>
          </w:p>
        </w:tc>
        <w:tc>
          <w:tcPr>
            <w:tcW w:w="100" w:type="dxa"/>
            <w:vAlign w:val="bottom"/>
          </w:tcPr>
          <w:p>
            <w:pPr>
              <w:spacing w:after="0"/>
              <w:rPr>
                <w:sz w:val="14"/>
                <w:szCs w:val="14"/>
                <w:color w:val="auto"/>
              </w:rPr>
            </w:pPr>
          </w:p>
        </w:tc>
        <w:tc>
          <w:tcPr>
            <w:tcW w:w="1220" w:type="dxa"/>
            <w:vAlign w:val="bottom"/>
          </w:tcPr>
          <w:p>
            <w:pPr>
              <w:jc w:val="right"/>
              <w:ind w:right="16"/>
              <w:spacing w:after="0"/>
              <w:rPr>
                <w:sz w:val="20"/>
                <w:szCs w:val="20"/>
                <w:color w:val="auto"/>
              </w:rPr>
            </w:pPr>
            <w:r>
              <w:rPr>
                <w:rFonts w:ascii="Arial" w:cs="Arial" w:eastAsia="Arial" w:hAnsi="Arial"/>
                <w:sz w:val="14"/>
                <w:szCs w:val="14"/>
                <w:b w:val="1"/>
                <w:bCs w:val="1"/>
                <w:color w:val="auto"/>
                <w:w w:val="90"/>
              </w:rPr>
              <w:t>Twenty-Six Weeks</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6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3120" w:type="dxa"/>
            <w:vAlign w:val="bottom"/>
            <w:gridSpan w:val="9"/>
            <w:vMerge w:val="continue"/>
          </w:tcPr>
          <w:p>
            <w:pPr>
              <w:spacing w:after="0"/>
              <w:rPr>
                <w:sz w:val="14"/>
                <w:szCs w:val="14"/>
                <w:color w:val="auto"/>
              </w:rPr>
            </w:pPr>
          </w:p>
        </w:tc>
        <w:tc>
          <w:tcPr>
            <w:tcW w:w="26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Ended June 24, 2020 Ended June 24, 2020</w:t>
            </w: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3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Impairment Losses</w:t>
            </w:r>
          </w:p>
        </w:tc>
        <w:tc>
          <w:tcPr>
            <w:tcW w:w="20" w:type="dxa"/>
            <w:vAlign w:val="bottom"/>
          </w:tcPr>
          <w:p>
            <w:pPr>
              <w:spacing w:after="0"/>
              <w:rPr>
                <w:sz w:val="12"/>
                <w:szCs w:val="12"/>
                <w:color w:val="auto"/>
              </w:rPr>
            </w:pPr>
          </w:p>
        </w:tc>
        <w:tc>
          <w:tcPr>
            <w:tcW w:w="13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Impairment Losses</w:t>
            </w:r>
          </w:p>
        </w:tc>
        <w:tc>
          <w:tcPr>
            <w:tcW w:w="0" w:type="dxa"/>
            <w:vAlign w:val="bottom"/>
          </w:tcPr>
          <w:p>
            <w:pPr>
              <w:spacing w:after="0"/>
              <w:rPr>
                <w:sz w:val="1"/>
                <w:szCs w:val="1"/>
                <w:color w:val="auto"/>
              </w:rPr>
            </w:pPr>
          </w:p>
        </w:tc>
      </w:tr>
      <w:tr>
        <w:trPr>
          <w:trHeight w:val="182"/>
        </w:trPr>
        <w:tc>
          <w:tcPr>
            <w:tcW w:w="260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Certain property and equipment</w:t>
            </w:r>
          </w:p>
        </w:tc>
        <w:tc>
          <w:tcPr>
            <w:tcW w:w="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Certain ROU assets,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6"/>
              </w:rPr>
              <w:t>918</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918</w:t>
            </w: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and twenty-six weeks ended June 26, 2019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w w:val="94"/>
              </w:rPr>
              <w:t>Fair Value Measurements at June 26, 2019 Using</w:t>
            </w:r>
          </w:p>
        </w:tc>
        <w:tc>
          <w:tcPr>
            <w:tcW w:w="12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Thirteen Weeks</w:t>
            </w: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Twenty-Six Weeks</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w:t>
            </w:r>
          </w:p>
        </w:tc>
        <w:tc>
          <w:tcPr>
            <w:tcW w:w="3100" w:type="dxa"/>
            <w:vAlign w:val="bottom"/>
            <w:gridSpan w:val="9"/>
            <w:vMerge w:val="continue"/>
          </w:tcPr>
          <w:p>
            <w:pPr>
              <w:spacing w:after="0"/>
              <w:rPr>
                <w:sz w:val="14"/>
                <w:szCs w:val="14"/>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Ended June 26, 2019</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Ended June 26, 2019</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0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9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12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Impairment Losses</w:t>
            </w:r>
          </w:p>
        </w:tc>
        <w:tc>
          <w:tcPr>
            <w:tcW w:w="160" w:type="dxa"/>
            <w:vAlign w:val="bottom"/>
          </w:tcPr>
          <w:p>
            <w:pPr>
              <w:spacing w:after="0"/>
              <w:rPr>
                <w:sz w:val="12"/>
                <w:szCs w:val="12"/>
                <w:color w:val="auto"/>
              </w:rPr>
            </w:pPr>
          </w:p>
        </w:tc>
        <w:tc>
          <w:tcPr>
            <w:tcW w:w="13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Impairment Losses</w:t>
            </w:r>
          </w:p>
        </w:tc>
        <w:tc>
          <w:tcPr>
            <w:tcW w:w="0" w:type="dxa"/>
            <w:vAlign w:val="bottom"/>
          </w:tcPr>
          <w:p>
            <w:pPr>
              <w:spacing w:after="0"/>
              <w:rPr>
                <w:sz w:val="1"/>
                <w:szCs w:val="1"/>
                <w:color w:val="auto"/>
              </w:rPr>
            </w:pPr>
          </w:p>
        </w:tc>
      </w:tr>
      <w:tr>
        <w:trPr>
          <w:trHeight w:val="182"/>
        </w:trPr>
        <w:tc>
          <w:tcPr>
            <w:tcW w:w="25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Certain property and equipment</w:t>
            </w: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 net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10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110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 and ROU Assets</w:t>
      </w:r>
    </w:p>
    <w:p>
      <w:pPr>
        <w:spacing w:after="0" w:line="229"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The Company reviews its long-lived and right-of-use assets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subleased and future estimated sublease income is less than current lease payments.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during each of the thirteen and twenty-six weeks ended June 24, 2020 that required an impairment review of the Company’s long-lived and ROU assets. Based on the results of the analysis, the Company recorded non-cash impairment charges of $0.1 million and $2.0 million for the thirteen and twenty-six weeks ended June 24, 2020, respectively, primarily related to the carrying value of the ROU assets of one restaurant in Texas and the long-lived assets of three restaurants in California.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The Company recorded a non-cash impairment charge of $0.2 million for both the thirteen and twenty-six weeks ended June 26, 2019, primarily related to the carrying value of one restaurant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Closed-Store Reserves</w:t>
      </w:r>
    </w:p>
    <w:p>
      <w:pPr>
        <w:spacing w:after="0" w:line="229"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the thirteen and twenty-six weeks ended June 24, 2020, the Company recognized $0.4 million and $0.9 million of closed-store reserve expense related to the amortization of ROU assets, property taxes and CAM payments for its closed locations. During the twenty-six weeks ended June 26, 2019, the Company closed one restaurant in California and one restaurant in Texas, and recognized $0.3 million and $0.6 million of closed-store reserve expense for the thirteen and twenty-six weeks ended June 26, 2019, respectively, primarily related to the amortization of ROU assets, property taxes and CAM payments for its closed locations.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uses an interest rate swap, a derivative instrument, to hedge interest rate risk and not for trading purposes.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derivative contract is entered into with a financial institution.</w:t>
      </w:r>
    </w:p>
    <w:p>
      <w:pPr>
        <w:spacing w:after="0" w:line="211"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The Company records the derivative instrument on its condensed consolidated balance sheet at fair value. The derivative instrument qualifies as a hedging instrument in a qualifying cash flow hedge relationship, and the gain or loss on the derivative instrument is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spacing w:after="0" w:line="177"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As a result of the use of an interest rate swap, the Company is exposed to risk that the counterparty will fail to meet their contractual obligations. To mitigate the counterparty credit risk, the Company will only enter into contracts with major financial institutions, based upon their credit ratings and other factors, and will continue to assess the creditworthiness of the counterparty. As of June 24, 2020, the counterparty to the Company’s interest rate swap has performed in accordance with its contractual obligation.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expected to be realized.</w:t>
      </w:r>
    </w:p>
    <w:p>
      <w:pPr>
        <w:spacing w:after="0" w:line="16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170"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consolidated financial position, results of operations, and cash flows.</w:t>
      </w:r>
    </w:p>
    <w:p>
      <w:pPr>
        <w:spacing w:after="0" w:line="188"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June 24, 2020 or at December 25, 2019, and did not recognize interest or penalties during the thirteen and twenty-six weeks ended June 24, 2020 or June 26, 2019, since there were no material unrecognized tax benefits. Management believes no material changes to the amount of unrecognized tax benefits will occur within the next twelve months.</w:t>
      </w:r>
    </w:p>
    <w:p>
      <w:pPr>
        <w:spacing w:after="0" w:line="188" w:lineRule="exact"/>
        <w:rPr>
          <w:sz w:val="20"/>
          <w:szCs w:val="20"/>
          <w:color w:val="auto"/>
        </w:rPr>
      </w:pPr>
    </w:p>
    <w:p>
      <w:pPr>
        <w:ind w:left="60" w:right="199"/>
        <w:spacing w:after="0" w:line="271" w:lineRule="auto"/>
        <w:rPr>
          <w:sz w:val="20"/>
          <w:szCs w:val="20"/>
          <w:color w:val="auto"/>
        </w:rPr>
      </w:pPr>
      <w:r>
        <w:rPr>
          <w:rFonts w:ascii="Arial" w:cs="Arial" w:eastAsia="Arial" w:hAnsi="Arial"/>
          <w:sz w:val="17"/>
          <w:szCs w:val="17"/>
          <w:color w:val="auto"/>
        </w:rPr>
        <w:t>On July 30, 2014, the Company entered into the income tax receivable agreement (the "TRA"), which calls for the Company to pay to its pre-IPO stockholders 85% of the savings in cash that the Company realizes in its income taxes as a result of utilizing its net operating losses and other tax attributes attributable to preceding periods. For the thirteen and twenty-six weeks ended June 24, 2020, the Company recorded income tax receivable agreement expense of $0.3 million and $0.2 million, respectively, and for the thirteen and twenty-six weeks ended June 26, 2019, the Company recorded income tax receivable agreement income of $0.1 million and income tax receivable expense of $0.1 million, respectively, related to the amortization of interest expense related to our total expected TRA payments and changes in estimates for actual tax returns filed and future forecasted taxable income.</w:t>
      </w:r>
    </w:p>
    <w:p>
      <w:pPr>
        <w:spacing w:after="0" w:line="178" w:lineRule="exact"/>
        <w:rPr>
          <w:sz w:val="20"/>
          <w:szCs w:val="20"/>
          <w:color w:val="auto"/>
        </w:rPr>
      </w:pPr>
    </w:p>
    <w:p>
      <w:pPr>
        <w:ind w:left="60" w:right="259"/>
        <w:spacing w:after="0" w:line="296" w:lineRule="auto"/>
        <w:rPr>
          <w:sz w:val="20"/>
          <w:szCs w:val="20"/>
          <w:color w:val="auto"/>
        </w:rPr>
      </w:pPr>
      <w:r>
        <w:rPr>
          <w:rFonts w:ascii="Arial" w:cs="Arial" w:eastAsia="Arial" w:hAnsi="Arial"/>
          <w:sz w:val="16"/>
          <w:szCs w:val="16"/>
          <w:color w:val="auto"/>
        </w:rPr>
        <w:t>On March 27, 2020, President Trump signed into a law a stimulus package, the Coronavirus Aid, Relief and Economic Security ("CARES") Act, which contains several tax provisions and deferral of employer Social Security taxes that are otherwise owed for wage payments. The tax provisions include a correction of a previous drafting error related to quality improvement property ("QIP") and immediate refundability of all remaining alternative minimum tax ("AMT") credits. The new provisions did not have a material impact on the Company’s condensed consolidated financial statements.</w:t>
      </w:r>
    </w:p>
    <w:p>
      <w:pPr>
        <w:spacing w:after="0" w:line="161"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During the twenty-six weeks ended June 24, 2020 the Company received a Notice of Proposed Adjustment ("NOPA"), for the years ended December 27, 2017 and December 28, 2016, related to the Company’s methodology regarding its ordering of utilization of AMT net operating losses ("NOL”). This resulted in payment of $0.4 million, and the audit is closed. As a result of the CARES Act, discussed above, this amount is immediately refundable upon filing of a Form 1139, which the Company filed during the thirteen and twenty-six weeks ended June 24, 2020 and recognized a receivable, included in Accounts and other receivables within the condensed consolidated balance sheet as of June 24, 2020.</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PROPERTY AND EQUIPMENT</w:t>
      </w:r>
    </w:p>
    <w:p>
      <w:pPr>
        <w:spacing w:after="0" w:line="22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costs and related accumulated depreciation and amortization of major classes of property and equipment are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June 24, 2020</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25, 2019</w:t>
            </w:r>
          </w:p>
        </w:tc>
      </w:tr>
      <w:tr>
        <w:trPr>
          <w:trHeight w:val="210"/>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147,048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144,794</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 and equipment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75,234</w:t>
            </w:r>
          </w:p>
        </w:tc>
      </w:tr>
      <w:tr>
        <w:trPr>
          <w:trHeight w:val="21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w:t>
            </w:r>
          </w:p>
        </w:tc>
      </w:tr>
      <w:tr>
        <w:trPr>
          <w:trHeight w:val="210"/>
        </w:trPr>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236,418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236,564</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(152,156)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(144,786)</w:t>
            </w:r>
          </w:p>
        </w:tc>
      </w:tr>
      <w:tr>
        <w:trPr>
          <w:trHeight w:val="210"/>
        </w:trPr>
        <w:tc>
          <w:tcPr>
            <w:tcW w:w="64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84,262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91,778</w:t>
            </w:r>
          </w:p>
        </w:tc>
      </w:tr>
      <w:tr>
        <w:trPr>
          <w:trHeight w:val="20"/>
        </w:trPr>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Depreciation expense was $4.2 million and $4.5 million for the thirteen weeks ended June 24, 2020 and June 26, 2019, respectively, and $8.5 million and $9.2 million for the twenty-six weeks ended June 24, 2020 and June 26, 2019, respectively.</w:t>
      </w:r>
    </w:p>
    <w:p>
      <w:pPr>
        <w:spacing w:after="0" w:line="184"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Based on the Company’s review of its long-lived assets for impairment, the Company recorded non-cash impairment charges of $0.1 million and $1.4 million for the thirteen and twenty-six weeks ended June 24, 2020, respectively, primarily related to the carrying value of the assets of three restaurants in California. During the thirteen and twenty-six weeks ended June 26, 2019, the Company recorded non-cash impairment charges of $0.2 million, primarily related to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carrying value of one restaurant in California. D</w:t>
      </w:r>
      <w:r>
        <w:rPr>
          <w:rFonts w:ascii="Arial" w:cs="Arial" w:eastAsia="Arial" w:hAnsi="Arial"/>
          <w:sz w:val="18"/>
          <w:szCs w:val="18"/>
          <w:color w:val="212529"/>
        </w:rPr>
        <w:t>epending on the severity and longevity of the COVID-19 pandemic,</w:t>
      </w:r>
      <w:r>
        <w:rPr>
          <w:rFonts w:ascii="Arial" w:cs="Arial" w:eastAsia="Arial" w:hAnsi="Arial"/>
          <w:sz w:val="18"/>
          <w:szCs w:val="18"/>
          <w:color w:val="auto"/>
        </w:rPr>
        <w:t xml:space="preserve"> the Company’s financial performance could be further impacted and it is possible that material impairments could be identified in future periods.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At June 24, 2020, options to purchase 1,641,851 shares of common stock were outstanding, including 1,258,437 vested and 383,414 unvested. Unvested options vest over time; however, upon a change in control, the Board of Directors may accelerate vesting. At June 24, 2020, 820,342 premium options, options granted above the stock price at date of grant, remained outstanding. A summary of stock option activity as of June 24, 2020 and changes during the twenty-six weeks ended June 24, 2020 is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25,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2,077,570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(372,556)</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cancelled or expired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(63,163)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8"/>
                <w:szCs w:val="18"/>
                <w:color w:val="auto"/>
              </w:rPr>
              <w:t>Outstanding - June 24, 2020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1,641,851</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at June 24,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1,635,204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Exercisable at June 24, 2020</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1,258,437</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At June 24, 2020, the Company had total unrecognized compensation expense of $1.3 million related to unvested stock options, which it expects to recognize over a weighted-average period of 2.46 years.</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 summary of restricted share activity as of June 24, 2020 and changes during the twenty-six weeks ended June 24, 2020 is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25,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588,008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412,224</w:t>
            </w:r>
          </w:p>
        </w:tc>
        <w:tc>
          <w:tcPr>
            <w:tcW w:w="1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(108,714)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(73,497)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June 24,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818,021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Unvested shares at June 24, 2020, included 733,885 unvested restricted shares, 36,058 unvested performance stock units and 48,078 unvested restricted units.</w:t>
      </w:r>
    </w:p>
    <w:p>
      <w:pPr>
        <w:spacing w:after="0" w:line="170"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At June 24, 2020, the Company had unrecognized compensation expense of $8.0 million related to unvested restricted shares, which it expects to recognize over a weighted-average period of 3.22 years, unrecognized compensation expense of $0.1 million related to performance stock units, which it expects to recognize over a weighted-average period of 2.87 years and unrecognized compensation expense of $0.5 million related to unvested restricted units, which it expects to recognize over a weighted-average period of 1.87 years.</w:t>
      </w:r>
    </w:p>
    <w:p>
      <w:pPr>
        <w:spacing w:after="0" w:line="188"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Total stock-based compensation expense was $0.7 million and $1.3 million for the thirteen and twenty-six weeks ended June 24, 2020, respectively, and $0.6 million and $1.1 million for the thirteen and twenty-six weeks ended June 26, 2019,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LONG-TERM DEBT</w:t>
      </w:r>
    </w:p>
    <w:p>
      <w:pPr>
        <w:spacing w:after="0" w:line="229"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On July 13, 2018, the Company refinanced a credit agreement with Bank of America, N.A., initially entered into on December 11, 2014 (the “2014 Revolver”), pursuant to a credit agreement (the “2018 Credit Agreement”) among EPL, as borrower, and the Company and Intermediate, as guarantors,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2018 Revolver and 2018 Credit Agreement will mature on July 13, 2023. The obligations under the 2018 Credit Agreement and related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Under the 2018 Revolver, Holdings may not make certain payments such as cash dividends, except that it may, inter alia,</w:t>
      </w:r>
    </w:p>
    <w:p>
      <w:pPr>
        <w:spacing w:after="0" w:line="46" w:lineRule="exact"/>
        <w:rPr>
          <w:sz w:val="20"/>
          <w:szCs w:val="20"/>
          <w:color w:val="auto"/>
        </w:rPr>
      </w:pPr>
    </w:p>
    <w:p>
      <w:pPr>
        <w:jc w:val="both"/>
        <w:ind w:left="60" w:right="339" w:hanging="10"/>
        <w:spacing w:after="0" w:line="281"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 up to $1.0 million per year to repurchase or redeem qualified equity interests of Holdings held by past or present officers, directors, or employees (or their estates) of the Company upon death, disability, or termination of employment,</w:t>
      </w:r>
    </w:p>
    <w:p>
      <w:pPr>
        <w:spacing w:after="0" w:line="1" w:lineRule="exact"/>
        <w:rPr>
          <w:rFonts w:ascii="Arial" w:cs="Arial" w:eastAsia="Arial" w:hAnsi="Arial"/>
          <w:sz w:val="16"/>
          <w:szCs w:val="16"/>
          <w:color w:val="auto"/>
        </w:rPr>
      </w:pPr>
    </w:p>
    <w:p>
      <w:pPr>
        <w:ind w:left="60" w:right="99" w:hanging="10"/>
        <w:spacing w:after="0" w:line="281" w:lineRule="auto"/>
        <w:tabs>
          <w:tab w:leader="none" w:pos="325"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w:t>
      </w:r>
    </w:p>
    <w:p>
      <w:pPr>
        <w:spacing w:after="0" w:line="1" w:lineRule="exact"/>
        <w:rPr>
          <w:rFonts w:ascii="Arial" w:cs="Arial" w:eastAsia="Arial" w:hAnsi="Arial"/>
          <w:sz w:val="16"/>
          <w:szCs w:val="16"/>
          <w:color w:val="auto"/>
        </w:rPr>
      </w:pPr>
    </w:p>
    <w:p>
      <w:pPr>
        <w:ind w:left="60" w:right="179"/>
        <w:spacing w:after="0" w:line="252" w:lineRule="auto"/>
        <w:rPr>
          <w:rFonts w:ascii="Arial" w:cs="Arial" w:eastAsia="Arial" w:hAnsi="Arial"/>
          <w:sz w:val="16"/>
          <w:szCs w:val="16"/>
          <w:color w:val="auto"/>
        </w:rPr>
      </w:pPr>
      <w:r>
        <w:rPr>
          <w:rFonts w:ascii="Arial" w:cs="Arial" w:eastAsia="Arial" w:hAnsi="Arial"/>
          <w:sz w:val="18"/>
          <w:szCs w:val="18"/>
          <w:color w:val="auto"/>
        </w:rPr>
        <w:t>(b)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94"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1.67% to 3.11% and 1.67% to 3.29% for the thirteen and twenty-six weeks ended June 24, 2020, respectively, and 3.90% to 6.00% for both the thirteen and twenty-six weeks ended June 26, 2019.</w:t>
      </w:r>
    </w:p>
    <w:p>
      <w:pPr>
        <w:spacing w:after="0" w:line="178"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 xml:space="preserve">The 2018 Credit Agreement contains certain financial covenants. The Company was in compliance with the financial covenants as of June 24, 2020. However, </w:t>
      </w:r>
      <w:r>
        <w:rPr>
          <w:rFonts w:ascii="Arial" w:cs="Arial" w:eastAsia="Arial" w:hAnsi="Arial"/>
          <w:sz w:val="18"/>
          <w:szCs w:val="18"/>
          <w:color w:val="212529"/>
        </w:rPr>
        <w:t>depending on the severity and longevity of the COVID-19 pandemic,</w:t>
      </w:r>
      <w:r>
        <w:rPr>
          <w:rFonts w:ascii="Arial" w:cs="Arial" w:eastAsia="Arial" w:hAnsi="Arial"/>
          <w:sz w:val="18"/>
          <w:szCs w:val="18"/>
          <w:color w:val="auto"/>
        </w:rPr>
        <w:t xml:space="preserve"> the Company’s financial performance and liquidity could be further impacted and could impact the Company’s ability to comply with certain financial covenants required in the 2018 Credit Agreement, specifically the lease-adjusted coverage ratio and fixed-charge coverage ratio.</w:t>
      </w:r>
    </w:p>
    <w:p>
      <w:pPr>
        <w:spacing w:after="0" w:line="188" w:lineRule="exact"/>
        <w:rPr>
          <w:sz w:val="20"/>
          <w:szCs w:val="20"/>
          <w:color w:val="auto"/>
        </w:rPr>
      </w:pPr>
    </w:p>
    <w:p>
      <w:pPr>
        <w:ind w:left="60" w:right="679"/>
        <w:spacing w:after="0" w:line="342" w:lineRule="auto"/>
        <w:rPr>
          <w:sz w:val="20"/>
          <w:szCs w:val="20"/>
          <w:color w:val="auto"/>
        </w:rPr>
      </w:pPr>
      <w:r>
        <w:rPr>
          <w:rFonts w:ascii="Arial" w:cs="Arial" w:eastAsia="Arial" w:hAnsi="Arial"/>
          <w:sz w:val="16"/>
          <w:szCs w:val="16"/>
          <w:color w:val="auto"/>
        </w:rPr>
        <w:t>At June 24, 2020, $11.1 million of letters of credit and $138.8 million in borrowings under the 2018 Revolver were outstanding. The Company had $0.1 million in borrowing availability under the 2018 Revolver at June 24,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Maturities</w:t>
      </w:r>
    </w:p>
    <w:p>
      <w:pPr>
        <w:spacing w:after="0" w:line="229"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During the thirteen weeks ended June 24, 2020, the Company elected to pay down $2.7 million on its 2018 Revolver. During the twenty-six weeks ended June 24, 2020, the Company borrowed $41.8 million, net of pay downs of $10.7 million on its 2018 Revolver, primarily as a precautionary measure to bolster its existing cash position, related to the uncertainty regarding the current COVID-19 pandemic, as well as to fund litigation settlement payments. See Note 1 under "COVID-19" for further details regarding the Company’s actions related to the COVID-19 pandemic and Note 7 for further details regarding the litigation settlement payments. During the thirteen and twenty-six weeks ended June 26, 2019, the Company borrowed $14.0 million and $11.0 million, respectively, net of pay downs of $12.0 and $15.0 million of outstanding borrowings on the Company’s 2018 Revolver, primarily to fund settlement payments. There are no required principal payments prior to maturity for the 2018 Revolver.</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Swap</w:t>
      </w:r>
    </w:p>
    <w:p>
      <w:pPr>
        <w:spacing w:after="0" w:line="229"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During the year ended December 25, 2019, the Company entered into a variable-to-fixed interest rate swap agreement with a notional amount of $40.0 million that matures in June 2023. The objective of the interest rate swap was to reduce the Company’s exposure to interest rate risk for a portion of its variable-rate interest payments on its borrowings under the 2018 Revolver. Under the terms of the swap agreement, the variable LIBOR-based component of interest payments was converted to a fixed rate of 1.31%, plus applicable margin, which is currently 1.5%. The interest rate swap was designated as a cash flow hedge, as the changes in the future cash flows of the swap were expected to offset changes in expected future interest payments on the related variable-rate debt, in accordance with Accounting Standards Codification (“ASC”) 815 “Derivatives and Hedging.”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The changes in the fair value of the interest rate swap are not included in earnings, but are included in other comprehensive (loss) income (“OCI”). These changes in fair value are subsequently reclassified into net earnings as a component of interest expense as the hedged interest payments are made on the variable rate borrowings.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thirteen and twenty-six weeks ended June 24, 2020, the swap was a highly effective cash flow hedge.</w:t>
      </w:r>
    </w:p>
    <w:p>
      <w:pPr>
        <w:spacing w:after="0" w:line="225" w:lineRule="exact"/>
        <w:rPr>
          <w:sz w:val="20"/>
          <w:szCs w:val="20"/>
          <w:color w:val="auto"/>
        </w:rPr>
      </w:pPr>
    </w:p>
    <w:p>
      <w:pPr>
        <w:ind w:left="60" w:right="639"/>
        <w:spacing w:after="0" w:line="308" w:lineRule="auto"/>
        <w:rPr>
          <w:sz w:val="20"/>
          <w:szCs w:val="20"/>
          <w:color w:val="auto"/>
        </w:rPr>
      </w:pPr>
      <w:r>
        <w:rPr>
          <w:rFonts w:ascii="Arial" w:cs="Arial" w:eastAsia="Arial" w:hAnsi="Arial"/>
          <w:sz w:val="17"/>
          <w:szCs w:val="17"/>
          <w:color w:val="auto"/>
        </w:rPr>
        <w:t>As of June 24, 2020, the estimated net loss included in AOCI related to the Company’s cash flow hedge that will be reclassified into earnings in the next 12 months is $0.5 million, based on current LIBOR interest rates.</w:t>
      </w:r>
    </w:p>
    <w:p>
      <w:pPr>
        <w:spacing w:after="0" w:line="14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following table shows the financial statement line item and amount of the Company’s cash flow hedge accounting on the condensed consolidated balance sheet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820" w:type="dxa"/>
            <w:vAlign w:val="bottom"/>
            <w:gridSpan w:val="4"/>
          </w:tcPr>
          <w:p>
            <w:pPr>
              <w:ind w:left="400"/>
              <w:spacing w:after="0"/>
              <w:rPr>
                <w:sz w:val="20"/>
                <w:szCs w:val="20"/>
                <w:color w:val="auto"/>
              </w:rPr>
            </w:pPr>
            <w:r>
              <w:rPr>
                <w:rFonts w:ascii="Arial" w:cs="Arial" w:eastAsia="Arial" w:hAnsi="Arial"/>
                <w:sz w:val="14"/>
                <w:szCs w:val="14"/>
                <w:b w:val="1"/>
                <w:bCs w:val="1"/>
                <w:color w:val="auto"/>
              </w:rPr>
              <w:t>June 24, 2020</w:t>
            </w:r>
          </w:p>
        </w:tc>
        <w:tc>
          <w:tcPr>
            <w:tcW w:w="166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December 25, 2019</w:t>
            </w:r>
          </w:p>
        </w:tc>
      </w:tr>
      <w:tr>
        <w:trPr>
          <w:trHeight w:val="142"/>
        </w:trPr>
        <w:tc>
          <w:tcPr>
            <w:tcW w:w="5420" w:type="dxa"/>
            <w:vAlign w:val="bottom"/>
          </w:tcPr>
          <w:p>
            <w:pPr>
              <w:spacing w:after="0"/>
              <w:rPr>
                <w:sz w:val="12"/>
                <w:szCs w:val="12"/>
                <w:color w:val="auto"/>
              </w:rPr>
            </w:pPr>
          </w:p>
        </w:tc>
        <w:tc>
          <w:tcPr>
            <w:tcW w:w="9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Notional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9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Notional</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r>
      <w:tr>
        <w:trPr>
          <w:trHeight w:val="210"/>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 Interest rate swap</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$ 40,000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Other liabilities - Interest rate swap</w:t>
            </w:r>
          </w:p>
        </w:tc>
        <w:tc>
          <w:tcPr>
            <w:tcW w:w="740" w:type="dxa"/>
            <w:vAlign w:val="bottom"/>
          </w:tcPr>
          <w:p>
            <w:pPr>
              <w:jc w:val="right"/>
              <w:spacing w:after="0"/>
              <w:rPr>
                <w:sz w:val="20"/>
                <w:szCs w:val="20"/>
                <w:color w:val="auto"/>
              </w:rPr>
            </w:pPr>
            <w:r>
              <w:rPr>
                <w:rFonts w:ascii="Arial" w:cs="Arial" w:eastAsia="Arial" w:hAnsi="Arial"/>
                <w:sz w:val="18"/>
                <w:szCs w:val="18"/>
                <w:color w:val="auto"/>
                <w:w w:val="96"/>
              </w:rPr>
              <w:t>$ 40,000</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  1,408</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following table summarizes the effect of the Company’s cash flow hedge accounting on the condensed consolidated statements of income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ind w:left="6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4"/>
                <w:szCs w:val="14"/>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Twenty-Six Weeks Ended</w:t>
            </w:r>
          </w:p>
        </w:tc>
      </w:tr>
      <w:tr>
        <w:trPr>
          <w:trHeight w:val="142"/>
        </w:trPr>
        <w:tc>
          <w:tcPr>
            <w:tcW w:w="510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24, 2020</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140" w:type="dxa"/>
            <w:vAlign w:val="bottom"/>
          </w:tcPr>
          <w:p>
            <w:pPr>
              <w:spacing w:after="0"/>
              <w:rPr>
                <w:sz w:val="12"/>
                <w:szCs w:val="12"/>
                <w:color w:val="auto"/>
              </w:rPr>
            </w:pPr>
          </w:p>
        </w:tc>
        <w:tc>
          <w:tcPr>
            <w:tcW w:w="10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24, 2020</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26, 2019</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on hedged portion of debt</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Interest expense on interest rate swap</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09"/>
        </w:trPr>
        <w:tc>
          <w:tcPr>
            <w:tcW w:w="51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on debt and derivatives,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The following table summarizes the effect of the Company’s cash flow hedge accounting on AOCI for the thirteen and twenty-six weeks ended June 24, 2020 and June 26, 2019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Thirteen Weeks Ended</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Twenty-Six Weeks Ended</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200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94"/>
              </w:rPr>
              <w:t>Net Loss Recognized in OCI</w:t>
            </w:r>
          </w:p>
        </w:tc>
        <w:tc>
          <w:tcPr>
            <w:tcW w:w="160" w:type="dxa"/>
            <w:vAlign w:val="bottom"/>
          </w:tcPr>
          <w:p>
            <w:pPr>
              <w:spacing w:after="0"/>
              <w:rPr>
                <w:sz w:val="10"/>
                <w:szCs w:val="10"/>
                <w:color w:val="auto"/>
              </w:rPr>
            </w:pPr>
          </w:p>
        </w:tc>
        <w:tc>
          <w:tcPr>
            <w:tcW w:w="1680" w:type="dxa"/>
            <w:vAlign w:val="bottom"/>
            <w:gridSpan w:val="3"/>
          </w:tcPr>
          <w:p>
            <w:pPr>
              <w:jc w:val="center"/>
              <w:ind w:right="99"/>
              <w:spacing w:after="0" w:line="119" w:lineRule="exact"/>
              <w:rPr>
                <w:sz w:val="20"/>
                <w:szCs w:val="20"/>
                <w:color w:val="auto"/>
              </w:rPr>
            </w:pPr>
            <w:r>
              <w:rPr>
                <w:rFonts w:ascii="Arial" w:cs="Arial" w:eastAsia="Arial" w:hAnsi="Arial"/>
                <w:sz w:val="13"/>
                <w:szCs w:val="13"/>
                <w:b w:val="1"/>
                <w:bCs w:val="1"/>
                <w:color w:val="auto"/>
                <w:w w:val="96"/>
              </w:rPr>
              <w:t>Loss Reclassified from</w:t>
            </w:r>
          </w:p>
        </w:tc>
        <w:tc>
          <w:tcPr>
            <w:tcW w:w="160" w:type="dxa"/>
            <w:vAlign w:val="bottom"/>
          </w:tcPr>
          <w:p>
            <w:pPr>
              <w:spacing w:after="0"/>
              <w:rPr>
                <w:sz w:val="10"/>
                <w:szCs w:val="10"/>
                <w:color w:val="auto"/>
              </w:rPr>
            </w:pPr>
          </w:p>
        </w:tc>
        <w:tc>
          <w:tcPr>
            <w:tcW w:w="198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w w:val="94"/>
              </w:rPr>
              <w:t>Net Loss Recognized in OCI</w:t>
            </w:r>
          </w:p>
        </w:tc>
        <w:tc>
          <w:tcPr>
            <w:tcW w:w="100" w:type="dxa"/>
            <w:vAlign w:val="bottom"/>
          </w:tcPr>
          <w:p>
            <w:pPr>
              <w:spacing w:after="0"/>
              <w:rPr>
                <w:sz w:val="10"/>
                <w:szCs w:val="10"/>
                <w:color w:val="auto"/>
              </w:rPr>
            </w:pPr>
          </w:p>
        </w:tc>
        <w:tc>
          <w:tcPr>
            <w:tcW w:w="17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Loss Reclassified from</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20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AOCI into Interest expense</w:t>
            </w:r>
          </w:p>
        </w:tc>
        <w:tc>
          <w:tcPr>
            <w:tcW w:w="19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tcPr>
          <w:p>
            <w:pPr>
              <w:jc w:val="center"/>
              <w:ind w:right="19"/>
              <w:spacing w:after="0"/>
              <w:rPr>
                <w:sz w:val="20"/>
                <w:szCs w:val="20"/>
                <w:color w:val="auto"/>
              </w:rPr>
            </w:pPr>
            <w:r>
              <w:rPr>
                <w:rFonts w:ascii="Arial" w:cs="Arial" w:eastAsia="Arial" w:hAnsi="Arial"/>
                <w:sz w:val="14"/>
                <w:szCs w:val="14"/>
                <w:b w:val="1"/>
                <w:bCs w:val="1"/>
                <w:color w:val="auto"/>
                <w:w w:val="93"/>
              </w:rPr>
              <w:t>AOCI into Interest expense</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24, 2020</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160" w:type="dxa"/>
            <w:vAlign w:val="bottom"/>
          </w:tcPr>
          <w:p>
            <w:pPr>
              <w:spacing w:after="0"/>
              <w:rPr>
                <w:sz w:val="12"/>
                <w:szCs w:val="12"/>
                <w:color w:val="auto"/>
              </w:rPr>
            </w:pPr>
          </w:p>
        </w:tc>
        <w:tc>
          <w:tcPr>
            <w:tcW w:w="10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24, 2020</w:t>
            </w:r>
          </w:p>
        </w:tc>
        <w:tc>
          <w:tcPr>
            <w:tcW w:w="8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160" w:type="dxa"/>
            <w:vAlign w:val="bottom"/>
          </w:tcPr>
          <w:p>
            <w:pPr>
              <w:spacing w:after="0"/>
              <w:rPr>
                <w:sz w:val="12"/>
                <w:szCs w:val="12"/>
                <w:color w:val="auto"/>
              </w:rPr>
            </w:pPr>
          </w:p>
        </w:tc>
        <w:tc>
          <w:tcPr>
            <w:tcW w:w="9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24, 2020</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June 26, 2019</w:t>
            </w:r>
          </w:p>
        </w:tc>
        <w:tc>
          <w:tcPr>
            <w:tcW w:w="140" w:type="dxa"/>
            <w:vAlign w:val="bottom"/>
          </w:tcPr>
          <w:p>
            <w:pPr>
              <w:spacing w:after="0"/>
              <w:rPr>
                <w:sz w:val="12"/>
                <w:szCs w:val="12"/>
                <w:color w:val="auto"/>
              </w:rPr>
            </w:pPr>
          </w:p>
        </w:tc>
        <w:tc>
          <w:tcPr>
            <w:tcW w:w="10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24, 2020</w:t>
            </w:r>
          </w:p>
        </w:tc>
        <w:tc>
          <w:tcPr>
            <w:tcW w:w="8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0" w:type="dxa"/>
            <w:vAlign w:val="bottom"/>
          </w:tcPr>
          <w:p>
            <w:pPr>
              <w:spacing w:after="0"/>
              <w:rPr>
                <w:sz w:val="1"/>
                <w:szCs w:val="1"/>
                <w:color w:val="auto"/>
              </w:rPr>
            </w:pPr>
          </w:p>
        </w:tc>
      </w:tr>
      <w:tr>
        <w:trPr>
          <w:trHeight w:val="182"/>
        </w:trPr>
        <w:tc>
          <w:tcPr>
            <w:tcW w:w="10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Interest rate</w:t>
            </w:r>
          </w:p>
        </w:tc>
        <w:tc>
          <w:tcPr>
            <w:tcW w:w="3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swap</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 for the fair value of our derivative asset.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June 24, 2020</w:t>
            </w:r>
          </w:p>
        </w:tc>
        <w:tc>
          <w:tcPr>
            <w:tcW w:w="1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December 25,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property taxes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Gift card liability</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Accrued legal settlements and professional fees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Deferred franchise and development fees</w:t>
            </w: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lease payment deferrals</w:t>
            </w:r>
          </w:p>
        </w:tc>
        <w:tc>
          <w:tcPr>
            <w:tcW w:w="2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5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Total other accrued expenses and current liabilities</w:t>
            </w:r>
          </w:p>
        </w:tc>
        <w:tc>
          <w:tcPr>
            <w:tcW w:w="2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16,376</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540" w:type="dxa"/>
            <w:vAlign w:val="bottom"/>
            <w:vMerge w:val="restart"/>
          </w:tcPr>
          <w:p>
            <w:pPr>
              <w:jc w:val="right"/>
              <w:ind w:right="1930"/>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OTHER NONCURRENT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2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June 24, 2020   December 25, 2019</w:t>
            </w: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franchise and development fees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Derivative liability</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Lease payment deferrals - net of current portion</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10"/>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noncurrent liabilities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w:t>
            </w: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 xml:space="preserve">On or about February 24, 2014, a former employee filed a class action in the Superior Court of the State of California, County of Orange, under the caption </w:t>
      </w:r>
      <w:r>
        <w:rPr>
          <w:rFonts w:ascii="Arial" w:cs="Arial" w:eastAsia="Arial" w:hAnsi="Arial"/>
          <w:sz w:val="16"/>
          <w:szCs w:val="16"/>
          <w:u w:val="single" w:color="auto"/>
          <w:color w:val="auto"/>
        </w:rPr>
        <w:t>Elliott Olvera, et al v. El Pollo Loco, Inc., et al</w:t>
      </w:r>
      <w:r>
        <w:rPr>
          <w:rFonts w:ascii="Arial" w:cs="Arial" w:eastAsia="Arial" w:hAnsi="Arial"/>
          <w:sz w:val="16"/>
          <w:szCs w:val="16"/>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court recently certified two classes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The parties reached a settlement in principle on January 24, 2019 of all claims brought on behalf of the 32,000+ putative class members in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as well as all claims for failure to pay overtime compensation, failure to provide meal periods and rest breaks, and failure to provide itemized wage statements brought in the class actions captioned </w:t>
      </w:r>
      <w:r>
        <w:rPr>
          <w:rFonts w:ascii="Arial" w:cs="Arial" w:eastAsia="Arial" w:hAnsi="Arial"/>
          <w:sz w:val="16"/>
          <w:szCs w:val="16"/>
          <w:u w:val="single" w:color="auto"/>
          <w:color w:val="auto"/>
        </w:rPr>
        <w:t>Martha Perez v. El Pollo Loco, Inc.</w:t>
      </w:r>
      <w:r>
        <w:rPr>
          <w:rFonts w:ascii="Arial" w:cs="Arial" w:eastAsia="Arial" w:hAnsi="Arial"/>
          <w:sz w:val="16"/>
          <w:szCs w:val="16"/>
          <w:color w:val="auto"/>
        </w:rPr>
        <w:t xml:space="preserve"> (Los Angeles Superior Court Case No. BC624001), </w:t>
      </w:r>
      <w:r>
        <w:rPr>
          <w:rFonts w:ascii="Arial" w:cs="Arial" w:eastAsia="Arial" w:hAnsi="Arial"/>
          <w:sz w:val="16"/>
          <w:szCs w:val="16"/>
          <w:u w:val="single" w:color="auto"/>
          <w:color w:val="auto"/>
        </w:rPr>
        <w:t>Maria Vega, et al. v. El Pollo Loco, Inc.</w:t>
      </w:r>
      <w:r>
        <w:rPr>
          <w:rFonts w:ascii="Arial" w:cs="Arial" w:eastAsia="Arial" w:hAnsi="Arial"/>
          <w:sz w:val="16"/>
          <w:szCs w:val="16"/>
          <w:color w:val="auto"/>
        </w:rPr>
        <w:t xml:space="preserve"> (Los Angeles Superior Court Case No. BC649719), and </w:t>
      </w:r>
      <w:r>
        <w:rPr>
          <w:rFonts w:ascii="Arial" w:cs="Arial" w:eastAsia="Arial" w:hAnsi="Arial"/>
          <w:sz w:val="16"/>
          <w:szCs w:val="16"/>
          <w:u w:val="single" w:color="auto"/>
          <w:color w:val="auto"/>
        </w:rPr>
        <w:t>Gonzalez v. El Pollo Loco, Inc.</w:t>
      </w:r>
      <w:r>
        <w:rPr>
          <w:rFonts w:ascii="Arial" w:cs="Arial" w:eastAsia="Arial" w:hAnsi="Arial"/>
          <w:sz w:val="16"/>
          <w:szCs w:val="16"/>
          <w:color w:val="auto"/>
        </w:rPr>
        <w:t xml:space="preserve"> (Los Angeles Superior Court Case No. BC712867). The settlement reached in principle in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Perez</w:t>
      </w:r>
      <w:r>
        <w:rPr>
          <w:rFonts w:ascii="Arial" w:cs="Arial" w:eastAsia="Arial" w:hAnsi="Arial"/>
          <w:sz w:val="16"/>
          <w:szCs w:val="16"/>
          <w:color w:val="auto"/>
        </w:rPr>
        <w:t xml:space="preserve">, </w:t>
      </w:r>
      <w:r>
        <w:rPr>
          <w:rFonts w:ascii="Arial" w:cs="Arial" w:eastAsia="Arial" w:hAnsi="Arial"/>
          <w:sz w:val="16"/>
          <w:szCs w:val="16"/>
          <w:u w:val="single" w:color="auto"/>
          <w:color w:val="auto"/>
        </w:rPr>
        <w:t>Vega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Gonzalez actions</w:t>
      </w:r>
      <w:r>
        <w:rPr>
          <w:rFonts w:ascii="Arial" w:cs="Arial" w:eastAsia="Arial" w:hAnsi="Arial"/>
          <w:sz w:val="16"/>
          <w:szCs w:val="16"/>
          <w:color w:val="auto"/>
        </w:rPr>
        <w:t xml:space="preserve"> resolves all potential claims from April 12, 2010 through April 1, 2019 that El Pollo Loco restaurant employees may have against El Pollo Loco for failure to pay for all compensation owed, failure to pay overtime compensation, failure to provide meal periods and rest breaks and failure to provide itemized wage statements, among other wage and hour related claims. A $16.3 million accrual of an expected settlement amount related to this matter was recorded as of December 26, 2018, and the court formally approved the settlement on January 31, 2020. The settlement payment was made on February 28, 2020. Purported class actions alleging wage and hour violations are commonly filed against California employers. The Company fully expects to have to defend against similar lawsuits in the future.</w:t>
      </w:r>
    </w:p>
    <w:p>
      <w:pPr>
        <w:spacing w:after="0" w:line="394"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u w:val="single" w:color="auto"/>
          <w:color w:val="auto"/>
        </w:rPr>
        <w:t>Daniel Turocy, et al. v. El Pollo Loco Holdings, Inc., et al.</w:t>
      </w:r>
      <w:r>
        <w:rPr>
          <w:rFonts w:ascii="Arial" w:cs="Arial" w:eastAsia="Arial" w:hAnsi="Arial"/>
          <w:sz w:val="16"/>
          <w:szCs w:val="16"/>
          <w:color w:val="auto"/>
        </w:rPr>
        <w:t xml:space="preserve"> (Case No. 8:15-cv-01343) was filed in the United States District Court for the Central District of California on August 24, 2015, and </w:t>
      </w:r>
      <w:r>
        <w:rPr>
          <w:rFonts w:ascii="Arial" w:cs="Arial" w:eastAsia="Arial" w:hAnsi="Arial"/>
          <w:sz w:val="16"/>
          <w:szCs w:val="16"/>
          <w:u w:val="single" w:color="auto"/>
          <w:color w:val="auto"/>
        </w:rPr>
        <w:t>Ron Huston, et al. v. El Pollo Loco Holdings, Inc., et</w:t>
      </w:r>
      <w:r>
        <w:rPr>
          <w:rFonts w:ascii="Arial" w:cs="Arial" w:eastAsia="Arial" w:hAnsi="Arial"/>
          <w:sz w:val="16"/>
          <w:szCs w:val="16"/>
          <w:color w:val="auto"/>
        </w:rPr>
        <w:t xml:space="preserve"> </w:t>
      </w:r>
      <w:r>
        <w:rPr>
          <w:rFonts w:ascii="Arial" w:cs="Arial" w:eastAsia="Arial" w:hAnsi="Arial"/>
          <w:sz w:val="16"/>
          <w:szCs w:val="16"/>
          <w:u w:val="single" w:color="auto"/>
          <w:color w:val="auto"/>
        </w:rPr>
        <w:t>al.</w:t>
      </w:r>
      <w:r>
        <w:rPr>
          <w:rFonts w:ascii="Arial" w:cs="Arial" w:eastAsia="Arial" w:hAnsi="Arial"/>
          <w:sz w:val="16"/>
          <w:szCs w:val="16"/>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84"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 certified a class as to all of Plaintiffs’ claims. Defendants filed a petition for appellate review of a portion of the Court’s July 3, 2018 class certification order. On October 19, 2018 the Ninth Circuit Court of Appeals denied the petition.</w:t>
      </w:r>
    </w:p>
    <w:p>
      <w:pPr>
        <w:spacing w:after="0" w:line="166"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On January 23, 2019, the parties filed a Notice of Settlement and Joint Request for Order to Stay Proceedings, stating the parties have reached an agreement in principle to settle the claims and allegations in the action and are negotiating the terms of a Stipulation of Settlement. On January 24, 2019, the Court ordered that all proceedings in the action be stayed until April 3, 2019, on or before which the parties were to file and did so file a Stipulation of Settlement and a motion for preliminary approval of the settlement. The court granted preliminary approval of the settlement on May 13, 2019. Defendants maintain that the Plaintiffs’ claims are without merit, and entered into the settlement with Plaintiffs to eliminate the uncertainties, burden and expense of further protracted litigation. A $20.0 million accrual of an expected settlement amount related to this matter was recorded as of December 26, 2018 and all settlement payments were made during the year ended December 25, 2019.</w:t>
      </w:r>
    </w:p>
    <w:p>
      <w:pPr>
        <w:spacing w:after="0" w:line="181"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74"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 xml:space="preserve">On March 17, 2017, the Delaware court granted in part, and denied in part, the motion to stay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for five months or until the completion of an investigation of the allegations in the action by a special litigation committee of the Holdings board of directors (the "SLC"). On February 13, 2019, after concluding its investigation, the SLC filed a motion to dismiss the Diep action. The SLC filed its investigative report under seal as an exhibit to the motion to dismiss. Discovery related to the SLC’s motion is ongoing.</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Janice P. Handlers-Bryman and Michael D. Bryman v. El Pollo Loco, Inc.</w:t>
      </w:r>
      <w:r>
        <w:rPr>
          <w:rFonts w:ascii="Arial" w:cs="Arial" w:eastAsia="Arial" w:hAnsi="Arial"/>
          <w:sz w:val="18"/>
          <w:szCs w:val="18"/>
          <w:color w:val="auto"/>
        </w:rPr>
        <w:t>, Los Angeles Superior Court (Case</w:t>
      </w:r>
    </w:p>
    <w:p>
      <w:pPr>
        <w:spacing w:after="0" w:line="23"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company-operated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company-operated locations to Plaintiffs or to continuously disgorge to Plaintiffs the unjust</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enrichment allegedly obtained by us through the operation of the company-operated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April 24, 2017,</w:t>
      </w:r>
    </w:p>
    <w:p>
      <w:pPr>
        <w:spacing w:after="0" w:line="1" w:lineRule="exact"/>
        <w:rPr>
          <w:sz w:val="20"/>
          <w:szCs w:val="20"/>
          <w:color w:val="auto"/>
        </w:rPr>
      </w:pPr>
    </w:p>
    <w:p>
      <w:pPr>
        <w:ind w:left="60" w:right="59"/>
        <w:spacing w:after="0" w:line="281" w:lineRule="auto"/>
        <w:rPr>
          <w:sz w:val="20"/>
          <w:szCs w:val="20"/>
          <w:color w:val="auto"/>
        </w:rPr>
      </w:pPr>
      <w:r>
        <w:rPr>
          <w:rFonts w:ascii="Arial" w:cs="Arial" w:eastAsia="Arial" w:hAnsi="Arial"/>
          <w:sz w:val="16"/>
          <w:szCs w:val="16"/>
          <w:color w:val="auto"/>
        </w:rPr>
        <w:t>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w:t>
      </w:r>
    </w:p>
    <w:p>
      <w:pPr>
        <w:spacing w:after="0" w:line="2"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2017. The trial in the case was bifurcated between the liability and damages phases. The liability phase commenced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§17200 et seq.,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company-operated El Pollo Loco restaurants in Lancaster, and (2) not offering the two new company-operated El Pollo Loco restaurants in Lancaster to Plaintiffs. Because the trial was bifurcated, the December 11, 2017 verdict did not include a determination of damages.</w:t>
      </w:r>
    </w:p>
    <w:p>
      <w:pPr>
        <w:spacing w:after="0" w:line="169"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The damages phase of the trial commenced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company-operated El Pollo Loco restaurants in Lancaster to Plaintiffs. On August 1, 2018, the court issued a final judgment and decision on the unfair business practices claim under California Business &amp; Professions Code § 17200 et seq. As part of the final judgment, the court found El Pollo Loco liable and issued injunctive relief requiring El Pollo Loco to revise its franchise disclosure document and franchise agreement. The court also awarded Plaintiffs restitution of $4,356,600 for “impact damages” arising out of our construction of the two new company-operated El Pollo Loco restaurants in Lancaster. The court, reversing its previous position, held that these damages could be awarded in addition to the "lost opportunity damages" awarded by the jury. Thus, the court entered a total monetary judgment of $8,837,806. There was no ruling on the causes of action for reformation due to mistake and declaratory relief, and on January 27, 2020, the court entered an amended judgment dismissing these claims. The trial court subsequently awarded the Plaintiffs $249,728 in costs and $1,391,703 in attorney fees. Post judgment interest is running at 10% simple interest per year on the total amount of the monetary judgment, costs, and attorney fees.</w:t>
      </w:r>
    </w:p>
    <w:p>
      <w:pPr>
        <w:spacing w:after="0" w:line="171"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On August 27, 2018, the Company filed a notice of appeal as to the entire judgment. As required by California law, on or about August 16, 2018, the Company obtained an appeal bond through a Surety company to secure the trial court’s judgment during the pendency of the appeal. The appeal on the merits is currently pending, but has been stayed pending the Parties’ agreement in principle to settle the matter, discussed immediately below.</w:t>
      </w:r>
    </w:p>
    <w:p>
      <w:pPr>
        <w:spacing w:after="0" w:line="187"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On March 19, 2020, the Surety, One Beacon, from whom the Company procured the appeal bond to secure the judgment against the Company in the matter of Janice P. Handlers-Bryman and Michael D. Bryman v. El Pollo Loco, Inc., issued a collateral demand to the Company. On April 17, 2020, the Company provided to One Beacon a Letter of Credit in the amount of $2,651,342 to satisfy the Surety’s collateral demand. On July 13, 2020, One Beacon agreed to release its collateral demand and returned the Letter of Credit to the Company. Subsequent to June 24, 2020, the Company reached an agreement in principle with the Plaintiffs to resolve the lawsuit for a payment by the Company of $2.5 million, which was recorded within operating expenses in the Company’s condensed consolidated statement of income for the thirteen and twenty-six weeks ended June 24, 2020, contingent upon approval by the court of appeal of the terms of the parties’ proposed settlement.</w:t>
      </w:r>
    </w:p>
    <w:p>
      <w:pPr>
        <w:spacing w:after="0" w:line="19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Purchasing Commitments</w:t>
      </w:r>
    </w:p>
    <w:p>
      <w:pPr>
        <w:spacing w:after="0" w:line="229"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June 24, 2020, the Company’s total estimated commitment to purchase chicken was $11.1 million.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Contingent Lease Obligations</w:t>
      </w:r>
    </w:p>
    <w:p>
      <w:pPr>
        <w:spacing w:after="0" w:line="229"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2036. As of June 24, 2020, the potential amount of undiscounted payments the Company could be required to make in the event of non-payment by the primary lessee was $2.8 million. The present value of these potential payments discounted at the Company’s estimated pre-tax cost of debt at June 24, 2020 was $2.6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Due to the current uncertainty related to the COVID-19 pandemic and impact it has had on the ability of the Company’s franchisees to make their lease payments, the Company has recorded a $0.1 million liability in the Company’s condensed consolidated financial statements related to these contingent liabilities.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0" w:right="459"/>
        <w:spacing w:after="0" w:line="263" w:lineRule="auto"/>
        <w:rPr>
          <w:sz w:val="20"/>
          <w:szCs w:val="20"/>
          <w:color w:val="auto"/>
        </w:rPr>
      </w:pPr>
      <w:r>
        <w:rPr>
          <w:rFonts w:ascii="Arial" w:cs="Arial" w:eastAsia="Arial" w:hAnsi="Arial"/>
          <w:sz w:val="18"/>
          <w:szCs w:val="18"/>
          <w:color w:val="auto"/>
        </w:rPr>
        <w:t>The Company has employment agreements with three of the officers of the Company. These agreements provide for minimum salary levels, possible annual adjustments for cost-of-living changes, and incentive bonuses that are payable under certain business conditions.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NET INCOME PER SHARE</w:t>
      </w:r>
    </w:p>
    <w:p>
      <w:pPr>
        <w:spacing w:after="0" w:line="229"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Basic earnings per share (“EPS”) is calculated using the weighted-average number of shares of common stock outstanding during the thirteen and twenty-six weeks ended June 24, 2020 and June 26, 2019. Diluted EPS is calculated using the weighted-average number of shares of common stock outstanding and potentially dilutive during the period, using the treasury stock method.</w:t>
      </w:r>
    </w:p>
    <w:p>
      <w:pPr>
        <w:spacing w:after="0" w:line="187"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On August 2, 2018, the Company announced that the Board of Directors had authorized a stock repurchase program. The Company entered into a stock repurchase plan on August 28, 2018 (the “2018 Stock Repurchase Plan”), which allowed for the repurchase of up to $20.0 million of the Company’s common stock. The 2018 Stock Repurchase Plan commenced on November 6, 2018 and terminated on June 26, 2019.</w:t>
      </w:r>
    </w:p>
    <w:p>
      <w:pPr>
        <w:spacing w:after="0" w:line="187"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On April 30, 2019, as part of the Company’s focus on stockholder returns, the Board of Directors approved a new stock repurchase program. The Company entered into a stock repurchase plan May 17, 2019 (the “2019 Stock Repurchase Plan”), which allowed for the repurchase up to $30.0 million of the Company’s common stock. The 2019 Stock Repurchase Plan commenced on June 27, 2019, and was exhausted on September 26,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Under the 2019 Stock Repurchase Plan, the Company was permitted to repurchase its common stock from time to time, in amounts and at prices that the Company deemed appropriate, subject to market conditions and other considerations. The Company’s repurchases were executed using open market purchases, including pursuant to Rule 10b5-1 trading plans, and/or through privately negotiated transactions.</w:t>
      </w:r>
    </w:p>
    <w:p>
      <w:pPr>
        <w:spacing w:after="0" w:line="187"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For the thirteen and twenty-six weeks ended June 26, 2019, the Company repurchased 1,303,282 and 1,558,836 shares of common stock, respectively under the 2018 Stock Repurchase Plan, using open market purchases, for total consideration of approximately $14.9 million and $18.3 million, respectively. The common stock repurchased under both the 2018 Stock Repurchase Plan and the 2019 Stock Repurchase Plan was retired upon repurchase.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Below are basic and diluted EPS data for the periods indicated, which are in thousands except for per share data:</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8"/>
          </w:tcPr>
          <w:p>
            <w:pPr>
              <w:ind w:left="28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9"/>
          </w:tcPr>
          <w:p>
            <w:pPr>
              <w:ind w:left="6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24, 2020</w:t>
            </w:r>
          </w:p>
        </w:tc>
        <w:tc>
          <w:tcPr>
            <w:tcW w:w="1020" w:type="dxa"/>
            <w:vAlign w:val="bottom"/>
            <w:tcBorders>
              <w:top w:val="single" w:sz="8" w:color="auto"/>
            </w:tcBorders>
            <w:gridSpan w:val="4"/>
          </w:tcPr>
          <w:p>
            <w:pPr>
              <w:jc w:val="right"/>
              <w:ind w:right="16"/>
              <w:spacing w:after="0" w:line="142" w:lineRule="exact"/>
              <w:rPr>
                <w:sz w:val="20"/>
                <w:szCs w:val="20"/>
                <w:color w:val="auto"/>
              </w:rPr>
            </w:pPr>
            <w:r>
              <w:rPr>
                <w:rFonts w:ascii="Arial" w:cs="Arial" w:eastAsia="Arial" w:hAnsi="Arial"/>
                <w:sz w:val="14"/>
                <w:szCs w:val="14"/>
                <w:b w:val="1"/>
                <w:bCs w:val="1"/>
                <w:color w:val="auto"/>
                <w:w w:val="98"/>
              </w:rPr>
              <w:t>June 26, 2019</w:t>
            </w: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June 26, 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5,499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14,087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9,099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Weighted-average shares outstanding—basic</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34,836,410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88"/>
              </w:rPr>
              <w:t>37,939,912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5"/>
              </w:rPr>
              <w:t>34,747,785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38,296,807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outstanding—diluted</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35,410,198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38,580,722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35,382,607</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39,043,477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4420" w:type="dxa"/>
            <w:vAlign w:val="bottom"/>
          </w:tcPr>
          <w:p>
            <w:pPr>
              <w:ind w:left="20"/>
              <w:spacing w:after="0"/>
              <w:rPr>
                <w:sz w:val="20"/>
                <w:szCs w:val="20"/>
                <w:color w:val="auto"/>
              </w:rPr>
            </w:pPr>
            <w:r>
              <w:rPr>
                <w:rFonts w:ascii="Arial" w:cs="Arial" w:eastAsia="Arial" w:hAnsi="Arial"/>
                <w:sz w:val="18"/>
                <w:szCs w:val="18"/>
                <w:color w:val="auto"/>
              </w:rPr>
              <w:t>Net income per share—basic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8"/>
                <w:szCs w:val="18"/>
                <w:color w:val="auto"/>
              </w:rPr>
            </w:pPr>
          </w:p>
        </w:tc>
        <w:tc>
          <w:tcPr>
            <w:tcW w:w="8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82"/>
        </w:trPr>
        <w:tc>
          <w:tcPr>
            <w:tcW w:w="4420" w:type="dxa"/>
            <w:vAlign w:val="bottom"/>
          </w:tcPr>
          <w:p>
            <w:pPr>
              <w:ind w:left="20"/>
              <w:spacing w:after="0" w:line="182" w:lineRule="exact"/>
              <w:rPr>
                <w:sz w:val="20"/>
                <w:szCs w:val="20"/>
                <w:color w:val="auto"/>
              </w:rPr>
            </w:pPr>
            <w:r>
              <w:rPr>
                <w:rFonts w:ascii="Arial" w:cs="Arial" w:eastAsia="Arial" w:hAnsi="Arial"/>
                <w:sz w:val="18"/>
                <w:szCs w:val="18"/>
                <w:color w:val="auto"/>
              </w:rPr>
              <w:t>Anti-dilutive securities not considered in diluted EPS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calculation</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545,881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733,449</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565,118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438,547</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6"/>
        </w:trPr>
        <w:tc>
          <w:tcPr>
            <w:tcW w:w="4420" w:type="dxa"/>
            <w:vAlign w:val="bottom"/>
          </w:tcPr>
          <w:p>
            <w:pPr>
              <w:ind w:left="20"/>
              <w:spacing w:after="0"/>
              <w:rPr>
                <w:sz w:val="20"/>
                <w:szCs w:val="20"/>
                <w:color w:val="auto"/>
              </w:rPr>
            </w:pPr>
            <w:r>
              <w:rPr>
                <w:rFonts w:ascii="Arial" w:cs="Arial" w:eastAsia="Arial" w:hAnsi="Arial"/>
                <w:sz w:val="18"/>
                <w:szCs w:val="18"/>
                <w:color w:val="auto"/>
                <w:w w:val="94"/>
              </w:rPr>
              <w:t>Below is a reconciliation of basic and diluted share counts: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gridSpan w:val="7"/>
          </w:tcPr>
          <w:p>
            <w:pPr>
              <w:ind w:left="260"/>
              <w:spacing w:after="0"/>
              <w:rPr>
                <w:sz w:val="20"/>
                <w:szCs w:val="20"/>
                <w:color w:val="auto"/>
              </w:rPr>
            </w:pPr>
            <w:r>
              <w:rPr>
                <w:rFonts w:ascii="Arial" w:cs="Arial" w:eastAsia="Arial" w:hAnsi="Arial"/>
                <w:sz w:val="14"/>
                <w:szCs w:val="14"/>
                <w:b w:val="1"/>
                <w:bCs w:val="1"/>
                <w:color w:val="auto"/>
              </w:rPr>
              <w:t>Thirteen Weeks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2"/>
              </w:rPr>
              <w:t>Twenty-Six Weeks Ended</w:t>
            </w:r>
          </w:p>
        </w:tc>
      </w:tr>
      <w:tr>
        <w:trPr>
          <w:trHeight w:val="142"/>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June 24, 2020</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4"/>
              </w:rPr>
              <w:t>June 26, 2019</w:t>
            </w: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4"/>
              </w:rPr>
              <w:t>June 24, 2020</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June 26, 2019</w:t>
            </w:r>
          </w:p>
        </w:tc>
        <w:tc>
          <w:tcPr>
            <w:tcW w:w="200" w:type="dxa"/>
            <w:vAlign w:val="bottom"/>
            <w:gridSpan w:val="3"/>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outstanding—basic</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34,836,410</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37,939,912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34,747,785</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38,296,807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Dilutive effect of stock options and restricted shares</w:t>
            </w:r>
          </w:p>
        </w:tc>
        <w:tc>
          <w:tcPr>
            <w:tcW w:w="10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573,788</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640,810</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634,822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746,670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outstanding—diluted</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35,410,198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38,580,722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35,382,607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39,043,477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RELATED PARTY TRANSACTIONS</w:t>
      </w:r>
    </w:p>
    <w:p>
      <w:pPr>
        <w:spacing w:after="0" w:line="229"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Trimaran Pollo Partners, L.L.C. (“LLC”) owns approximately 46.7% of the Company’s outstanding common stock. This large position means that LLC and its majority owners—predecessors and affiliates of, and certain funds managed by, Trimaran Capital Partners and Freeman Spogli &amp; Co. (collectively, “Trimaran” and “Freeman Spogli,” respectively)— possess significant influence when stockholders vote on matters such as election of directors, mergers, consolidations and acquisitions, the sale of all or substantially all of the Company’s assets, decisions affecting the Company’s capital structure, amendments to the Company’s amended and restated certificate of incorporation or amended and restated by-laws, and the Company’s winding up and dissolution. The Company’s amended and restated certificate of incorporation provides that</w:t>
      </w:r>
    </w:p>
    <w:p>
      <w:pPr>
        <w:spacing w:after="0" w:line="2" w:lineRule="exact"/>
        <w:rPr>
          <w:sz w:val="20"/>
          <w:szCs w:val="20"/>
          <w:color w:val="auto"/>
        </w:rPr>
      </w:pPr>
    </w:p>
    <w:p>
      <w:pPr>
        <w:ind w:left="60" w:right="79" w:hanging="10"/>
        <w:spacing w:after="0" w:line="292"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so long as LLC beneficially owns, directly or indirectly, more than 40% of the Company’s common stock any member of the Board of Directors or the entire Board of Directors may be removed from office at any time with or without cause by the affirmative vote of a majority of the Company’s common stock, and (ii) prior to the date the LLC ceases to beneficially own, directly or indirectly, 40% or more of the Company’s common stock, stockholders representing at least 40% of the Company’s common stock may call a special meeting of the Company’s stockholders.</w:t>
      </w:r>
    </w:p>
    <w:p>
      <w:pPr>
        <w:spacing w:after="0" w:line="158" w:lineRule="exact"/>
        <w:rPr>
          <w:sz w:val="20"/>
          <w:szCs w:val="20"/>
          <w:color w:val="auto"/>
        </w:rPr>
      </w:pPr>
    </w:p>
    <w:p>
      <w:pPr>
        <w:ind w:left="60" w:right="4319" w:hanging="10"/>
        <w:spacing w:after="0" w:line="503" w:lineRule="auto"/>
        <w:tabs>
          <w:tab w:leader="none" w:pos="33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two revenue streams, company-operated restaurant revenue and franchise related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Company-operated restaurant revenue</w:t>
      </w:r>
    </w:p>
    <w:p>
      <w:pPr>
        <w:spacing w:after="0" w:line="22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184"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The Company offers a loyalty rewards program, which awards a customer points for dollars spent. When 100 points are accumulated a $10 reward to be used on future purchases is earned. If a customer does not earn or use points within a one-year period, their account is deactivated and all points expire. Additionally, if a $10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both June 24, 2020 and December 25, 2019, the revenue allocated to loyalty points that have not been redeemed was $1.1 million, which is reflected in the Company’s accompanying condensed consolidated balance sheets within other accrued expenses and current liabilities. The Company expects the loyalty points to be redeemed and recognized over a one-year period.</w:t>
      </w:r>
    </w:p>
    <w:p>
      <w:pPr>
        <w:spacing w:after="0" w:line="168"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225"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149" w:lineRule="exact"/>
        <w:rPr>
          <w:sz w:val="20"/>
          <w:szCs w:val="20"/>
          <w:color w:val="auto"/>
        </w:rPr>
      </w:pPr>
    </w:p>
    <w:p>
      <w:pPr>
        <w:ind w:left="720" w:right="239" w:hanging="319"/>
        <w:spacing w:after="0" w:line="258"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Discounted renewal option.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211"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7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92"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June 24, 2020, there were no performance obligations related to hardware services that were unsatisfied or partially satisfied.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revenues disaggregated by revenue source and market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7"/>
              </w:rPr>
              <w:t>Thirteen Weeks Ended</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w w:val="92"/>
              </w:rPr>
              <w:t>Twenty-Six Weeks Ended</w:t>
            </w: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w w:val="99"/>
              </w:rPr>
              <w:t>June 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June 26,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June 24,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w w:val="99"/>
              </w:rPr>
              <w:t>June 26,</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Core Market</w:t>
            </w:r>
            <w:r>
              <w:rPr>
                <w:rFonts w:ascii="Arial" w:cs="Arial" w:eastAsia="Arial" w:hAnsi="Arial"/>
                <w:sz w:val="24"/>
                <w:szCs w:val="24"/>
                <w:b w:val="1"/>
                <w:bCs w:val="1"/>
                <w:color w:val="auto"/>
                <w:vertAlign w:val="superscript"/>
              </w:rPr>
              <w:t>(1)</w:t>
            </w:r>
            <w:r>
              <w:rPr>
                <w:rFonts w:ascii="Arial" w:cs="Arial" w:eastAsia="Arial" w:hAnsi="Arial"/>
                <w:sz w:val="17"/>
                <w:szCs w:val="17"/>
                <w:b w:val="1"/>
                <w:bCs w:val="1"/>
                <w:color w:val="auto"/>
              </w:rPr>
              <w: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Company-operated restaurant revenue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81,370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88,808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167,285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174,114</w:t>
            </w: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Franchise revenue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Franchise advertising fee revenue</w:t>
            </w: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w:t>
            </w:r>
          </w:p>
        </w:tc>
      </w:tr>
      <w:tr>
        <w:trPr>
          <w:trHeight w:val="209"/>
        </w:trPr>
        <w:tc>
          <w:tcPr>
            <w:tcW w:w="20" w:type="dxa"/>
            <w:vAlign w:val="bottom"/>
          </w:tcPr>
          <w:p>
            <w:pPr>
              <w:spacing w:after="0"/>
              <w:rPr>
                <w:sz w:val="18"/>
                <w:szCs w:val="18"/>
                <w:color w:val="auto"/>
              </w:rPr>
            </w:pPr>
          </w:p>
        </w:tc>
        <w:tc>
          <w:tcPr>
            <w:tcW w:w="4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core market</w:t>
            </w:r>
          </w:p>
        </w:tc>
        <w:tc>
          <w:tcPr>
            <w:tcW w:w="1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86,962</w:t>
            </w:r>
          </w:p>
        </w:tc>
        <w:tc>
          <w:tcPr>
            <w:tcW w:w="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95,788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179,026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187,310</w:t>
            </w:r>
          </w:p>
        </w:tc>
      </w:tr>
      <w:tr>
        <w:trPr>
          <w:trHeight w:val="210"/>
        </w:trPr>
        <w:tc>
          <w:tcPr>
            <w:tcW w:w="20" w:type="dxa"/>
            <w:vAlign w:val="bottom"/>
          </w:tcPr>
          <w:p>
            <w:pPr>
              <w:spacing w:after="0"/>
              <w:rPr>
                <w:sz w:val="18"/>
                <w:szCs w:val="18"/>
                <w:color w:val="auto"/>
              </w:rPr>
            </w:pPr>
          </w:p>
        </w:tc>
        <w:tc>
          <w:tcPr>
            <w:tcW w:w="4000" w:type="dxa"/>
            <w:vAlign w:val="bottom"/>
            <w:gridSpan w:val="2"/>
          </w:tcPr>
          <w:p>
            <w:pPr>
              <w:spacing w:after="0" w:line="210" w:lineRule="exact"/>
              <w:rPr>
                <w:sz w:val="20"/>
                <w:szCs w:val="20"/>
                <w:color w:val="auto"/>
              </w:rPr>
            </w:pPr>
            <w:r>
              <w:rPr>
                <w:rFonts w:ascii="Arial" w:cs="Arial" w:eastAsia="Arial" w:hAnsi="Arial"/>
                <w:sz w:val="17"/>
                <w:szCs w:val="17"/>
                <w:b w:val="1"/>
                <w:bCs w:val="1"/>
                <w:color w:val="auto"/>
              </w:rPr>
              <w:t>Non-Core Market</w:t>
            </w:r>
            <w:r>
              <w:rPr>
                <w:rFonts w:ascii="Arial" w:cs="Arial" w:eastAsia="Arial" w:hAnsi="Arial"/>
                <w:sz w:val="24"/>
                <w:szCs w:val="24"/>
                <w:b w:val="1"/>
                <w:bCs w:val="1"/>
                <w:color w:val="auto"/>
                <w:vertAlign w:val="superscript"/>
              </w:rPr>
              <w:t>(2)</w:t>
            </w:r>
            <w:r>
              <w:rPr>
                <w:rFonts w:ascii="Arial" w:cs="Arial" w:eastAsia="Arial" w:hAnsi="Arial"/>
                <w:sz w:val="17"/>
                <w:szCs w:val="17"/>
                <w:b w:val="1"/>
                <w:bCs w:val="1"/>
                <w:color w:val="auto"/>
              </w:rPr>
              <w: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Company-operated restaurant revenue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23,175</w:t>
            </w:r>
          </w:p>
        </w:tc>
      </w:tr>
      <w:tr>
        <w:trPr>
          <w:trHeight w:val="216"/>
        </w:trPr>
        <w:tc>
          <w:tcPr>
            <w:tcW w:w="20" w:type="dxa"/>
            <w:vAlign w:val="bottom"/>
          </w:tcPr>
          <w:p>
            <w:pPr>
              <w:spacing w:after="0"/>
              <w:rPr>
                <w:sz w:val="18"/>
                <w:szCs w:val="18"/>
                <w:color w:val="auto"/>
              </w:rPr>
            </w:pP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Franchise revenue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6,689</w:t>
            </w: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Franchise advertising fee revenue</w:t>
            </w:r>
          </w:p>
        </w:tc>
        <w:tc>
          <w:tcPr>
            <w:tcW w:w="1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5,543</w:t>
            </w: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non-core market</w:t>
            </w: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12,642</w:t>
            </w:r>
          </w:p>
        </w:tc>
        <w:tc>
          <w:tcPr>
            <w:tcW w:w="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35,407</w:t>
            </w:r>
          </w:p>
        </w:tc>
      </w:tr>
      <w:tr>
        <w:trPr>
          <w:trHeight w:val="209"/>
        </w:trPr>
        <w:tc>
          <w:tcPr>
            <w:tcW w:w="20" w:type="dxa"/>
            <w:vAlign w:val="bottom"/>
          </w:tcPr>
          <w:p>
            <w:pPr>
              <w:spacing w:after="0"/>
              <w:rPr>
                <w:sz w:val="18"/>
                <w:szCs w:val="18"/>
                <w:color w:val="auto"/>
              </w:rPr>
            </w:pPr>
          </w:p>
        </w:tc>
        <w:tc>
          <w:tcPr>
            <w:tcW w:w="4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99,604</w:t>
            </w:r>
          </w:p>
        </w:tc>
        <w:tc>
          <w:tcPr>
            <w:tcW w:w="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113,740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204,767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222,717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67" w:lineRule="exact"/>
        <w:rPr>
          <w:sz w:val="20"/>
          <w:szCs w:val="20"/>
          <w:color w:val="auto"/>
        </w:rPr>
      </w:pPr>
    </w:p>
    <w:p>
      <w:pPr>
        <w:ind w:left="380" w:right="179" w:hanging="330"/>
        <w:spacing w:after="0" w:line="207" w:lineRule="auto"/>
        <w:tabs>
          <w:tab w:leader="none" w:pos="38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Core Market includes markets with existing company-operated restaurants at the time of the Company’s Initial Public Offering ("IPO") on July 28, 2014.</w:t>
      </w:r>
    </w:p>
    <w:p>
      <w:pPr>
        <w:ind w:left="380" w:hanging="330"/>
        <w:spacing w:after="0" w:line="180" w:lineRule="auto"/>
        <w:tabs>
          <w:tab w:leader="none" w:pos="380" w:val="left"/>
        </w:tabs>
        <w:numPr>
          <w:ilvl w:val="0"/>
          <w:numId w:val="10"/>
        </w:numPr>
        <w:rPr>
          <w:rFonts w:ascii="Arial" w:cs="Arial" w:eastAsia="Arial" w:hAnsi="Arial"/>
          <w:sz w:val="25"/>
          <w:szCs w:val="25"/>
          <w:color w:val="auto"/>
          <w:vertAlign w:val="superscript"/>
        </w:rPr>
      </w:pPr>
      <w:r>
        <w:rPr>
          <w:rFonts w:ascii="Arial" w:cs="Arial" w:eastAsia="Arial" w:hAnsi="Arial"/>
          <w:sz w:val="17"/>
          <w:szCs w:val="17"/>
          <w:color w:val="auto"/>
        </w:rPr>
        <w:t>Non-Core Market includes markets entered into by the Company subsequent to the IPO date.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revenues disaggregated by geographic market:</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18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Thirteen Weeks Ended</w:t>
            </w:r>
          </w:p>
        </w:tc>
        <w:tc>
          <w:tcPr>
            <w:tcW w:w="216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58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20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20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Greater Los Angeles area market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markets</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28.9 %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30.7 %</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28.3 %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30.7 %</w:t>
            </w:r>
          </w:p>
        </w:tc>
      </w:tr>
      <w:tr>
        <w:trPr>
          <w:trHeight w:val="210"/>
        </w:trPr>
        <w:tc>
          <w:tcPr>
            <w:tcW w:w="4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following table provides information about the change in the franchise contract liability balances during the twenty-six weeks ended June 24, 2020 and June 26, 2019 (in thousands)</w:t>
      </w:r>
      <w:r>
        <w:rPr>
          <w:rFonts w:ascii="Arial" w:cs="Arial" w:eastAsia="Arial" w:hAnsi="Arial"/>
          <w:sz w:val="18"/>
          <w:szCs w:val="18"/>
          <w:b w:val="1"/>
          <w:bCs w:val="1"/>
          <w:color w:val="auto"/>
        </w:rPr>
        <w:t>:</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25, 2019</w:t>
            </w:r>
          </w:p>
        </w:tc>
        <w:tc>
          <w:tcPr>
            <w:tcW w:w="242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80"/>
              <w:spacing w:after="0"/>
              <w:rPr>
                <w:sz w:val="20"/>
                <w:szCs w:val="20"/>
                <w:color w:val="auto"/>
              </w:rPr>
            </w:pPr>
            <w:r>
              <w:rPr>
                <w:rFonts w:ascii="Arial" w:cs="Arial" w:eastAsia="Arial" w:hAnsi="Arial"/>
                <w:sz w:val="18"/>
                <w:szCs w:val="18"/>
                <w:color w:val="auto"/>
              </w:rPr>
              <w:t>Revenue recognized - beginning balance</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24, 2020</w:t>
            </w:r>
          </w:p>
        </w:tc>
        <w:tc>
          <w:tcPr>
            <w:tcW w:w="242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26, 2018</w:t>
            </w:r>
          </w:p>
        </w:tc>
        <w:tc>
          <w:tcPr>
            <w:tcW w:w="242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80"/>
              <w:spacing w:after="0"/>
              <w:rPr>
                <w:sz w:val="20"/>
                <w:szCs w:val="20"/>
                <w:color w:val="auto"/>
              </w:rPr>
            </w:pPr>
            <w:r>
              <w:rPr>
                <w:rFonts w:ascii="Arial" w:cs="Arial" w:eastAsia="Arial" w:hAnsi="Arial"/>
                <w:sz w:val="18"/>
                <w:szCs w:val="18"/>
                <w:color w:val="auto"/>
              </w:rPr>
              <w:t>Revenue recognized - beginning balance</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contract liability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Revenue recognized - additional contract liability</w:t>
            </w:r>
          </w:p>
        </w:tc>
        <w:tc>
          <w:tcPr>
            <w:tcW w:w="20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26, 2019</w:t>
            </w:r>
          </w:p>
        </w:tc>
        <w:tc>
          <w:tcPr>
            <w:tcW w:w="2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agreement. Revenue is recognized from these agreements as the underlying performance obligation is satisfied, which is over the term of the agreement.</w:t>
      </w:r>
    </w:p>
    <w:p>
      <w:pPr>
        <w:spacing w:after="0" w:line="170"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The following table illustrates the estimated revenue to be recognized in future periods related to performance obligations under the applicable contracts that are unsatisfied as of June 24, 2020 (in thousands):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Franchise revenues: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6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2020</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16"/>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r>
      <w:tr>
        <w:trPr>
          <w:trHeight w:val="210"/>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5,773</w:t>
            </w: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of Topic 842 "Leases"</w:t>
      </w:r>
    </w:p>
    <w:p>
      <w:pPr>
        <w:spacing w:after="0" w:line="229" w:lineRule="exact"/>
        <w:rPr>
          <w:sz w:val="20"/>
          <w:szCs w:val="20"/>
          <w:color w:val="auto"/>
        </w:rPr>
      </w:pPr>
    </w:p>
    <w:p>
      <w:pPr>
        <w:jc w:val="both"/>
        <w:ind w:left="60" w:right="239"/>
        <w:spacing w:after="0" w:line="259" w:lineRule="auto"/>
        <w:rPr>
          <w:sz w:val="20"/>
          <w:szCs w:val="20"/>
          <w:color w:val="auto"/>
        </w:rPr>
      </w:pPr>
      <w:r>
        <w:rPr>
          <w:rFonts w:ascii="Arial" w:cs="Arial" w:eastAsia="Arial" w:hAnsi="Arial"/>
          <w:sz w:val="18"/>
          <w:szCs w:val="18"/>
          <w:color w:val="auto"/>
        </w:rPr>
        <w:t>On December 27, 2018, the Company adopted Topic 842, using the effective date method, recognizing and measuring all leases that existed as of December 27, 2018. The Company recorded a cumulative-effect adjustment as of December 27, 2018. All leases that either (1) commenced, or (2) were modified or re-measured after December 27, 2018 are accounted for under Topic 842.</w:t>
      </w:r>
    </w:p>
    <w:p>
      <w:pPr>
        <w:spacing w:after="0" w:line="187"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As a result of Topic 842, the Company recognized a ROU asset of $205.2 million and a lease liability of $222.3 million on its consolidated balance sheet as of December 27, 2018. However, the adoption of Topic 842 did not result in a material impact on the Company’s consolidated statement of operations or consolidated statement of cash flows.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leases</w:t>
      </w:r>
    </w:p>
    <w:p>
      <w:pPr>
        <w:spacing w:after="0" w:line="22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84"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As of June 24, 2020, the Company had no leases that it had entered into, but had not yet commenced. The Company does not have control of the property until lease commencement.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Building and facility leases</w:t>
      </w:r>
    </w:p>
    <w:p>
      <w:pPr>
        <w:spacing w:after="0" w:line="229"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majority of the Company’s building and facilities leases are classified as operating leases; however, the Company currently has one facility lease that is classified as a finance lease.</w:t>
      </w:r>
    </w:p>
    <w:p>
      <w:pPr>
        <w:spacing w:after="0" w:line="170"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common area maintenance,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92"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During the thirteen and twenty-six weeks ended June 24, 2020, the Company reassessed the lease terms on four and seven restaurants, respectively, due to certain triggering events, such as the addition of significant leasehold improvements, the decision to terminate a lease, or the decision to renew. As a result of the reassessment, an additional $1.4 million and $1.7 million of ROU asset and lease liabilities for the thirteen and twenty-six weeks ended June 24, 2020, respectively, were recognized and will be amortized over the new lease term. During the thirteen and twenty-six weeks ended June 26, 2019, the Company reassessed the lease terms on three restaurants due to the addition of significant leasehold improvements with useful lives that extend past the current lease expiration. This resulted in an additional $1.2 million of ROU asset and lease liability, which will be recognized over the new lease term. The reassessments did not have any impact on the original lease classification. Additionally, as the Company adopted all practical expedients available under Topic 842, no reallocation between lease and non-lease components was necessary.</w:t>
      </w:r>
    </w:p>
    <w:p>
      <w:pPr>
        <w:spacing w:after="0" w:line="168"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57" w:lineRule="exact"/>
        <w:rPr>
          <w:sz w:val="20"/>
          <w:szCs w:val="20"/>
          <w:color w:val="auto"/>
        </w:rPr>
      </w:pPr>
    </w:p>
    <w:p>
      <w:pPr>
        <w:jc w:val="both"/>
        <w:ind w:left="60" w:right="239"/>
        <w:spacing w:after="0" w:line="301" w:lineRule="auto"/>
        <w:rPr>
          <w:sz w:val="20"/>
          <w:szCs w:val="20"/>
          <w:color w:val="auto"/>
        </w:rPr>
      </w:pPr>
      <w:r>
        <w:rPr>
          <w:rFonts w:ascii="Arial" w:cs="Arial" w:eastAsia="Arial" w:hAnsi="Arial"/>
          <w:sz w:val="16"/>
          <w:szCs w:val="16"/>
          <w:color w:val="auto"/>
        </w:rPr>
        <w:t>During the twenty-six weeks ended June 24, 2020, the Company determined that the carrying value of ROU assets at one restaurant was not recoverable. As a result, the Company recorded a $0.5 million impairment expense for the twenty-six weeks ended June 24, 2020, related to one restaurant in Texas, sold to franchisees in the prior year. The Company did not recognize any impairment related to ROU assets during the thirteen and twenty-six ended June 26, 2019.</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Significant Assumptions and Judgments</w:t>
      </w:r>
    </w:p>
    <w:p>
      <w:pPr>
        <w:spacing w:after="0" w:line="225" w:lineRule="exact"/>
        <w:rPr>
          <w:sz w:val="20"/>
          <w:szCs w:val="20"/>
          <w:color w:val="auto"/>
        </w:rPr>
      </w:pPr>
    </w:p>
    <w:p>
      <w:pPr>
        <w:ind w:left="60" w:right="939"/>
        <w:spacing w:after="0" w:line="308" w:lineRule="auto"/>
        <w:rPr>
          <w:sz w:val="20"/>
          <w:szCs w:val="20"/>
          <w:color w:val="auto"/>
        </w:rPr>
      </w:pPr>
      <w:r>
        <w:rPr>
          <w:rFonts w:ascii="Arial" w:cs="Arial" w:eastAsia="Arial" w:hAnsi="Arial"/>
          <w:sz w:val="17"/>
          <w:szCs w:val="17"/>
          <w:color w:val="auto"/>
        </w:rPr>
        <w:t>In applying the requirements of Topic 842 the Company made significant assumptions and judgments related to determination of whether a contract contains a lease and the discount rate used for the lease.</w:t>
      </w:r>
    </w:p>
    <w:p>
      <w:pPr>
        <w:spacing w:after="0" w:line="146"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84"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61" w:lineRule="exact"/>
        <w:rPr>
          <w:sz w:val="20"/>
          <w:szCs w:val="20"/>
          <w:color w:val="auto"/>
        </w:rPr>
      </w:pPr>
    </w:p>
    <w:p>
      <w:pPr>
        <w:ind w:left="60" w:right="659"/>
        <w:spacing w:after="0" w:line="263" w:lineRule="auto"/>
        <w:rPr>
          <w:sz w:val="20"/>
          <w:szCs w:val="20"/>
          <w:color w:val="auto"/>
        </w:rPr>
      </w:pPr>
      <w:r>
        <w:rPr>
          <w:rFonts w:ascii="Arial" w:cs="Arial" w:eastAsia="Arial" w:hAnsi="Arial"/>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total lease cost, disaggregated by underlying asset (in thousands):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3"/>
              </w:rPr>
              <w:t>Thirteen Weeks Ended</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5"/>
          </w:tcPr>
          <w:p>
            <w:pPr>
              <w:jc w:val="center"/>
              <w:ind w:right="20"/>
              <w:spacing w:after="0" w:line="142" w:lineRule="exact"/>
              <w:rPr>
                <w:sz w:val="20"/>
                <w:szCs w:val="20"/>
                <w:color w:val="auto"/>
              </w:rPr>
            </w:pPr>
            <w:r>
              <w:rPr>
                <w:rFonts w:ascii="Arial" w:cs="Arial" w:eastAsia="Arial" w:hAnsi="Arial"/>
                <w:sz w:val="14"/>
                <w:szCs w:val="14"/>
                <w:b w:val="1"/>
                <w:bCs w:val="1"/>
                <w:color w:val="auto"/>
                <w:w w:val="92"/>
              </w:rPr>
              <w:t>June 24, 2020</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6"/>
          </w:tcPr>
          <w:p>
            <w:pPr>
              <w:ind w:left="60"/>
              <w:spacing w:after="0" w:line="142" w:lineRule="exact"/>
              <w:rPr>
                <w:sz w:val="20"/>
                <w:szCs w:val="20"/>
                <w:color w:val="auto"/>
              </w:rPr>
            </w:pPr>
            <w:r>
              <w:rPr>
                <w:rFonts w:ascii="Arial" w:cs="Arial" w:eastAsia="Arial" w:hAnsi="Arial"/>
                <w:sz w:val="14"/>
                <w:szCs w:val="14"/>
                <w:b w:val="1"/>
                <w:bCs w:val="1"/>
                <w:color w:val="auto"/>
                <w:w w:val="96"/>
              </w:rPr>
              <w:t>June 26, 2019</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tcPr>
          <w:p>
            <w:pPr>
              <w:jc w:val="center"/>
              <w:ind w:right="60"/>
              <w:spacing w:after="0" w:line="119" w:lineRule="exact"/>
              <w:rPr>
                <w:sz w:val="20"/>
                <w:szCs w:val="20"/>
                <w:color w:val="auto"/>
              </w:rPr>
            </w:pPr>
            <w:r>
              <w:rPr>
                <w:rFonts w:ascii="Arial" w:cs="Arial" w:eastAsia="Arial" w:hAnsi="Arial"/>
                <w:sz w:val="13"/>
                <w:szCs w:val="13"/>
                <w:b w:val="1"/>
                <w:bCs w:val="1"/>
                <w:color w:val="auto"/>
              </w:rPr>
              <w:t>Property</w:t>
            </w:r>
          </w:p>
        </w:tc>
        <w:tc>
          <w:tcPr>
            <w:tcW w:w="120" w:type="dxa"/>
            <w:vAlign w:val="bottom"/>
          </w:tcPr>
          <w:p>
            <w:pPr>
              <w:spacing w:after="0"/>
              <w:rPr>
                <w:sz w:val="10"/>
                <w:szCs w:val="10"/>
                <w:color w:val="auto"/>
              </w:rPr>
            </w:pPr>
          </w:p>
        </w:tc>
        <w:tc>
          <w:tcPr>
            <w:tcW w:w="86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Equipment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74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Property</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rPr>
              <w:t>Equipment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Leases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Leases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Leases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4"/>
              </w:rPr>
              <w:t>Leases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Amortization of right-of-use assets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lease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lease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 lease cost</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6,574</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4"/>
                <w:szCs w:val="14"/>
                <w:b w:val="1"/>
                <w:bCs w:val="1"/>
                <w:color w:val="auto"/>
                <w:w w:val="92"/>
              </w:rPr>
              <w:t>Twenty-Six Weeks Ended</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June 24, 2020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2"/>
              </w:rPr>
              <w:t>June 26, 2019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Property</w:t>
            </w:r>
          </w:p>
        </w:tc>
        <w:tc>
          <w:tcPr>
            <w:tcW w:w="120" w:type="dxa"/>
            <w:vAlign w:val="bottom"/>
          </w:tcPr>
          <w:p>
            <w:pPr>
              <w:spacing w:after="0"/>
              <w:rPr>
                <w:sz w:val="19"/>
                <w:szCs w:val="19"/>
                <w:color w:val="auto"/>
              </w:rPr>
            </w:pPr>
          </w:p>
        </w:tc>
        <w:tc>
          <w:tcPr>
            <w:tcW w:w="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6"/>
              </w:rPr>
              <w:t>Equipment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Property</w:t>
            </w:r>
          </w:p>
        </w:tc>
        <w:tc>
          <w:tcPr>
            <w:tcW w:w="100" w:type="dxa"/>
            <w:vAlign w:val="bottom"/>
          </w:tcPr>
          <w:p>
            <w:pPr>
              <w:spacing w:after="0"/>
              <w:rPr>
                <w:sz w:val="19"/>
                <w:szCs w:val="19"/>
                <w:color w:val="auto"/>
              </w:rPr>
            </w:pPr>
          </w:p>
        </w:tc>
        <w:tc>
          <w:tcPr>
            <w:tcW w:w="8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Equipment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Leases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Leases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Leases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Amortization of right-of-use assets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lease liabilities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Operating lease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13,075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13,689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13,187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13,841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(1,541)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$ 11,754</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$ 12,450</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$ 12,534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The following table presents the Company’s total lease cost on the condensed consolidated statements of income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4"/>
                <w:szCs w:val="14"/>
                <w:color w:val="auto"/>
              </w:rPr>
            </w:pPr>
          </w:p>
        </w:tc>
        <w:tc>
          <w:tcPr>
            <w:tcW w:w="1920" w:type="dxa"/>
            <w:vAlign w:val="bottom"/>
            <w:gridSpan w:val="5"/>
          </w:tcPr>
          <w:p>
            <w:pPr>
              <w:ind w:left="80"/>
              <w:spacing w:after="0"/>
              <w:rPr>
                <w:sz w:val="20"/>
                <w:szCs w:val="20"/>
                <w:color w:val="auto"/>
              </w:rPr>
            </w:pPr>
            <w:r>
              <w:rPr>
                <w:rFonts w:ascii="Arial" w:cs="Arial" w:eastAsia="Arial" w:hAnsi="Arial"/>
                <w:sz w:val="14"/>
                <w:szCs w:val="14"/>
                <w:b w:val="1"/>
                <w:bCs w:val="1"/>
                <w:color w:val="auto"/>
              </w:rPr>
              <w:t>Twenty-Six Weeks Ended</w:t>
            </w:r>
          </w:p>
        </w:tc>
      </w:tr>
      <w:tr>
        <w:trPr>
          <w:trHeight w:val="142"/>
        </w:trPr>
        <w:tc>
          <w:tcPr>
            <w:tcW w:w="4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June 24, 2020</w:t>
            </w: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26, 2019</w:t>
            </w:r>
          </w:p>
        </w:tc>
        <w:tc>
          <w:tcPr>
            <w:tcW w:w="120" w:type="dxa"/>
            <w:vAlign w:val="bottom"/>
          </w:tcPr>
          <w:p>
            <w:pPr>
              <w:spacing w:after="0"/>
              <w:rPr>
                <w:sz w:val="12"/>
                <w:szCs w:val="12"/>
                <w:color w:val="auto"/>
              </w:rPr>
            </w:pPr>
          </w:p>
        </w:tc>
        <w:tc>
          <w:tcPr>
            <w:tcW w:w="112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June 24, 2020</w:t>
            </w: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26, 2019</w:t>
            </w:r>
          </w:p>
        </w:tc>
        <w:tc>
          <w:tcPr>
            <w:tcW w:w="20" w:type="dxa"/>
            <w:vAlign w:val="bottom"/>
          </w:tcPr>
          <w:p>
            <w:pPr>
              <w:spacing w:after="0"/>
              <w:rPr>
                <w:sz w:val="12"/>
                <w:szCs w:val="12"/>
                <w:color w:val="auto"/>
              </w:rPr>
            </w:pP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Lease cost – Occupancy and other operating expenses</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12,659</w:t>
            </w:r>
          </w:p>
        </w:tc>
        <w:tc>
          <w:tcPr>
            <w:tcW w:w="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Lease cost – General &amp; administrative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Depreciation and amortization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color w:val="auto"/>
              </w:rPr>
              <w:t>Lease cost – Interest expense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Closed-store reserve</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8"/>
                <w:szCs w:val="18"/>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6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12,450</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13,303</w:t>
            </w:r>
          </w:p>
        </w:tc>
        <w:tc>
          <w:tcPr>
            <w:tcW w:w="20" w:type="dxa"/>
            <w:vAlign w:val="bottom"/>
          </w:tcPr>
          <w:p>
            <w:pPr>
              <w:spacing w:after="0"/>
              <w:rPr>
                <w:sz w:val="18"/>
                <w:szCs w:val="18"/>
                <w:color w:val="auto"/>
              </w:rPr>
            </w:pPr>
          </w:p>
        </w:tc>
      </w:tr>
      <w:tr>
        <w:trPr>
          <w:trHeight w:val="858"/>
        </w:trPr>
        <w:tc>
          <w:tcPr>
            <w:tcW w:w="4140" w:type="dxa"/>
            <w:vAlign w:val="bottom"/>
          </w:tcPr>
          <w:p>
            <w:pPr>
              <w:spacing w:after="0"/>
              <w:rPr>
                <w:sz w:val="24"/>
                <w:szCs w:val="24"/>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During the twenty-six weeks ended June 24, 2020 and June 26, 2019, the Company had the following cash and non-cash activities associated with its leases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14"/>
              <w:spacing w:after="0"/>
              <w:rPr>
                <w:sz w:val="20"/>
                <w:szCs w:val="20"/>
                <w:color w:val="auto"/>
              </w:rPr>
            </w:pPr>
            <w:r>
              <w:rPr>
                <w:rFonts w:ascii="Arial" w:cs="Arial" w:eastAsia="Arial" w:hAnsi="Arial"/>
                <w:sz w:val="14"/>
                <w:szCs w:val="14"/>
                <w:b w:val="1"/>
                <w:bCs w:val="1"/>
                <w:color w:val="auto"/>
                <w:w w:val="91"/>
              </w:rPr>
              <w:t>Twenty-Six Weeks Ended June 24, 2020</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Twenty-Six Weeks Ended June 26, 2019</w:t>
            </w: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96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Property</w:t>
            </w:r>
          </w:p>
        </w:tc>
        <w:tc>
          <w:tcPr>
            <w:tcW w:w="9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Equipment</w:t>
            </w:r>
          </w:p>
        </w:tc>
        <w:tc>
          <w:tcPr>
            <w:tcW w:w="160" w:type="dxa"/>
            <w:vAlign w:val="bottom"/>
          </w:tcPr>
          <w:p>
            <w:pPr>
              <w:spacing w:after="0"/>
              <w:rPr>
                <w:sz w:val="10"/>
                <w:szCs w:val="10"/>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Property</w:t>
            </w:r>
          </w:p>
        </w:tc>
        <w:tc>
          <w:tcPr>
            <w:tcW w:w="240" w:type="dxa"/>
            <w:vAlign w:val="bottom"/>
          </w:tcPr>
          <w:p>
            <w:pPr>
              <w:spacing w:after="0"/>
              <w:rPr>
                <w:sz w:val="10"/>
                <w:szCs w:val="10"/>
                <w:color w:val="auto"/>
              </w:rPr>
            </w:pP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Equipment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Leases</w:t>
            </w:r>
          </w:p>
        </w:tc>
        <w:tc>
          <w:tcPr>
            <w:tcW w:w="1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Leases</w:t>
            </w:r>
          </w:p>
        </w:tc>
        <w:tc>
          <w:tcPr>
            <w:tcW w:w="1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15"/>
              <w:spacing w:after="0"/>
              <w:rPr>
                <w:sz w:val="20"/>
                <w:szCs w:val="20"/>
                <w:color w:val="auto"/>
              </w:rPr>
            </w:pPr>
            <w:r>
              <w:rPr>
                <w:rFonts w:ascii="Arial" w:cs="Arial" w:eastAsia="Arial" w:hAnsi="Arial"/>
                <w:sz w:val="14"/>
                <w:szCs w:val="14"/>
                <w:b w:val="1"/>
                <w:bCs w:val="1"/>
                <w:color w:val="auto"/>
                <w:w w:val="84"/>
              </w:rPr>
              <w:t>Leases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84"/>
              </w:rPr>
              <w:t>Leases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5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Cash paid for amounts included in the</w:t>
            </w: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measurement of lease liabilities</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00"/>
              <w:spacing w:after="0" w:line="201" w:lineRule="exact"/>
              <w:rPr>
                <w:sz w:val="20"/>
                <w:szCs w:val="20"/>
                <w:color w:val="auto"/>
              </w:rPr>
            </w:pPr>
            <w:r>
              <w:rPr>
                <w:rFonts w:ascii="Arial" w:cs="Arial" w:eastAsia="Arial" w:hAnsi="Arial"/>
                <w:sz w:val="18"/>
                <w:szCs w:val="18"/>
                <w:color w:val="auto"/>
              </w:rPr>
              <w:t>Operating cash flows used for operating</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00"/>
              <w:spacing w:after="0"/>
              <w:rPr>
                <w:sz w:val="20"/>
                <w:szCs w:val="20"/>
                <w:color w:val="auto"/>
              </w:rPr>
            </w:pPr>
            <w:r>
              <w:rPr>
                <w:rFonts w:ascii="Arial" w:cs="Arial" w:eastAsia="Arial" w:hAnsi="Arial"/>
                <w:sz w:val="18"/>
                <w:szCs w:val="18"/>
                <w:color w:val="auto"/>
              </w:rPr>
              <w:t>leases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9,269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9,888</w:t>
            </w: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654</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13,015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Financing cash flows used for finance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Non-cash investing and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Operating lease ROU assets obtained in</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exchange for lease liabilities: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ROU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rPr>
              <w:t>Derecognition of ROU assets due to</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terminations, impairment or modifications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Weighted-average remaining lease term—</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00"/>
              <w:spacing w:after="0" w:line="201" w:lineRule="exact"/>
              <w:rPr>
                <w:sz w:val="20"/>
                <w:szCs w:val="20"/>
                <w:color w:val="auto"/>
              </w:rPr>
            </w:pPr>
            <w:r>
              <w:rPr>
                <w:rFonts w:ascii="Arial" w:cs="Arial" w:eastAsia="Arial" w:hAnsi="Arial"/>
                <w:sz w:val="18"/>
                <w:szCs w:val="18"/>
                <w:color w:val="auto"/>
              </w:rPr>
              <w:t>Weighted-average remaining lease term—</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12.23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Weighted-average discount rate—finance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leases</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11.10 %</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00"/>
              <w:spacing w:after="0" w:line="201" w:lineRule="exact"/>
              <w:rPr>
                <w:sz w:val="20"/>
                <w:szCs w:val="20"/>
                <w:color w:val="auto"/>
              </w:rPr>
            </w:pPr>
            <w:r>
              <w:rPr>
                <w:rFonts w:ascii="Arial" w:cs="Arial" w:eastAsia="Arial" w:hAnsi="Arial"/>
                <w:sz w:val="18"/>
                <w:szCs w:val="18"/>
                <w:color w:val="auto"/>
                <w:w w:val="98"/>
              </w:rPr>
              <w:t>Weighted-average discount rate—operating</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00"/>
              <w:spacing w:after="0"/>
              <w:rPr>
                <w:sz w:val="20"/>
                <w:szCs w:val="20"/>
                <w:color w:val="auto"/>
              </w:rPr>
            </w:pPr>
            <w:r>
              <w:rPr>
                <w:rFonts w:ascii="Arial" w:cs="Arial" w:eastAsia="Arial" w:hAnsi="Arial"/>
                <w:sz w:val="18"/>
                <w:szCs w:val="18"/>
                <w:color w:val="auto"/>
              </w:rPr>
              <w:t>leases</w:t>
            </w: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4.34 %</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3.93 %</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4.38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3.98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Information regarding the Company’s minimum future lease obligations as of June 24, 2020 is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Minimum</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Minimum</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rPr>
              <w:t>Minimum</w:t>
            </w:r>
          </w:p>
        </w:tc>
        <w:tc>
          <w:tcPr>
            <w:tcW w:w="0" w:type="dxa"/>
            <w:vAlign w:val="bottom"/>
          </w:tcPr>
          <w:p>
            <w:pPr>
              <w:spacing w:after="0"/>
              <w:rPr>
                <w:sz w:val="1"/>
                <w:szCs w:val="1"/>
                <w:color w:val="auto"/>
              </w:rPr>
            </w:pPr>
          </w:p>
        </w:tc>
      </w:tr>
      <w:tr>
        <w:trPr>
          <w:trHeight w:val="148"/>
        </w:trPr>
        <w:tc>
          <w:tcPr>
            <w:tcW w:w="3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Years Ending</w:t>
            </w: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Lease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5"/>
              </w:rPr>
              <w:t>Lease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71"/>
        </w:trPr>
        <w:tc>
          <w:tcPr>
            <w:tcW w:w="3660" w:type="dxa"/>
            <w:vAlign w:val="bottom"/>
            <w:gridSpan w:val="2"/>
            <w:vMerge w:val="continue"/>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Payments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30, 2020</w:t>
            </w:r>
          </w:p>
        </w:tc>
        <w:tc>
          <w:tcPr>
            <w:tcW w:w="2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December 29, 2021</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December 28, 2022</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December 27, 2023</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December 25, 2024</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141,408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256,090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41,350</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ind w:left="20"/>
              <w:spacing w:after="0"/>
              <w:rPr>
                <w:sz w:val="20"/>
                <w:szCs w:val="20"/>
                <w:color w:val="auto"/>
              </w:rPr>
            </w:pPr>
            <w:r>
              <w:rPr>
                <w:rFonts w:ascii="Arial" w:cs="Arial" w:eastAsia="Arial" w:hAnsi="Arial"/>
                <w:sz w:val="18"/>
                <w:szCs w:val="18"/>
                <w:color w:val="auto"/>
              </w:rPr>
              <w:t>Less: imputed interest (2.33% - 11.10%)</w:t>
            </w: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gridSpan w:val="2"/>
            <w:vMerge w:val="continue"/>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(49,051)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obligations</w:t>
            </w:r>
          </w:p>
        </w:tc>
        <w:tc>
          <w:tcPr>
            <w:tcW w:w="2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207,039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2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189,060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20" w:type="dxa"/>
            <w:vAlign w:val="bottom"/>
            <w:vMerge w:val="restart"/>
          </w:tcPr>
          <w:p>
            <w:pPr>
              <w:jc w:val="right"/>
              <w:ind w:right="125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Information regarding the Company’s minimum future lease obligations as of December 25, 2019 is as follows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w w:val="88"/>
              </w:rPr>
              <w:t>Finance Leases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Minimum</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rPr>
              <w:t>Minimum</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Minimum</w:t>
            </w:r>
          </w:p>
        </w:tc>
        <w:tc>
          <w:tcPr>
            <w:tcW w:w="0" w:type="dxa"/>
            <w:vAlign w:val="bottom"/>
          </w:tcPr>
          <w:p>
            <w:pPr>
              <w:spacing w:after="0"/>
              <w:rPr>
                <w:sz w:val="1"/>
                <w:szCs w:val="1"/>
                <w:color w:val="auto"/>
              </w:rPr>
            </w:pPr>
          </w:p>
        </w:tc>
      </w:tr>
      <w:tr>
        <w:trPr>
          <w:trHeight w:val="148"/>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For the Years Ending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Lease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Lease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Payments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December 30, 2020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December 29, 2021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December 28, 2022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December 27, 2023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December 25, 2024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139,454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27,265</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259,171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42,711</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Less: imputed interest (3.96% to 11.10%)</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(45,273)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capital lease obligations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213,898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197,492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Short-Term Leases</w:t>
      </w:r>
    </w:p>
    <w:p>
      <w:pPr>
        <w:spacing w:after="0" w:line="225"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The Company has multiple short-term leases, which have terms of less than 12 months, and thus were excluded from the recognition requirements of Topic 842. The Company has recognized these lease payments in its consolidated statements of operations on a straight-line basis over the lease term and variable lease payments in the period in which the obligation for those payments is incurred.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Lessor</w:t>
      </w:r>
    </w:p>
    <w:p>
      <w:pPr>
        <w:spacing w:after="0" w:line="22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18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84" w:lineRule="exact"/>
        <w:rPr>
          <w:sz w:val="20"/>
          <w:szCs w:val="20"/>
          <w:color w:val="auto"/>
        </w:rPr>
      </w:pPr>
    </w:p>
    <w:p>
      <w:pPr>
        <w:jc w:val="both"/>
        <w:ind w:left="60" w:right="99"/>
        <w:spacing w:after="0" w:line="288" w:lineRule="auto"/>
        <w:rPr>
          <w:sz w:val="20"/>
          <w:szCs w:val="20"/>
          <w:color w:val="auto"/>
        </w:rPr>
      </w:pPr>
      <w:r>
        <w:rPr>
          <w:rFonts w:ascii="Arial" w:cs="Arial" w:eastAsia="Arial" w:hAnsi="Arial"/>
          <w:sz w:val="17"/>
          <w:szCs w:val="17"/>
          <w:color w:val="auto"/>
        </w:rPr>
        <w:t>The Company received $0.1 million and $0.2 million, respectively, of lease income from company-owned locations for the thirteen weeks ended June 24, 2020 and June 26, 2019. For each of the twenty-six weeks ended June 24, 2020 and June 26, 2019, the Company received $0.3 million of lease income from company-owned locations</w:t>
      </w:r>
      <w:r>
        <w:rPr>
          <w:rFonts w:ascii="Arial" w:cs="Arial" w:eastAsia="Arial" w:hAnsi="Arial"/>
          <w:sz w:val="18"/>
          <w:szCs w:val="18"/>
          <w:color w:val="auto"/>
        </w:rPr>
        <w: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188" w:lineRule="exact"/>
        <w:rPr>
          <w:sz w:val="20"/>
          <w:szCs w:val="20"/>
          <w:color w:val="auto"/>
        </w:rPr>
      </w:pPr>
    </w:p>
    <w:p>
      <w:pPr>
        <w:ind w:left="720" w:right="179" w:hanging="319"/>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impacts of the novel coronavirus (COVID-19) pandemic on our company, our employees, our customers, our partners, our industry and the economy as a whole, as well as our franchisees ability to maintain operations in their individual restaurants;</w:t>
      </w:r>
    </w:p>
    <w:p>
      <w:pPr>
        <w:spacing w:after="0" w:line="2"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adverse impact of economic conditions on our (i) operating results and financial condition, (ii) ability to comply with the terms and covenants of our debt agreements, and (iii) ability to pay or refinance our existing debt or to obtain additional financing;</w:t>
      </w:r>
    </w:p>
    <w:p>
      <w:pPr>
        <w:spacing w:after="0" w:line="1" w:lineRule="exact"/>
        <w:rPr>
          <w:rFonts w:ascii="Arial" w:cs="Arial" w:eastAsia="Arial" w:hAnsi="Arial"/>
          <w:sz w:val="18"/>
          <w:szCs w:val="18"/>
          <w:color w:val="auto"/>
        </w:rPr>
      </w:pPr>
    </w:p>
    <w:p>
      <w:pPr>
        <w:ind w:left="720" w:right="65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open new restaurants in new and existing markets, including difficulty in finding sites and in negotiating acceptable leases;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successfully with other quick-service and fast casual restaurants;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vulnerability to changes in consumer preferences and economic conditions;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vulnerability to conditions in the greater Los Angeles area;</w:t>
      </w:r>
    </w:p>
    <w:p>
      <w:pPr>
        <w:spacing w:after="0" w:line="9" w:lineRule="exact"/>
        <w:rPr>
          <w:rFonts w:ascii="Arial" w:cs="Arial" w:eastAsia="Arial" w:hAnsi="Arial"/>
          <w:sz w:val="18"/>
          <w:szCs w:val="18"/>
          <w:color w:val="auto"/>
        </w:rPr>
      </w:pPr>
    </w:p>
    <w:p>
      <w:pPr>
        <w:ind w:left="720" w:right="65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vulnerability to natural disasters given the geographic concentration and real estate intensive nature of our business;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effectively identify and secure appropriate new sites for restaurants;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food and supply costs, especially for chicken;</w:t>
      </w:r>
    </w:p>
    <w:p>
      <w:pPr>
        <w:spacing w:after="0" w:line="9" w:lineRule="exact"/>
        <w:rPr>
          <w:rFonts w:ascii="Arial" w:cs="Arial" w:eastAsia="Arial" w:hAnsi="Arial"/>
          <w:sz w:val="18"/>
          <w:szCs w:val="18"/>
          <w:color w:val="auto"/>
        </w:rPr>
      </w:pPr>
    </w:p>
    <w:p>
      <w:pPr>
        <w:ind w:left="720" w:right="4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publicity, whether or not valid, and our ability to respond to and effectively manage the accelerated impact of social media;</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expand our digital business, delivery orders and catering;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concerns about food safety and quality and about food-borne illness, particularly avian flu;</w:t>
      </w:r>
    </w:p>
    <w:p>
      <w:pPr>
        <w:spacing w:after="0" w:line="9" w:lineRule="exact"/>
        <w:rPr>
          <w:rFonts w:ascii="Arial" w:cs="Arial" w:eastAsia="Arial" w:hAnsi="Arial"/>
          <w:sz w:val="18"/>
          <w:szCs w:val="18"/>
          <w:color w:val="auto"/>
        </w:rPr>
      </w:pPr>
    </w:p>
    <w:p>
      <w:pPr>
        <w:ind w:left="720" w:right="3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on frequent and timely deliveries of food and supplies and our dependence on a single supplier to distribute substantially all of our products to our restaurants;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service our level of indebtedness;</w:t>
      </w:r>
    </w:p>
    <w:p>
      <w:pPr>
        <w:spacing w:after="0" w:line="9" w:lineRule="exact"/>
        <w:rPr>
          <w:rFonts w:ascii="Arial" w:cs="Arial" w:eastAsia="Arial" w:hAnsi="Arial"/>
          <w:sz w:val="18"/>
          <w:szCs w:val="18"/>
          <w:color w:val="auto"/>
        </w:rPr>
      </w:pPr>
    </w:p>
    <w:p>
      <w:pPr>
        <w:ind w:left="720" w:right="459" w:hanging="319"/>
        <w:spacing w:after="0" w:line="281"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reliance on our franchisees, who may incur financial hardships, lose access to credit, close restaurants, or declare bankruptcy, and our limited control over our franchisees and potential liability for their acts;</w:t>
      </w:r>
    </w:p>
    <w:p>
      <w:pPr>
        <w:spacing w:after="0" w:line="1" w:lineRule="exact"/>
        <w:rPr>
          <w:rFonts w:ascii="Arial" w:cs="Arial" w:eastAsia="Arial" w:hAnsi="Arial"/>
          <w:sz w:val="16"/>
          <w:szCs w:val="16"/>
          <w:color w:val="auto"/>
        </w:rPr>
      </w:pPr>
    </w:p>
    <w:p>
      <w:pPr>
        <w:ind w:left="720" w:right="63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any security breaches of confidential customer information in connection with our electronic process of credit and debit card transactions;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any failure of our information technology system or any breach of our network security;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protect our name and logo and other proprietary intellectual property; and</w:t>
      </w:r>
    </w:p>
    <w:p>
      <w:pPr>
        <w:spacing w:after="0" w:line="9" w:lineRule="exact"/>
        <w:rPr>
          <w:rFonts w:ascii="Arial" w:cs="Arial" w:eastAsia="Arial" w:hAnsi="Arial"/>
          <w:sz w:val="18"/>
          <w:szCs w:val="18"/>
          <w:color w:val="auto"/>
        </w:rPr>
      </w:pPr>
    </w:p>
    <w:p>
      <w:pPr>
        <w:ind w:left="720" w:right="179" w:hanging="319"/>
        <w:spacing w:after="0" w:line="253"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other risks set forth in our filings with the SEC from time to time, including under Item 1A, Risk Factors in this quarterly report on Form 10-Q, under Item 1A, Risk Factors in our annual report on Form 10-K for the year ended December 25, 2019 and under Item 1A, Risk Factors in our quarterly report on Form 10-Q for the quarter ended March 25, 2020, which such filings are available online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at </w:t>
      </w:r>
      <w:r>
        <w:rPr>
          <w:rFonts w:ascii="Arial" w:cs="Arial" w:eastAsia="Arial" w:hAnsi="Arial"/>
          <w:sz w:val="18"/>
          <w:szCs w:val="18"/>
          <w:u w:val="single" w:color="auto"/>
          <w:color w:val="auto"/>
        </w:rPr>
        <w:t>www.elpolloloco.com</w:t>
      </w:r>
      <w:r>
        <w:rPr>
          <w:rFonts w:ascii="Arial" w:cs="Arial" w:eastAsia="Arial" w:hAnsi="Arial"/>
          <w:sz w:val="18"/>
          <w:szCs w:val="18"/>
          <w:color w:val="auto"/>
        </w:rPr>
        <w:t xml:space="preserve"> or upon request from El Pollo Loco.</w:t>
      </w:r>
    </w:p>
    <w:p>
      <w:pPr>
        <w:spacing w:after="0" w:line="191"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319"/>
        <w:spacing w:after="0" w:line="296" w:lineRule="auto"/>
        <w:rPr>
          <w:sz w:val="20"/>
          <w:szCs w:val="20"/>
          <w:color w:val="auto"/>
        </w:rPr>
      </w:pPr>
      <w:r>
        <w:rPr>
          <w:rFonts w:ascii="Arial" w:cs="Arial" w:eastAsia="Arial" w:hAnsi="Arial"/>
          <w:sz w:val="16"/>
          <w:szCs w:val="16"/>
          <w:color w:val="auto"/>
        </w:rPr>
        <w:t>El Pollo Loco is a differentiated and growing restaurant concept that specializes in fire-grilling citrus-marinated chicken and operates in the limited service restaurant (“LSR”) segment. We strive to offer food that integrates the culinary traditions of Mexico with the healthier lifestyle of Los Angeles, a combination that we call “LA-Mex”. Our distinctive menu features our signature product--citrus-marinated fire-grilled chicken--and a variety of Mexican and LA-inspired entrees that we create from our chicken. We serve individual and family-sized chicken meals, a variety of Mexican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LA-inspired entrees, and sides, and, throughout the year, on a limited-time basis, additional proteins like shrimp. Our entrees include favorites such as our Chicken Avocado Burrito, Under 500 Calorie entrees, chicken tostada salads, and Pollo Bowls.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("COVID-19") originating in Wuhan, China and the risks to the international community as the virus spreads globally beyond its point of origin. On March 11, 2020, the WHO classified the COVID-19 outbreak as a pandemic, based on the rapid increase in exposure globally.</w:t>
      </w:r>
    </w:p>
    <w:p>
      <w:pPr>
        <w:spacing w:after="0" w:line="187"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 xml:space="preserve">The COVID-19 pandemic has significantly disrupted our restaurant operations. Following the pandemic declaration in March 2020, federal, state and local governments began to respond to the public health crisis by requiring social distancing, "stay at home" directives, and restaurant restrictions - including government-mandated dining room closures - that limited business to off-premise services only (take-out, drive-thru and delivery). Historically, approximately 20% of the Company’s sales are associated with dine-in service. In May 2020, the “stay at home” directive was modified in most areas in which the Company operates, allowing for the opening of lower-risk workplaces, including restaurants, but with restrictions such as limited capacity. However, in recent months a surge in the COVID-19 pandemic has caused many state and local governments to re-implement certain restrictions to try and contain the spread of the virus. Except for nine restaurants in Houston and one in Utah, all of our restaurants are operating on a take-away, mobile pick-up and delivery basis, as well as maintaining drive-thru operations where available, </w:t>
      </w:r>
      <w:r>
        <w:rPr>
          <w:rFonts w:ascii="Arial" w:cs="Arial" w:eastAsia="Arial" w:hAnsi="Arial"/>
          <w:sz w:val="16"/>
          <w:szCs w:val="16"/>
          <w:color w:val="212529"/>
        </w:rPr>
        <w:t>in order to protect our employees</w:t>
      </w:r>
      <w:r>
        <w:rPr>
          <w:rFonts w:ascii="Arial" w:cs="Arial" w:eastAsia="Arial" w:hAnsi="Arial"/>
          <w:sz w:val="16"/>
          <w:szCs w:val="16"/>
          <w:color w:val="auto"/>
        </w:rPr>
        <w:t xml:space="preserve"> and customers from the spread of the COVID-19 pandemic and to comply with the government mandates. Due to the impact of the COVID-19 pandemic, during the thirteen and twenty-six weeks ended June 24, 2020, we temporarily closed 31 restaurants, 30 of which have reopened and one remained closed as of June 24, 2020. Similarly, franchisees have temporarily closed 21 restaurants, of which 17 have reopened and four remain closed as of June 24, 2020. As of June 24, 2020, we have not permanently closed any restaurants due to the COVID-19 pandemic.</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Below is a summary of other actions we have taken, or plan to take to enhance financial and operating flexibility for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and for our franchisees, and to protect our employees and customers:</w:t>
      </w:r>
    </w:p>
    <w:p>
      <w:pPr>
        <w:spacing w:after="0" w:line="211" w:lineRule="exact"/>
        <w:rPr>
          <w:sz w:val="20"/>
          <w:szCs w:val="20"/>
          <w:color w:val="auto"/>
        </w:rPr>
      </w:pPr>
    </w:p>
    <w:p>
      <w:pPr>
        <w:ind w:left="720" w:right="459" w:hanging="319"/>
        <w:spacing w:after="0" w:line="258"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precautionary measure, we bolstered our existing cash position by fully drawing down our $150 million 2018 Revolver, adding $34.5 million of cash to our balance sheet.</w:t>
      </w:r>
    </w:p>
    <w:p>
      <w:pPr>
        <w:spacing w:after="0" w:line="1" w:lineRule="exact"/>
        <w:rPr>
          <w:rFonts w:ascii="Arial" w:cs="Arial" w:eastAsia="Arial" w:hAnsi="Arial"/>
          <w:sz w:val="18"/>
          <w:szCs w:val="18"/>
          <w:color w:val="auto"/>
        </w:rPr>
      </w:pPr>
    </w:p>
    <w:p>
      <w:pPr>
        <w:jc w:val="both"/>
        <w:ind w:left="720" w:right="199" w:hanging="319"/>
        <w:spacing w:after="0" w:line="265"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temporarily suspended all share repurchase activity, significantly reduced capital spending, reevaluated essential support center general and administrative expenses, and fine-tuned our restaurant labor model based on indoor dining room restrictions, limited dining room capacity in restaurants located in geographies where indoor dining is permitted, dining room closures and fluctuating sales volume.</w:t>
      </w:r>
    </w:p>
    <w:p>
      <w:pPr>
        <w:ind w:left="720" w:right="199" w:hanging="319"/>
        <w:spacing w:after="0" w:line="265"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our franchisees, we deferred 50% of their April royalties until July 1, 2020, when such royalties began to be repaid in even monthly installments over the remainder of fiscal 2020. In addition, we deferred 100% of our franchisees’ 2020 remodel and new restaurant build requirements until 2021. We also established a support team to assist franchisees in accessing funds and benefits provided by the CARES Act legislation.</w:t>
      </w:r>
    </w:p>
    <w:p>
      <w:pPr>
        <w:ind w:left="720" w:right="99" w:hanging="319"/>
        <w:spacing w:after="0" w:line="281"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our employees, we continue to implement actions to help protect them from the coronavirus while working in our restaurants. These include implementing enhanced cleaning procedures in our restaurants, providing gloves and masks to all system restaurant employees, installing plexiglass shields at company restaurant cashier stations and initiating other social distancing measures. We are providing extended sick leave benefits to employees impacted by COVID-19, and we have granted two weeks paid leave for employees who are 65 or older.</w:t>
      </w:r>
    </w:p>
    <w:p>
      <w:pPr>
        <w:spacing w:after="0" w:line="2" w:lineRule="exact"/>
        <w:rPr>
          <w:rFonts w:ascii="Arial" w:cs="Arial" w:eastAsia="Arial" w:hAnsi="Arial"/>
          <w:sz w:val="16"/>
          <w:szCs w:val="16"/>
          <w:color w:val="auto"/>
        </w:rPr>
      </w:pPr>
    </w:p>
    <w:p>
      <w:pPr>
        <w:ind w:left="720" w:right="619" w:hanging="319"/>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shifted our marketing to highlight our free delivery program; our Family Meals as a healthier and affordable option; and our meaningful value platform.</w:t>
      </w:r>
    </w:p>
    <w:p>
      <w:pPr>
        <w:ind w:left="720" w:right="419" w:hanging="319"/>
        <w:spacing w:after="0" w:line="265"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delayed making April, May and June rent payments on the majority of our leased properties, and we have reached rent abatement and/or deferment agreements with our landlords for those properties.</w:t>
      </w:r>
    </w:p>
    <w:p>
      <w:pPr>
        <w:ind w:left="720" w:right="199" w:hanging="319"/>
        <w:spacing w:after="0" w:line="26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taken advantage of provisions available under the CARES Act. Specifically, we have deferred payment of employer Social Security taxes that are otherwise owed for wage payments.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The full impact of the COVID-19 outbreak continues to evolve as of the date of this report. Management is continually evaluating the impact of the global crisis on its financial condition, liquidity, operations, suppliers, industry, and workforce and will take additional actions as necessary. The disruption in operations has led to us considering the impact of the COVID-19 pandemic on our liquidity, debt covenant compliance, and recoverability of long-lived and ROU assets, goodwill and intangible assets, among others. If these disruptions to our operations from COVID-19 pandemic continue, they may have a material negative impact on our financial results, future operations and liquidity. The extent of such negative impact will depend, in part, on the COVID-19 pandemics longevity and severity.</w:t>
      </w:r>
    </w:p>
    <w:p>
      <w:pPr>
        <w:spacing w:after="0" w:line="177"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Due to the rapid development and fluidity of this situation, we cannot determine the ultimate impact that the COVID-19 pandemic will have on our consolidated financial condition, liquidity, and future results of operations, and therefore any prediction as to the ultimate material adverse impact on tour consolidated financial condition, liquidity, and future results of operations is uncertain.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Growth Strategies and Outlook</w:t>
      </w:r>
    </w:p>
    <w:p>
      <w:pPr>
        <w:spacing w:after="0" w:line="229"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As of June 24, 2020, we had 479 locations in six states. In fiscal 2019, we opened two new company-operated and two new franchised restaurants all in California. For the twenty-six weeks ended June 24, 2020, one new company-operated restaurant was opened in Nevada, which was in process prior to the COVID-19 pandemic, and two franchised restaurants, one in California and one in Arizona, were opened. As a result of the COVID-19 crisis, we have suspended company-operated new unit development until the timing of the economic recovery and our business improvement becomes more clear. In addition, we are allowing franchisees to defer their 2020 new unit development obligations until 2021. As a result, we do not expect to open any additional company-operated or franchised restaurant during the remainder of 2020.</w:t>
      </w:r>
    </w:p>
    <w:p>
      <w:pPr>
        <w:spacing w:after="0" w:line="166" w:lineRule="exact"/>
        <w:rPr>
          <w:sz w:val="20"/>
          <w:szCs w:val="20"/>
          <w:color w:val="auto"/>
        </w:rPr>
      </w:pPr>
    </w:p>
    <w:p>
      <w:pPr>
        <w:ind w:left="60" w:right="719"/>
        <w:spacing w:after="0" w:line="263" w:lineRule="auto"/>
        <w:rPr>
          <w:sz w:val="20"/>
          <w:szCs w:val="20"/>
          <w:color w:val="auto"/>
        </w:rPr>
      </w:pPr>
      <w:r>
        <w:rPr>
          <w:rFonts w:ascii="Arial" w:cs="Arial" w:eastAsia="Arial" w:hAnsi="Arial"/>
          <w:sz w:val="18"/>
          <w:szCs w:val="18"/>
          <w:color w:val="auto"/>
        </w:rPr>
        <w:t>It is our intention to return to the following long-term growth strategy after the impact of the COVID-19 pandemic subsides. We plan to continue to expand our business, drive restaurant sales growth, and enhance our competitive positioning, by executing the following strategies:</w:t>
      </w:r>
    </w:p>
    <w:p>
      <w:pPr>
        <w:spacing w:after="0" w:line="184" w:lineRule="exact"/>
        <w:rPr>
          <w:sz w:val="20"/>
          <w:szCs w:val="20"/>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To increase comparable restaurant sales, we plan to increase customer frequency, attract new customers, and improve per-person spend. Success of these growth plans is not guaranteed.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Highlights and Trends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ind w:left="60" w:right="159"/>
        <w:spacing w:after="0" w:line="270" w:lineRule="auto"/>
        <w:rPr>
          <w:sz w:val="20"/>
          <w:szCs w:val="20"/>
          <w:color w:val="auto"/>
        </w:rPr>
      </w:pPr>
      <w:r>
        <w:rPr>
          <w:rFonts w:ascii="Arial" w:cs="Arial" w:eastAsia="Arial" w:hAnsi="Arial"/>
          <w:sz w:val="17"/>
          <w:szCs w:val="17"/>
          <w:color w:val="auto"/>
        </w:rPr>
        <w:t>System-wide, for the thirteen and twenty-six weeks ended June 24, 2020, comparable restaurant sales decreased by 9.7% and 5.7%, respectively, from the comparable period in the prior year. For company-operated restaurants, comparable restaurant sales for the thirteen and twenty-six weeks ended June 24, 2020 decreased by 8.5% and 4.7%, respectively. For company-operated restaurants, the quarter’s change in comparable restaurant sales consisted of a decline in transactions of 25.4%, partially offset by an approximately 22.5% increase in average check size, and the year-to-date change in comparable restaurant sales consisted of a 15.2% decline in transactions, partially offset by a 12.4% increase in average check size. For franchised restaurants, comparable restaurant sales decreased 10.6% and 6.4% for the thirteen and twenty-six weeks ended June 24, 2020, respectively. Refer to Comparable Restaurant Sales definition in "Key Performance Indicators" section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225"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Our restaurant counts at the beginning and end of each of the last three fiscal years and the twenty-six weeks ended June 24, 2020, were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Twenty-Six Weeks Ended</w:t>
            </w:r>
          </w:p>
        </w:tc>
        <w:tc>
          <w:tcPr>
            <w:tcW w:w="1660" w:type="dxa"/>
            <w:vAlign w:val="bottom"/>
            <w:gridSpan w:val="5"/>
          </w:tcPr>
          <w:p>
            <w:pPr>
              <w:ind w:left="500"/>
              <w:spacing w:after="0"/>
              <w:rPr>
                <w:sz w:val="20"/>
                <w:szCs w:val="20"/>
                <w:color w:val="auto"/>
              </w:rPr>
            </w:pPr>
            <w:r>
              <w:rPr>
                <w:rFonts w:ascii="Arial" w:cs="Arial" w:eastAsia="Arial" w:hAnsi="Arial"/>
                <w:sz w:val="14"/>
                <w:szCs w:val="14"/>
                <w:b w:val="1"/>
                <w:bCs w:val="1"/>
                <w:color w:val="auto"/>
                <w:w w:val="94"/>
              </w:rPr>
              <w:t>Fiscal Year Ended</w:t>
            </w:r>
          </w:p>
        </w:tc>
        <w:tc>
          <w:tcPr>
            <w:tcW w:w="480" w:type="dxa"/>
            <w:vAlign w:val="bottom"/>
          </w:tcPr>
          <w:p>
            <w:pPr>
              <w:spacing w:after="0"/>
              <w:rPr>
                <w:sz w:val="14"/>
                <w:szCs w:val="14"/>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June 24, 2020</w:t>
            </w:r>
          </w:p>
        </w:tc>
        <w:tc>
          <w:tcPr>
            <w:tcW w:w="1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2017</w:t>
            </w: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Company-operated restaurant activity:</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Beginning of period</w:t>
            </w:r>
          </w:p>
        </w:tc>
        <w:tc>
          <w:tcPr>
            <w:tcW w:w="160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Restaurant sale to franchisee</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Closures</w:t>
            </w: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9"/>
        </w:trPr>
        <w:tc>
          <w:tcPr>
            <w:tcW w:w="5020" w:type="dxa"/>
            <w:vAlign w:val="bottom"/>
          </w:tcPr>
          <w:p>
            <w:pPr>
              <w:spacing w:after="0"/>
              <w:rPr>
                <w:sz w:val="20"/>
                <w:szCs w:val="20"/>
                <w:color w:val="auto"/>
              </w:rPr>
            </w:pPr>
            <w:r>
              <w:rPr>
                <w:rFonts w:ascii="Arial" w:cs="Arial" w:eastAsia="Arial" w:hAnsi="Arial"/>
                <w:sz w:val="18"/>
                <w:szCs w:val="18"/>
                <w:color w:val="auto"/>
              </w:rPr>
              <w:t>Restaurants at end of period</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Franchised restaurant activity:</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Beginning of period</w:t>
            </w:r>
          </w:p>
        </w:tc>
        <w:tc>
          <w:tcPr>
            <w:tcW w:w="160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Restaurant sale to franchisee</w:t>
            </w: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Closures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020" w:type="dxa"/>
            <w:vAlign w:val="bottom"/>
          </w:tcPr>
          <w:p>
            <w:pPr>
              <w:spacing w:after="0"/>
              <w:rPr>
                <w:sz w:val="20"/>
                <w:szCs w:val="20"/>
                <w:color w:val="auto"/>
              </w:rPr>
            </w:pPr>
            <w:r>
              <w:rPr>
                <w:rFonts w:ascii="Arial" w:cs="Arial" w:eastAsia="Arial" w:hAnsi="Arial"/>
                <w:sz w:val="18"/>
                <w:szCs w:val="18"/>
                <w:color w:val="auto"/>
              </w:rPr>
              <w:t>Restaurants at end of period</w:t>
            </w:r>
          </w:p>
        </w:tc>
        <w:tc>
          <w:tcPr>
            <w:tcW w:w="160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System-wide restaurant activity:</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Beginning of period</w:t>
            </w:r>
          </w:p>
        </w:tc>
        <w:tc>
          <w:tcPr>
            <w:tcW w:w="160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Closures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Restaurants at end of period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0"/>
        </w:trPr>
        <w:tc>
          <w:tcPr>
            <w:tcW w:w="50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225"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 xml:space="preserve">As of June 24, 2020, together with our franchisees, we had remodeled 34 company-operated and 45 franchised restaurants using our newest Vision restaurant design. The Vision design elevates the brand image with exterior and interior features that embrace the brand’s authentic roots with warm textures, rustic elements and a focus on the signature open kitchen layout established in previous designs. As of June 24, 2020, including new builds and remodels, we had 120 restaurants open with the Vision design in our system. Remodeling is a use of cash and has implications for our net property and equipment owned and depreciation and amortization line items on our condensed consolidated balance sheets and consolidated statements of income, among others. The cost of our restaurant remodels varies depending on the scope of work required, but on average, the investment is $0.3 million to $0.4 million per restaurant. We believe that our remodeling program will result in higher restaurant revenue and a strengthened brand. In addition, we are currently working on a new asset design that we believe will clearly differentiate and communicate our brand, both on the exterior and interior. We believe that this new design will deliver good new unit volumes and cash on cash returns in both existing and new markets. We also believe that our remodels using this new design will result in higher restaurant revenue and a strengthened brand. If tests are successful, this new design will replace our “Vision” design, which was implemented in 2016. However, given the uncertainty surrounding the </w:t>
      </w:r>
      <w:r>
        <w:rPr>
          <w:rFonts w:ascii="Arial" w:cs="Arial" w:eastAsia="Arial" w:hAnsi="Arial"/>
          <w:sz w:val="16"/>
          <w:szCs w:val="16"/>
          <w:color w:val="212529"/>
        </w:rPr>
        <w:t>severity and longevity of the COVID-19 pandemic, as a precautionary measure we have</w:t>
      </w:r>
      <w:r>
        <w:rPr>
          <w:rFonts w:ascii="Arial" w:cs="Arial" w:eastAsia="Arial" w:hAnsi="Arial"/>
          <w:sz w:val="16"/>
          <w:szCs w:val="16"/>
          <w:color w:val="auto"/>
        </w:rPr>
        <w:t xml:space="preserve"> </w:t>
      </w:r>
      <w:r>
        <w:rPr>
          <w:rFonts w:ascii="Arial" w:cs="Arial" w:eastAsia="Arial" w:hAnsi="Arial"/>
          <w:sz w:val="16"/>
          <w:szCs w:val="16"/>
          <w:color w:val="212529"/>
        </w:rPr>
        <w:t>significantly reduced capital spending in 2020 and plan to limit our remodels to two restaurants using the new design in the fourth quarter. We do not expect our franchisees to complete any remodels in 2020 as we have deferred their remodel requirements until 2021.</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Loco Rewards</w:t>
      </w:r>
    </w:p>
    <w:p>
      <w:pPr>
        <w:spacing w:after="0" w:line="229" w:lineRule="exact"/>
        <w:rPr>
          <w:sz w:val="20"/>
          <w:szCs w:val="20"/>
          <w:color w:val="auto"/>
        </w:rPr>
      </w:pPr>
    </w:p>
    <w:p>
      <w:pPr>
        <w:ind w:left="60" w:right="559"/>
        <w:spacing w:after="0" w:line="291" w:lineRule="auto"/>
        <w:rPr>
          <w:sz w:val="20"/>
          <w:szCs w:val="20"/>
          <w:color w:val="auto"/>
        </w:rPr>
      </w:pPr>
      <w:r>
        <w:rPr>
          <w:rFonts w:ascii="Arial" w:cs="Arial" w:eastAsia="Arial" w:hAnsi="Arial"/>
          <w:sz w:val="16"/>
          <w:szCs w:val="16"/>
          <w:color w:val="auto"/>
        </w:rPr>
        <w:t>During the second quarter of 2017, we introduced a new loyalty rewards points program in an effort to increase sales and loyalty among our customers, by offering rewards that incentivize customers to visit our restaurants more often</w:t>
      </w:r>
    </w:p>
    <w:p>
      <w:pPr>
        <w:ind w:left="60" w:right="99"/>
        <w:spacing w:after="0" w:line="288" w:lineRule="auto"/>
        <w:rPr>
          <w:sz w:val="20"/>
          <w:szCs w:val="20"/>
          <w:color w:val="auto"/>
        </w:rPr>
      </w:pPr>
      <w:r>
        <w:rPr>
          <w:rFonts w:ascii="Arial" w:cs="Arial" w:eastAsia="Arial" w:hAnsi="Arial"/>
          <w:sz w:val="16"/>
          <w:szCs w:val="16"/>
          <w:color w:val="auto"/>
        </w:rPr>
        <w:t>each month. Customers earn points for each dollars spent and 100 points can be redeemed for a $10 reward to be used for a future purchase. If a customer does not earn or use points within a one-year period, their account is deactivated and all points expire. Additionally, if a $10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the reward or points have expired, or the likelihood of redemption is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remote. A portion of the transaction price is allocated to loyalty points, if necessary, on a pro-rata basis, based on stand-alone selling price, as determined by menu pricing and loyalty point’s terms.</w:t>
      </w:r>
    </w:p>
    <w:p>
      <w:pPr>
        <w:spacing w:after="0" w:line="170"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both June 24, 2020, and December 25, 2019, the revenue allocated to loyalty points that have not been redeemed are $1.1 million, which is reflected in the Company’s accompanying condensed consolidated balance sheets within other accrued expenses and current liabilities. The Company had over 1.8 million loyalty program members as of June 24,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78"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25, 2019.</w:t>
      </w:r>
    </w:p>
    <w:p>
      <w:pPr>
        <w:spacing w:after="0" w:line="177"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Recent accounting pronouncements are described in Note 1 to our condensed consolidated financial statements included elsewhere in this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Financial Definitions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to Item I above for further details regarding our revenue recognition policy.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22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25"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225" w:lineRule="exact"/>
        <w:rPr>
          <w:sz w:val="20"/>
          <w:szCs w:val="20"/>
          <w:color w:val="auto"/>
        </w:rPr>
      </w:pPr>
    </w:p>
    <w:p>
      <w:pPr>
        <w:ind w:left="60" w:right="479"/>
        <w:spacing w:after="0" w:line="263"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Settlements</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Legal settlements include expenses such as judgments or settlements related to legal matters, legal claims and class action lawsuits.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225"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Depreciation and amortization primarily consists of the depreciation of property and equipment, including leasehold improvements and equipment.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225"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and Closed-Store Reserves</w:t>
      </w:r>
    </w:p>
    <w:p>
      <w:pPr>
        <w:spacing w:after="0" w:line="225"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68" w:lineRule="exact"/>
        <w:rPr>
          <w:sz w:val="20"/>
          <w:szCs w:val="20"/>
          <w:color w:val="auto"/>
        </w:rPr>
      </w:pPr>
    </w:p>
    <w:p>
      <w:pPr>
        <w:ind w:left="60" w:right="459"/>
        <w:spacing w:after="0" w:line="259" w:lineRule="auto"/>
        <w:rPr>
          <w:sz w:val="20"/>
          <w:szCs w:val="20"/>
          <w:color w:val="auto"/>
        </w:rPr>
      </w:pPr>
      <w:r>
        <w:rPr>
          <w:rFonts w:ascii="Arial" w:cs="Arial" w:eastAsia="Arial" w:hAnsi="Arial"/>
          <w:sz w:val="18"/>
          <w:szCs w:val="18"/>
          <w:color w:val="auto"/>
        </w:rPr>
        <w:t>When the Company closes a restaurant, it will evaluate the ROU asset for impairment, based on anticipated sublease recoveries. The remaining value of the ROU asset is amortized on a straight-line basis, with the expense recognized in closed-store reserve expense, in addition to property tax and common area maintenance ("CAM") charges for closed restaurants.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Interest expense, net, consists primarily of interest on our outstanding debt. Debt issuance costs are amortized at cost over the life of the related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Results of Income</w:t>
      </w:r>
    </w:p>
    <w:p>
      <w:pPr>
        <w:spacing w:after="0" w:line="229"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Our operating results for the thirteen weeks ended June 24, 2020 and June 26, 2019 and expressed as percentages of total revenue, with the exception of cost of operations and company restaurant expenses, which are expressed as a percentage of company-operated restaurant revenue, are compared below.</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8"/>
              </w:rPr>
              <w:t>Thirteen Weeks Ended</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50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June 24, 2020</w:t>
            </w:r>
          </w:p>
        </w:tc>
        <w:tc>
          <w:tcPr>
            <w:tcW w:w="1580" w:type="dxa"/>
            <w:vAlign w:val="bottom"/>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rPr>
              <w:t>June 26, 2019</w:t>
            </w:r>
          </w:p>
        </w:tc>
        <w:tc>
          <w:tcPr>
            <w:tcW w:w="1500" w:type="dxa"/>
            <w:vAlign w:val="bottom"/>
            <w:gridSpan w:val="3"/>
          </w:tcPr>
          <w:p>
            <w:pPr>
              <w:jc w:val="right"/>
              <w:ind w:right="31"/>
              <w:spacing w:after="0" w:line="142" w:lineRule="exact"/>
              <w:rPr>
                <w:sz w:val="20"/>
                <w:szCs w:val="20"/>
                <w:color w:val="auto"/>
              </w:rPr>
            </w:pPr>
            <w:r>
              <w:rPr>
                <w:rFonts w:ascii="Arial" w:cs="Arial" w:eastAsia="Arial" w:hAnsi="Arial"/>
                <w:sz w:val="14"/>
                <w:szCs w:val="14"/>
                <w:b w:val="1"/>
                <w:bCs w:val="1"/>
                <w:color w:val="auto"/>
                <w:w w:val="97"/>
              </w:rPr>
              <w:t>Increase / (Decrease)</w:t>
            </w:r>
          </w:p>
        </w:tc>
        <w:tc>
          <w:tcPr>
            <w:tcW w:w="20" w:type="dxa"/>
            <w:vAlign w:val="bottom"/>
          </w:tcPr>
          <w:p>
            <w:pPr>
              <w:spacing w:after="0"/>
              <w:rPr>
                <w:sz w:val="12"/>
                <w:szCs w:val="12"/>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($,000)</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r>
      <w:tr>
        <w:trPr>
          <w:trHeight w:val="209"/>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Income Data</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Company-operated restaurant revenue</w:t>
            </w: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$ 87,707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$ 100,139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88.0</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 (12,432)</w:t>
            </w: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Franchise advertising fee revenue</w:t>
            </w:r>
          </w:p>
        </w:tc>
        <w:tc>
          <w:tcPr>
            <w:tcW w:w="700" w:type="dxa"/>
            <w:vAlign w:val="bottom"/>
          </w:tcPr>
          <w:p>
            <w:pPr>
              <w:jc w:val="right"/>
              <w:spacing w:after="0"/>
              <w:rPr>
                <w:sz w:val="20"/>
                <w:szCs w:val="20"/>
                <w:color w:val="auto"/>
              </w:rPr>
            </w:pPr>
            <w:r>
              <w:rPr>
                <w:rFonts w:ascii="Arial" w:cs="Arial" w:eastAsia="Arial" w:hAnsi="Arial"/>
                <w:sz w:val="18"/>
                <w:szCs w:val="18"/>
                <w:color w:val="auto"/>
              </w:rPr>
              <w:t>5,178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(505)</w:t>
            </w: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99,604</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100.0</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113,740</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100.0</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(14,136)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20" w:type="dxa"/>
            <w:vAlign w:val="bottom"/>
          </w:tcPr>
          <w:p>
            <w:pPr>
              <w:spacing w:after="0"/>
              <w:rPr>
                <w:sz w:val="24"/>
                <w:szCs w:val="24"/>
                <w:color w:val="auto"/>
              </w:rPr>
            </w:pPr>
          </w:p>
        </w:tc>
      </w:tr>
      <w:tr>
        <w:trPr>
          <w:trHeight w:val="21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Cost of operations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and paper costs(1)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Labor and related expenses(1)</w:t>
            </w:r>
          </w:p>
        </w:tc>
        <w:tc>
          <w:tcPr>
            <w:tcW w:w="700" w:type="dxa"/>
            <w:vAlign w:val="bottom"/>
          </w:tcPr>
          <w:p>
            <w:pPr>
              <w:jc w:val="right"/>
              <w:spacing w:after="0"/>
              <w:rPr>
                <w:sz w:val="20"/>
                <w:szCs w:val="20"/>
                <w:color w:val="auto"/>
              </w:rPr>
            </w:pPr>
            <w:r>
              <w:rPr>
                <w:rFonts w:ascii="Arial" w:cs="Arial" w:eastAsia="Arial" w:hAnsi="Arial"/>
                <w:sz w:val="18"/>
                <w:szCs w:val="18"/>
                <w:color w:val="auto"/>
              </w:rPr>
              <w:t>25,759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29,272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(3,513)</w:t>
            </w: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Occupancy and other operating expenses(1)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0"/>
        </w:trPr>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Company restaurant expenses(1)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70,554</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80.4</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80,190</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80.1</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(9,636)</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Franchise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6,627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(915)</w:t>
            </w: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Loss on disposal of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600" w:type="dxa"/>
            <w:vAlign w:val="bottom"/>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18"/>
                <w:szCs w:val="18"/>
                <w:color w:val="auto"/>
              </w:rPr>
            </w:pPr>
          </w:p>
        </w:tc>
      </w:tr>
      <w:tr>
        <w:trPr>
          <w:trHeight w:val="202"/>
        </w:trPr>
        <w:tc>
          <w:tcPr>
            <w:tcW w:w="43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Recovery of securities lawsuits related legal expenses and</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insurance claims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0"/>
                <w:szCs w:val="20"/>
                <w:color w:val="auto"/>
              </w:rPr>
            </w:pPr>
          </w:p>
        </w:tc>
      </w:tr>
      <w:tr>
        <w:trPr>
          <w:trHeight w:val="21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Impairment and closed-store reserves</w:t>
            </w:r>
          </w:p>
        </w:tc>
        <w:tc>
          <w:tcPr>
            <w:tcW w:w="700" w:type="dxa"/>
            <w:vAlign w:val="bottom"/>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assets held for sale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09"/>
        </w:trPr>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expenses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92,155</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92.5</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93,160</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81.9</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(1,005)</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20,580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(13,131)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(63.8)</w:t>
            </w:r>
          </w:p>
        </w:tc>
        <w:tc>
          <w:tcPr>
            <w:tcW w:w="20" w:type="dxa"/>
            <w:vAlign w:val="bottom"/>
          </w:tcPr>
          <w:p>
            <w:pPr>
              <w:spacing w:after="0"/>
              <w:rPr>
                <w:sz w:val="18"/>
                <w:szCs w:val="18"/>
                <w:color w:val="auto"/>
              </w:rPr>
            </w:pPr>
          </w:p>
        </w:tc>
      </w:tr>
      <w:tr>
        <w:trPr>
          <w:trHeight w:val="216"/>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receivable agreement expense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0" w:type="dxa"/>
            <w:vAlign w:val="bottom"/>
          </w:tcPr>
          <w:p>
            <w:pPr>
              <w:spacing w:after="0"/>
              <w:rPr>
                <w:sz w:val="18"/>
                <w:szCs w:val="18"/>
                <w:color w:val="auto"/>
              </w:rPr>
            </w:pPr>
          </w:p>
        </w:tc>
      </w:tr>
      <w:tr>
        <w:trPr>
          <w:trHeight w:val="210"/>
        </w:trPr>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6,251</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19,752</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(13,501)</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(68.4)</w:t>
            </w:r>
          </w:p>
        </w:tc>
        <w:tc>
          <w:tcPr>
            <w:tcW w:w="2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18"/>
                <w:szCs w:val="18"/>
                <w:color w:val="auto"/>
              </w:rPr>
            </w:pPr>
          </w:p>
        </w:tc>
      </w:tr>
      <w:tr>
        <w:trPr>
          <w:trHeight w:val="209"/>
        </w:trPr>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5,499</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14,087</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(8,588)</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w:t>
            </w:r>
          </w:p>
        </w:tc>
        <w:tc>
          <w:tcPr>
            <w:tcW w:w="20" w:type="dxa"/>
            <w:vAlign w:val="bottom"/>
            <w:tcBorders>
              <w:bottom w:val="single" w:sz="8" w:color="auto"/>
            </w:tcBorders>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7" w:lineRule="exact"/>
        <w:rPr>
          <w:sz w:val="20"/>
          <w:szCs w:val="20"/>
          <w:color w:val="auto"/>
        </w:rPr>
      </w:pPr>
    </w:p>
    <w:p>
      <w:pPr>
        <w:ind w:left="380" w:right="819" w:hanging="330"/>
        <w:spacing w:after="0" w:line="342"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Percentages for line items relating to cost of operations and company restaurant expenses are calculated with company-operated restaurant revenue as the denominator. All other percentages use total revenue.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63" w:lineRule="auto"/>
        <w:rPr>
          <w:sz w:val="20"/>
          <w:szCs w:val="20"/>
          <w:color w:val="auto"/>
        </w:rPr>
      </w:pPr>
      <w:r>
        <w:rPr>
          <w:rFonts w:ascii="Arial" w:cs="Arial" w:eastAsia="Arial" w:hAnsi="Arial"/>
          <w:sz w:val="18"/>
          <w:szCs w:val="18"/>
          <w:color w:val="auto"/>
        </w:rPr>
        <w:t>Our operating results for the twenty-six weeks ended June 24, 2020 and June 26, 2019 and expressed as percentages of total revenue, with the exception of cost of operations and company restaurant expenses, which are expressed as a percentage of company-operated restaurant revenue, are compared below.</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2"/>
              </w:rPr>
              <w:t>Twenty-Six Weeks Ended</w:t>
            </w: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rPr>
              <w:t>June 24, 2020</w:t>
            </w:r>
          </w:p>
        </w:tc>
        <w:tc>
          <w:tcPr>
            <w:tcW w:w="140" w:type="dxa"/>
            <w:vAlign w:val="bottom"/>
          </w:tcPr>
          <w:p>
            <w:pPr>
              <w:spacing w:after="0"/>
              <w:rPr>
                <w:sz w:val="12"/>
                <w:szCs w:val="12"/>
                <w:color w:val="auto"/>
              </w:rPr>
            </w:pPr>
          </w:p>
        </w:tc>
        <w:tc>
          <w:tcPr>
            <w:tcW w:w="156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June 26, 2019</w:t>
            </w:r>
          </w:p>
        </w:tc>
        <w:tc>
          <w:tcPr>
            <w:tcW w:w="20" w:type="dxa"/>
            <w:vAlign w:val="bottom"/>
          </w:tcPr>
          <w:p>
            <w:pPr>
              <w:spacing w:after="0"/>
              <w:rPr>
                <w:sz w:val="12"/>
                <w:szCs w:val="12"/>
                <w:color w:val="auto"/>
              </w:rPr>
            </w:pPr>
          </w:p>
        </w:tc>
        <w:tc>
          <w:tcPr>
            <w:tcW w:w="1520" w:type="dxa"/>
            <w:vAlign w:val="bottom"/>
            <w:gridSpan w:val="3"/>
          </w:tcPr>
          <w:p>
            <w:pPr>
              <w:jc w:val="right"/>
              <w:ind w:right="31"/>
              <w:spacing w:after="0" w:line="142" w:lineRule="exact"/>
              <w:rPr>
                <w:sz w:val="20"/>
                <w:szCs w:val="20"/>
                <w:color w:val="auto"/>
              </w:rPr>
            </w:pPr>
            <w:r>
              <w:rPr>
                <w:rFonts w:ascii="Arial" w:cs="Arial" w:eastAsia="Arial" w:hAnsi="Arial"/>
                <w:sz w:val="14"/>
                <w:szCs w:val="14"/>
                <w:b w:val="1"/>
                <w:bCs w:val="1"/>
                <w:color w:val="auto"/>
                <w:w w:val="98"/>
              </w:rPr>
              <w:t>Increase / (Decrease)</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($,000)</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w:t>
            </w:r>
          </w:p>
        </w:tc>
      </w:tr>
      <w:tr>
        <w:trPr>
          <w:trHeight w:val="209"/>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Income Data</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Company-operated restaurant revenue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$ 180,341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$ 197,289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2"/>
              </w:rPr>
              <w:t>$ (16,948)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Franchise revenue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Franchise advertising fee revenue</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10,645</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11,066</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425"/>
        </w:trPr>
        <w:tc>
          <w:tcPr>
            <w:tcW w:w="20" w:type="dxa"/>
            <w:vAlign w:val="bottom"/>
          </w:tcPr>
          <w:p>
            <w:pPr>
              <w:spacing w:after="0"/>
              <w:rPr>
                <w:sz w:val="24"/>
                <w:szCs w:val="24"/>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204,767</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222,717</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100.0</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(17,950)</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Cost of operations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and paper costs(1)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48,435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55,038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Labor and related expenses(1)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54,452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58,848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(4,396)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and other operating expenses(1)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46,259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9"/>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Company restaurant expenses(1)</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146,918</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81.5</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160,145</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(13,227)</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19,796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Franchise expenses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13,538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13,686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Loss on disposal of assets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02"/>
        </w:trPr>
        <w:tc>
          <w:tcPr>
            <w:tcW w:w="20" w:type="dxa"/>
            <w:vAlign w:val="bottom"/>
          </w:tcPr>
          <w:p>
            <w:pPr>
              <w:spacing w:after="0"/>
              <w:rPr>
                <w:sz w:val="17"/>
                <w:szCs w:val="17"/>
                <w:color w:val="auto"/>
              </w:rPr>
            </w:pPr>
          </w:p>
        </w:tc>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Recovery of securities lawsuits related legal expenses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other insurance claims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Impairment and closed-store reserves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2,839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1,965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224.8</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assets held for sale</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9"/>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191,632</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93.6</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199,845</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(8,213)</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13,135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22,872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(9,737)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Interest expense, net of interest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1,813</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1,781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receivable agreement expense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r>
      <w:tr>
        <w:trPr>
          <w:trHeight w:val="209"/>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11,152</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21,014</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(9,862)</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(46.9)</w:t>
            </w: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09"/>
        </w:trPr>
        <w:tc>
          <w:tcPr>
            <w:tcW w:w="406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9,099</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15,000</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(5,901)</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67" w:lineRule="exact"/>
        <w:rPr>
          <w:sz w:val="20"/>
          <w:szCs w:val="20"/>
          <w:color w:val="auto"/>
        </w:rPr>
      </w:pPr>
    </w:p>
    <w:p>
      <w:pPr>
        <w:ind w:left="700" w:right="499" w:hanging="650"/>
        <w:spacing w:after="0" w:line="342"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Percentages for line items relating to cost of operations and company restaurant expenses are calculated with company-operated restaurant revenue as the denominator. All other percentages use total revenue.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225"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For the quarter, company-operated restaurant revenue decreased $12.4 million, or 12.4%, from the comparable period in the prior year. The decline in company-operated restaurant sales was primarily due to a decrease in company-operated restaurant revenue of $8.1 million due to an 8.5% decrease in company-operated comparable restaurant sales, which we believe was primarily related to the impact of the COVID-19 pandemic. See above under “COVID-19 Impact” for additional information related to the impact of the COVID-19 pandemic on our business. Additionally, there was a $4.2 million decrease in revenue from the closure of two restaurants and the 16 company-operated restaurants sold by the Company to franchisees during or subsequent to the second quarter of 2019 and a $0.7 million decrease due to temporary closures. This company-operated restaurant sales decrease was partially offset by an increase of $0.6 million of non-comparable restaurant sales on restaurants that had not been open the fifteen months required to be included in comparable restaurant sales. The company-operated comparable restaurant sales decrease consisted of a decline in transactions of 25.4%, partially offset by an approximately 22.5% increase in average check size.</w:t>
      </w:r>
    </w:p>
    <w:p>
      <w:pPr>
        <w:spacing w:after="0" w:line="172"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Year-to-date, company-operated restaurant revenue decreased $16.9 million, or 8.6%, from the comparable period in the prior year. The decline in company-operated restaurant sales was primarily due to a $9.4 million decrease in revenue from the closure of four restaurants and the 16 company-operated restaurants sold by the Company to franchisees during or subsequent to the first quarter of 2019, a decrease in company-operated restaurant revenue of $8.7 million from a 4.7% decrease in company-operated comparable restaurant sales, which we believe was primarily related to the impact of the COVID-19 pandemic and a $0.4 million decrease due to temporary closures. This company-operated restaurant sales decrease was partially offset by an increase of $1.4 million of non-comparable restaurant sales on restaurants that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86" w:lineRule="auto"/>
        <w:rPr>
          <w:sz w:val="20"/>
          <w:szCs w:val="20"/>
          <w:color w:val="auto"/>
        </w:rPr>
      </w:pPr>
      <w:r>
        <w:rPr>
          <w:rFonts w:ascii="Arial" w:cs="Arial" w:eastAsia="Arial" w:hAnsi="Arial"/>
          <w:sz w:val="17"/>
          <w:szCs w:val="17"/>
          <w:color w:val="auto"/>
        </w:rPr>
        <w:t>had not been open the fifteen months required to be included in comparable restaurant sales and a $0.2 million increase in revenue recognized for our loyalty points program. The company-operated comparable restaurant sales decrease consisted of a decline in transactions of 15.2%, partially offset by a 12.4% increase in average check size.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225"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For the quarter, franchise revenue decreased $1.2 million, or 15.1%, from the comparable period in the prior year. This decrease was primarily due to a franchise comparable restaurant sales decrease of 10.6%, which we believe was primarily due to the COVID-19 pandemic, the closure of eight franchise locations during or subsequent to the second quarter of 2019 and a decrease in fees received from franchised restaurants related to their use of our point-of-sales system. See above under “COVID-19 Impact” for additional information related to the impact of the COVID-19 pandemic on our business. This franchise revenue decrease was partially offset by the opening of two new franchised restaurants and revenue generated from 16 company-operated restaurants sold by the Company to franchisees during or subsequent to the second quarter of 2019.</w:t>
      </w:r>
    </w:p>
    <w:p>
      <w:pPr>
        <w:spacing w:after="0" w:line="192"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Year-to-date, franchise revenue decreased $0.6 million, or 4.0%, from the comparable period in the prior year. This decrease was primarily due to a franchise comparable restaurant sales decrease of 6.4%, which we believe was primarily due to the COVID-19 pandemic, the closure of eight franchise locations during the same period and a decrease in fees received from franchised restaurants related to their use of our point-of-sales system. See above under “COVID-19 Impact” for additional information related to the impact of the COVID-19 pandemic on our business. This franchise revenue decrease was partially offset by the opening of four new franchised restaurants and revenue generated from 16 company-operated restaurants sold by the Company to franchisees during or subsequent to the first quarter of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Advertising Fee Revenue</w:t>
      </w:r>
    </w:p>
    <w:p>
      <w:pPr>
        <w:spacing w:after="0" w:line="225"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For the quarter, franchise advertising fee revenue decreased $0.5 million, or 8.9%, from the comparable period in the prior year. Year-to-date, franchise advertising fee revenue decreased $0.4 million, or 3.8%, from the comparable period in the prior year. As advertising fee revenue is a percentage of franchisees’ revenue, both the quarter and year-to-date increases were primarily due to an increase in the number of franchise locations, partially offset by the lower comparable sales discussed above.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225" w:lineRule="exact"/>
        <w:rPr>
          <w:sz w:val="20"/>
          <w:szCs w:val="20"/>
          <w:color w:val="auto"/>
        </w:rPr>
      </w:pPr>
    </w:p>
    <w:p>
      <w:pPr>
        <w:ind w:left="60" w:right="199"/>
        <w:spacing w:after="0" w:line="284" w:lineRule="auto"/>
        <w:rPr>
          <w:sz w:val="20"/>
          <w:szCs w:val="20"/>
          <w:color w:val="auto"/>
        </w:rPr>
      </w:pPr>
      <w:r>
        <w:rPr>
          <w:rFonts w:ascii="Arial" w:cs="Arial" w:eastAsia="Arial" w:hAnsi="Arial"/>
          <w:sz w:val="16"/>
          <w:szCs w:val="16"/>
          <w:color w:val="auto"/>
        </w:rPr>
        <w:t>For the quarter, food and paper costs decreased $5.0 million, or 18.0%, from the comparable period in the prior year, primarily due to a $4.3 million decrease in food costs and a $0.7 million decrease in paper costs. Year-to-date, food and paper costs decreased $6.6 million, or 12.0%, from the comparable period in the prior year, due to a $5.6 million decrease in food costs and a $1.0 million decrease in paper costs. The decrease in food and paper costs, for the quarter and year-to-date periods, resulted primarily from lower company transactions, due to the COVID-19 pandemic and lower food waste. For the quarter, food and paper costs as a percentage of company-operated restaurant revenue were 26.1%, down from</w:t>
      </w:r>
    </w:p>
    <w:p>
      <w:pPr>
        <w:spacing w:after="0" w:line="4"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27.8% in the comparable period of the prior year. Year-to-date, food and paper costs as a percentage of company-operated restaurant revenue were 26.9%, down from 27.9% in the comparable period of the prior year. The percentage decrease for the quarter and year-to-date periods was due primarily to an increase in pricing, lower food usage and effective waste management, partially offset by commodity inflation and unfavorable sales mix.</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2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For the quarter, labor and related expenses decreased $3.5 million, or 12.0%, from the comparable period in the prior year. Year-to-date, labor and related expenses decreased $4.4 million, or 7.5%, from the comparable period in the prior year. The decrease for the quarter and year-to-date periods was due primarily to a reduction in labor by restaurants closed or sold to franchisees, adjustments to the labor model based on dining room closures, operating hours and lower sales volumes and lower group insurance expense due to decreased claims activity. These decreases were partially offset by higher wages primarily due to minimum wage increases in California and, specifically, Los Angeles during fiscal 2019 and 2020.</w:t>
      </w:r>
    </w:p>
    <w:p>
      <w:pPr>
        <w:spacing w:after="0" w:line="164" w:lineRule="exact"/>
        <w:rPr>
          <w:sz w:val="20"/>
          <w:szCs w:val="20"/>
          <w:color w:val="auto"/>
        </w:rPr>
      </w:pPr>
    </w:p>
    <w:p>
      <w:pPr>
        <w:jc w:val="both"/>
        <w:ind w:left="60" w:right="259"/>
        <w:spacing w:after="0" w:line="340" w:lineRule="auto"/>
        <w:rPr>
          <w:sz w:val="20"/>
          <w:szCs w:val="20"/>
          <w:color w:val="auto"/>
        </w:rPr>
      </w:pPr>
      <w:r>
        <w:rPr>
          <w:rFonts w:ascii="Arial" w:cs="Arial" w:eastAsia="Arial" w:hAnsi="Arial"/>
          <w:sz w:val="15"/>
          <w:szCs w:val="15"/>
          <w:color w:val="auto"/>
        </w:rPr>
        <w:t>For the quarter, labor and related expenses as a percentage of company-operated restaurant revenue were 29.4%, up from 29.2% in the comparable period in the prior year. Year-to-date payroll and benefit expenses as a percentage of company-operated restaurant revenue were 30.2%, up from 29.8% in the comparable period in the prior year. The increases for the</w:t>
      </w:r>
    </w:p>
    <w:p>
      <w:pPr>
        <w:sectPr>
          <w:pgSz w:w="11900" w:h="16838" w:orient="portrait"/>
          <w:cols w:equalWidth="0" w:num="1">
            <w:col w:w="9019"/>
          </w:cols>
          <w:pgMar w:left="1440" w:top="517" w:right="1440" w:bottom="1440" w:gutter="0" w:footer="0" w:header="0"/>
        </w:sect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19"/>
        <w:spacing w:after="0" w:line="263" w:lineRule="auto"/>
        <w:rPr>
          <w:sz w:val="20"/>
          <w:szCs w:val="20"/>
          <w:color w:val="auto"/>
        </w:rPr>
      </w:pPr>
      <w:r>
        <w:rPr>
          <w:rFonts w:ascii="Arial" w:cs="Arial" w:eastAsia="Arial" w:hAnsi="Arial"/>
          <w:sz w:val="18"/>
          <w:szCs w:val="18"/>
          <w:color w:val="auto"/>
        </w:rPr>
        <w:t>quarter and year-to-date periods were due primarily to sales deleverage, wage increases in California, specifically, Los Angeles and labor costs associated with the COVID-19 pandemic. Partially offsetting these increases were the positive impacts of an increase in pricing and labor efficiencies.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225"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For the quarter, occupancy and other operating expenses decreased $1.1 million, or 4.8%, from the comparable period of the prior year. The decrease was primarily due to a $0.5 million decrease in advertising expenses, a $0.5 million decrease in utilities costs, a $0.3 million decrease in credit card fees, primarily related to a decrease in rates and transactions, a $0.3 million decrease in repair and maintenance costs, a $0.1 million decrease in occupancy costs, primarily related to a reduction in rent expense from restaurants closed or sold to franchisees and a $0.3 million decrease in other operating expenses. These decreases were partially offset by a $0.9 million increase in customer order delivery fees payable to third parties due to an increase in delivery orders. Year-to-date, occupancy and other operating expenses decreased $2.2 million, or 4.8%, from the comparable period of the prior year. The decrease was primarily due to a $0.8 million decrease in repair and maintenance costs, a $0.8 million decrease in advertising expenses, a $0.7 million decrease in utilities costs, a $0.6 million decrease in occupancy costs, primarily related to a reduction in rent expense from restaurants closed or sold to franchisees, a $0.3 million decrease in credit card fees primarily related to a decrease in rates and transactions, and a $0.3 million decrease in other operating expenses. These decreases were partially offset by a $1.3 million increase in customer order delivery fees payable to third parties due to an increase in delivery orders.</w:t>
      </w:r>
    </w:p>
    <w:p>
      <w:pPr>
        <w:spacing w:after="0" w:line="174"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For the quarter, occupancy and other operating expenses as a percentage of company-operated restaurant revenue were 25.0% up from 23.0% in the comparable period in the prior year. Year-to-date, occupancy and other operating expenses as a percentage of company-operated restaurant revenue were 24.4%, up from 23.4% in the comparable period of the prior year. The increases for the quarter and year-to-date periods resulted primarily from the increases noted above and sales deleverage.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color w:val="auto"/>
        </w:rPr>
        <w:t>For the quarter, general and administrative expenses increased $1.1 million, or 11.9%, from the comparable period in the prior year. The increase for the quarter was due primarily to a $1.9 million increase in legal expenses, primarily related to a $2.5 million settlement accrual related to an agreement in principle to resolve the longstanding lawsuit involving a contract dispute with one of the Company’s franchisees concerning asserted territory rights, partially offset by a $0.7 million decrease in labor related costs, primarily related to a decrease in management bonus expense and a $0.1 million decrease in other general and administrative expenses. Year-to-date, general and administrative expenses decreased $0.9 million, or</w:t>
      </w:r>
    </w:p>
    <w:p>
      <w:pPr>
        <w:spacing w:after="0" w:line="4"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4.3%, from the comparable period in the prior year. The decrease for the year-to-date period was due primarily to a $1.3 million decrease in labor related costs, primarily related to a decrease in management bonus expense. This decrease was partially offset by a $0.3 million increase in legal expenses related primarily to a $2.5 million legal settlement accrual, discussed above, partially offset by a decrease in securities class action litigation costs, and a $0.1 million increase in other general and administrative expenses.</w:t>
      </w:r>
    </w:p>
    <w:p>
      <w:pPr>
        <w:spacing w:after="0" w:line="191"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For the quarter, general and administrative expenses as a percentage of total revenue were 10.5%, up from 8.2% in the comparable period of the prior year. The percentage increase is primarily due to the decline in revenue, as well as the cost increases discussed above. Year-to-date, general and administrative expenses as a percentage of total revenue were 9.7%, up from 9.3% in the comparable period of the prior year. The percentage increase is primarily due to the decline in revenue, partially offset by the cost decreases discussed above.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Recovery of Securities Class Action Legal Expenses and Other Insurance Claims</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During the thirteen and twenty-six weeks ended June 24, 2020, we received insurance proceeds of $0.1 million related to a property claim. During the thirteen and twenty-six weeks ended June 26, 2019, we received insurance proceeds of $10.0 million related to the settlement of the securities class action lawsuit. See Note 7, Commitments and Contingencies, Legal Matters.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on Disposition of Restaurants</w:t>
      </w:r>
    </w:p>
    <w:p>
      <w:pPr>
        <w:spacing w:after="0" w:line="225" w:lineRule="exact"/>
        <w:rPr>
          <w:sz w:val="20"/>
          <w:szCs w:val="20"/>
          <w:color w:val="auto"/>
        </w:rPr>
      </w:pPr>
    </w:p>
    <w:p>
      <w:pPr>
        <w:ind w:left="60" w:right="799"/>
        <w:spacing w:after="0" w:line="381" w:lineRule="auto"/>
        <w:rPr>
          <w:sz w:val="20"/>
          <w:szCs w:val="20"/>
          <w:color w:val="auto"/>
        </w:rPr>
      </w:pPr>
      <w:r>
        <w:rPr>
          <w:rFonts w:ascii="Arial" w:cs="Arial" w:eastAsia="Arial" w:hAnsi="Arial"/>
          <w:sz w:val="15"/>
          <w:szCs w:val="15"/>
          <w:color w:val="auto"/>
        </w:rPr>
        <w:t>During the thirteen and twenty-six weeks ended June 26, 2019, we completed the sale of four company-operated restaurants within the San Francisco area to an existing franchisee and seven company-operated restaurants in the</w:t>
      </w:r>
    </w:p>
    <w:p>
      <w:pPr>
        <w:sectPr>
          <w:pgSz w:w="11900" w:h="16838" w:orient="portrait"/>
          <w:cols w:equalWidth="0" w:num="1">
            <w:col w:w="9019"/>
          </w:cols>
          <w:pgMar w:left="1440" w:top="517" w:right="1440" w:bottom="1440" w:gutter="0" w:footer="0" w:header="0"/>
        </w:sect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Phoenix area to another existing franchisee. We determined that these restaurant dispositions represent multiple element arrangements, and as a result, the cash consideration received was allocated to the separate elements based on their relative selling price. Cash proceeds included upfront consideration for the sale of the restaurants and franchise fees, as well as future cash consideration for royalties and lease payments. We also considered the future lease payments in allocating the initial cash consideration received. The cash consideration per restaurant for franchise fees is consistent with the amounts stated in the related franchise agreements, which are charged for separate standalone arrangements. We initially defer and subsequently recognize the franchise fees over the term of the franchise agreement. Future royalty income is also recognized in revenue as earned.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These sales resulted in cash proceeds of $4.8 million and a net loss on sale of restaurants of $0.9 million and $5.1</w:t>
      </w:r>
    </w:p>
    <w:p>
      <w:pPr>
        <w:spacing w:after="0" w:line="35"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million for the thirteen and twenty-six weeks ended June 26, 2019, respectively. These restaurants are included in the total number of franchised El Pollo Loco restaurants.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and Closed-Store Reserves</w:t>
      </w:r>
    </w:p>
    <w:p>
      <w:pPr>
        <w:spacing w:after="0" w:line="225"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color w:val="auto"/>
        </w:rPr>
        <w:t>During the thirteen and twenty-six weeks ended June 24, 2020, we recognized a $0.1 million and $2.0 million non-cash impairment charge, primarily related to the carrying value of the ROU assets of one restaurant in Texas and the long-lived assets of three restaurants in California. During each of the thirteen and twenty-six weeks ended June 26, 2019, we recorded a non-cash impairment charge of $0.2 million, primarily related to the carrying value of the assets of one restaurant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65"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and twenty-six weeks ended June 24, 2020, we recognized $0.4 million and $0.9 million, respectively, of closed-store reserve expense related to the amortization of ROU assets, property taxes and CAM payments for our closed locations. During the twenty-six weeks ended June 26, 2019, we closed one restaurant in California and one restaurant in Texas and recognized $0.3 million and $0.6 million of closed-store reserve expense for the thirteen and twenty-six weeks ended June 26, 2019, respectively, primarily related to the amortization of ROU assets, property taxes and CAM payments for our closed locations.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each of the quarter and year-to-date periods, interest expense, net, was consistent with the prior period.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225"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thirteen and twenty-six weeks ended June 24, 2020 we recorded income tax receivable agreement expense of $0.3 million and $0.2 million, respectively, and for the thirteen and twenty-six weeks ended</w:t>
      </w:r>
    </w:p>
    <w:p>
      <w:pPr>
        <w:spacing w:after="0" w:line="1" w:lineRule="exact"/>
        <w:rPr>
          <w:sz w:val="20"/>
          <w:szCs w:val="20"/>
          <w:color w:val="auto"/>
        </w:rPr>
      </w:pPr>
    </w:p>
    <w:p>
      <w:pPr>
        <w:ind w:left="60" w:right="199"/>
        <w:spacing w:after="0" w:line="260" w:lineRule="auto"/>
        <w:rPr>
          <w:sz w:val="20"/>
          <w:szCs w:val="20"/>
          <w:color w:val="auto"/>
        </w:rPr>
      </w:pPr>
      <w:r>
        <w:rPr>
          <w:rFonts w:ascii="Arial" w:cs="Arial" w:eastAsia="Arial" w:hAnsi="Arial"/>
          <w:sz w:val="18"/>
          <w:szCs w:val="18"/>
          <w:color w:val="auto"/>
        </w:rPr>
        <w:t>June 26, 2019 we recorded income tax receivable agreement income of $0.1 million and income tax receivable agreement expense of $0.1 million, respectively.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For the quarter ended June 24, 2020, we recorded an income tax provision of $0.8 million, reflecting an estimated effective tax rate of 12.0%. For the quarter ended June 26, 2019, we recorded an income tax provision of $5.7 million, reflecting an estimated effective tax rate of approximately 28.7%. Year-to-date ended June 24, 2020, we recorded an income tax provision of $2.1 million, reflecting an estimated effective tax rate of approximately 18.4%. Year-to-date ended June 26, 2019 we recorded an income tax provision of $6.0 million, reflecting an estimated effective tax rate of approximately</w:t>
      </w:r>
    </w:p>
    <w:p>
      <w:pPr>
        <w:spacing w:after="0" w:line="2" w:lineRule="exact"/>
        <w:rPr>
          <w:sz w:val="20"/>
          <w:szCs w:val="20"/>
          <w:color w:val="auto"/>
        </w:rPr>
      </w:pPr>
    </w:p>
    <w:p>
      <w:pPr>
        <w:ind w:left="60" w:right="59"/>
        <w:spacing w:after="0" w:line="277" w:lineRule="auto"/>
        <w:rPr>
          <w:sz w:val="20"/>
          <w:szCs w:val="20"/>
          <w:color w:val="auto"/>
        </w:rPr>
      </w:pPr>
      <w:r>
        <w:rPr>
          <w:rFonts w:ascii="Arial" w:cs="Arial" w:eastAsia="Arial" w:hAnsi="Arial"/>
          <w:sz w:val="17"/>
          <w:szCs w:val="17"/>
          <w:color w:val="auto"/>
        </w:rPr>
        <w:t>28.6%%. The difference between the 21.0% statutory rate and the Company’s effective tax rate of 18.4% for the year-to-date ended June 24, 2020 is primarily a result of state taxes, a Work Opportunity Tax Credit benefit, the change in valuation allowance against certain state credits as a result of future forecasted income apportioned to the state</w:t>
      </w:r>
    </w:p>
    <w:p>
      <w:pPr>
        <w:sectPr>
          <w:pgSz w:w="11900" w:h="16838" w:orient="portrait"/>
          <w:cols w:equalWidth="0" w:num="1">
            <w:col w:w="9019"/>
          </w:cols>
          <w:pgMar w:left="1440" w:top="517" w:right="1440" w:bottom="1440" w:gutter="0" w:footer="0" w:header="0"/>
        </w:sect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jurisdiction, non-deductible executive compensation, changes to total expected TRA payments due to changes in future forecasted taxable income and windfall tax benefit related to stock options exercised, recorded as a discrete item during the thirteen and twenty-six weeks ended June 24,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ind w:left="60" w:right="539"/>
        <w:spacing w:after="0" w:line="259"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225" w:lineRule="exact"/>
        <w:rPr>
          <w:sz w:val="20"/>
          <w:szCs w:val="20"/>
          <w:color w:val="auto"/>
        </w:rPr>
      </w:pPr>
    </w:p>
    <w:p>
      <w:pPr>
        <w:jc w:val="both"/>
        <w:ind w:left="60" w:right="499"/>
        <w:spacing w:after="0" w:line="259"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7" w:lineRule="exact"/>
        <w:rPr>
          <w:sz w:val="20"/>
          <w:szCs w:val="20"/>
          <w:color w:val="auto"/>
        </w:rPr>
      </w:pPr>
    </w:p>
    <w:p>
      <w:pPr>
        <w:ind w:left="60" w:right="219"/>
        <w:spacing w:after="0" w:line="272" w:lineRule="auto"/>
        <w:rPr>
          <w:sz w:val="20"/>
          <w:szCs w:val="20"/>
          <w:color w:val="auto"/>
        </w:rPr>
      </w:pPr>
      <w:r>
        <w:rPr>
          <w:rFonts w:ascii="Arial" w:cs="Arial" w:eastAsia="Arial" w:hAnsi="Arial"/>
          <w:sz w:val="17"/>
          <w:szCs w:val="17"/>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 In addition, we expect our quarterly company-operated restaurant revenue and comparable restaurant sales to continue to fluctuate significantly due to the current COVID-19 pandemic. See above under “COVID-19 Impact” for additional information related to the impact of the COVID-19 pandemic on our business.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ind w:left="60" w:right="179"/>
        <w:spacing w:after="0" w:line="286" w:lineRule="auto"/>
        <w:rPr>
          <w:sz w:val="20"/>
          <w:szCs w:val="20"/>
          <w:color w:val="auto"/>
        </w:rPr>
      </w:pPr>
      <w:r>
        <w:rPr>
          <w:rFonts w:ascii="Arial" w:cs="Arial" w:eastAsia="Arial" w:hAnsi="Arial"/>
          <w:sz w:val="16"/>
          <w:szCs w:val="16"/>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June 24, 2020 and June 26, 2019, there were 469 and 459 comparable restaurants, 191 and 199 company-operated restaurants and 278 and</w:t>
      </w:r>
    </w:p>
    <w:p>
      <w:pPr>
        <w:spacing w:after="0" w:line="1"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260 franchised restaurants, respectively. Comparable restaurant sales indicate the performance of existing restaurants, since new restaurants are excluded.</w:t>
      </w:r>
    </w:p>
    <w:p>
      <w:pPr>
        <w:spacing w:after="0" w:line="18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225"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w:t>
      </w:r>
    </w:p>
    <w:p>
      <w:pPr>
        <w:spacing w:after="0" w:line="2" w:lineRule="exact"/>
        <w:rPr>
          <w:sz w:val="20"/>
          <w:szCs w:val="20"/>
          <w:color w:val="auto"/>
        </w:rPr>
      </w:pPr>
    </w:p>
    <w:p>
      <w:pPr>
        <w:ind w:left="60" w:right="239"/>
        <w:spacing w:after="0" w:line="295" w:lineRule="auto"/>
        <w:rPr>
          <w:sz w:val="20"/>
          <w:szCs w:val="20"/>
          <w:color w:val="auto"/>
        </w:rPr>
      </w:pPr>
      <w:r>
        <w:rPr>
          <w:rFonts w:ascii="Arial" w:cs="Arial" w:eastAsia="Arial" w:hAnsi="Arial"/>
          <w:sz w:val="16"/>
          <w:szCs w:val="16"/>
          <w:color w:val="auto"/>
        </w:rPr>
        <w:t>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225"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impairment and closed-store reserve and other costs that are considered normal operating costs and accordingly, restaurant contribution is not indicative of overall Company results and does not accrue directly to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308" w:lineRule="auto"/>
        <w:rPr>
          <w:sz w:val="20"/>
          <w:szCs w:val="20"/>
          <w:color w:val="auto"/>
        </w:rPr>
      </w:pPr>
      <w:r>
        <w:rPr>
          <w:rFonts w:ascii="Arial" w:cs="Arial" w:eastAsia="Arial" w:hAnsi="Arial"/>
          <w:sz w:val="17"/>
          <w:szCs w:val="17"/>
          <w:color w:val="auto"/>
        </w:rPr>
        <w:t>benefit of stockholders because of the exclusion of certain corporate-level expenses. Restaurant contribution margin is defined as restaurant contribution as a percentage of net company-operated restaurant revenue.</w:t>
      </w:r>
    </w:p>
    <w:p>
      <w:pPr>
        <w:spacing w:after="0" w:line="146"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17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18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Thirteen Weeks Ended</w:t>
            </w:r>
          </w:p>
        </w:tc>
        <w:tc>
          <w:tcPr>
            <w:tcW w:w="160" w:type="dxa"/>
            <w:vAlign w:val="bottom"/>
          </w:tcPr>
          <w:p>
            <w:pPr>
              <w:spacing w:after="0"/>
              <w:rPr>
                <w:sz w:val="14"/>
                <w:szCs w:val="14"/>
                <w:color w:val="auto"/>
              </w:rPr>
            </w:pPr>
          </w:p>
        </w:tc>
        <w:tc>
          <w:tcPr>
            <w:tcW w:w="22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4"/>
              </w:rPr>
              <w:t>Twenty-Six Weeks Ended</w:t>
            </w: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June 24, 2020</w:t>
            </w:r>
          </w:p>
        </w:tc>
        <w:tc>
          <w:tcPr>
            <w:tcW w:w="8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240" w:type="dxa"/>
            <w:vAlign w:val="bottom"/>
          </w:tcPr>
          <w:p>
            <w:pPr>
              <w:spacing w:after="0"/>
              <w:rPr>
                <w:sz w:val="12"/>
                <w:szCs w:val="12"/>
                <w:color w:val="auto"/>
              </w:rPr>
            </w:pPr>
          </w:p>
        </w:tc>
        <w:tc>
          <w:tcPr>
            <w:tcW w:w="11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June 24, 2020</w:t>
            </w:r>
          </w:p>
        </w:tc>
        <w:tc>
          <w:tcPr>
            <w:tcW w:w="8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June 26, 2019</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Restaurant contribution:</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7,449</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20,580</w:t>
            </w: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13,135</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22,872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 (less):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20,696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Franchise revenue</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(6,719)</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(7,918)</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(13,781)</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(14,362)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(10,645)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(11,066)</w:t>
            </w:r>
          </w:p>
        </w:tc>
        <w:tc>
          <w:tcPr>
            <w:tcW w:w="0" w:type="dxa"/>
            <w:vAlign w:val="bottom"/>
          </w:tcPr>
          <w:p>
            <w:pPr>
              <w:spacing w:after="0"/>
              <w:rPr>
                <w:sz w:val="1"/>
                <w:szCs w:val="1"/>
                <w:color w:val="auto"/>
              </w:rPr>
            </w:pPr>
          </w:p>
        </w:tc>
      </w:tr>
      <w:tr>
        <w:trPr>
          <w:trHeight w:val="202"/>
        </w:trPr>
        <w:tc>
          <w:tcPr>
            <w:tcW w:w="438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8"/>
              </w:rPr>
              <w:t>Recovery of securities lawsuits related legal expenses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and other insurance claims</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Impairment and closed-store reserves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Loss on sale of restaurants</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Restaurant contribution</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37,144</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99,604</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113,740</w:t>
            </w:r>
          </w:p>
        </w:tc>
        <w:tc>
          <w:tcPr>
            <w:tcW w:w="24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204,767</w:t>
            </w:r>
          </w:p>
        </w:tc>
        <w:tc>
          <w:tcPr>
            <w:tcW w:w="2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222,717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Franchise revenue</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(6,719)</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(7,918)</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(13,781)</w:t>
            </w: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(14,362)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(10,645)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(11,066)</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87,707</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100,139</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180,341</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197,289</w:t>
            </w:r>
          </w:p>
        </w:tc>
        <w:tc>
          <w:tcPr>
            <w:tcW w:w="4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Restaurant contribution margin (%)</w:t>
            </w: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19.6 %</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19.9 %</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18.5 %</w:t>
            </w:r>
          </w:p>
        </w:tc>
        <w:tc>
          <w:tcPr>
            <w:tcW w:w="1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225"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7"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8"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84"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 and for compensation performance benchmarks.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7"/>
              </w:rPr>
              <w:t>Thirteen Weeks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ind w:left="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4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June 26, 2019</w:t>
            </w: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June 26, 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5,499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14,087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9,099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Interest expense, net of interest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25,128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21,502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32,010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 (a)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Loss on disposal of assets (b)</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Recovery of securities lawsuits related legal expense and other</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claims (c)</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Impairment and closed-store reserves (d)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disposition of restaurants (e)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Income tax receivable agreement expense (income) (f)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class action legal expense (g)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Legal settlements (h)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 (i)</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Executive transition costs (j)</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15,280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17,890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28,690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32,084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3" w:lineRule="exact"/>
        <w:rPr>
          <w:rFonts w:ascii="Arial" w:cs="Arial" w:eastAsia="Arial" w:hAnsi="Arial"/>
          <w:sz w:val="18"/>
          <w:szCs w:val="18"/>
          <w:color w:val="auto"/>
        </w:rPr>
      </w:pPr>
    </w:p>
    <w:p>
      <w:pPr>
        <w:ind w:left="380" w:right="159" w:hanging="330"/>
        <w:spacing w:after="0" w:line="25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ind w:left="380" w:right="119" w:hanging="330"/>
        <w:spacing w:after="0" w:line="25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thirteen and twenty-six weeks ended June 24, 2020, we received insurance proceeds of $0.1 million related to a property claim. During the thirteen and twenty-six weeks ended June 26, 2019, we received insurance proceeds of $10.0 million related to the settlement of the securities class action lawsuit. See Note 7, “Commitments and Contingencies, Legal Matters.”</w:t>
      </w:r>
    </w:p>
    <w:p>
      <w:pPr>
        <w:spacing w:after="0" w:line="1" w:lineRule="exact"/>
        <w:rPr>
          <w:rFonts w:ascii="Arial" w:cs="Arial" w:eastAsia="Arial" w:hAnsi="Arial"/>
          <w:sz w:val="18"/>
          <w:szCs w:val="18"/>
          <w:color w:val="auto"/>
        </w:rPr>
      </w:pPr>
    </w:p>
    <w:p>
      <w:pPr>
        <w:ind w:left="380" w:right="99" w:hanging="330"/>
        <w:spacing w:after="0" w:line="268"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costs related to impairment of long-lived assets and closing restaurants. During the thirteen and twenty-six weeks ended June 24, 2020, we recognized a $0.1 million and $2.0 million non-cash impairment charge, primarily related to the carrying value of the ROU assets of one restaurant in Texas and the long-lived assets of three restaurants in California. During the thirteen and twenty-six weeks ended June 26, 2019, we recorded a non-cash impairment charge of $0.2 million, primarily related to the carrying value of the assets of one restaurant in California. Given the difficulty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81" w:lineRule="exact"/>
        <w:rPr>
          <w:rFonts w:ascii="Arial" w:cs="Arial" w:eastAsia="Arial" w:hAnsi="Arial"/>
          <w:sz w:val="17"/>
          <w:szCs w:val="17"/>
          <w:color w:val="auto"/>
        </w:rPr>
      </w:pPr>
    </w:p>
    <w:p>
      <w:pPr>
        <w:ind w:left="380" w:right="99"/>
        <w:spacing w:after="0" w:line="283" w:lineRule="auto"/>
        <w:rPr>
          <w:rFonts w:ascii="Arial" w:cs="Arial" w:eastAsia="Arial" w:hAnsi="Arial"/>
          <w:sz w:val="17"/>
          <w:szCs w:val="17"/>
          <w:color w:val="auto"/>
        </w:rPr>
      </w:pPr>
      <w:r>
        <w:rPr>
          <w:rFonts w:ascii="Arial" w:cs="Arial" w:eastAsia="Arial" w:hAnsi="Arial"/>
          <w:sz w:val="16"/>
          <w:szCs w:val="16"/>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and twenty-six weeks ended June 24, 2020, we recognized $0.4 million and $0.9 million, respectively, of closed-store reserve expense related to the amortization of ROU assets, property taxes and CAM payments for our closed locations. During the twenty-six weeks ended June 26, 2019, we closed one restaurant in California and one restaurant in Texas, and recognized $0.3 million and $0.6 million of closed-store reserve expense for the thirteen and twenty-six weeks ended June 26, 2019, respectively, primarily related to the amortization of ROU assets, property taxes and CAM payments for our closed locations.</w:t>
      </w:r>
    </w:p>
    <w:p>
      <w:pPr>
        <w:spacing w:after="0" w:line="5" w:lineRule="exact"/>
        <w:rPr>
          <w:rFonts w:ascii="Arial" w:cs="Arial" w:eastAsia="Arial" w:hAnsi="Arial"/>
          <w:sz w:val="17"/>
          <w:szCs w:val="17"/>
          <w:color w:val="auto"/>
        </w:rPr>
      </w:pPr>
    </w:p>
    <w:p>
      <w:pPr>
        <w:ind w:left="380" w:right="79" w:hanging="330"/>
        <w:spacing w:after="0" w:line="265"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During the thirteen and twenty-six weeks ended June 26, 2019, we completed the sale of four company-operated restaurants within the San Francisco area to an existing franchisee and seven company-operated restaurants in the Phoenix area to another existing franchisee. These sales resulted in cash proceeds of $4.8 million and a net loss on sale of restaurants of $0.9 million and $5.1 million for the thirteen and twenty-six weeks ended June 26, 2019, respectively. These restaurants are now included in our franchised restaurant totals.</w:t>
      </w:r>
    </w:p>
    <w:p>
      <w:pPr>
        <w:ind w:left="380" w:right="119" w:hanging="330"/>
        <w:spacing w:after="0" w:line="323"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July 30, 2014, we entered into the TRA. This agreement calls for us to pay to our pre-IPO stockholders 85% of the savings in cash that we realize in our taxes as a result of utilizing our net operating losses and other tax attributes</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319"/>
        <w:spacing w:after="0" w:line="271" w:lineRule="auto"/>
        <w:rPr>
          <w:sz w:val="20"/>
          <w:szCs w:val="20"/>
          <w:color w:val="auto"/>
        </w:rPr>
      </w:pPr>
      <w:r>
        <w:rPr>
          <w:rFonts w:ascii="Arial" w:cs="Arial" w:eastAsia="Arial" w:hAnsi="Arial"/>
          <w:sz w:val="17"/>
          <w:szCs w:val="17"/>
          <w:color w:val="auto"/>
        </w:rPr>
        <w:t>attributable to preceding periods. For the thirteen and twenty-six weeks ended June 24, 2020 and June 26, 2019, income tax receivable agreement expense (income) consisted of the amortization of interest expense and changes in estimates for actual tax returns filed, related to our total expected TRA payments.</w:t>
      </w:r>
    </w:p>
    <w:p>
      <w:pPr>
        <w:ind w:left="380" w:right="359" w:hanging="330"/>
        <w:spacing w:after="0" w:line="25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"Note 7, Commitments and Contingencies, Legal Matters."</w:t>
      </w:r>
    </w:p>
    <w:p>
      <w:pPr>
        <w:ind w:left="380" w:right="99" w:hanging="330"/>
        <w:spacing w:after="0" w:line="25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an accrual related to an agreement in principle to resolve the longstanding lawsuit involving a contract dispute with one of the Company’s franchisees concerning asserted territory rights, as well as amounts incurred related to the payment of the final settlement amounts for consolidated wage and hour class action lawsuits resolved in prior quarters.</w:t>
      </w:r>
    </w:p>
    <w:p>
      <w:pPr>
        <w:spacing w:after="0" w:line="1" w:lineRule="exact"/>
        <w:rPr>
          <w:rFonts w:ascii="Arial" w:cs="Arial" w:eastAsia="Arial" w:hAnsi="Arial"/>
          <w:sz w:val="18"/>
          <w:szCs w:val="18"/>
          <w:color w:val="auto"/>
        </w:rPr>
      </w:pPr>
    </w:p>
    <w:p>
      <w:pPr>
        <w:ind w:left="380" w:right="99" w:hanging="330"/>
        <w:spacing w:after="0" w:line="265"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ind w:left="380" w:hanging="330"/>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costs associated with the transition of our CEO, such as CEO sign-on bonus.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 xml:space="preserve">Our primary sources of liquidity and capital resources have been cash provided from operations, cash and cash equivalents, and the 2018 Revolver. Our primary requirements for liquidity and capital are new restaurants, existing restaurant capital investments (remodels and maintenance), interest payments on our debt, lease obligations, and working capital and general corporate needs. However, in light of the COVID-19 pandemic, we have temporarily suspended all new restaurants and capital investments.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our sources of liquidity and capital are sufficient to finance our continued operations for at least the next twelve months from the filing of the condensed consolidated financial statements. However, </w:t>
      </w:r>
      <w:r>
        <w:rPr>
          <w:rFonts w:ascii="Arial" w:cs="Arial" w:eastAsia="Arial" w:hAnsi="Arial"/>
          <w:sz w:val="17"/>
          <w:szCs w:val="17"/>
          <w:color w:val="212529"/>
        </w:rPr>
        <w:t>depending on the severity and longevity of</w:t>
      </w:r>
      <w:r>
        <w:rPr>
          <w:rFonts w:ascii="Arial" w:cs="Arial" w:eastAsia="Arial" w:hAnsi="Arial"/>
          <w:sz w:val="17"/>
          <w:szCs w:val="17"/>
          <w:color w:val="auto"/>
        </w:rPr>
        <w:t xml:space="preserve"> </w:t>
      </w:r>
      <w:r>
        <w:rPr>
          <w:rFonts w:ascii="Arial" w:cs="Arial" w:eastAsia="Arial" w:hAnsi="Arial"/>
          <w:sz w:val="17"/>
          <w:szCs w:val="17"/>
          <w:color w:val="212529"/>
        </w:rPr>
        <w:t xml:space="preserve">the COVID-19 pandemic, the efforts taken to reduce its spread (including government-mandated closures of our dining rooms) and the possibility of a subsequent resurgence of the COVID-19 outbreak after the current outbreak subsides, our </w:t>
      </w:r>
      <w:r>
        <w:rPr>
          <w:rFonts w:ascii="Arial" w:cs="Arial" w:eastAsia="Arial" w:hAnsi="Arial"/>
          <w:sz w:val="17"/>
          <w:szCs w:val="17"/>
          <w:color w:val="000000"/>
        </w:rPr>
        <w:t>financial performance and liquidity could be further impacted and could impact our ability to meet certain financial covenants required in our 2018 Credit Agreement, specifically the lease-adjusted coverage ratio and fixed-charge coverage ratio.</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4"/>
                <w:szCs w:val="14"/>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63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0"/>
              </w:rPr>
              <w:t>June 24, 2020</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4"/>
              </w:rPr>
              <w:t>June 26, 2019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11,082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12,859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0" w:right="199"/>
        <w:spacing w:after="0" w:line="311" w:lineRule="auto"/>
        <w:rPr>
          <w:sz w:val="20"/>
          <w:szCs w:val="20"/>
          <w:color w:val="auto"/>
        </w:rPr>
      </w:pPr>
      <w:r>
        <w:rPr>
          <w:rFonts w:ascii="Arial" w:cs="Arial" w:eastAsia="Arial" w:hAnsi="Arial"/>
          <w:sz w:val="16"/>
          <w:szCs w:val="16"/>
          <w:color w:val="auto"/>
        </w:rPr>
        <w:t>For the twenty-six weeks ended June 24, 2020, net cash provided by operating activities decreased by approximately $1.8 million from the comparable period of the prior year. This was due primarily to a decline in profitability after non-cash items, which we believe related to the COVID-19 pandemic, and unfavorable working capital fluctuations.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For the twenty-six weeks ended June 24, 2020, net cash used in investing activities increased by $1.4 million from the comparable period of the prior year. This was due primarily to cash proceeds of $4.8 million received during the twenty-six weeks ended June 26, 2019 related to the sale of four company-operated restaurants within the San Francisco area to an existing franchisee and seven company-operated restaurants in the Phoenix area to another existing franchisee. In addition, there was one new company restaurant, which was in process prior to the COVID-19 pandemic, and no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remodels completed in twenty-six weeks ended June 24, 2020 and no new company stores and three remodels completed in the twenty-six weeks ended June 26, 2019.</w:t>
      </w:r>
    </w:p>
    <w:p>
      <w:pPr>
        <w:spacing w:after="0" w:line="170"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Given the uncertainty surrounding the severity and longevity of the COVID-19 pandemic, as a precautionary measure we have significantly reduced capital spending.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For the twenty-six weeks ended June 24, 2020, net cash provided by financing activities increased by $51.1 million from the comparable period of the prior year. This increase was due primarily to an increase in net borrowings of $30.8 million on the 2018 Revolver during the twenty-six weeks ended June 24, 2020, primarily as a precautionary measure to bolster our existing cash position in light of the current COVID-19 pandemic, as well as to provide for the $16.3 million litigation settlement payment. In addition, for the twenty-six weeks ended June 26, 2019, the Company had $18.2 million of cash outflow related to stock buybacks.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225" w:lineRule="exact"/>
        <w:rPr>
          <w:sz w:val="20"/>
          <w:szCs w:val="20"/>
          <w:color w:val="auto"/>
        </w:rPr>
      </w:pPr>
    </w:p>
    <w:p>
      <w:pPr>
        <w:ind w:left="60" w:right="279"/>
        <w:spacing w:after="0" w:line="293" w:lineRule="auto"/>
        <w:rPr>
          <w:sz w:val="20"/>
          <w:szCs w:val="20"/>
          <w:color w:val="auto"/>
        </w:rPr>
      </w:pPr>
      <w:r>
        <w:rPr>
          <w:rFonts w:ascii="Arial" w:cs="Arial" w:eastAsia="Arial" w:hAnsi="Arial"/>
          <w:sz w:val="16"/>
          <w:szCs w:val="16"/>
          <w:color w:val="auto"/>
        </w:rPr>
        <w:t>On July 13, 2018, the Company entered into the 2018 Credit Agreement, which provides for the 2018 Revolver to refinance the previous 2014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Under the 2018 Revolver, Holdings may not make certain payments such as cash dividends, except that it may, inter alia,</w:t>
      </w:r>
    </w:p>
    <w:p>
      <w:pPr>
        <w:spacing w:after="0" w:line="46" w:lineRule="exact"/>
        <w:rPr>
          <w:sz w:val="20"/>
          <w:szCs w:val="20"/>
          <w:color w:val="auto"/>
        </w:rPr>
      </w:pPr>
    </w:p>
    <w:p>
      <w:pPr>
        <w:jc w:val="both"/>
        <w:ind w:left="60" w:right="339" w:hanging="10"/>
        <w:spacing w:after="0" w:line="281" w:lineRule="auto"/>
        <w:tabs>
          <w:tab w:leader="none" w:pos="2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 up to $1.0 million per year to repurchase or redeem qualified equity interests of Holdings held by past or present officers, directors, or employees (or their estates) of the Company upon death, disability, or termination of employment,</w:t>
      </w:r>
    </w:p>
    <w:p>
      <w:pPr>
        <w:spacing w:after="0" w:line="1" w:lineRule="exact"/>
        <w:rPr>
          <w:rFonts w:ascii="Arial" w:cs="Arial" w:eastAsia="Arial" w:hAnsi="Arial"/>
          <w:sz w:val="16"/>
          <w:szCs w:val="16"/>
          <w:color w:val="auto"/>
        </w:rPr>
      </w:pPr>
    </w:p>
    <w:p>
      <w:pPr>
        <w:ind w:left="60" w:right="99" w:hanging="10"/>
        <w:spacing w:after="0" w:line="281" w:lineRule="auto"/>
        <w:tabs>
          <w:tab w:leader="none" w:pos="3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w:t>
      </w:r>
    </w:p>
    <w:p>
      <w:pPr>
        <w:spacing w:after="0" w:line="1" w:lineRule="exact"/>
        <w:rPr>
          <w:rFonts w:ascii="Arial" w:cs="Arial" w:eastAsia="Arial" w:hAnsi="Arial"/>
          <w:sz w:val="16"/>
          <w:szCs w:val="16"/>
          <w:color w:val="auto"/>
        </w:rPr>
      </w:pPr>
    </w:p>
    <w:p>
      <w:pPr>
        <w:ind w:left="60" w:right="179"/>
        <w:spacing w:after="0" w:line="252" w:lineRule="auto"/>
        <w:rPr>
          <w:rFonts w:ascii="Arial" w:cs="Arial" w:eastAsia="Arial" w:hAnsi="Arial"/>
          <w:sz w:val="16"/>
          <w:szCs w:val="16"/>
          <w:color w:val="auto"/>
        </w:rPr>
      </w:pPr>
      <w:r>
        <w:rPr>
          <w:rFonts w:ascii="Arial" w:cs="Arial" w:eastAsia="Arial" w:hAnsi="Arial"/>
          <w:sz w:val="18"/>
          <w:szCs w:val="18"/>
          <w:color w:val="auto"/>
        </w:rPr>
        <w:t>(b)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94"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1.67% to 3.11% and 1.67% to 3.29% for the thirteen and twenty-six weeks ended June 24, 2020, respectively, and 3.90% to 6.00% for each of the thirteen and twenty-six weeks ended June 26, 2019.</w:t>
      </w:r>
    </w:p>
    <w:p>
      <w:pPr>
        <w:spacing w:after="0" w:line="178"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 xml:space="preserve">The 2018 Credit Agreement contains certain financial covenants. The Company was in compliance with the financial covenants as of June 24, 2020. However, </w:t>
      </w:r>
      <w:r>
        <w:rPr>
          <w:rFonts w:ascii="Arial" w:cs="Arial" w:eastAsia="Arial" w:hAnsi="Arial"/>
          <w:sz w:val="18"/>
          <w:szCs w:val="18"/>
          <w:color w:val="212529"/>
        </w:rPr>
        <w:t>depending on the severity and longevity of the COVID-19 pandemic, the efforts</w:t>
      </w:r>
      <w:r>
        <w:rPr>
          <w:rFonts w:ascii="Arial" w:cs="Arial" w:eastAsia="Arial" w:hAnsi="Arial"/>
          <w:sz w:val="18"/>
          <w:szCs w:val="18"/>
          <w:color w:val="auto"/>
        </w:rPr>
        <w:t xml:space="preserve"> </w:t>
      </w:r>
      <w:r>
        <w:rPr>
          <w:rFonts w:ascii="Arial" w:cs="Arial" w:eastAsia="Arial" w:hAnsi="Arial"/>
          <w:sz w:val="18"/>
          <w:szCs w:val="18"/>
          <w:color w:val="212529"/>
        </w:rPr>
        <w:t xml:space="preserve">taken to reduce its spread and the possibility of a resurgence of the COVID-19 outbreak after the initial outbreak subside, </w:t>
      </w:r>
      <w:r>
        <w:rPr>
          <w:rFonts w:ascii="Arial" w:cs="Arial" w:eastAsia="Arial" w:hAnsi="Arial"/>
          <w:sz w:val="18"/>
          <w:szCs w:val="18"/>
          <w:color w:val="000000"/>
        </w:rPr>
        <w:t>the Company’s financial performance and liquidity could be further impacted and could impact the Company’s ability to comply with certain financial covenants required in our 2018 Credit Agreement, specifically the lease-adjusted coverage ratio and fixed-charge coverage ratio.</w:t>
      </w:r>
    </w:p>
    <w:p>
      <w:pPr>
        <w:spacing w:after="0" w:line="192" w:lineRule="exact"/>
        <w:rPr>
          <w:sz w:val="20"/>
          <w:szCs w:val="20"/>
          <w:color w:val="auto"/>
        </w:rPr>
      </w:pPr>
    </w:p>
    <w:p>
      <w:pPr>
        <w:ind w:left="60" w:right="479"/>
        <w:spacing w:after="0" w:line="342" w:lineRule="auto"/>
        <w:rPr>
          <w:sz w:val="20"/>
          <w:szCs w:val="20"/>
          <w:color w:val="auto"/>
        </w:rPr>
      </w:pPr>
      <w:r>
        <w:rPr>
          <w:rFonts w:ascii="Arial" w:cs="Arial" w:eastAsia="Arial" w:hAnsi="Arial"/>
          <w:sz w:val="16"/>
          <w:szCs w:val="16"/>
          <w:color w:val="auto"/>
        </w:rPr>
        <w:t>At June 24, 2020, $11.1 million of letters of credit and $138.8 million of borrowings were outstanding under the 2018 Revolver. There were $0.1 million remaining borrowings available under the 2018 Revolver at June 24,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During the year ended December 25, 2019,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1.31%, plus the applicable margin spread, which is currently 1.5%. The interest rate swap matures in June 2023.</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Our contractual obligations outstanding on June 24, 2020 have not changed materially since those disclosed under “Debt and Other Obligations – Contractual Obligations” in Part II, Item 7 of our annual report on Form 10-K for the year ended December 25, 2019 other than an increase in net borrowings of $41.8 million on the 2018 Revolver during the twenty-six weeks ended June 24, 2020 and the impact of our delay in making April, May and June rent payments on the majority of our leased properties. Refer to COVID-19 impact in "Overview" section above for additional information. Our contractual commitments relate to future (i) debt payments, including expected interest expense, calculated based on current interest rates, (ii) restaurant operating lease payments, (iii) income tax receivable agreement payments, and (iv) purchasing commitments for chicken.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225"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As of June 24, 2020, and December 25, 2019, we were using $11.1 million of borrowing capacity on the 2018 Revolver for letters of credit in support of our insurance programs, as well as to support our Surety demand related to an appeal bond used to secure a judgment against the Company. See additional information presented in "Note 7 Commitments and Contingencies—Legal Matters" in the accompanying "Notes to Consolidated Financial Statements."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0" w:right="219"/>
        <w:spacing w:after="0" w:line="269" w:lineRule="auto"/>
        <w:rPr>
          <w:sz w:val="20"/>
          <w:szCs w:val="20"/>
          <w:color w:val="auto"/>
        </w:rPr>
      </w:pPr>
      <w:r>
        <w:rPr>
          <w:rFonts w:ascii="Arial" w:cs="Arial" w:eastAsia="Arial" w:hAnsi="Arial"/>
          <w:sz w:val="17"/>
          <w:szCs w:val="17"/>
          <w:color w:val="auto"/>
        </w:rPr>
        <w:t>We are exposed to market risk from changes in the interest rate on our debt, which bears interest, at our option, at rates based on LIBOR or a base rate, plus, for each rate, a margin determined in accordance with the terms of the 2018 Credit Agreement. For LIBOR loans, the margin is in the range of 1.25% and 2.25%. As of June 24, 2020, we had outstanding borrowings of $138.8 million under our 2018 Revolver, $11.1 million of letters of credit in support of our insurance programs, and the applicable margin on outstanding borrowings under 2018 Revolver was 1.5%. In addition, there is currently uncertainty around whether LIBOR will continue to exist after 2021. If LIBOR ceases to exist, we may need to enter into an amendment to the 2018 Credit Agreement and we cannot predict what alternative index would be negotiated with our lenders. If our lenders have increased costs due to changes in LIBOR, we may experience potential increases in interest rates on our variable rate debt, which could adversely impact our interest expense, results of operations and cash flows. After giving effect to the $40.0 million of interest rate swaps, we effectively had $98.8 million of long-term debt subject to variations in interest rates and a one percent increase in the variable rate of interest would increase annual interest expense by $1.0 million.</w:t>
      </w:r>
    </w:p>
    <w:p>
      <w:pPr>
        <w:spacing w:after="0" w:line="179" w:lineRule="exact"/>
        <w:rPr>
          <w:sz w:val="20"/>
          <w:szCs w:val="20"/>
          <w:color w:val="auto"/>
        </w:rPr>
      </w:pPr>
    </w:p>
    <w:p>
      <w:pPr>
        <w:ind w:left="60" w:right="299"/>
        <w:spacing w:after="0" w:line="296" w:lineRule="auto"/>
        <w:rPr>
          <w:sz w:val="20"/>
          <w:szCs w:val="20"/>
          <w:color w:val="auto"/>
        </w:rPr>
      </w:pPr>
      <w:r>
        <w:rPr>
          <w:rFonts w:ascii="Arial" w:cs="Arial" w:eastAsia="Arial" w:hAnsi="Arial"/>
          <w:sz w:val="16"/>
          <w:szCs w:val="16"/>
          <w:color w:val="auto"/>
        </w:rPr>
        <w:t>We manage our interest rate risk through normal operating and financing activities and, when determined appropriate, through the use of derivative financial instruments. To balance our portfolio,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1.31%, plus applicable margin, which is currently 1.5%. The interest rate swap matures in June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We maintain disclosure controls and procedures (as such term is defined in Rules 13a-15(e) of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57" w:lineRule="exact"/>
        <w:rPr>
          <w:sz w:val="20"/>
          <w:szCs w:val="20"/>
          <w:color w:val="auto"/>
        </w:rPr>
      </w:pPr>
    </w:p>
    <w:p>
      <w:pPr>
        <w:ind w:left="60" w:right="359"/>
        <w:spacing w:after="0" w:line="279"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at the reasonable assurance level, as of June 24,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No changes in our internal control over financial reporting occurred during the quarter ended June 24,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For information regarding legal proceedings, see "Note 7. Commitments and Contingencies—Legal Matters" in the accompanying "Notes to Condensed Consolidated Financial Statements" in this Quarterly Report, which information is incorporated by reference into this Item 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399"/>
        <w:spacing w:after="0" w:line="259"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25, 2019 filed with the SEC on March 6, 2020 and our quarterly report on Form 10-Q for the quarter ended March 25, 2020 filed with the SEC on May 1, 2020, except for the revision of the risk factor that immediately follows.</w:t>
      </w:r>
    </w:p>
    <w:p>
      <w:pPr>
        <w:spacing w:after="0" w:line="187"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The resale of shares of common stock currently held by Trimaran Pollo Partners, L.L.C. could adversely affect the market price of our common stock.</w:t>
      </w:r>
    </w:p>
    <w:p>
      <w:pPr>
        <w:spacing w:after="0" w:line="170"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Our largest stockholder, Trimaran Pollo Partners, L.L.C. (the “LLC”), holds 16,746,544 shares, or approximately 47.7%, of our outstanding common stock as of the date of this report. Members of the LLC include affiliates of Trimaran and Freeman Spogli. Pursuant to the terms of the LLC’s limited liability company operating agreement (the “LLC Agreement”), the LLC agreement can terminate, in which case the LLC will begin the process of dissolving and winding up its affairs, at the earlier of (i) the election of the managing member, or (ii) six years following the completion of our initial public offering, or July 27, 2020. We expect the process of winding up of the LLC and distribution of the Company’s shares to begin on or after July 27, 2020. If all or a substantial portion of these shares are resold into the public markets, or if it is perceived that they will be resold, the trading price of our common stock could decline.</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of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4"/>
                <w:szCs w:val="14"/>
                <w:color w:val="auto"/>
                <w:w w:val="98"/>
              </w:rPr>
              <w:t>Filed</w:t>
            </w: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Period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4"/>
          </w:tcPr>
          <w:p>
            <w:pPr>
              <w:spacing w:after="0"/>
              <w:rPr>
                <w:sz w:val="20"/>
                <w:szCs w:val="20"/>
                <w:color w:val="auto"/>
              </w:rPr>
            </w:pPr>
            <w:r>
              <w:rPr>
                <w:rFonts w:ascii="Arial" w:cs="Arial" w:eastAsia="Arial" w:hAnsi="Arial"/>
                <w:sz w:val="14"/>
                <w:szCs w:val="14"/>
                <w:color w:val="auto"/>
              </w:rPr>
              <w:t>SEC File</w:t>
            </w:r>
          </w:p>
        </w:tc>
      </w:tr>
      <w:tr>
        <w:trPr>
          <w:trHeight w:val="128"/>
        </w:trPr>
        <w:tc>
          <w:tcPr>
            <w:tcW w:w="840" w:type="dxa"/>
            <w:vAlign w:val="bottom"/>
            <w:gridSpan w:val="2"/>
          </w:tcPr>
          <w:p>
            <w:pPr>
              <w:spacing w:after="0" w:line="129" w:lineRule="exact"/>
              <w:rPr>
                <w:sz w:val="20"/>
                <w:szCs w:val="20"/>
                <w:color w:val="auto"/>
              </w:rPr>
            </w:pPr>
            <w:r>
              <w:rPr>
                <w:rFonts w:ascii="Arial" w:cs="Arial" w:eastAsia="Arial" w:hAnsi="Arial"/>
                <w:sz w:val="14"/>
                <w:szCs w:val="14"/>
                <w:color w:val="auto"/>
              </w:rPr>
              <w:t>Number</w:t>
            </w: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gridSpan w:val="11"/>
          </w:tcPr>
          <w:p>
            <w:pPr>
              <w:ind w:left="40"/>
              <w:spacing w:after="0" w:line="129" w:lineRule="exact"/>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1"/>
                <w:szCs w:val="11"/>
                <w:color w:val="auto"/>
              </w:rPr>
            </w:pP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5"/>
              </w:rPr>
              <w:t>Herewith</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7"/>
              </w:rPr>
              <w:t>Form</w:t>
            </w:r>
          </w:p>
        </w:tc>
        <w:tc>
          <w:tcPr>
            <w:tcW w:w="260" w:type="dxa"/>
            <w:vAlign w:val="bottom"/>
          </w:tcPr>
          <w:p>
            <w:pPr>
              <w:spacing w:after="0"/>
              <w:rPr>
                <w:sz w:val="11"/>
                <w:szCs w:val="11"/>
                <w:color w:val="auto"/>
              </w:rPr>
            </w:pPr>
          </w:p>
        </w:tc>
        <w:tc>
          <w:tcPr>
            <w:tcW w:w="38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color w:val="auto"/>
                <w:w w:val="88"/>
              </w:rPr>
              <w:t>Ended</w:t>
            </w:r>
          </w:p>
        </w:tc>
        <w:tc>
          <w:tcPr>
            <w:tcW w:w="220" w:type="dxa"/>
            <w:vAlign w:val="bottom"/>
          </w:tcPr>
          <w:p>
            <w:pPr>
              <w:spacing w:after="0"/>
              <w:rPr>
                <w:sz w:val="11"/>
                <w:szCs w:val="11"/>
                <w:color w:val="auto"/>
              </w:rPr>
            </w:pPr>
          </w:p>
        </w:tc>
        <w:tc>
          <w:tcPr>
            <w:tcW w:w="580" w:type="dxa"/>
            <w:vAlign w:val="bottom"/>
            <w:gridSpan w:val="3"/>
          </w:tcPr>
          <w:p>
            <w:pPr>
              <w:ind w:left="100"/>
              <w:spacing w:after="0" w:line="129" w:lineRule="exact"/>
              <w:rPr>
                <w:sz w:val="20"/>
                <w:szCs w:val="20"/>
                <w:color w:val="auto"/>
              </w:rPr>
            </w:pPr>
            <w:r>
              <w:rPr>
                <w:rFonts w:ascii="Arial" w:cs="Arial" w:eastAsia="Arial" w:hAnsi="Arial"/>
                <w:sz w:val="14"/>
                <w:szCs w:val="14"/>
                <w:color w:val="auto"/>
              </w:rPr>
              <w:t>Exhibit</w:t>
            </w:r>
          </w:p>
        </w:tc>
        <w:tc>
          <w:tcPr>
            <w:tcW w:w="840" w:type="dxa"/>
            <w:vAlign w:val="bottom"/>
            <w:gridSpan w:val="3"/>
          </w:tcPr>
          <w:p>
            <w:pPr>
              <w:ind w:left="100"/>
              <w:spacing w:after="0" w:line="129" w:lineRule="exact"/>
              <w:rPr>
                <w:sz w:val="20"/>
                <w:szCs w:val="20"/>
                <w:color w:val="auto"/>
              </w:rPr>
            </w:pPr>
            <w:r>
              <w:rPr>
                <w:rFonts w:ascii="Arial" w:cs="Arial" w:eastAsia="Arial" w:hAnsi="Arial"/>
                <w:sz w:val="14"/>
                <w:szCs w:val="14"/>
                <w:color w:val="auto"/>
              </w:rPr>
              <w:t>Filing Date</w:t>
            </w: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w w:val="96"/>
              </w:rPr>
              <w:t>Number</w:t>
            </w:r>
          </w:p>
        </w:tc>
        <w:tc>
          <w:tcPr>
            <w:tcW w:w="60" w:type="dxa"/>
            <w:vAlign w:val="bottom"/>
          </w:tcPr>
          <w:p>
            <w:pPr>
              <w:spacing w:after="0"/>
              <w:rPr>
                <w:sz w:val="11"/>
                <w:szCs w:val="1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3580" w:type="dxa"/>
            <w:vAlign w:val="bottom"/>
            <w:gridSpan w:val="13"/>
          </w:tcPr>
          <w:p>
            <w:pPr>
              <w:spacing w:after="0"/>
              <w:rPr>
                <w:rFonts w:ascii="Arial" w:cs="Arial" w:eastAsia="Arial" w:hAnsi="Arial"/>
                <w:sz w:val="18"/>
                <w:szCs w:val="18"/>
                <w:color w:val="0000EE"/>
              </w:rPr>
            </w:pPr>
            <w:hyperlink r:id="rId63">
              <w:r>
                <w:rPr>
                  <w:rFonts w:ascii="Arial" w:cs="Arial" w:eastAsia="Arial" w:hAnsi="Arial"/>
                  <w:sz w:val="18"/>
                  <w:szCs w:val="18"/>
                  <w:color w:val="0000EE"/>
                </w:rPr>
                <w:t>Amended and Restated Certificate of</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3"/>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Incorporation of El Pollo Loco Holdings, Inc.</w:t>
              </w:r>
            </w:hyperlink>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w w:val="89"/>
              </w:rPr>
              <w:t>10-Q</w:t>
            </w:r>
          </w:p>
        </w:tc>
        <w:tc>
          <w:tcPr>
            <w:tcW w:w="860" w:type="dxa"/>
            <w:vAlign w:val="bottom"/>
            <w:gridSpan w:val="4"/>
          </w:tcPr>
          <w:p>
            <w:pPr>
              <w:jc w:val="center"/>
              <w:spacing w:after="0"/>
              <w:rPr>
                <w:sz w:val="20"/>
                <w:szCs w:val="20"/>
                <w:color w:val="auto"/>
              </w:rPr>
            </w:pPr>
            <w:r>
              <w:rPr>
                <w:rFonts w:ascii="Arial" w:cs="Arial" w:eastAsia="Arial" w:hAnsi="Arial"/>
                <w:sz w:val="18"/>
                <w:szCs w:val="18"/>
                <w:color w:val="auto"/>
                <w:w w:val="92"/>
              </w:rPr>
              <w:t>6/25/2014</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9/5/2014</w:t>
            </w:r>
          </w:p>
        </w:tc>
        <w:tc>
          <w:tcPr>
            <w:tcW w:w="80" w:type="dxa"/>
            <w:vAlign w:val="bottom"/>
          </w:tcPr>
          <w:p>
            <w:pPr>
              <w:spacing w:after="0"/>
              <w:rPr>
                <w:sz w:val="20"/>
                <w:szCs w:val="20"/>
                <w:color w:val="auto"/>
              </w:rPr>
            </w:pPr>
          </w:p>
        </w:tc>
        <w:tc>
          <w:tcPr>
            <w:tcW w:w="840" w:type="dxa"/>
            <w:vAlign w:val="bottom"/>
            <w:gridSpan w:val="5"/>
          </w:tcPr>
          <w:p>
            <w:pPr>
              <w:jc w:val="right"/>
              <w:spacing w:after="0"/>
              <w:rPr>
                <w:sz w:val="20"/>
                <w:szCs w:val="20"/>
                <w:color w:val="auto"/>
              </w:rPr>
            </w:pPr>
            <w:r>
              <w:rPr>
                <w:rFonts w:ascii="Arial" w:cs="Arial" w:eastAsia="Arial" w:hAnsi="Arial"/>
                <w:sz w:val="18"/>
                <w:szCs w:val="18"/>
                <w:color w:val="auto"/>
                <w:w w:val="95"/>
              </w:rPr>
              <w:t>001-36556</w:t>
            </w:r>
          </w:p>
        </w:tc>
      </w:tr>
      <w:tr>
        <w:trPr>
          <w:trHeight w:val="392"/>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3200" w:type="dxa"/>
            <w:vAlign w:val="bottom"/>
            <w:tcBorders>
              <w:bottom w:val="single" w:sz="8" w:color="0000EE"/>
            </w:tcBorders>
            <w:gridSpan w:val="9"/>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Amended and Restated By-Laws of El Pollo</w:t>
              </w:r>
            </w:hyperlink>
          </w:p>
        </w:tc>
        <w:tc>
          <w:tcPr>
            <w:tcW w:w="38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Loco Holdings, Inc.</w:t>
              </w:r>
            </w:hyperlink>
          </w:p>
        </w:tc>
        <w:tc>
          <w:tcPr>
            <w:tcW w:w="214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9"/>
              </w:rPr>
              <w:t>10-Q</w:t>
            </w:r>
          </w:p>
        </w:tc>
        <w:tc>
          <w:tcPr>
            <w:tcW w:w="86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2"/>
              </w:rPr>
              <w:t>6/25/2014</w:t>
            </w:r>
          </w:p>
        </w:tc>
        <w:tc>
          <w:tcPr>
            <w:tcW w:w="5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9/5/2014</w:t>
            </w:r>
          </w:p>
        </w:tc>
        <w:tc>
          <w:tcPr>
            <w:tcW w:w="80" w:type="dxa"/>
            <w:vAlign w:val="bottom"/>
          </w:tcPr>
          <w:p>
            <w:pPr>
              <w:spacing w:after="0"/>
              <w:rPr>
                <w:sz w:val="17"/>
                <w:szCs w:val="17"/>
                <w:color w:val="auto"/>
              </w:rPr>
            </w:pPr>
          </w:p>
        </w:tc>
        <w:tc>
          <w:tcPr>
            <w:tcW w:w="84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95"/>
              </w:rPr>
              <w:t>001-36556</w:t>
            </w: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31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Certification of Principal Executive Officer</w:t>
              </w:r>
            </w:hyperlink>
          </w:p>
        </w:tc>
        <w:tc>
          <w:tcPr>
            <w:tcW w:w="46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gridSpan w:val="13"/>
          </w:tcPr>
          <w:p>
            <w:pPr>
              <w:spacing w:after="0" w:line="196"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under section 302 of the Sarbanes–Oxley Act</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of 2002</w:t>
              </w:r>
            </w:hyperlink>
          </w:p>
        </w:tc>
        <w:tc>
          <w:tcPr>
            <w:tcW w:w="3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5"/>
          </w:tcPr>
          <w:p>
            <w:pPr>
              <w:jc w:val="center"/>
              <w:ind w:right="720"/>
              <w:spacing w:after="0" w:line="196" w:lineRule="exact"/>
              <w:rPr>
                <w:sz w:val="20"/>
                <w:szCs w:val="20"/>
                <w:color w:val="auto"/>
              </w:rPr>
            </w:pPr>
            <w:r>
              <w:rPr>
                <w:rFonts w:ascii="Arial" w:cs="Arial" w:eastAsia="Arial" w:hAnsi="Arial"/>
                <w:sz w:val="18"/>
                <w:szCs w:val="18"/>
                <w:color w:val="auto"/>
              </w:rPr>
              <w:t>X</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3580" w:type="dxa"/>
            <w:vAlign w:val="bottom"/>
            <w:gridSpan w:val="1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Certification of Principal Financial Officer</w:t>
              </w:r>
            </w:hyperlink>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gridSpan w:val="13"/>
          </w:tcPr>
          <w:p>
            <w:pPr>
              <w:spacing w:after="0" w:line="196"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under section 302 of the Sarbanes–Oxley Act</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of 2002</w:t>
              </w:r>
            </w:hyperlink>
          </w:p>
        </w:tc>
        <w:tc>
          <w:tcPr>
            <w:tcW w:w="3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31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Certification of Chief Executive Officer and</w:t>
              </w:r>
            </w:hyperlink>
          </w:p>
        </w:tc>
        <w:tc>
          <w:tcPr>
            <w:tcW w:w="400" w:type="dxa"/>
            <w:vAlign w:val="bottom"/>
            <w:gridSpan w:val="5"/>
          </w:tcPr>
          <w:p>
            <w:pPr>
              <w:spacing w:after="0"/>
              <w:rPr>
                <w:sz w:val="24"/>
                <w:szCs w:val="24"/>
                <w:color w:val="auto"/>
              </w:rPr>
            </w:pPr>
          </w:p>
        </w:tc>
        <w:tc>
          <w:tcPr>
            <w:tcW w:w="42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Chief Financial Officer under 18 U.S.C. section</w:t>
              </w:r>
            </w:hyperlink>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1350, adopted by section 906 of the Sarbanes–</w:t>
              </w:r>
            </w:hyperlink>
          </w:p>
        </w:tc>
        <w:tc>
          <w:tcPr>
            <w:tcW w:w="2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Oxley Act of 2002</w:t>
              </w:r>
            </w:hyperlink>
          </w:p>
        </w:tc>
        <w:tc>
          <w:tcPr>
            <w:tcW w:w="224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38"/>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580" w:type="dxa"/>
            <w:vAlign w:val="bottom"/>
            <w:gridSpan w:val="13"/>
          </w:tcPr>
          <w:p>
            <w:pPr>
              <w:spacing w:after="0"/>
              <w:rPr>
                <w:sz w:val="20"/>
                <w:szCs w:val="20"/>
                <w:color w:val="auto"/>
              </w:rPr>
            </w:pPr>
            <w:r>
              <w:rPr>
                <w:rFonts w:ascii="Arial" w:cs="Arial" w:eastAsia="Arial" w:hAnsi="Arial"/>
                <w:sz w:val="18"/>
                <w:szCs w:val="18"/>
                <w:color w:val="auto"/>
                <w:w w:val="96"/>
              </w:rPr>
              <w:t>Inline XBRL Instance Document - the instance</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13"/>
          </w:tcPr>
          <w:p>
            <w:pPr>
              <w:spacing w:after="0"/>
              <w:rPr>
                <w:sz w:val="20"/>
                <w:szCs w:val="20"/>
                <w:color w:val="auto"/>
              </w:rPr>
            </w:pPr>
            <w:r>
              <w:rPr>
                <w:rFonts w:ascii="Arial" w:cs="Arial" w:eastAsia="Arial" w:hAnsi="Arial"/>
                <w:sz w:val="18"/>
                <w:szCs w:val="18"/>
                <w:color w:val="auto"/>
              </w:rPr>
              <w:t>document does not appear in the Interactive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13"/>
          </w:tcPr>
          <w:p>
            <w:pPr>
              <w:spacing w:after="0"/>
              <w:rPr>
                <w:sz w:val="20"/>
                <w:szCs w:val="20"/>
                <w:color w:val="auto"/>
              </w:rPr>
            </w:pPr>
            <w:r>
              <w:rPr>
                <w:rFonts w:ascii="Arial" w:cs="Arial" w:eastAsia="Arial" w:hAnsi="Arial"/>
                <w:sz w:val="18"/>
                <w:szCs w:val="18"/>
                <w:color w:val="auto"/>
                <w:w w:val="93"/>
              </w:rPr>
              <w:t>Data File because its XBRL tags are embedded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3"/>
          </w:tcPr>
          <w:p>
            <w:pPr>
              <w:spacing w:after="0"/>
              <w:rPr>
                <w:sz w:val="20"/>
                <w:szCs w:val="20"/>
                <w:color w:val="auto"/>
              </w:rPr>
            </w:pPr>
            <w:r>
              <w:rPr>
                <w:rFonts w:ascii="Arial" w:cs="Arial" w:eastAsia="Arial" w:hAnsi="Arial"/>
                <w:sz w:val="18"/>
                <w:szCs w:val="18"/>
                <w:color w:val="auto"/>
              </w:rPr>
              <w:t>within the Inline XBRL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580" w:type="dxa"/>
            <w:vAlign w:val="bottom"/>
            <w:gridSpan w:val="13"/>
          </w:tcPr>
          <w:p>
            <w:pPr>
              <w:spacing w:after="0"/>
              <w:rPr>
                <w:sz w:val="20"/>
                <w:szCs w:val="20"/>
                <w:color w:val="auto"/>
              </w:rPr>
            </w:pPr>
            <w:r>
              <w:rPr>
                <w:rFonts w:ascii="Arial" w:cs="Arial" w:eastAsia="Arial" w:hAnsi="Arial"/>
                <w:sz w:val="18"/>
                <w:szCs w:val="18"/>
                <w:color w:val="auto"/>
              </w:rPr>
              <w:t>XBRL Taxonomy Extension Schema</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5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580" w:type="dxa"/>
            <w:vAlign w:val="bottom"/>
            <w:gridSpan w:val="13"/>
          </w:tcPr>
          <w:p>
            <w:pPr>
              <w:spacing w:after="0"/>
              <w:rPr>
                <w:sz w:val="20"/>
                <w:szCs w:val="20"/>
                <w:color w:val="auto"/>
              </w:rPr>
            </w:pPr>
            <w:r>
              <w:rPr>
                <w:rFonts w:ascii="Arial" w:cs="Arial" w:eastAsia="Arial" w:hAnsi="Arial"/>
                <w:sz w:val="18"/>
                <w:szCs w:val="18"/>
                <w:color w:val="auto"/>
              </w:rPr>
              <w:t>XBRL Taxonomy Extension Definition</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5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5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3"/>
          </w:tcPr>
          <w:p>
            <w:pPr>
              <w:spacing w:after="0"/>
              <w:rPr>
                <w:sz w:val="20"/>
                <w:szCs w:val="20"/>
                <w:color w:val="auto"/>
              </w:rPr>
            </w:pPr>
            <w:r>
              <w:rPr>
                <w:rFonts w:ascii="Arial" w:cs="Arial" w:eastAsia="Arial" w:hAnsi="Arial"/>
                <w:sz w:val="18"/>
                <w:szCs w:val="18"/>
                <w:color w:val="auto"/>
              </w:rPr>
              <w:t>Linkbase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3580" w:type="dxa"/>
            <w:vAlign w:val="bottom"/>
            <w:gridSpan w:val="13"/>
          </w:tcPr>
          <w:p>
            <w:pPr>
              <w:spacing w:after="0"/>
              <w:rPr>
                <w:sz w:val="20"/>
                <w:szCs w:val="20"/>
                <w:color w:val="auto"/>
              </w:rPr>
            </w:pPr>
            <w:r>
              <w:rPr>
                <w:rFonts w:ascii="Arial" w:cs="Arial" w:eastAsia="Arial" w:hAnsi="Arial"/>
                <w:sz w:val="18"/>
                <w:szCs w:val="18"/>
                <w:color w:val="auto"/>
                <w:w w:val="95"/>
              </w:rPr>
              <w:t>Cover Page Interactive Data File (formatted as</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3"/>
          </w:tcPr>
          <w:p>
            <w:pPr>
              <w:spacing w:after="0"/>
              <w:rPr>
                <w:sz w:val="20"/>
                <w:szCs w:val="20"/>
                <w:color w:val="auto"/>
              </w:rPr>
            </w:pPr>
            <w:r>
              <w:rPr>
                <w:rFonts w:ascii="Arial" w:cs="Arial" w:eastAsia="Arial" w:hAnsi="Arial"/>
                <w:sz w:val="18"/>
                <w:szCs w:val="18"/>
                <w:color w:val="auto"/>
              </w:rPr>
              <w:t>inline XBRL and contained in Exhibit 101)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right="159" w:hanging="330"/>
        <w:spacing w:after="0" w:line="259"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El Pollo Loco Holdings, Inc.</w:t>
            </w:r>
          </w:p>
        </w:tc>
        <w:tc>
          <w:tcPr>
            <w:tcW w:w="0" w:type="dxa"/>
            <w:vAlign w:val="bottom"/>
          </w:tcPr>
          <w:p>
            <w:pPr>
              <w:spacing w:after="0"/>
              <w:rPr>
                <w:sz w:val="1"/>
                <w:szCs w:val="1"/>
                <w:color w:val="auto"/>
              </w:rPr>
            </w:pPr>
          </w:p>
        </w:tc>
      </w:tr>
      <w:tr>
        <w:trPr>
          <w:trHeight w:val="40"/>
        </w:trPr>
        <w:tc>
          <w:tcPr>
            <w:tcW w:w="4500" w:type="dxa"/>
            <w:vAlign w:val="bottom"/>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19"/>
                <w:szCs w:val="19"/>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499"/>
        </w:trPr>
        <w:tc>
          <w:tcPr>
            <w:tcW w:w="4500" w:type="dxa"/>
            <w:vAlign w:val="bottom"/>
          </w:tcPr>
          <w:p>
            <w:pPr>
              <w:spacing w:after="0"/>
              <w:rPr>
                <w:sz w:val="20"/>
                <w:szCs w:val="20"/>
                <w:color w:val="auto"/>
              </w:rPr>
            </w:pPr>
            <w:r>
              <w:rPr>
                <w:rFonts w:ascii="Arial" w:cs="Arial" w:eastAsia="Arial" w:hAnsi="Arial"/>
                <w:sz w:val="18"/>
                <w:szCs w:val="18"/>
                <w:color w:val="auto"/>
              </w:rPr>
              <w:t>July 31, 2020</w:t>
            </w:r>
          </w:p>
        </w:tc>
        <w:tc>
          <w:tcPr>
            <w:tcW w:w="4360" w:type="dxa"/>
            <w:vAlign w:val="bottom"/>
          </w:tcPr>
          <w:p>
            <w:pPr>
              <w:ind w:left="40"/>
              <w:spacing w:after="0"/>
              <w:rPr>
                <w:sz w:val="20"/>
                <w:szCs w:val="20"/>
                <w:color w:val="auto"/>
              </w:rPr>
            </w:pPr>
            <w:r>
              <w:rPr>
                <w:rFonts w:ascii="Arial" w:cs="Arial" w:eastAsia="Arial" w:hAnsi="Arial"/>
                <w:sz w:val="18"/>
                <w:szCs w:val="18"/>
                <w:color w:val="auto"/>
              </w:rPr>
              <w:t>/s/ Bernard Acoca</w:t>
            </w:r>
          </w:p>
        </w:tc>
        <w:tc>
          <w:tcPr>
            <w:tcW w:w="0" w:type="dxa"/>
            <w:vAlign w:val="bottom"/>
          </w:tcPr>
          <w:p>
            <w:pPr>
              <w:spacing w:after="0"/>
              <w:rPr>
                <w:sz w:val="1"/>
                <w:szCs w:val="1"/>
                <w:color w:val="auto"/>
              </w:rPr>
            </w:pPr>
          </w:p>
        </w:tc>
      </w:tr>
      <w:tr>
        <w:trPr>
          <w:trHeight w:val="40"/>
        </w:trPr>
        <w:tc>
          <w:tcPr>
            <w:tcW w:w="4500" w:type="dxa"/>
            <w:vAlign w:val="bottom"/>
            <w:vMerge w:val="restart"/>
          </w:tcPr>
          <w:p>
            <w:pPr>
              <w:ind w:left="660"/>
              <w:spacing w:after="0"/>
              <w:rPr>
                <w:sz w:val="20"/>
                <w:szCs w:val="20"/>
                <w:color w:val="auto"/>
              </w:rPr>
            </w:pPr>
            <w:r>
              <w:rPr>
                <w:rFonts w:ascii="Arial" w:cs="Arial" w:eastAsia="Arial" w:hAnsi="Arial"/>
                <w:sz w:val="18"/>
                <w:szCs w:val="18"/>
                <w:color w:val="auto"/>
              </w:rPr>
              <w:t>Date</w:t>
            </w:r>
          </w:p>
        </w:tc>
        <w:tc>
          <w:tcPr>
            <w:tcW w:w="4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00" w:type="dxa"/>
            <w:vAlign w:val="bottom"/>
            <w:vMerge w:val="continue"/>
          </w:tcPr>
          <w:p>
            <w:pPr>
              <w:spacing w:after="0"/>
              <w:rPr>
                <w:sz w:val="19"/>
                <w:szCs w:val="19"/>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Bernard Acoca</w:t>
            </w:r>
          </w:p>
        </w:tc>
        <w:tc>
          <w:tcPr>
            <w:tcW w:w="0" w:type="dxa"/>
            <w:vAlign w:val="bottom"/>
          </w:tcPr>
          <w:p>
            <w:pPr>
              <w:spacing w:after="0"/>
              <w:rPr>
                <w:sz w:val="1"/>
                <w:szCs w:val="1"/>
                <w:color w:val="auto"/>
              </w:rPr>
            </w:pPr>
          </w:p>
        </w:tc>
      </w:tr>
      <w:tr>
        <w:trPr>
          <w:trHeight w:val="242"/>
        </w:trPr>
        <w:tc>
          <w:tcPr>
            <w:tcW w:w="4500" w:type="dxa"/>
            <w:vAlign w:val="bottom"/>
          </w:tcPr>
          <w:p>
            <w:pPr>
              <w:spacing w:after="0"/>
              <w:rPr>
                <w:sz w:val="21"/>
                <w:szCs w:val="21"/>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4360" w:type="dxa"/>
            <w:vAlign w:val="bottom"/>
          </w:tcPr>
          <w:p>
            <w:pPr>
              <w:ind w:left="100"/>
              <w:spacing w:after="0"/>
              <w:rPr>
                <w:sz w:val="20"/>
                <w:szCs w:val="20"/>
                <w:color w:val="auto"/>
              </w:rPr>
            </w:pPr>
            <w:r>
              <w:rPr>
                <w:rFonts w:ascii="Arial" w:cs="Arial" w:eastAsia="Arial" w:hAnsi="Arial"/>
                <w:sz w:val="18"/>
                <w:szCs w:val="18"/>
                <w:i w:val="1"/>
                <w:iCs w:val="1"/>
                <w:color w:val="auto"/>
              </w:rPr>
              <w:t>(duly authorized officer)</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0"/>
                <w:szCs w:val="20"/>
                <w:color w:val="auto"/>
              </w:rPr>
            </w:pPr>
            <w:r>
              <w:rPr>
                <w:rFonts w:ascii="Arial" w:cs="Arial" w:eastAsia="Arial" w:hAnsi="Arial"/>
                <w:sz w:val="18"/>
                <w:szCs w:val="18"/>
                <w:color w:val="auto"/>
              </w:rPr>
              <w:t>July 31, 2020</w:t>
            </w:r>
          </w:p>
        </w:tc>
        <w:tc>
          <w:tcPr>
            <w:tcW w:w="4360" w:type="dxa"/>
            <w:vAlign w:val="bottom"/>
          </w:tcPr>
          <w:p>
            <w:pPr>
              <w:ind w:left="40"/>
              <w:spacing w:after="0"/>
              <w:rPr>
                <w:sz w:val="20"/>
                <w:szCs w:val="20"/>
                <w:color w:val="auto"/>
              </w:rPr>
            </w:pPr>
            <w:r>
              <w:rPr>
                <w:rFonts w:ascii="Arial" w:cs="Arial" w:eastAsia="Arial" w:hAnsi="Arial"/>
                <w:sz w:val="18"/>
                <w:szCs w:val="18"/>
                <w:color w:val="auto"/>
              </w:rPr>
              <w:t>/s/ Laurance Roberts</w:t>
            </w:r>
          </w:p>
        </w:tc>
        <w:tc>
          <w:tcPr>
            <w:tcW w:w="0" w:type="dxa"/>
            <w:vAlign w:val="bottom"/>
          </w:tcPr>
          <w:p>
            <w:pPr>
              <w:spacing w:after="0"/>
              <w:rPr>
                <w:sz w:val="1"/>
                <w:szCs w:val="1"/>
                <w:color w:val="auto"/>
              </w:rPr>
            </w:pPr>
          </w:p>
        </w:tc>
      </w:tr>
      <w:tr>
        <w:trPr>
          <w:trHeight w:val="41"/>
        </w:trPr>
        <w:tc>
          <w:tcPr>
            <w:tcW w:w="4500" w:type="dxa"/>
            <w:vAlign w:val="bottom"/>
            <w:vMerge w:val="restart"/>
          </w:tcPr>
          <w:p>
            <w:pPr>
              <w:ind w:left="660"/>
              <w:spacing w:after="0"/>
              <w:rPr>
                <w:sz w:val="20"/>
                <w:szCs w:val="20"/>
                <w:color w:val="auto"/>
              </w:rPr>
            </w:pPr>
            <w:r>
              <w:rPr>
                <w:rFonts w:ascii="Arial" w:cs="Arial" w:eastAsia="Arial" w:hAnsi="Arial"/>
                <w:sz w:val="18"/>
                <w:szCs w:val="18"/>
                <w:color w:val="auto"/>
              </w:rPr>
              <w:t>Date</w:t>
            </w:r>
          </w:p>
        </w:tc>
        <w:tc>
          <w:tcPr>
            <w:tcW w:w="4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500" w:type="dxa"/>
            <w:vAlign w:val="bottom"/>
            <w:vMerge w:val="continue"/>
          </w:tcPr>
          <w:p>
            <w:pPr>
              <w:spacing w:after="0"/>
              <w:rPr>
                <w:sz w:val="19"/>
                <w:szCs w:val="19"/>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Laurance Roberts</w:t>
            </w:r>
          </w:p>
        </w:tc>
        <w:tc>
          <w:tcPr>
            <w:tcW w:w="0" w:type="dxa"/>
            <w:vAlign w:val="bottom"/>
          </w:tcPr>
          <w:p>
            <w:pPr>
              <w:spacing w:after="0"/>
              <w:rPr>
                <w:sz w:val="1"/>
                <w:szCs w:val="1"/>
                <w:color w:val="auto"/>
              </w:rPr>
            </w:pPr>
          </w:p>
        </w:tc>
      </w:tr>
      <w:tr>
        <w:trPr>
          <w:trHeight w:val="242"/>
        </w:trPr>
        <w:tc>
          <w:tcPr>
            <w:tcW w:w="4500" w:type="dxa"/>
            <w:vAlign w:val="bottom"/>
          </w:tcPr>
          <w:p>
            <w:pPr>
              <w:spacing w:after="0"/>
              <w:rPr>
                <w:sz w:val="21"/>
                <w:szCs w:val="21"/>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436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Bernard Acoca, certify that:</w:t>
      </w:r>
    </w:p>
    <w:p>
      <w:pPr>
        <w:spacing w:after="0" w:line="266" w:lineRule="exact"/>
        <w:rPr>
          <w:sz w:val="20"/>
          <w:szCs w:val="20"/>
          <w:color w:val="auto"/>
        </w:rPr>
      </w:pPr>
    </w:p>
    <w:p>
      <w:pPr>
        <w:ind w:left="180" w:hanging="174"/>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65" w:lineRule="exact"/>
        <w:rPr>
          <w:rFonts w:ascii="Arial" w:cs="Arial" w:eastAsia="Arial" w:hAnsi="Arial"/>
          <w:sz w:val="18"/>
          <w:szCs w:val="18"/>
          <w:color w:val="auto"/>
        </w:rPr>
      </w:pPr>
    </w:p>
    <w:p>
      <w:pPr>
        <w:jc w:val="both"/>
        <w:ind w:right="340" w:firstLine="6"/>
        <w:spacing w:after="0" w:line="310"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60" w:firstLine="6"/>
        <w:spacing w:after="0" w:line="310"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100" w:firstLine="6"/>
        <w:spacing w:after="0" w:line="310"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firstLine="6"/>
        <w:spacing w:after="0" w:line="336" w:lineRule="auto"/>
        <w:tabs>
          <w:tab w:leader="none" w:pos="2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right="60" w:firstLine="6"/>
        <w:spacing w:after="0" w:line="336"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right="100" w:firstLine="6"/>
        <w:spacing w:after="0" w:line="310"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right="340" w:firstLine="6"/>
        <w:spacing w:after="0" w:line="306"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ind w:right="500" w:firstLine="6"/>
        <w:spacing w:after="0" w:line="310"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sz w:val="20"/>
          <w:szCs w:val="20"/>
          <w:color w:val="auto"/>
        </w:rPr>
      </w:pPr>
    </w:p>
    <w:p>
      <w:pPr>
        <w:ind w:right="420" w:firstLine="6"/>
        <w:spacing w:after="0" w:line="310"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right="780" w:firstLine="6"/>
        <w:spacing w:after="0" w:line="32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/s/Bernard Acoca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59664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794385</wp:posOffset>
            </wp:positionV>
            <wp:extent cx="596646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966460" cy="260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59664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ectPr>
          <w:pgSz w:w="11900" w:h="16838" w:orient="portrait"/>
          <w:cols w:equalWidth="0" w:num="1">
            <w:col w:w="9400"/>
          </w:cols>
          <w:pgMar w:left="1240" w:top="405" w:right="12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66" w:lineRule="exact"/>
        <w:rPr>
          <w:sz w:val="20"/>
          <w:szCs w:val="20"/>
          <w:color w:val="auto"/>
        </w:rPr>
      </w:pPr>
    </w:p>
    <w:p>
      <w:pPr>
        <w:ind w:left="180" w:hanging="174"/>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65" w:lineRule="exact"/>
        <w:rPr>
          <w:rFonts w:ascii="Arial" w:cs="Arial" w:eastAsia="Arial" w:hAnsi="Arial"/>
          <w:sz w:val="18"/>
          <w:szCs w:val="18"/>
          <w:color w:val="auto"/>
        </w:rPr>
      </w:pPr>
    </w:p>
    <w:p>
      <w:pPr>
        <w:jc w:val="both"/>
        <w:ind w:right="340" w:firstLine="6"/>
        <w:spacing w:after="0" w:line="310"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60" w:firstLine="6"/>
        <w:spacing w:after="0" w:line="310"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100" w:firstLine="6"/>
        <w:spacing w:after="0" w:line="310"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firstLine="6"/>
        <w:spacing w:after="0" w:line="336" w:lineRule="auto"/>
        <w:tabs>
          <w:tab w:leader="none" w:pos="245"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right="60" w:firstLine="6"/>
        <w:spacing w:after="0" w:line="336" w:lineRule="auto"/>
        <w:tabs>
          <w:tab w:leader="none" w:pos="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right="100" w:firstLine="6"/>
        <w:spacing w:after="0" w:line="310"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right="340" w:firstLine="6"/>
        <w:spacing w:after="0" w:line="306"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ind w:right="500" w:firstLine="6"/>
        <w:spacing w:after="0" w:line="310"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sz w:val="20"/>
          <w:szCs w:val="20"/>
          <w:color w:val="auto"/>
        </w:rPr>
      </w:pPr>
    </w:p>
    <w:p>
      <w:pPr>
        <w:ind w:right="420" w:firstLine="6"/>
        <w:spacing w:after="0" w:line="310"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right="780" w:firstLine="6"/>
        <w:spacing w:after="0" w:line="324"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14605</wp:posOffset>
            </wp:positionV>
            <wp:extent cx="59321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674370</wp:posOffset>
            </wp:positionV>
            <wp:extent cx="596646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40" w:top="405" w:right="1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66" w:lineRule="exact"/>
        <w:rPr>
          <w:sz w:val="20"/>
          <w:szCs w:val="20"/>
          <w:color w:val="auto"/>
        </w:rPr>
      </w:pPr>
    </w:p>
    <w:p>
      <w:pPr>
        <w:ind w:right="240"/>
        <w:spacing w:after="0" w:line="329" w:lineRule="auto"/>
        <w:rPr>
          <w:sz w:val="20"/>
          <w:szCs w:val="20"/>
          <w:color w:val="auto"/>
        </w:rPr>
      </w:pPr>
      <w:r>
        <w:rPr>
          <w:rFonts w:ascii="Arial" w:cs="Arial" w:eastAsia="Arial" w:hAnsi="Arial"/>
          <w:sz w:val="17"/>
          <w:szCs w:val="17"/>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2020</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14605</wp:posOffset>
            </wp:positionV>
            <wp:extent cx="59321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and Chief Executive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14605</wp:posOffset>
            </wp:positionV>
            <wp:extent cx="59321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666115</wp:posOffset>
            </wp:positionV>
            <wp:extent cx="596646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sectPr>
      <w:pgSz w:w="11900" w:h="16838" w:orient="portrait"/>
      <w:cols w:equalWidth="0" w:num="1">
        <w:col w:w="9400"/>
      </w:cols>
      <w:pgMar w:left="1240" w:top="405"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lowerRoman"/>
      <w:start w:val="1"/>
    </w:lvl>
  </w:abstractNum>
  <w:abstractNum w:abstractNumId="6">
    <w:nsid w:val="25E45D32"/>
    <w:multiLevelType w:val="hybridMultilevel"/>
    <w:lvl w:ilvl="0">
      <w:lvlJc w:val="left"/>
      <w:lvlText w:val="(%1)"/>
      <w:numFmt w:val="lowerRoman"/>
      <w:start w:val="1"/>
    </w:lvl>
  </w:abstractNum>
  <w:abstractNum w:abstractNumId="7">
    <w:nsid w:val="519B500D"/>
    <w:multiLevelType w:val="hybridMultilevel"/>
    <w:lvl w:ilvl="0">
      <w:lvlJc w:val="left"/>
      <w:lvlText w:val="%1."/>
      <w:numFmt w:val="decimal"/>
      <w:start w:val="10"/>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7"/>
    </w:lvl>
  </w:abstractNum>
  <w:abstractNum w:abstractNumId="17">
    <w:nsid w:val="2443A858"/>
    <w:multiLevelType w:val="hybridMultilevel"/>
    <w:lvl w:ilvl="0">
      <w:lvlJc w:val="left"/>
      <w:lvlText w:val="(%1)"/>
      <w:numFmt w:val="lowerRoman"/>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5"/>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5"/>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3" Type="http://schemas.openxmlformats.org/officeDocument/2006/relationships/hyperlink" Target="https://www.sec.gov/Archives/edgar/data/1606366/000119312514332367/d779664dex31.htm" TargetMode="External"/><Relationship Id="rId64" Type="http://schemas.openxmlformats.org/officeDocument/2006/relationships/hyperlink" Target="https://www.sec.gov/Archives/edgar/data/1606366/000119312514332367/d77966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2020-07-31T14:22:41Z</dcterms:created>
  <dcterms:modified xsi:type="dcterms:W3CDTF">2020-07-31T14:22:41Z</dcterms:modified>
</cp:coreProperties>
</file>