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111760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86360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720" w:right="240" w:hanging="652"/>
        <w:spacing w:after="0" w:line="273" w:lineRule="auto"/>
        <w:tabs>
          <w:tab w:leader="none" w:pos="7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29, 2023</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3" w:lineRule="exact"/>
        <w:rPr>
          <w:sz w:val="24"/>
          <w:szCs w:val="24"/>
          <w:color w:val="auto"/>
        </w:rPr>
      </w:pPr>
    </w:p>
    <w:p>
      <w:pPr>
        <w:ind w:left="720" w:right="220" w:hanging="645"/>
        <w:spacing w:after="0" w:line="272" w:lineRule="auto"/>
        <w:tabs>
          <w:tab w:leader="none" w:pos="7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9" w:lineRule="exact"/>
        <w:rPr>
          <w:sz w:val="24"/>
          <w:szCs w:val="24"/>
          <w:color w:val="auto"/>
        </w:rPr>
      </w:pPr>
    </w:p>
    <w:p>
      <w:pPr>
        <w:ind w:left="3140"/>
        <w:spacing w:after="0"/>
        <w:tabs>
          <w:tab w:leader="none" w:pos="61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EL POLLO LOCO HOLDINGS,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111760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20" w:type="dxa"/>
        <w:tblCellMar>
          <w:top w:w="0" w:type="dxa"/>
          <w:left w:w="0" w:type="dxa"/>
          <w:bottom w:w="0" w:type="dxa"/>
          <w:right w:w="0" w:type="dxa"/>
        </w:tblCellMar>
      </w:tblPr>
      <w:tr>
        <w:trPr>
          <w:trHeight w:val="198"/>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6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20-3563182</w:t>
            </w:r>
          </w:p>
        </w:tc>
      </w:tr>
      <w:tr>
        <w:trPr>
          <w:trHeight w:val="166"/>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549"/>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3535 Harbor Blvd., Suite 100, Costa Mesa, California</w:t>
            </w:r>
          </w:p>
        </w:tc>
        <w:tc>
          <w:tcPr>
            <w:tcW w:w="2060" w:type="dxa"/>
            <w:vAlign w:val="bottom"/>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92626</w:t>
            </w:r>
          </w:p>
        </w:tc>
      </w:tr>
      <w:tr>
        <w:trPr>
          <w:trHeight w:val="166"/>
        </w:trPr>
        <w:tc>
          <w:tcPr>
            <w:tcW w:w="6060" w:type="dxa"/>
            <w:vAlign w:val="bottom"/>
          </w:tcPr>
          <w:p>
            <w:pPr>
              <w:jc w:val="center"/>
              <w:ind w:right="226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55"/>
        </w:trPr>
        <w:tc>
          <w:tcPr>
            <w:tcW w:w="6060" w:type="dxa"/>
            <w:vAlign w:val="bottom"/>
          </w:tcPr>
          <w:p>
            <w:pPr>
              <w:jc w:val="right"/>
              <w:ind w:right="968"/>
              <w:spacing w:after="0"/>
              <w:rPr>
                <w:sz w:val="20"/>
                <w:szCs w:val="20"/>
                <w:color w:val="auto"/>
              </w:rPr>
            </w:pPr>
            <w:r>
              <w:rPr>
                <w:rFonts w:ascii="Times New Roman" w:cs="Times New Roman" w:eastAsia="Times New Roman" w:hAnsi="Times New Roman"/>
                <w:sz w:val="16"/>
                <w:szCs w:val="16"/>
                <w:b w:val="1"/>
                <w:bCs w:val="1"/>
                <w:color w:val="auto"/>
              </w:rPr>
              <w:t>(714) 599-5000</w:t>
            </w:r>
          </w:p>
        </w:tc>
        <w:tc>
          <w:tcPr>
            <w:tcW w:w="2060" w:type="dxa"/>
            <w:vAlign w:val="bottom"/>
          </w:tcPr>
          <w:p>
            <w:pPr>
              <w:spacing w:after="0"/>
              <w:rPr>
                <w:sz w:val="24"/>
                <w:szCs w:val="24"/>
                <w:color w:val="auto"/>
              </w:rPr>
            </w:pPr>
          </w:p>
        </w:tc>
      </w:tr>
      <w:tr>
        <w:trPr>
          <w:trHeight w:val="166"/>
        </w:trPr>
        <w:tc>
          <w:tcPr>
            <w:tcW w:w="6060" w:type="dxa"/>
            <w:vAlign w:val="bottom"/>
          </w:tcPr>
          <w:p>
            <w:pPr>
              <w:jc w:val="center"/>
              <w:ind w:left="286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060" w:type="dxa"/>
            <w:vAlign w:val="bottom"/>
          </w:tcPr>
          <w:p>
            <w:pPr>
              <w:spacing w:after="0"/>
              <w:rPr>
                <w:sz w:val="14"/>
                <w:szCs w:val="14"/>
                <w:color w:val="auto"/>
              </w:rPr>
            </w:pPr>
          </w:p>
        </w:tc>
      </w:tr>
    </w:tbl>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LOCO</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196850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both"/>
        <w:ind w:left="20" w:right="160" w:firstLine="506"/>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3" w:lineRule="exact"/>
        <w:rPr>
          <w:sz w:val="24"/>
          <w:szCs w:val="24"/>
          <w:color w:val="auto"/>
        </w:rPr>
      </w:pPr>
    </w:p>
    <w:p>
      <w:pPr>
        <w:ind w:left="20" w:right="40" w:firstLine="506"/>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20" w:hanging="229"/>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8" w:lineRule="exact"/>
        <w:rPr>
          <w:sz w:val="24"/>
          <w:szCs w:val="24"/>
          <w:color w:val="auto"/>
        </w:rPr>
      </w:pPr>
    </w:p>
    <w:p>
      <w:pPr>
        <w:ind w:left="20" w:right="80" w:firstLine="50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6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0" w:lineRule="exact"/>
        <w:rPr>
          <w:sz w:val="24"/>
          <w:szCs w:val="24"/>
          <w:color w:val="auto"/>
        </w:rPr>
      </w:pPr>
    </w:p>
    <w:p>
      <w:pPr>
        <w:ind w:left="20" w:right="60" w:firstLine="506"/>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520" w:right="1200"/>
        <w:spacing w:after="0" w:line="25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April 28, 2023, there were 36,025,228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664210</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64135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7340" w:type="dxa"/>
            <w:vAlign w:val="bottom"/>
            <w:gridSpan w:val="20"/>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122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60" w:type="dxa"/>
            <w:vAlign w:val="bottom"/>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138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Item 1. Financial Statements.</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080" w:type="dxa"/>
            <w:vAlign w:val="bottom"/>
            <w:tcBorders>
              <w:bottom w:val="single" w:sz="8" w:color="0000EE"/>
            </w:tcBorders>
            <w:gridSpan w:val="8"/>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480" w:type="dxa"/>
            <w:vAlign w:val="bottom"/>
            <w:vMerge w:val="restart"/>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40" w:type="dxa"/>
            <w:vAlign w:val="bottom"/>
            <w:tcBorders>
              <w:bottom w:val="single" w:sz="8" w:color="0000EE"/>
            </w:tcBorders>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3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(Unaudited)</w:t>
            </w: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tcBorders>
              <w:bottom w:val="single" w:sz="8" w:color="0000EE"/>
            </w:tcBorders>
            <w:gridSpan w:val="14"/>
            <w:vMerge w:val="continue"/>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(Unaudited)</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Borders>
              <w:bottom w:val="single" w:sz="8" w:color="0000EE"/>
            </w:tcBorders>
            <w:gridSpan w:val="19"/>
            <w:vMerge w:val="continue"/>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1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w:t>
            </w: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bottom w:val="single" w:sz="8" w:color="0000EE"/>
            </w:tcBorders>
            <w:gridSpan w:val="20"/>
            <w:vMerge w:val="continue"/>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26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40" w:type="dxa"/>
            <w:vAlign w:val="bottom"/>
            <w:tcBorders>
              <w:bottom w:val="single" w:sz="8" w:color="0000EE"/>
            </w:tcBorders>
            <w:gridSpan w:val="17"/>
            <w:vMerge w:val="continue"/>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9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1800" w:type="dxa"/>
            <w:vAlign w:val="bottom"/>
            <w:gridSpan w:val="3"/>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tcBorders>
              <w:bottom w:val="single" w:sz="8" w:color="0000EE"/>
            </w:tcBorders>
            <w:gridSpan w:val="18"/>
            <w:vMerge w:val="continue"/>
          </w:tcPr>
          <w:p>
            <w:pPr>
              <w:spacing w:after="0"/>
              <w:rPr>
                <w:sz w:val="15"/>
                <w:szCs w:val="15"/>
                <w:color w:val="auto"/>
              </w:rPr>
            </w:pPr>
          </w:p>
        </w:tc>
        <w:tc>
          <w:tcPr>
            <w:tcW w:w="1800" w:type="dxa"/>
            <w:vAlign w:val="bottom"/>
            <w:gridSpan w:val="3"/>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61"/>
        </w:trPr>
        <w:tc>
          <w:tcPr>
            <w:tcW w:w="70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040" w:type="dxa"/>
            <w:vAlign w:val="bottom"/>
            <w:tcBorders>
              <w:bottom w:val="single" w:sz="8" w:color="0000EE"/>
            </w:tcBorders>
            <w:gridSpan w:val="23"/>
            <w:vMerge w:val="continue"/>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49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gridSpan w:val="5"/>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60" w:type="dxa"/>
            <w:vAlign w:val="bottom"/>
            <w:tcBorders>
              <w:bottom w:val="single" w:sz="8" w:color="0000EE"/>
            </w:tcBorders>
            <w:gridSpan w:val="18"/>
            <w:vMerge w:val="continue"/>
          </w:tcPr>
          <w:p>
            <w:pPr>
              <w:spacing w:after="0"/>
              <w:rPr>
                <w:sz w:val="15"/>
                <w:szCs w:val="15"/>
                <w:color w:val="auto"/>
              </w:rPr>
            </w:pPr>
          </w:p>
        </w:tc>
        <w:tc>
          <w:tcPr>
            <w:tcW w:w="3460" w:type="dxa"/>
            <w:vAlign w:val="bottom"/>
            <w:gridSpan w:val="6"/>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61"/>
        </w:trPr>
        <w:tc>
          <w:tcPr>
            <w:tcW w:w="2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3460" w:type="dxa"/>
            <w:vAlign w:val="bottom"/>
            <w:gridSpan w:val="6"/>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380" w:type="dxa"/>
            <w:vAlign w:val="bottom"/>
            <w:tcBorders>
              <w:bottom w:val="single" w:sz="8" w:color="0000EE"/>
            </w:tcBorders>
            <w:gridSpan w:val="11"/>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26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6"/>
              </w:rPr>
              <w:t>PART II—OTHER INFORMATION</w:t>
            </w: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2640" w:type="dxa"/>
            <w:vAlign w:val="bottom"/>
            <w:tcBorders>
              <w:bottom w:val="single" w:sz="8" w:color="0000EE"/>
            </w:tcBorders>
            <w:gridSpan w:val="12"/>
            <w:vMerge w:val="continue"/>
          </w:tcPr>
          <w:p>
            <w:pPr>
              <w:spacing w:after="0"/>
              <w:rPr>
                <w:sz w:val="24"/>
                <w:szCs w:val="24"/>
                <w:color w:val="auto"/>
              </w:rPr>
            </w:pPr>
          </w:p>
        </w:tc>
        <w:tc>
          <w:tcPr>
            <w:tcW w:w="280" w:type="dxa"/>
            <w:vAlign w:val="bottom"/>
            <w:vMerge w:val="restart"/>
          </w:tcPr>
          <w:p>
            <w:pPr>
              <w:spacing w:after="0"/>
              <w:rPr>
                <w:sz w:val="24"/>
                <w:szCs w:val="24"/>
                <w:color w:val="auto"/>
              </w:rPr>
            </w:pPr>
          </w:p>
        </w:tc>
        <w:tc>
          <w:tcPr>
            <w:tcW w:w="2020" w:type="dxa"/>
            <w:vAlign w:val="bottom"/>
            <w:gridSpan w:val="4"/>
            <w:vMerge w:val="restart"/>
          </w:tcPr>
          <w:p>
            <w:pPr>
              <w:spacing w:after="0"/>
              <w:rPr>
                <w:sz w:val="24"/>
                <w:szCs w:val="24"/>
                <w:color w:val="auto"/>
              </w:rPr>
            </w:pPr>
          </w:p>
        </w:tc>
        <w:tc>
          <w:tcPr>
            <w:tcW w:w="34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19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Item 1. Legal Proceedings.</w:t>
            </w:r>
          </w:p>
        </w:tc>
        <w:tc>
          <w:tcPr>
            <w:tcW w:w="44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20" w:type="dxa"/>
            <w:vAlign w:val="bottom"/>
            <w:tcBorders>
              <w:bottom w:val="single" w:sz="8" w:color="0000EE"/>
            </w:tcBorders>
            <w:gridSpan w:val="8"/>
            <w:vMerge w:val="continue"/>
          </w:tcPr>
          <w:p>
            <w:pPr>
              <w:spacing w:after="0"/>
              <w:rPr>
                <w:sz w:val="15"/>
                <w:szCs w:val="15"/>
                <w:color w:val="auto"/>
              </w:rPr>
            </w:pPr>
          </w:p>
        </w:tc>
        <w:tc>
          <w:tcPr>
            <w:tcW w:w="440" w:type="dxa"/>
            <w:vAlign w:val="bottom"/>
            <w:gridSpan w:val="2"/>
            <w:vMerge w:val="restart"/>
          </w:tcPr>
          <w:p>
            <w:pPr>
              <w:spacing w:after="0"/>
              <w:rPr>
                <w:sz w:val="15"/>
                <w:szCs w:val="15"/>
                <w:color w:val="auto"/>
              </w:rPr>
            </w:pPr>
          </w:p>
        </w:tc>
        <w:tc>
          <w:tcPr>
            <w:tcW w:w="560" w:type="dxa"/>
            <w:vAlign w:val="bottom"/>
            <w:gridSpan w:val="3"/>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16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7"/>
              </w:rPr>
              <w:t>Item 1A. Risk Factors.</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0000EE"/>
            </w:tcBorders>
            <w:gridSpan w:val="6"/>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560" w:type="dxa"/>
            <w:vAlign w:val="bottom"/>
            <w:gridSpan w:val="3"/>
          </w:tcPr>
          <w:p>
            <w:pPr>
              <w:spacing w:after="0"/>
              <w:rPr>
                <w:sz w:val="15"/>
                <w:szCs w:val="15"/>
                <w:color w:val="auto"/>
              </w:rPr>
            </w:pPr>
          </w:p>
        </w:tc>
        <w:tc>
          <w:tcPr>
            <w:tcW w:w="2020" w:type="dxa"/>
            <w:vAlign w:val="bottom"/>
            <w:gridSpan w:val="4"/>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49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940" w:type="dxa"/>
            <w:vAlign w:val="bottom"/>
            <w:tcBorders>
              <w:bottom w:val="single" w:sz="8" w:color="0000EE"/>
            </w:tcBorders>
            <w:gridSpan w:val="17"/>
            <w:vMerge w:val="continue"/>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292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2020" w:type="dxa"/>
            <w:vAlign w:val="bottom"/>
            <w:gridSpan w:val="4"/>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920" w:type="dxa"/>
            <w:vAlign w:val="bottom"/>
            <w:tcBorders>
              <w:bottom w:val="single" w:sz="8" w:color="0000EE"/>
            </w:tcBorders>
            <w:gridSpan w:val="13"/>
            <w:vMerge w:val="continue"/>
          </w:tcPr>
          <w:p>
            <w:pPr>
              <w:spacing w:after="0"/>
              <w:rPr>
                <w:sz w:val="15"/>
                <w:szCs w:val="15"/>
                <w:color w:val="auto"/>
              </w:rPr>
            </w:pPr>
          </w:p>
        </w:tc>
        <w:tc>
          <w:tcPr>
            <w:tcW w:w="5500" w:type="dxa"/>
            <w:vAlign w:val="bottom"/>
            <w:gridSpan w:val="1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23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560" w:type="dxa"/>
            <w:vAlign w:val="bottom"/>
            <w:gridSpan w:val="3"/>
          </w:tcPr>
          <w:p>
            <w:pPr>
              <w:spacing w:after="0"/>
              <w:rPr>
                <w:sz w:val="5"/>
                <w:szCs w:val="5"/>
                <w:color w:val="auto"/>
              </w:rPr>
            </w:pPr>
          </w:p>
        </w:tc>
        <w:tc>
          <w:tcPr>
            <w:tcW w:w="5500" w:type="dxa"/>
            <w:vAlign w:val="bottom"/>
            <w:gridSpan w:val="1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0000EE"/>
            </w:tcBorders>
            <w:gridSpan w:val="10"/>
            <w:vMerge w:val="continue"/>
          </w:tcPr>
          <w:p>
            <w:pPr>
              <w:spacing w:after="0"/>
              <w:rPr>
                <w:sz w:val="15"/>
                <w:szCs w:val="15"/>
                <w:color w:val="auto"/>
              </w:rPr>
            </w:pPr>
          </w:p>
        </w:tc>
        <w:tc>
          <w:tcPr>
            <w:tcW w:w="6060" w:type="dxa"/>
            <w:vAlign w:val="bottom"/>
            <w:gridSpan w:val="14"/>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19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Item 5. Other Information.</w:t>
            </w:r>
          </w:p>
        </w:tc>
        <w:tc>
          <w:tcPr>
            <w:tcW w:w="460" w:type="dxa"/>
            <w:vAlign w:val="bottom"/>
            <w:gridSpan w:val="3"/>
          </w:tcPr>
          <w:p>
            <w:pPr>
              <w:spacing w:after="0"/>
              <w:rPr>
                <w:sz w:val="5"/>
                <w:szCs w:val="5"/>
                <w:color w:val="auto"/>
              </w:rPr>
            </w:pPr>
          </w:p>
        </w:tc>
        <w:tc>
          <w:tcPr>
            <w:tcW w:w="6060" w:type="dxa"/>
            <w:vAlign w:val="bottom"/>
            <w:gridSpan w:val="14"/>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0000EE"/>
            </w:tcBorders>
            <w:gridSpan w:val="7"/>
            <w:vMerge w:val="continue"/>
          </w:tcPr>
          <w:p>
            <w:pPr>
              <w:spacing w:after="0"/>
              <w:rPr>
                <w:sz w:val="15"/>
                <w:szCs w:val="15"/>
                <w:color w:val="auto"/>
              </w:rPr>
            </w:pPr>
          </w:p>
        </w:tc>
        <w:tc>
          <w:tcPr>
            <w:tcW w:w="6520" w:type="dxa"/>
            <w:vAlign w:val="bottom"/>
            <w:gridSpan w:val="1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11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6"/>
              </w:rPr>
              <w:t>Item 6. Exhibits.</w:t>
            </w:r>
          </w:p>
        </w:tc>
        <w:tc>
          <w:tcPr>
            <w:tcW w:w="720" w:type="dxa"/>
            <w:vAlign w:val="bottom"/>
            <w:gridSpan w:val="2"/>
          </w:tcPr>
          <w:p>
            <w:pPr>
              <w:spacing w:after="0"/>
              <w:rPr>
                <w:sz w:val="5"/>
                <w:szCs w:val="5"/>
                <w:color w:val="auto"/>
              </w:rPr>
            </w:pPr>
          </w:p>
        </w:tc>
        <w:tc>
          <w:tcPr>
            <w:tcW w:w="6520" w:type="dxa"/>
            <w:vAlign w:val="bottom"/>
            <w:gridSpan w:val="1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80" w:type="dxa"/>
            <w:vAlign w:val="bottom"/>
            <w:tcBorders>
              <w:bottom w:val="single" w:sz="8" w:color="0000EE"/>
            </w:tcBorders>
            <w:gridSpan w:val="5"/>
            <w:vMerge w:val="continue"/>
          </w:tcPr>
          <w:p>
            <w:pPr>
              <w:spacing w:after="0"/>
              <w:rPr>
                <w:sz w:val="15"/>
                <w:szCs w:val="15"/>
                <w:color w:val="auto"/>
              </w:rPr>
            </w:pPr>
          </w:p>
        </w:tc>
        <w:tc>
          <w:tcPr>
            <w:tcW w:w="7240" w:type="dxa"/>
            <w:vAlign w:val="bottom"/>
            <w:gridSpan w:val="19"/>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4"/>
              </w:rPr>
              <w:t>Signatures</w:t>
            </w:r>
          </w:p>
        </w:tc>
        <w:tc>
          <w:tcPr>
            <w:tcW w:w="440" w:type="dxa"/>
            <w:vAlign w:val="bottom"/>
            <w:gridSpan w:val="2"/>
          </w:tcPr>
          <w:p>
            <w:pPr>
              <w:spacing w:after="0"/>
              <w:rPr>
                <w:sz w:val="5"/>
                <w:szCs w:val="5"/>
                <w:color w:val="auto"/>
              </w:rPr>
            </w:pPr>
          </w:p>
        </w:tc>
        <w:tc>
          <w:tcPr>
            <w:tcW w:w="7240" w:type="dxa"/>
            <w:vAlign w:val="bottom"/>
            <w:gridSpan w:val="19"/>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40" w:type="dxa"/>
            <w:vAlign w:val="bottom"/>
            <w:tcBorders>
              <w:bottom w:val="single" w:sz="8" w:color="0000EE"/>
            </w:tcBorders>
            <w:gridSpan w:val="3"/>
            <w:vMerge w:val="continue"/>
          </w:tcPr>
          <w:p>
            <w:pPr>
              <w:spacing w:after="0"/>
              <w:rPr>
                <w:sz w:val="15"/>
                <w:szCs w:val="15"/>
                <w:color w:val="auto"/>
              </w:rPr>
            </w:pPr>
          </w:p>
        </w:tc>
        <w:tc>
          <w:tcPr>
            <w:tcW w:w="7680" w:type="dxa"/>
            <w:vAlign w:val="bottom"/>
            <w:gridSpan w:val="2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1"/>
        </w:trPr>
        <w:tc>
          <w:tcPr>
            <w:tcW w:w="740" w:type="dxa"/>
            <w:vAlign w:val="bottom"/>
            <w:gridSpan w:val="3"/>
          </w:tcPr>
          <w:p>
            <w:pPr>
              <w:spacing w:after="0"/>
              <w:rPr>
                <w:sz w:val="5"/>
                <w:szCs w:val="5"/>
                <w:color w:val="auto"/>
              </w:rPr>
            </w:pPr>
          </w:p>
        </w:tc>
        <w:tc>
          <w:tcPr>
            <w:tcW w:w="7680" w:type="dxa"/>
            <w:vAlign w:val="bottom"/>
            <w:gridSpan w:val="2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left="1580" w:right="1600"/>
        <w:spacing w:after="0" w:line="385" w:lineRule="auto"/>
        <w:rPr>
          <w:sz w:val="20"/>
          <w:szCs w:val="20"/>
          <w:color w:val="auto"/>
        </w:rPr>
      </w:pPr>
      <w:r>
        <w:rPr>
          <w:rFonts w:ascii="Times New Roman" w:cs="Times New Roman" w:eastAsia="Times New Roman" w:hAnsi="Times New Roman"/>
          <w:sz w:val="18"/>
          <w:szCs w:val="18"/>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20" w:type="dxa"/>
            <w:vAlign w:val="bottom"/>
          </w:tcPr>
          <w:p>
            <w:pPr>
              <w:spacing w:after="0"/>
              <w:rPr>
                <w:sz w:val="12"/>
                <w:szCs w:val="12"/>
                <w:color w:val="auto"/>
              </w:rPr>
            </w:pPr>
          </w:p>
        </w:tc>
        <w:tc>
          <w:tcPr>
            <w:tcW w:w="1000" w:type="dxa"/>
            <w:vAlign w:val="bottom"/>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6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20,493</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 net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10,084</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23,934</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37,449</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78,644</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finance lease, net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operating leases, net ("ROU asset")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170,762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165,584</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w:t>
            </w:r>
          </w:p>
        </w:tc>
      </w:tr>
      <w:tr>
        <w:trPr>
          <w:trHeight w:val="23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590,325</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597,218</w:t>
            </w:r>
          </w:p>
        </w:tc>
      </w:tr>
      <w:tr>
        <w:trPr>
          <w:trHeight w:val="183"/>
        </w:trPr>
        <w:tc>
          <w:tcPr>
            <w:tcW w:w="63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19,995</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8,873</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 payable</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income tax receivable agreement payable</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15,120</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68,513</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loan</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net of current portion</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net of current portion</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170,779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165,149</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 agreement payable, net of current portion</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5,856</w:t>
            </w: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309,781</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316,070</w:t>
            </w:r>
          </w:p>
        </w:tc>
      </w:tr>
      <w:tr>
        <w:trPr>
          <w:trHeight w:val="19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7)</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 or outstanding</w:t>
            </w:r>
          </w:p>
        </w:tc>
        <w:tc>
          <w:tcPr>
            <w:tcW w:w="16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$0.01 par value, 200,000,000 shares authorized; 36,450,477 and 37,008,061</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March 29, 2023 and December 28, 2022,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286,791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292,244</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(6,674)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(11,592)</w:t>
            </w: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280,544</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281,148</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590,325</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597,218</w:t>
            </w: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paper cost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recovery of insurance proceeds, lost profits, net</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recovery of insurance proceeds, property, equipment and expenses</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36,234,105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36,225,747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36,480,354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220" w:type="dxa"/>
            <w:vAlign w:val="bottom"/>
          </w:tcPr>
          <w:p>
            <w:pPr>
              <w:spacing w:after="0"/>
              <w:rPr>
                <w:sz w:val="12"/>
                <w:szCs w:val="12"/>
                <w:color w:val="auto"/>
              </w:rPr>
            </w:pP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net gains arising during the period from interest rate swap</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Pr>
          <w:p>
            <w:pPr>
              <w:spacing w:after="0"/>
              <w:rPr>
                <w:sz w:val="18"/>
                <w:szCs w:val="18"/>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 of (gains) losses into net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March 29, 2023</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2"/>
                <w:szCs w:val="12"/>
                <w:color w:val="auto"/>
              </w:rPr>
            </w:pPr>
          </w:p>
        </w:tc>
        <w:tc>
          <w:tcPr>
            <w:tcW w:w="72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28,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37,008,061</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$ 292,244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281,148</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(552,349)</w:t>
            </w:r>
          </w:p>
        </w:tc>
        <w:tc>
          <w:tcPr>
            <w:tcW w:w="3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(6,205)</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 stock - excise</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(9,579)</w:t>
            </w:r>
          </w:p>
        </w:tc>
        <w:tc>
          <w:tcPr>
            <w:tcW w:w="30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29,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36,450,477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$ 286,791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March 30, 2022</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2"/>
                <w:szCs w:val="12"/>
                <w:color w:val="auto"/>
              </w:rPr>
            </w:pPr>
          </w:p>
        </w:tc>
        <w:tc>
          <w:tcPr>
            <w:tcW w:w="72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29,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36,601,648</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$ 342,941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36,743,496</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$ 345,296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(30,278)</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315,606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top w:val="single" w:sz="8" w:color="auto"/>
            </w:tcBorders>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March 30, 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 agreement income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Fire insurance proceeds for expenses paid and lost profit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recovery of insurance proceeds, property, equipment and expenses, net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disposition of restaurants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03"/>
        </w:trPr>
        <w:tc>
          <w:tcPr>
            <w:tcW w:w="6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03"/>
        </w:trPr>
        <w:tc>
          <w:tcPr>
            <w:tcW w:w="6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3"/>
        </w:trPr>
        <w:tc>
          <w:tcPr>
            <w:tcW w:w="6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(1,733)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(5,302)</w:t>
            </w:r>
          </w:p>
        </w:tc>
        <w:tc>
          <w:tcPr>
            <w:tcW w:w="0" w:type="dxa"/>
            <w:vAlign w:val="bottom"/>
          </w:tcPr>
          <w:p>
            <w:pPr>
              <w:spacing w:after="0"/>
              <w:rPr>
                <w:sz w:val="1"/>
                <w:szCs w:val="1"/>
                <w:color w:val="auto"/>
              </w:rPr>
            </w:pPr>
          </w:p>
        </w:tc>
      </w:tr>
      <w:tr>
        <w:trPr>
          <w:trHeight w:val="203"/>
        </w:trPr>
        <w:tc>
          <w:tcPr>
            <w:tcW w:w="6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insurance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accrued expenses and liabilities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(2,164)</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flows provided by (used in) operating activities</w:t>
            </w:r>
          </w:p>
        </w:tc>
        <w:tc>
          <w:tcPr>
            <w:tcW w:w="3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3,819</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disposition of restaurants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fire insurance for property and equipment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(5,980)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revolver and swingline loan</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(5,848)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 net of expenses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obligations under finance leases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flows (used in) provided by financing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(15,704)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w:t>
            </w:r>
            <w:r>
              <w:rPr>
                <w:rFonts w:ascii="Times New Roman" w:cs="Times New Roman" w:eastAsia="Times New Roman" w:hAnsi="Times New Roman"/>
                <w:sz w:val="16"/>
                <w:szCs w:val="16"/>
                <w:color w:val="auto"/>
              </w:rPr>
              <w:t>beginning of period</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20,493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30,046</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w:t>
            </w:r>
            <w:r>
              <w:rPr>
                <w:rFonts w:ascii="Times New Roman" w:cs="Times New Roman" w:eastAsia="Times New Roman" w:hAnsi="Times New Roman"/>
                <w:sz w:val="16"/>
                <w:szCs w:val="16"/>
                <w:color w:val="auto"/>
              </w:rPr>
              <w:t>end of period</w:t>
            </w:r>
          </w:p>
        </w:tc>
        <w:tc>
          <w:tcPr>
            <w:tcW w:w="32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4,789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25,451</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9"/>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420" w:type="dxa"/>
            <w:vAlign w:val="bottom"/>
            <w:tcBorders>
              <w:top w:val="single" w:sz="8" w:color="auto"/>
            </w:tcBorders>
            <w:gridSpan w:val="5"/>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repurchases of common stock</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60" w:right="1359" w:hanging="10"/>
        <w:spacing w:after="0" w:line="503" w:lineRule="auto"/>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Overview</w:t>
      </w: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wholly-owned subsidiary, El Pollo Loco, Inc. (“EPL”), which develops, franchises, licenses, and operates quick-service restaurants under the name El Pollo Loco® and operates under one operating segment. At March 29, 2023, the Company operated 187 and franchised 303 El Pollo Loco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28, 2022.</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the calendar year. In a 52-week</w:t>
      </w:r>
    </w:p>
    <w:p>
      <w:pPr>
        <w:spacing w:after="0" w:line="27"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fiscal year, each quarter includes 13 weeks of operations; in a 53-week fiscal year, the first, second and third quarters each include 13 weeks of operations, and the fourth quarter includes 14 weeks of operations. Every six or seven years, a 53-week fiscal year occurs. Fiscal 2023 and 2022 are both 52-week years, ending on December 27, 2023 and December 28, 2022, respectively. Revenues, expenses, and other financial and operational figures may be elevated in a 53-week year.</w:t>
      </w:r>
    </w:p>
    <w:p>
      <w:pPr>
        <w:spacing w:after="0" w:line="17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Holdings has no material assets or operations. Holdings and Holdings’ direct subsidiary, EPL Intermediate, Inc. (“Intermediate”), guarantee EPL’s 2022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2022 Revolver (as defined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left="60" w:right="339"/>
        <w:spacing w:after="0" w:line="255" w:lineRule="auto"/>
        <w:rPr>
          <w:sz w:val="20"/>
          <w:szCs w:val="20"/>
          <w:color w:val="auto"/>
        </w:rPr>
      </w:pPr>
      <w:r>
        <w:rPr>
          <w:rFonts w:ascii="Times New Roman" w:cs="Times New Roman" w:eastAsia="Times New Roman" w:hAnsi="Times New Roman"/>
          <w:sz w:val="18"/>
          <w:szCs w:val="18"/>
          <w:color w:val="auto"/>
        </w:rPr>
        <w:t>The Company may face future business disruption and related risks resulting from the uncertainty regarding a potential resurgence of the COVID-19 pandemic or another pandemic, epidemic or infectious disease outbreak, or from broader macroeconomic trends, any of which could have a significant impact on our business. During the thirteen weeks ended March 29, 2023, the Company incurred $0.1 million in COVID-19 related expenses, primarily due to leaves of absence. During the thirteen weeks ended March 30, 2022, the Company incurred $2.3 million in COVID-19 related expenses, primarily due to leaves of absence and overtime pay. While the Company continues to experience staffing challenges, higher wages, overtime costs and increased commodity prices, these cost pressures are starting to moderate.</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While the Company believes the trend towards more moderate labor related costs and less inflationary pressure continues, the Company cannot determine the ultimate impact of a potential resurgence of the COVID-19 pandemic (and related economic effects) and the current macroeconomic environment will have on the Company’s condensed consolidated financial condition, liquidity, and future results of operations. Therefore any prediction as to the ultimate materiality of the adverse impact on the Company’s condensed consolidated financial condition, liquidity, and future results of operations is uncertain.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 considers all liquid instruments with an original maturity of three months or less at the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principal liquidity and capital requirements are new restaurants, existing restaurant capital investments (remodels and maintenance), interest payments on its debt, lease obligations and working capital and general corporate needs. At March 29, 2023, the Company’s total debt was $58.0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$4.8 million at March 29, 2023 and the outstanding borrowing availability under the 2022 Revolver will be adequate to meet the Company’s liquidity needs for the next twelve months from the date of filing of these condensed consolidated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Subsequent to the quarter-end, the Company borrowed $2.0 million on its 2022 Revolver and outstanding borrowings as of May 4, 2023 were $60.0 million. Additionally, in an effort to reduce costs and redirect resources and to better support restaurant operations and future sales growth, on April 13, 2023 the Company made the decision to eliminate and restructure certain positions in the organization, which resulted in estimated one-time costs of approximately $1.1 million that will be recorded in the second quarter.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162"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Company had one supplier to whom amounts due totaled 21.5% and 41.7% of the Company’s accounts payable at March 29, 2023 and December 28, 2022, respectively. Purchases from the Company’s largest supplier totaled 26.5% of total expenses for the thirteen weeks ended March 29, 2023 and 29.7% of total expenses for the thirteen weeks ended March 30, 2022.</w:t>
      </w:r>
    </w:p>
    <w:p>
      <w:pPr>
        <w:spacing w:after="0" w:line="180"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Company-operated and franchised restaurants in the greater Los Angeles area generated, in the aggregate, approximately 70.7% of total revenue for the thirteen weeks ended March 29, 2023 and 70.8% for the thirteen weeks ended March 30, 2022,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 and Indefinite Lived Intangible Assets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The Company did not record any decrement to goodwill related to the disposition of restaurants in fiscal 2023 and 2022.</w:t>
      </w:r>
    </w:p>
    <w:p>
      <w:pPr>
        <w:spacing w:after="0" w:line="192"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Company performs an annual impairment test for goodwill during the fourth fiscal quarter of each year, or more frequently if impairment indicators arise.</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8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80"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ind w:left="60" w:right="699"/>
        <w:spacing w:after="0" w:line="289" w:lineRule="auto"/>
        <w:rPr>
          <w:sz w:val="20"/>
          <w:szCs w:val="20"/>
          <w:color w:val="auto"/>
        </w:rPr>
      </w:pPr>
      <w:r>
        <w:rPr>
          <w:rFonts w:ascii="Times New Roman" w:cs="Times New Roman" w:eastAsia="Times New Roman" w:hAnsi="Times New Roman"/>
          <w:sz w:val="17"/>
          <w:szCs w:val="17"/>
          <w:color w:val="auto"/>
        </w:rPr>
        <w:t>The Company determined that there were no indicators of potential impairment of its goodwill and indefinite-lived intangible assets during the thirteen weeks ended March 29, 2023. Accordingly, the Company did not record any impairment to its goodwill or indefinite-lived intangible assets during the thirteen weeks ended March 29, 2023.</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when little or no market data is available.</w:t>
      </w:r>
    </w:p>
    <w:p>
      <w:pPr>
        <w:spacing w:after="0" w:line="200" w:lineRule="exact"/>
        <w:rPr>
          <w:sz w:val="20"/>
          <w:szCs w:val="20"/>
          <w:color w:val="auto"/>
        </w:rPr>
      </w:pPr>
    </w:p>
    <w:p>
      <w:pPr>
        <w:spacing w:after="0" w:line="241" w:lineRule="exact"/>
        <w:rPr>
          <w:sz w:val="20"/>
          <w:szCs w:val="20"/>
          <w:color w:val="auto"/>
        </w:rPr>
      </w:pPr>
    </w:p>
    <w:p>
      <w:pPr>
        <w:jc w:val="both"/>
        <w:ind w:left="60" w:right="400"/>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176" w:lineRule="exact"/>
        <w:rPr>
          <w:sz w:val="20"/>
          <w:szCs w:val="20"/>
          <w:color w:val="auto"/>
        </w:rPr>
      </w:pPr>
    </w:p>
    <w:p>
      <w:pPr>
        <w:ind w:left="60" w:right="220"/>
        <w:spacing w:after="0" w:line="261" w:lineRule="auto"/>
        <w:rPr>
          <w:sz w:val="20"/>
          <w:szCs w:val="20"/>
          <w:color w:val="auto"/>
        </w:rPr>
      </w:pPr>
      <w:r>
        <w:rPr>
          <w:rFonts w:ascii="Times New Roman" w:cs="Times New Roman" w:eastAsia="Times New Roman" w:hAnsi="Times New Roman"/>
          <w:sz w:val="18"/>
          <w:szCs w:val="18"/>
          <w:color w:val="auto"/>
        </w:rPr>
        <w:t>The following non-financial instruments were measured at fair value, on a nonrecurring basis, as of and for the thirteen weeks ended March 29, 2023, reflecting certain property and equipment assets and right-of-use (“ROU”) assets for which an impairment loss was recognized during the corresponding periods, as discussed under Note 2, “Property and Equipment” and immediately below under “Impairment of Long-Lived Assets and ROU Assets”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86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Impairment Losses</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ROU assets, net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sz w:val="20"/>
          <w:szCs w:val="20"/>
          <w:color w:val="auto"/>
        </w:rPr>
      </w:pPr>
    </w:p>
    <w:p>
      <w:pPr>
        <w:spacing w:after="0" w:line="214" w:lineRule="exact"/>
        <w:rPr>
          <w:sz w:val="20"/>
          <w:szCs w:val="20"/>
          <w:color w:val="auto"/>
        </w:rPr>
      </w:pPr>
    </w:p>
    <w:p>
      <w:pPr>
        <w:ind w:left="60" w:right="200"/>
        <w:spacing w:after="0" w:line="261" w:lineRule="auto"/>
        <w:rPr>
          <w:sz w:val="20"/>
          <w:szCs w:val="20"/>
          <w:color w:val="auto"/>
        </w:rPr>
      </w:pPr>
      <w:r>
        <w:rPr>
          <w:rFonts w:ascii="Times New Roman" w:cs="Times New Roman" w:eastAsia="Times New Roman" w:hAnsi="Times New Roman"/>
          <w:sz w:val="18"/>
          <w:szCs w:val="18"/>
          <w:color w:val="auto"/>
        </w:rPr>
        <w:t>The following non-financial instruments were measured at fair value on a nonrecurring basis as of and for the thirteen weeks ended March 30, 2022, reflecting certain property and equipment assets and ROU assets for which an impairment loss was recognized during the corresponding periods, as discussed immediately below under “Impairment of Long-Lived Assets and ROU Assets”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86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02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Impairment Losses</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property and equipment,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Assets and ROU Assets</w:t>
      </w:r>
    </w:p>
    <w:p>
      <w:pPr>
        <w:spacing w:after="0" w:line="229" w:lineRule="exact"/>
        <w:rPr>
          <w:sz w:val="20"/>
          <w:szCs w:val="20"/>
          <w:color w:val="auto"/>
        </w:rPr>
      </w:pPr>
    </w:p>
    <w:p>
      <w:pPr>
        <w:ind w:left="60" w:right="100"/>
        <w:spacing w:after="0" w:line="252" w:lineRule="auto"/>
        <w:rPr>
          <w:sz w:val="20"/>
          <w:szCs w:val="20"/>
          <w:color w:val="auto"/>
        </w:rPr>
      </w:pPr>
      <w:r>
        <w:rPr>
          <w:rFonts w:ascii="Times New Roman" w:cs="Times New Roman" w:eastAsia="Times New Roman" w:hAnsi="Times New Roman"/>
          <w:sz w:val="18"/>
          <w:szCs w:val="18"/>
          <w:color w:val="auto"/>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average unit volume for the last twelve months is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closed or been subleased and future estimated sublease income is less than lease payments under the head lease.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thirteen weeks ended March 29, 2023 that required an impairment review of certain of the Company’s long-lived and ROU assets. Based on the results of the analysis, the Company recorded non-cash impairment charges of less than $0.1 million for the thirteen weeks ended March 29, 2023, primarily related to the carrying value of the ROU assets of one restaurant in California.</w:t>
      </w:r>
    </w:p>
    <w:p>
      <w:pPr>
        <w:spacing w:after="0" w:line="192" w:lineRule="exact"/>
        <w:rPr>
          <w:sz w:val="20"/>
          <w:szCs w:val="20"/>
          <w:color w:val="auto"/>
        </w:rPr>
      </w:pPr>
    </w:p>
    <w:p>
      <w:pPr>
        <w:ind w:left="60" w:right="120"/>
        <w:spacing w:after="0" w:line="256" w:lineRule="auto"/>
        <w:rPr>
          <w:sz w:val="20"/>
          <w:szCs w:val="20"/>
          <w:color w:val="auto"/>
        </w:rPr>
      </w:pPr>
      <w:r>
        <w:rPr>
          <w:rFonts w:ascii="Times New Roman" w:cs="Times New Roman" w:eastAsia="Times New Roman" w:hAnsi="Times New Roman"/>
          <w:sz w:val="18"/>
          <w:szCs w:val="18"/>
          <w:color w:val="auto"/>
        </w:rPr>
        <w:t>The Company recorded a non-cash impairment charge of $0.1 million for the thirteen weeks ended March 30, 2022 primarily related to the long-lived assets of one restaurant in California. Given the inherent uncertainty in projecting results for newer restaurants in newer markets, as well as the impact of the COVID-19 pandemic (and related economic effects),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Closed-Store Reserves</w:t>
      </w:r>
    </w:p>
    <w:p>
      <w:pPr>
        <w:spacing w:after="0" w:line="229" w:lineRule="exact"/>
        <w:rPr>
          <w:sz w:val="20"/>
          <w:szCs w:val="20"/>
          <w:color w:val="auto"/>
        </w:rPr>
      </w:pPr>
    </w:p>
    <w:p>
      <w:pPr>
        <w:ind w:left="60" w:right="340"/>
        <w:spacing w:after="0" w:line="289" w:lineRule="auto"/>
        <w:rPr>
          <w:sz w:val="20"/>
          <w:szCs w:val="20"/>
          <w:color w:val="auto"/>
        </w:rPr>
      </w:pPr>
      <w:r>
        <w:rPr>
          <w:rFonts w:ascii="Times New Roman" w:cs="Times New Roman" w:eastAsia="Times New Roman" w:hAnsi="Times New Roman"/>
          <w:sz w:val="17"/>
          <w:szCs w:val="17"/>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w:t>
      </w:r>
    </w:p>
    <w:p>
      <w:pPr>
        <w:sectPr>
          <w:pgSz w:w="11900" w:h="16838" w:orient="portrait"/>
          <w:cols w:equalWidth="0" w:num="1">
            <w:col w:w="9040"/>
          </w:cols>
          <w:pgMar w:left="1440" w:top="513" w:right="1419" w:bottom="1440" w:gutter="0" w:footer="0" w:header="0"/>
        </w:sectPr>
      </w:pP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to closed restaurants are included within closed-store expense. During the thirteen weeks ended March 29, 2023, the Company recognized less than $0.1 million of closed-store reserve expense related to the amortization of ROU assets, property taxes and CAM payments for its closed locations. During the thirteen weeks ended March 30, 2022, the Company recognized less than $0.1 million of closed-store reserve expense primarily related to the amortization of ROU assets, property taxes and CAM payments for its closed locations.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used an interest rate swap, a derivative instrument, to hedge interest rate risk and not for trading purposes.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derivative contract was entered into with a financial institution. In connection with the Company’s entry into the 2022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Credit Agreement (as defined below), it terminated the interest rate swap on July 28, 2022.</w:t>
      </w:r>
    </w:p>
    <w:p>
      <w:pPr>
        <w:spacing w:after="0" w:line="20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 recorded the derivative instrument on its condensed consolidated balance sheets at fair value. The derivative instrument qualified as a hedging instrument in a qualifying cash flow hedge relationship, and the gain or loss on the derivative instrument was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Recovery of Insurance Proceeds, Lost Profits</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 September 2022, one of the Company’s restaurants incurred damage resulting from a fire. In 2022, the Company disposed of less than $0.1 million of assets related to the fire. The restaurant was reopened for business on October 27, 2022. In fiscal 2023, the Company incurred costs directly related to the fire of less than $0.1 million. The Company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fiscal 2023, as a reduction of company restaurant expenses. The Company received from the insurance company cash of $0.4 million, net of the insurance deductible, during fiscal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71"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the Company is required to file.</w:t>
      </w:r>
    </w:p>
    <w:p>
      <w:pPr>
        <w:spacing w:after="0" w:line="162" w:lineRule="exact"/>
        <w:rPr>
          <w:sz w:val="20"/>
          <w:szCs w:val="20"/>
          <w:color w:val="auto"/>
        </w:rPr>
      </w:pPr>
    </w:p>
    <w:p>
      <w:pPr>
        <w:jc w:val="both"/>
        <w:ind w:left="60" w:right="319"/>
        <w:spacing w:after="0" w:line="272" w:lineRule="auto"/>
        <w:rPr>
          <w:sz w:val="20"/>
          <w:szCs w:val="20"/>
          <w:color w:val="auto"/>
        </w:rPr>
      </w:pPr>
      <w:r>
        <w:rPr>
          <w:rFonts w:ascii="Times New Roman" w:cs="Times New Roman" w:eastAsia="Times New Roman" w:hAnsi="Times New Roman"/>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w:t>
      </w:r>
    </w:p>
    <w:p>
      <w:pPr>
        <w:spacing w:after="0" w:line="2"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spacing w:after="0" w:line="190"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The Company’s policy is to recognize interest and penalties related to income tax matters in income tax expense. The Company had no accrual for interest or penalties at March 29, 2023 or at December 28, 2022. The Company did not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recognize interest or penalties during the thirteen weeks ended March 29, 2023 and March 30, 2022, respectively, since there were no material unrecognized tax benefits. Management believes no significant changes to the amount of unrecognized tax benefits will occur within the next twelve months.</w:t>
      </w:r>
    </w:p>
    <w:p>
      <w:pPr>
        <w:spacing w:after="0" w:line="1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weeks ended March 29, 2023, the Company recorded income tax receivable agreement income of $0.1 million and for the thirteen weeks ended March 30, 2022, the Company recorded income tax receivable agreement income of $0.1 million, in each case, related to the amortization of interest expense related to the total expected TRA payments and changes in estimates for actual tax returns filed and future forecasted taxable income.</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Act provides for the deferral of employer Social Security taxes that are otherwise owed for wage payment and the creation of refundable employee retention credits. The total amount deferred as of December 30, 2020 was $4.9 million, of which 50% was paid at the end of 2021 and the remaining 50% was paid at the end of 2022. As of December 28, 2022, the Company made all deferred payroll tax payments and did not have any corresponding balances included in other non-current liabilities on the Company’s consolidated balance sheet.</w:t>
      </w:r>
    </w:p>
    <w:p>
      <w:pPr>
        <w:spacing w:after="0" w:line="18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Additionally, the Company assessed its eligibility for the business relief provision under the Coronavirus Aid, Relief and Economic Security Act known as the Employee Retention Credit (“ERC”), a refundable payroll tax credit for 50% of qualified wages paid during 2020. The American Rescue Plan passed into law on March 11, 2021 extended the ERC through September 30, 2021, and the credit was increased to 70% of qualified wages paid from January 1, 2021 through September 30, 2021. During fiscal 2021, the Company recognized the ERC credit in the amount of $3.4 million as income as it is probable that it will comply with the ERC eligibility requirements. The Company has elected an accounting policy to present government assistance as a reduction of the related expense. The ERC credit was initially recorded as a receivable as part of the accounts and other receivable on the consolidated balance sheet for the year ended December 29, 2021 and as an offset to the corresponding payroll expense which is classified as part of the labor and other operating expenses on the consolidated statements of income for the year ended December 29, 2021. During fiscal 2022, the Company received $3.1 million in ERC and the remaining $0.3 million continues to be recorded as a receivable as part of the accounts and other receivable on the condensed consolidated balance sheet for the thirteen weeks ended March 29, 2023.</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and equipment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28, 2022</w:t>
            </w:r>
          </w:p>
        </w:tc>
      </w:tr>
      <w:tr>
        <w:trPr>
          <w:trHeight w:val="20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153,377</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83,035</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10"/>
        </w:trPr>
        <w:tc>
          <w:tcPr>
            <w:tcW w:w="6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251,931</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(175,518)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(173,287)</w:t>
            </w:r>
          </w:p>
        </w:tc>
      </w:tr>
      <w:tr>
        <w:trPr>
          <w:trHeight w:val="209"/>
        </w:trPr>
        <w:tc>
          <w:tcPr>
            <w:tcW w:w="65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78,644</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79"/>
        <w:spacing w:after="0" w:line="282" w:lineRule="auto"/>
        <w:rPr>
          <w:sz w:val="20"/>
          <w:szCs w:val="20"/>
          <w:color w:val="auto"/>
        </w:rPr>
      </w:pPr>
      <w:r>
        <w:rPr>
          <w:rFonts w:ascii="Times New Roman" w:cs="Times New Roman" w:eastAsia="Times New Roman" w:hAnsi="Times New Roman"/>
          <w:sz w:val="18"/>
          <w:szCs w:val="18"/>
          <w:color w:val="auto"/>
        </w:rPr>
        <w:t>Depreciation expense was $3.6 million for both the thirteen weeks ended March 29, 2023 and March 30, 2022, respectively.</w:t>
      </w:r>
    </w:p>
    <w:p>
      <w:pPr>
        <w:spacing w:after="0" w:line="16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Based on the Company’s review of its long-lived assets for impairment, the Company did not record any non-cash impairment charges for the thirteen weeks ended March 29, 2023. During the thirteen weeks ended March 30, 2022, the Company recorded non-cash impairment charges of $0.1 million, primarily related to the carrying value of the long-lived assets of one restaurant in California. See Note 1, “Basis of Presentation and Summary of Significant Accounting Policies – Impairment of Long-Lived Assets and ROU Assets”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At March 29, 2023, options to purchase 1,056,119 shares of common stock were outstanding, including 613,376 vested and 442,743 unvested. Unvested options vest over time; however, upon a change in control, the Board of Directors may accelerate vesting. At March 29, 2023, 179,950 premium options, which are options granted above the stock price at date of grant, remained outstanding. A summary of stock option activity as of March 29, 2023 and changes during the thirteen weeks ended March 29, 2023 is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28,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 March 29,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1,056,119</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20" w:type="dxa"/>
            <w:vAlign w:val="bottom"/>
            <w:tcBorders>
              <w:bottom w:val="single" w:sz="8" w:color="CCEEFF"/>
            </w:tcBorders>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29, 2023</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1,049,913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9.87</w:t>
            </w:r>
          </w:p>
        </w:tc>
        <w:tc>
          <w:tcPr>
            <w:tcW w:w="1220" w:type="dxa"/>
            <w:vAlign w:val="bottom"/>
            <w:tcBorders>
              <w:bottom w:val="single" w:sz="8" w:color="CCEEFF"/>
            </w:tcBorders>
            <w:gridSpan w:val="2"/>
            <w:shd w:val="clear" w:color="auto" w:fill="CCEEFF"/>
          </w:tcPr>
          <w:p>
            <w:pPr>
              <w:jc w:val="right"/>
              <w:ind w:right="308"/>
              <w:spacing w:after="0" w:line="196" w:lineRule="exact"/>
              <w:rPr>
                <w:sz w:val="20"/>
                <w:szCs w:val="20"/>
                <w:color w:val="auto"/>
              </w:rPr>
            </w:pPr>
            <w:r>
              <w:rPr>
                <w:rFonts w:ascii="Times New Roman" w:cs="Times New Roman" w:eastAsia="Times New Roman" w:hAnsi="Times New Roman"/>
                <w:sz w:val="18"/>
                <w:szCs w:val="18"/>
                <w:color w:val="auto"/>
              </w:rPr>
              <w:t>5.48</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29, 2023</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991</w:t>
            </w: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613,376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9.42</w:t>
            </w:r>
          </w:p>
        </w:tc>
        <w:tc>
          <w:tcPr>
            <w:tcW w:w="12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At March 29, 2023, the Company had total unrecognized compensation expense of $1.9 million related to unvested stock options, which it expects to recognize over a weighted-average period of 2.81 years.</w:t>
      </w:r>
    </w:p>
    <w:p>
      <w:pPr>
        <w:spacing w:after="0" w:line="162"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 summary of restricted share activity as of March 29, 2023 and changes during the thirteen weeks ended March 29, 2023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28,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(9,579)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March 29,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At March 29, 2023, the Company had unrecognized compensation expense of $4.4 million related to unvested restricted shares, which it expects to recognize over a weighted-average period of 2.46 years.</w:t>
      </w:r>
    </w:p>
    <w:p>
      <w:pPr>
        <w:spacing w:after="0" w:line="162"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$0.8 million for both the thirteen weeks ended March 29, 2023 and March 30, 2022.</w:t>
      </w:r>
    </w:p>
    <w:p>
      <w:pPr>
        <w:spacing w:after="0" w:line="16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On October 11, 2022, the Company’s Board of Directors approved a share repurchase program (the “2022 Stock Repurchase Plan”) under which the Company is authorized to repurchase up to $20.0 million of shares of its common stock. The 2022 Stock Repurchase Plan will terminate on March 28, 2024, may be modified, suspended or discontinued at any time, and does not obligate the Company to acquire any particular number of shares.</w:t>
      </w:r>
    </w:p>
    <w:p>
      <w:pPr>
        <w:spacing w:after="0" w:line="180"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Under the 2022 Stock Repurchase Plan, the Company is permitted to repurchase its common stock from time to time, in amounts and at prices that the Company deemed appropriate, subject to market conditions and other considerations. The Company’s repurchases will be executed using open market purchases, including pursuant to Rule 10b5-1 trading plans, and/or through privately negotiated transactions.</w:t>
      </w:r>
    </w:p>
    <w:p>
      <w:pPr>
        <w:spacing w:after="0" w:line="180"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For the thirteen weeks ended March 29, 2023, the Company repurchased 552,349 shares of common stock under the 2022 Stock Repurchase Plan, using open market purchases, for total consideration of approximately $6.2 million. The common stock repurchased under 2022 Stock Repurchase Plan were retired upon repurchase.</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229" w:lineRule="exact"/>
        <w:rPr>
          <w:sz w:val="20"/>
          <w:szCs w:val="20"/>
          <w:color w:val="auto"/>
        </w:rPr>
      </w:pPr>
    </w:p>
    <w:p>
      <w:pPr>
        <w:ind w:left="60" w:right="379"/>
        <w:spacing w:after="0" w:line="289" w:lineRule="auto"/>
        <w:rPr>
          <w:sz w:val="20"/>
          <w:szCs w:val="20"/>
          <w:color w:val="auto"/>
        </w:rPr>
      </w:pPr>
      <w:r>
        <w:rPr>
          <w:rFonts w:ascii="Times New Roman" w:cs="Times New Roman" w:eastAsia="Times New Roman" w:hAnsi="Times New Roman"/>
          <w:sz w:val="17"/>
          <w:szCs w:val="17"/>
          <w:color w:val="auto"/>
        </w:rPr>
        <w:t>On July 27, 2022, the Company refinanced and terminated its credit agreement (the “2018 Credit Agreement”) among EPL, as borrower, the Company and Intermediate, as guarantors, Bank of America, N.A., as administrative agent, swingline lender, and letter of credit issuer, the lenders party thereto, and the other parties thereto, which provided for a</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$150.0 million five-year senior secured revolving credit facility (the “2018 Revolver”). The 2018 Revolver was refinanced pursuant to a credit agreement (the “2022 Credit Agreement”) among EPL, as borrower, the Company and Intermediate, as guarantors, Bank of America, N.A., as administrative agent, swingline lender, and letter of credit issuer, the lenders party thereto, and the other parties thereto, which provides for a $150.0 million five-year senior secured revolving credit facility (the “2022 Revolver”). In connection with the refinancing, the 2018 Credit Agreement was terminated.</w:t>
      </w:r>
    </w:p>
    <w:p>
      <w:pPr>
        <w:spacing w:after="0" w:line="18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2022 Revolver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83"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The special dividend announced by the Company’s Board of Directors on October 11, 2022 is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The interest rate range was 5.69% to 6.30% for the thirteen weeks ended March 29, 2023 under the 2022 Revolver and 1.35% to 1.70% for the thirteen weeks ended March 30, 2022 under the 2018 Revolver.</w:t>
      </w:r>
    </w:p>
    <w:p>
      <w:pPr>
        <w:spacing w:after="0" w:line="19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financial covenants. The Company was in compliance with the financial covenants as of March 29, 2023.</w:t>
      </w:r>
    </w:p>
    <w:p>
      <w:pPr>
        <w:spacing w:after="0" w:line="162" w:lineRule="exact"/>
        <w:rPr>
          <w:sz w:val="20"/>
          <w:szCs w:val="20"/>
          <w:color w:val="auto"/>
        </w:rPr>
      </w:pPr>
    </w:p>
    <w:p>
      <w:pPr>
        <w:ind w:left="60" w:right="619"/>
        <w:spacing w:after="0" w:line="312" w:lineRule="auto"/>
        <w:rPr>
          <w:sz w:val="20"/>
          <w:szCs w:val="20"/>
          <w:color w:val="auto"/>
        </w:rPr>
      </w:pPr>
      <w:r>
        <w:rPr>
          <w:rFonts w:ascii="Times New Roman" w:cs="Times New Roman" w:eastAsia="Times New Roman" w:hAnsi="Times New Roman"/>
          <w:sz w:val="17"/>
          <w:szCs w:val="17"/>
          <w:color w:val="auto"/>
        </w:rPr>
        <w:t>At March 29, 2023, $9.8 million of letters of credit and $58.0 million in borrowings under the 2022 Revolver were outstanding. The Company had $82.2 million in borrowing availability under the 2022 Revolver at March 29, 2023.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On July 27, 2022, the Company refinanced and terminated the 2018 Revolver pursuant to the 2022 Credit Agreement. During the thirteen weeks ended March 29, 2023 the Company paid down $8.0 million on the 2022 Revolver. No amounts were paid on the 2018 Revolver during the thirteen weeks ended March 30, 2022. There are no required principal payments prior to maturity for the 2022 Revolver.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229"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During the year ended December 25, 2019, the Company entered into a variable-to-fixed interest rate swap agreement with a notional amount of $40.0 million with a maturity date in June 2023. The objective of the interest rate swap was to reduce the Company’s exposure to interest rate risk for a portion of its variable-rate interest payments on its borrowings under the 2018 Revolver. The interest rate swap was designated as a cash flow hedge, as the changes in the future cash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flows of the swap were expected to offset changes in expected future interest payments on the related variable-rate debt, in accordance with Accounting Standards Codification (“ASC”) 815 “Derivatives and Hedging.”</w:t>
      </w:r>
    </w:p>
    <w:p>
      <w:pPr>
        <w:spacing w:after="0" w:line="16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connection with the Company’s entry into the 2022 Credit Agreement, it terminated the interest rate swap on July 28, 2022 which was previously used to hedge interest rate risk. Prior to the interest rate swap termination, the swap was a highly effective cash flow hedge. In settlement of this swap, the Company received approximately $0.6 million and derecognized the corresponding interest rate swap asset. The remaining amount in AOCI related to the hedging relationship will be reclassified into earnings when the hedged forecasted transaction is reported in earnings.</w:t>
      </w:r>
    </w:p>
    <w:p>
      <w:pPr>
        <w:spacing w:after="0" w:line="183"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As of March 29, 2023, the estimated net gains included in AOCI related to the Company’s cash flow hedge that will be reclassified into earnings in the next 12 months is $0.1 million, based on current Term SOFR interest rates.</w:t>
      </w:r>
    </w:p>
    <w:p>
      <w:pPr>
        <w:spacing w:after="0" w:line="37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the condensed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2022</w:t>
            </w: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hedged portion of debt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on interest rate swap</w:t>
            </w: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9"/>
        </w:trPr>
        <w:tc>
          <w:tcPr>
            <w:tcW w:w="6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expense on debt and derivatives,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AOCI for the thirteen weeks ended March 29, 2023 and March 30, 2022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860" w:type="dxa"/>
            <w:vAlign w:val="bottom"/>
            <w:gridSpan w:val="5"/>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Net Gain Recognized in OCI</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286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AOCI into Interest (Income) Expense</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116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for information about the fair value of the Company’s derivative asset.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OTHER ACCRUED EXPENSES AND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29, 2023   December 28, 2022</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Gift card liability</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rewards program liability</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settlements and professional fees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880" w:type="dxa"/>
            <w:vAlign w:val="bottom"/>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OTHER NONCURRENT LIABILITIES</w:t>
            </w: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29, 2023   December 28, 2022</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9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90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339" w:hanging="10"/>
        <w:spacing w:after="0" w:line="503" w:lineRule="auto"/>
        <w:tabs>
          <w:tab w:leader="none" w:pos="2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condensed consolidated financial condition, results of operations, and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Purchasing Commitments</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29, 2023, the Company’s total estimated commitment to purchase chicken was $32.7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2038. As of March 29, 2023, the potential amount of undiscounted payments the Company could be required to make in the event of non-payment by the primary lessee was $4.1 million. The present value of these potential payments discounted at the Company’s estimated pre-tax cost of debt at March 29, 2023 was $2.8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As of March 29, 2023, the Company had employment agreements with two of the officers of the Company. These agreements provide for minimum salary levels, possible annual adjustments for cost-of-living changes, and incentive bonuses that are payable under certain business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using the weighted-average number of shares of common stock outstanding during the thirteen weeks ended March 29, 2023 and March 30, 2022. Diluted EPS is calculated using the weighted-average number of shares of common stock outstanding and potentially dilutive during the period, using the treasury stock method.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basic and diluted EPS data for the periods indicated (in thousands except for share and per share data):</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58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60" w:type="dxa"/>
            <w:vAlign w:val="bottom"/>
            <w:tcBorders>
              <w:bottom w:val="single" w:sz="8" w:color="CCEEFF"/>
            </w:tcBorders>
          </w:tcPr>
          <w:p>
            <w:pPr>
              <w:spacing w:after="0"/>
              <w:rPr>
                <w:sz w:val="12"/>
                <w:szCs w:val="12"/>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w:t>
            </w:r>
          </w:p>
        </w:tc>
        <w:tc>
          <w:tcPr>
            <w:tcW w:w="160" w:type="dxa"/>
            <w:vAlign w:val="bottom"/>
          </w:tcPr>
          <w:p>
            <w:pPr>
              <w:spacing w:after="0"/>
              <w:rPr>
                <w:sz w:val="18"/>
                <w:szCs w:val="18"/>
                <w:color w:val="auto"/>
              </w:rPr>
            </w:pPr>
          </w:p>
        </w:tc>
      </w:tr>
      <w:tr>
        <w:trPr>
          <w:trHeight w:val="209"/>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36,234,105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36,225,747</w:t>
            </w:r>
          </w:p>
        </w:tc>
        <w:tc>
          <w:tcPr>
            <w:tcW w:w="16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36,478,158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36,480,354</w:t>
            </w:r>
          </w:p>
        </w:tc>
        <w:tc>
          <w:tcPr>
            <w:tcW w:w="160" w:type="dxa"/>
            <w:vAlign w:val="bottom"/>
            <w:shd w:val="clear" w:color="auto" w:fill="CCEEFF"/>
          </w:tcPr>
          <w:p>
            <w:pPr>
              <w:spacing w:after="0"/>
              <w:rPr>
                <w:sz w:val="18"/>
                <w:szCs w:val="18"/>
                <w:color w:val="auto"/>
              </w:rPr>
            </w:pP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share—basic</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securities not considered in diluted EPS calculation</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645,356</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305,632</w:t>
            </w:r>
          </w:p>
        </w:tc>
        <w:tc>
          <w:tcPr>
            <w:tcW w:w="160" w:type="dxa"/>
            <w:vAlign w:val="bottom"/>
          </w:tcPr>
          <w:p>
            <w:pPr>
              <w:spacing w:after="0"/>
              <w:rPr>
                <w:sz w:val="18"/>
                <w:szCs w:val="18"/>
                <w:color w:val="auto"/>
              </w:rPr>
            </w:pPr>
          </w:p>
        </w:tc>
      </w:tr>
      <w:tr>
        <w:trPr>
          <w:trHeight w:val="42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26"/>
        </w:trPr>
        <w:tc>
          <w:tcPr>
            <w:tcW w:w="6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340" w:type="dxa"/>
            <w:vAlign w:val="bottom"/>
            <w:gridSpan w:val="2"/>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36,234,105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36,225,747</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shares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244,053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254,607</w:t>
            </w:r>
          </w:p>
        </w:tc>
        <w:tc>
          <w:tcPr>
            <w:tcW w:w="18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36,478,158</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36,480,354</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ind w:left="60" w:right="260"/>
        <w:spacing w:after="0" w:line="261" w:lineRule="auto"/>
        <w:rPr>
          <w:sz w:val="20"/>
          <w:szCs w:val="20"/>
          <w:color w:val="auto"/>
        </w:rPr>
      </w:pPr>
      <w:r>
        <w:rPr>
          <w:rFonts w:ascii="Times New Roman" w:cs="Times New Roman" w:eastAsia="Times New Roman" w:hAnsi="Times New Roman"/>
          <w:sz w:val="18"/>
          <w:szCs w:val="18"/>
          <w:color w:val="auto"/>
        </w:rPr>
        <w:t>On March 28, 2023, Trimaran Pollo Partners, L.L.C. (“LLC”) and certain of LLC’s affiliates (collectively, the “Trimaran Group”) distributed substantially all of the shares of the Company’s common stock held by the Trimaran Group to their respective investors, members and limited partners. The Trimaran Group intends to subsequently liquidate or distribute its remaining assets and wind up.</w:t>
      </w:r>
    </w:p>
    <w:p>
      <w:pPr>
        <w:spacing w:after="0" w:line="176" w:lineRule="exact"/>
        <w:rPr>
          <w:sz w:val="20"/>
          <w:szCs w:val="20"/>
          <w:color w:val="auto"/>
        </w:rPr>
      </w:pPr>
    </w:p>
    <w:p>
      <w:pPr>
        <w:ind w:left="60" w:right="4400" w:hanging="10"/>
        <w:spacing w:after="0" w:line="502" w:lineRule="auto"/>
        <w:tabs>
          <w:tab w:leader="none" w:pos="33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ind w:left="6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two revenue streams, company-operated restaurant revenue and franchise related revenue.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227" w:lineRule="exact"/>
        <w:rPr>
          <w:sz w:val="20"/>
          <w:szCs w:val="20"/>
          <w:color w:val="auto"/>
        </w:rPr>
      </w:pPr>
    </w:p>
    <w:p>
      <w:pPr>
        <w:ind w:left="60" w:right="260"/>
        <w:spacing w:after="0" w:line="266" w:lineRule="auto"/>
        <w:rPr>
          <w:sz w:val="20"/>
          <w:szCs w:val="20"/>
          <w:color w:val="auto"/>
        </w:rPr>
      </w:pPr>
      <w:r>
        <w:rPr>
          <w:rFonts w:ascii="Times New Roman" w:cs="Times New Roman" w:eastAsia="Times New Roman" w:hAnsi="Times New Roman"/>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76" w:lineRule="exact"/>
        <w:rPr>
          <w:sz w:val="20"/>
          <w:szCs w:val="20"/>
          <w:color w:val="auto"/>
        </w:rPr>
      </w:pPr>
    </w:p>
    <w:p>
      <w:pPr>
        <w:ind w:left="60" w:right="180"/>
        <w:spacing w:after="0" w:line="253" w:lineRule="auto"/>
        <w:rPr>
          <w:sz w:val="20"/>
          <w:szCs w:val="20"/>
          <w:color w:val="auto"/>
        </w:rPr>
      </w:pPr>
      <w:r>
        <w:rPr>
          <w:rFonts w:ascii="Times New Roman" w:cs="Times New Roman" w:eastAsia="Times New Roman" w:hAnsi="Times New Roman"/>
          <w:sz w:val="18"/>
          <w:szCs w:val="18"/>
          <w:color w:val="auto"/>
        </w:rPr>
        <w:t>The Company offers a loyalty rewards program, which awards a customer points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both March 29, 2023 and December 28, 2022, the revenue allocated to loyalty points that have not been redeemed was $0.5 million, which is reflected in the Company’s accompanying condensed consolidated balance sheets within other accrued expenses and current liabilities. The Company expects the loyalty points to be redeemed and recognized over a one-year period.</w:t>
      </w:r>
    </w:p>
    <w:p>
      <w:pPr>
        <w:sectPr>
          <w:pgSz w:w="11900" w:h="16838" w:orient="portrait"/>
          <w:cols w:equalWidth="0" w:num="1">
            <w:col w:w="9100"/>
          </w:cols>
          <w:pgMar w:left="1440" w:top="51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40" w:top="513" w:right="1359"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and franchise advertising revenue</w:t>
      </w:r>
    </w:p>
    <w:p>
      <w:pPr>
        <w:spacing w:after="0" w:line="22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76" w:lineRule="exact"/>
        <w:rPr>
          <w:sz w:val="20"/>
          <w:szCs w:val="20"/>
          <w:color w:val="auto"/>
        </w:rPr>
      </w:pPr>
    </w:p>
    <w:p>
      <w:pPr>
        <w:ind w:left="720" w:right="23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license - inclusive of advertising services, development agreements, training, access to plans and help desk services.</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renewal option.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services.</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87"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8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March 29, 2023, there were no performance obligations related to hardware services that were unsatisfied or partially satisfied.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 and market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Core Market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 revenue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core market</w:t>
            </w:r>
          </w:p>
        </w:tc>
        <w:tc>
          <w:tcPr>
            <w:tcW w:w="1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97,175</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0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Non-Core Market</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7"/>
                <w:szCs w:val="17"/>
                <w:b w:val="1"/>
                <w:bCs w:val="1"/>
                <w:color w:val="auto"/>
              </w:rPr>
              <w: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Franchise revenue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non-core market</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114,526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63" w:lineRule="exact"/>
        <w:rPr>
          <w:sz w:val="20"/>
          <w:szCs w:val="20"/>
          <w:color w:val="auto"/>
        </w:rPr>
      </w:pPr>
    </w:p>
    <w:p>
      <w:pPr>
        <w:ind w:left="380" w:right="599" w:hanging="330"/>
        <w:spacing w:after="0" w:line="208" w:lineRule="auto"/>
        <w:tabs>
          <w:tab w:leader="none" w:pos="38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Core Market includes markets with existing company-operated restaurants at the time of the Company’s IPO on July 28, 2014.</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Non-Core Market includes markets entered into by the Company subsequent to the IPO date.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geographic market:</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4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13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30, 2022</w:t>
            </w: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Los Angeles area market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markets</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29.3 %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10"/>
        </w:trPr>
        <w:tc>
          <w:tcPr>
            <w:tcW w:w="62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6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change in the franchise contract liability balances during the thirteen weeks ended March 29, 2023 and March 30, 2022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28, 2022</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5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29, 2023</w:t>
            </w:r>
          </w:p>
        </w:tc>
        <w:tc>
          <w:tcPr>
            <w:tcW w:w="23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29, 2021</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30, 2022</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estimated revenue to be recognized in future periods related to performance obligations under the applicable contracts that are unsatisfied as of March 29, 2023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Franchise revenues: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6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7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09"/>
        </w:trPr>
        <w:tc>
          <w:tcPr>
            <w:tcW w:w="7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6,452</w:t>
            </w: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Changes in the loyalty rewards program liability included in deferred revenue within other accrued expenses and current liabilities on the condensed consolidated balance sheets were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9"/>
        </w:trPr>
        <w:tc>
          <w:tcPr>
            <w:tcW w:w="6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rewards liability, 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(2,915)</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rewards liability, 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12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expects all loyalty points revenue related to performance obligations unsatisfied as of March 29, 2023 to be recognized within one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Gift Cards</w:t>
      </w:r>
    </w:p>
    <w:p>
      <w:pPr>
        <w:spacing w:after="0" w:line="22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gift card liability included in other accrued expenses and current liabilities on the condensed consolidated balance sheets was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6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9"/>
        </w:trPr>
        <w:tc>
          <w:tcPr>
            <w:tcW w:w="6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Revenue recognized from the redemption of gift cards that was included in other accrued expenses and current liabilities at the beginning of the year was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8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Revenue recognized from gift card liability balance at the beginning of the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 does not currently incur costs to obtain or fulfill a contract that would be considered contract assets under Topic 606.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Nature of leases</w:t>
      </w:r>
    </w:p>
    <w:p>
      <w:pPr>
        <w:spacing w:after="0" w:line="22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of March 29, 2023, the Company had one lease that it had entered into, but had not yet commenced. The Company does not have control of the property until lease commencement.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Building and facility leases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majority of the Company’s building and facilities leases are classified as operating leases; however, the Company currently has one facility and ten equipment leases that are classified as finance leases.</w:t>
      </w:r>
    </w:p>
    <w:p>
      <w:pPr>
        <w:spacing w:after="0" w:line="16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thirteen weeks ended March 29, 2023, the Company reassessed the lease terms on 12 restaurants due to certain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triggering events, such as the addition of significant leasehold improvements with useful lives that extend past the current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expiration, the decision to terminate a lease, or the decision to renew. As a result of the reassessment, an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 million of ROU asset and lease liabilities for the thirteen weeks ended March 29, 2023 were recognized and will be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amortized over the new lease term. During the thirteen weeks ended March 30, 2022, the Company reassessed the lease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terms on four restaurants due to certain triggering events, such as the addition of significant leasehold improvements with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useful lives that extend past the current lease expiration, the decision to terminate a lease, or the decision to renew. This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reassessment resulted in an additional $2.5 million of ROU asset and lease liabilities for the thirteen weeks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30, 2022 which were recognized and will be amortized over the new lease term. The reassessments did not have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impact on the original lease classification. Additionally, as the Company adopted all practical expedients available under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Topic 842, no reallocation between lease and non-lease components was necessary.</w:t>
      </w:r>
    </w:p>
    <w:p>
      <w:pPr>
        <w:spacing w:after="0" w:line="207"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64"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During the thirteen weeks ended March 29, 2023, the Company recorded a less than $0.1 million non-cash impairment charge primarily related to the carrying value of ROU assets of one restaurant in California. The Company did not record any non-cash impairment charge for the thirteen weeks ended March 30, 2022. See Note 1, “Basis of Presentation and Summary of Significant Accounting Policies – Impairment of Long-Lived Assets and ROU Assets” for additional information.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229" w:lineRule="exact"/>
        <w:rPr>
          <w:sz w:val="20"/>
          <w:szCs w:val="20"/>
          <w:color w:val="auto"/>
        </w:rPr>
      </w:pPr>
    </w:p>
    <w:p>
      <w:pPr>
        <w:jc w:val="both"/>
        <w:ind w:left="60" w:right="140"/>
        <w:spacing w:after="0" w:line="266"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Significant Assumptions and Judgments</w:t>
      </w:r>
    </w:p>
    <w:p>
      <w:pPr>
        <w:spacing w:after="0" w:line="227" w:lineRule="exact"/>
        <w:rPr>
          <w:sz w:val="20"/>
          <w:szCs w:val="20"/>
          <w:color w:val="auto"/>
        </w:rPr>
      </w:pPr>
    </w:p>
    <w:p>
      <w:pPr>
        <w:ind w:left="60" w:right="880"/>
        <w:spacing w:after="0" w:line="282" w:lineRule="auto"/>
        <w:rPr>
          <w:sz w:val="20"/>
          <w:szCs w:val="20"/>
          <w:color w:val="auto"/>
        </w:rPr>
      </w:pPr>
      <w:r>
        <w:rPr>
          <w:rFonts w:ascii="Times New Roman" w:cs="Times New Roman" w:eastAsia="Times New Roman" w:hAnsi="Times New Roman"/>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162" w:lineRule="exact"/>
        <w:rPr>
          <w:sz w:val="20"/>
          <w:szCs w:val="20"/>
          <w:color w:val="auto"/>
        </w:rPr>
      </w:pPr>
    </w:p>
    <w:p>
      <w:pPr>
        <w:ind w:left="60" w:right="80"/>
        <w:spacing w:after="0" w:line="266" w:lineRule="auto"/>
        <w:rPr>
          <w:sz w:val="20"/>
          <w:szCs w:val="20"/>
          <w:color w:val="auto"/>
        </w:rPr>
      </w:pPr>
      <w:r>
        <w:rPr>
          <w:rFonts w:ascii="Times New Roman" w:cs="Times New Roman" w:eastAsia="Times New Roman" w:hAnsi="Times New Roman"/>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76" w:lineRule="exact"/>
        <w:rPr>
          <w:sz w:val="20"/>
          <w:szCs w:val="20"/>
          <w:color w:val="auto"/>
        </w:rPr>
      </w:pPr>
    </w:p>
    <w:p>
      <w:pPr>
        <w:ind w:left="60" w:right="220"/>
        <w:spacing w:after="0" w:line="258" w:lineRule="auto"/>
        <w:rPr>
          <w:sz w:val="20"/>
          <w:szCs w:val="20"/>
          <w:color w:val="auto"/>
        </w:rPr>
      </w:pPr>
      <w:r>
        <w:rPr>
          <w:rFonts w:ascii="Times New Roman" w:cs="Times New Roman" w:eastAsia="Times New Roman" w:hAnsi="Times New Roman"/>
          <w:sz w:val="18"/>
          <w:szCs w:val="18"/>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83" w:lineRule="exact"/>
        <w:rPr>
          <w:sz w:val="20"/>
          <w:szCs w:val="20"/>
          <w:color w:val="auto"/>
        </w:rPr>
      </w:pPr>
    </w:p>
    <w:p>
      <w:pPr>
        <w:ind w:left="60" w:right="660"/>
        <w:spacing w:after="0" w:line="266" w:lineRule="auto"/>
        <w:rPr>
          <w:sz w:val="20"/>
          <w:szCs w:val="20"/>
          <w:color w:val="auto"/>
        </w:rPr>
      </w:pPr>
      <w:r>
        <w:rPr>
          <w:rFonts w:ascii="Times New Roman" w:cs="Times New Roman" w:eastAsia="Times New Roman" w:hAnsi="Times New Roman"/>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disaggregated by underlying asset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209"/>
        </w:trPr>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27"/>
        </w:trPr>
        <w:tc>
          <w:tcPr>
            <w:tcW w:w="354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60" w:type="dxa"/>
            <w:vAlign w:val="bottom"/>
          </w:tcPr>
          <w:p>
            <w:pPr>
              <w:spacing w:after="0"/>
              <w:rPr>
                <w:sz w:val="19"/>
                <w:szCs w:val="19"/>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60" w:type="dxa"/>
            <w:vAlign w:val="bottom"/>
          </w:tcPr>
          <w:p>
            <w:pPr>
              <w:spacing w:after="0"/>
              <w:rPr>
                <w:sz w:val="19"/>
                <w:szCs w:val="19"/>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3"/>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9"/>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w:t>
            </w:r>
          </w:p>
        </w:tc>
      </w:tr>
    </w:tbl>
    <w:p>
      <w:pPr>
        <w:spacing w:after="0" w:line="198" w:lineRule="exact"/>
        <w:rPr>
          <w:sz w:val="20"/>
          <w:szCs w:val="20"/>
          <w:color w:val="auto"/>
        </w:rPr>
      </w:pPr>
    </w:p>
    <w:p>
      <w:pPr>
        <w:ind w:left="60" w:right="6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total lease cost on the condensed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140" w:type="dxa"/>
            <w:vAlign w:val="bottom"/>
          </w:tcPr>
          <w:p>
            <w:pPr>
              <w:spacing w:after="0"/>
              <w:rPr>
                <w:sz w:val="15"/>
                <w:szCs w:val="15"/>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30, 2022</w:t>
            </w: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Occupancy and other operating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General &amp; administrative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Depreciation and amortization</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Interest expense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Closed-store reserve</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w:t>
            </w:r>
          </w:p>
        </w:tc>
      </w:tr>
    </w:tbl>
    <w:p>
      <w:pPr>
        <w:spacing w:after="0" w:line="200" w:lineRule="exact"/>
        <w:rPr>
          <w:sz w:val="20"/>
          <w:szCs w:val="20"/>
          <w:color w:val="auto"/>
        </w:rPr>
      </w:pP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March 29, 2023 and March 30, 2022, the Company had the following cash and non-cash activities associated with its leases (dollars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88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0"/>
                <w:szCs w:val="10"/>
                <w:color w:val="auto"/>
              </w:rPr>
            </w:pPr>
          </w:p>
        </w:tc>
        <w:tc>
          <w:tcPr>
            <w:tcW w:w="800" w:type="dxa"/>
            <w:vAlign w:val="bottom"/>
            <w:gridSpan w:val="3"/>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4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98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Cash paid for amounts included in the measurement of lease</w:t>
            </w: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cash flows used for operating leases</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6,907</w:t>
            </w:r>
          </w:p>
        </w:tc>
        <w:tc>
          <w:tcPr>
            <w:tcW w:w="160" w:type="dxa"/>
            <w:vAlign w:val="bottom"/>
          </w:tcPr>
          <w:p>
            <w:pPr>
              <w:spacing w:after="0"/>
              <w:rPr>
                <w:sz w:val="12"/>
                <w:szCs w:val="12"/>
                <w:color w:val="auto"/>
              </w:rPr>
            </w:pPr>
          </w:p>
        </w:tc>
        <w:tc>
          <w:tcPr>
            <w:tcW w:w="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4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7,095</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6,743</w:t>
            </w:r>
          </w:p>
        </w:tc>
        <w:tc>
          <w:tcPr>
            <w:tcW w:w="160" w:type="dxa"/>
            <w:vAlign w:val="bottom"/>
          </w:tcPr>
          <w:p>
            <w:pPr>
              <w:spacing w:after="0"/>
              <w:rPr>
                <w:sz w:val="12"/>
                <w:szCs w:val="12"/>
                <w:color w:val="auto"/>
              </w:rPr>
            </w:pPr>
          </w:p>
        </w:tc>
        <w:tc>
          <w:tcPr>
            <w:tcW w:w="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Financing cash flows used for finance leases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Operating lease ROU assets obtained in exchange for lease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ROU assets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10,097</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10,097</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lease ROU assets obtained in exchange for lease liabilities: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lease ROU assets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Derecognition of ROU assets due to terminations, impairment or</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0"/>
                <w:szCs w:val="10"/>
                <w:color w:val="auto"/>
              </w:rPr>
            </w:pP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modifications</w:t>
            </w:r>
          </w:p>
        </w:tc>
        <w:tc>
          <w:tcPr>
            <w:tcW w:w="1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Information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Weighted-average remaining years in lease term—finance leases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Weighted-average remaining years in lease term—operating leases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Weighted-average discount rate—finance leases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2.57 %</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1.53 %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2.72 %</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1.53 %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discount rate—operating leases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2.55 %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3.71 %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3.87 %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regarding the Company’s minimum future lease obligations as of March 29, 2023 is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5"/>
                <w:szCs w:val="15"/>
                <w:color w:val="auto"/>
              </w:rPr>
            </w:pPr>
          </w:p>
        </w:tc>
        <w:tc>
          <w:tcPr>
            <w:tcW w:w="170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0" w:type="dxa"/>
            <w:vAlign w:val="bottom"/>
          </w:tcPr>
          <w:p>
            <w:pPr>
              <w:spacing w:after="0"/>
              <w:rPr>
                <w:sz w:val="1"/>
                <w:szCs w:val="1"/>
                <w:color w:val="auto"/>
              </w:rPr>
            </w:pPr>
          </w:p>
        </w:tc>
      </w:tr>
      <w:tr>
        <w:trPr>
          <w:trHeight w:val="149"/>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100" w:type="dxa"/>
            <w:vAlign w:val="bottom"/>
          </w:tcPr>
          <w:p>
            <w:pPr>
              <w:spacing w:after="0"/>
              <w:rPr>
                <w:sz w:val="15"/>
                <w:szCs w:val="15"/>
                <w:color w:val="auto"/>
              </w:rPr>
            </w:pPr>
          </w:p>
        </w:tc>
        <w:tc>
          <w:tcPr>
            <w:tcW w:w="7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27, 2023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25, 2024</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30, 2026</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37,857</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 (1.53% - 3.71%)</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(56,248)</w:t>
            </w:r>
          </w:p>
        </w:tc>
        <w:tc>
          <w:tcPr>
            <w:tcW w:w="1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(19,592)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Short-Term Leases</w:t>
      </w:r>
    </w:p>
    <w:p>
      <w:pPr>
        <w:spacing w:after="0" w:line="22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Company received $0.1 million of lease income from company-owned locations for each of the thirteen weeks ended March 29, 2023 and March 30,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9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3" w:lineRule="exact"/>
        <w:rPr>
          <w:sz w:val="20"/>
          <w:szCs w:val="20"/>
          <w:color w:val="auto"/>
        </w:rPr>
      </w:pPr>
    </w:p>
    <w:p>
      <w:pPr>
        <w:ind w:left="720" w:right="7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uncertainty regarding a potential resurgence of the COVID-19 pandemic or another pandemic, epidemic or infectious disease outbreak on our company, our employees, our customers, our partners, our industry and the economy as a whole, as well as our franchisees’ ability to maintain operations in their individual restaurants;</w:t>
      </w:r>
    </w:p>
    <w:p>
      <w:pPr>
        <w:spacing w:after="0" w:line="2"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or other business conditions that may affect the desire or ability of our customers to purchase our products such as inflationary pressures, high unemployment levels, increases in gas prices, and declines in median income growth, consumer confidence and consumer discretionary spending;</w:t>
      </w:r>
    </w:p>
    <w:p>
      <w:pPr>
        <w:spacing w:after="0" w:line="1"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new restaurants in new and existing markets, including difficulty in finding sites and in negotiating acceptable leases;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with other quick-service and fast casual restaurants;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to changes in political and economic conditions and consumer preferences;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assimilate and retain employees;</w:t>
      </w:r>
    </w:p>
    <w:p>
      <w:pPr>
        <w:spacing w:after="0" w:line="9" w:lineRule="exact"/>
        <w:rPr>
          <w:rFonts w:ascii="Times New Roman" w:cs="Times New Roman" w:eastAsia="Times New Roman" w:hAnsi="Times New Roman"/>
          <w:sz w:val="18"/>
          <w:szCs w:val="18"/>
          <w:color w:val="auto"/>
        </w:rPr>
      </w:pPr>
    </w:p>
    <w:p>
      <w:pPr>
        <w:ind w:left="720" w:right="85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to conditions in the greater Los Angeles area and to natural disasters given the geographic concentration and real estate intensive nature of our business;</w:t>
      </w:r>
    </w:p>
    <w:p>
      <w:pPr>
        <w:ind w:left="720" w:right="29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continue to incur significant impairment of certain of our assets, in particular in our new markets;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food and supply costs, especially for chicken, labor, construction and utilities;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and negative publicity, whether or not valid, and our ability to respond to and effectively manage the accelerated impact of social media;</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digital business, delivery orders and catering;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food safety and quality and about food-borne illness;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frequent and timely deliveries of food and supplies;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level of indebtedness;</w:t>
      </w:r>
    </w:p>
    <w:p>
      <w:pPr>
        <w:spacing w:after="0" w:line="9" w:lineRule="exact"/>
        <w:rPr>
          <w:rFonts w:ascii="Times New Roman" w:cs="Times New Roman" w:eastAsia="Times New Roman" w:hAnsi="Times New Roman"/>
          <w:sz w:val="18"/>
          <w:szCs w:val="18"/>
          <w:color w:val="auto"/>
        </w:rPr>
      </w:pPr>
    </w:p>
    <w:p>
      <w:pPr>
        <w:ind w:left="720" w:right="659" w:hanging="319"/>
        <w:spacing w:after="0" w:line="26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success of our marketing programs, new menu items, advertising campaigns and restaurant designs and remodels;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environment, including inflation and increased labor and supply costs, which may affect our franchisees, with adverse consequences to us;</w:t>
      </w:r>
    </w:p>
    <w:p>
      <w:pPr>
        <w:ind w:left="720" w:right="49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our franchisees and potential deterioration of our relations with existing or potential franchisees;</w:t>
      </w: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unexpected costs and losses from our self-insurance programs;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obligations under long-term and non-cancelable leases, and our ability to renew leases at the end of their terms;</w:t>
      </w: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failure of our information technology system or any breach of our network security;</w:t>
      </w:r>
    </w:p>
    <w:p>
      <w:pPr>
        <w:spacing w:after="0" w:line="9"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security breaches on our ability to protect our customers’ payment method data or personal information;</w:t>
      </w: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maintain our trademarks and protect our other proprietary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and litigation, including employment and labor laws; and</w:t>
      </w:r>
    </w:p>
    <w:p>
      <w:pPr>
        <w:spacing w:after="0" w:line="9" w:lineRule="exact"/>
        <w:rPr>
          <w:rFonts w:ascii="Times New Roman" w:cs="Times New Roman" w:eastAsia="Times New Roman" w:hAnsi="Times New Roman"/>
          <w:sz w:val="18"/>
          <w:szCs w:val="18"/>
          <w:color w:val="auto"/>
        </w:rPr>
      </w:pPr>
    </w:p>
    <w:p>
      <w:pPr>
        <w:ind w:left="720" w:right="279" w:hanging="319"/>
        <w:spacing w:after="0" w:line="255"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set forth in our filings with the SEC from time to time, including under Item 1A, Risk Factors in our annual report on Form 10-K for the year ended December 28, 2022, which filings are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and operates in the limited service restaurant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We believe that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Trends and Uncertainties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 may face future business disruption and related risks resulting from the uncertainty regarding a potential resurgence of the COVID-19 pandemic or another pandemic, epidemic or infectious disease outbreak, or from broader macroeconomic trends, any of which could have a significant impact on our business. During the thirteen weeks ended March 29, 2023 we incurred $0.1 million in COVID-19 related expenses, primarily due to leaves of absence. During the thirteen weeks ended March 30, 2022 we incurred $2.3 million in COVID-19 related expenses, primarily due to leaves of absence and overtime pay. In addition, while we continue to experience staffing challenges, higher wages, overtime costs and increased commodity prices, these cost pressures are beginning to moderate.</w:t>
      </w:r>
    </w:p>
    <w:p>
      <w:pPr>
        <w:spacing w:after="0" w:line="18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Additionally, labor costs could also be adversely impacted as a result of California Assembly Bill No. 257, the Fast Food Accountability and Standards Recovery Act (“FAST Act”), which was signed into law in September 2022 and authorizes the creation of a council to set minimum standards for industry workers in California, including minimum wages. The FAST Act, which will take effect if approved by voters in November 2024, could result in increased labor cost at our California restaurants thereby potentially impacting the profitability of our California restaurants.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While we believe the trend towards more moderate labor related costs and less inflationary pressure continues, we cannot determine the ultimate impact of a potential resurgence of the COVID-19 pandemic (and related economic effects) and the current macroeconomic environment will have on the Company’s condensed consolidated financial condition, liquidity, and future results of operations. Therefore, any prediction as to the ultimate materiality of the adverse impact on our condensed consolidated financial condition, liquidity, and future results of operations is uncertain.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As of March 29, 2023, we had 490 locations in seven states. In fiscal 2022, we opened four new company-operated restaurants, two in Nevada and two in California, and our franchisees opened nine new restaurants, seven in California, one in Colorado and one in Utah. For the thirteen weeks ended March 29, 2023, there were no new company-operated or franchised restaurants opened. We plan to continue to expand our business, drive restaurant sales growth, and enhance our competitive positioning, by executing the following strategies:</w:t>
      </w:r>
    </w:p>
    <w:p>
      <w:pPr>
        <w:spacing w:after="0" w:line="183"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 our unique El Pollo Loco culture;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awareness and own our lane;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exceptional service – profitably;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development.</w:t>
      </w:r>
    </w:p>
    <w:p>
      <w:pPr>
        <w:spacing w:after="0" w:line="22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To increase comparable restaurant sales, we plan to increase customer frequency, attract new customers, and improve per-person spend. The success of these growth plans is not guaranteed.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For the thirteen weeks ended March 29, 2023, system-wide comparable restaurant sales increased by 0.8% from the comparable period in the prior year. For company-operated restaurants, comparable restaurant sales for the thirteen weeks ended March 29, 2023 increased by 3.8%. For company-operated restaurants, the quarter’s change in comparable restaurant sales consisted of an approximately 6.3% increase in average check size partially offset by a 2.4% decrease in transactions. For franchised restaurants, comparable restaurant sales decreased 1.0% for the thirteen weeks ended March 29, 2023. Refer to Comparable Restaurant Sales definition in “Key Performance Indicators” section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restaurant counts at the beginning and end of each of the last three fiscal years and the thirteen weeks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29, 2023, were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7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40" w:type="dxa"/>
            <w:vAlign w:val="bottom"/>
          </w:tcPr>
          <w:p>
            <w:pPr>
              <w:spacing w:after="0"/>
              <w:rPr>
                <w:sz w:val="15"/>
                <w:szCs w:val="15"/>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Company-operated restaurant activity: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Closures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5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2020, we finalized a new restaurant design that we believe will clearly differentiate and communicate our brand, both on the exterior and interior. As of March 29, 2023, we have completed seven company-operated restaurant remodels and seven franchise remodels using the new asset design. In fiscal 2023, we plan to continue our standard practices for remodels, which includes completing a total of 10-15 company and 20-30 franchise remodels using the new design. </w:t>
      </w:r>
      <w:r>
        <w:rPr>
          <w:rFonts w:ascii="Times New Roman" w:cs="Times New Roman" w:eastAsia="Times New Roman" w:hAnsi="Times New Roman"/>
          <w:sz w:val="18"/>
          <w:szCs w:val="18"/>
          <w:color w:val="212529"/>
        </w:rPr>
        <w:t>The cost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restaurant remodels varies depending on the scope of the work required, but on average the investment is $0.3 million to $0.4 million per restaurant.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Loco Rewards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Loco Rewards loyalty program offers rewards that incentivize customers to visit our restaurants more often</w:t>
      </w:r>
    </w:p>
    <w:p>
      <w:pPr>
        <w:spacing w:after="0" w:line="27" w:lineRule="exact"/>
        <w:rPr>
          <w:sz w:val="20"/>
          <w:szCs w:val="20"/>
          <w:color w:val="auto"/>
        </w:rPr>
      </w:pPr>
    </w:p>
    <w:p>
      <w:pPr>
        <w:ind w:left="60" w:right="179"/>
        <w:spacing w:after="0" w:line="251" w:lineRule="auto"/>
        <w:rPr>
          <w:sz w:val="20"/>
          <w:szCs w:val="20"/>
          <w:color w:val="auto"/>
        </w:rPr>
      </w:pPr>
      <w:r>
        <w:rPr>
          <w:rFonts w:ascii="Times New Roman" w:cs="Times New Roman" w:eastAsia="Times New Roman" w:hAnsi="Times New Roman"/>
          <w:sz w:val="18"/>
          <w:szCs w:val="18"/>
          <w:color w:val="auto"/>
        </w:rPr>
        <w:t>each month.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94"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both March 29, 2023 and December 28, 2022, the revenue allocated to loyalty points that had not been redeemed was $0.5 million, which is reflected in our accompanying condensed consolidated balance sheets within other accrued expenses and current liabilities. We had over 3.3 million loyalty program members as of March 29,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U.S. generally accepted accounting principles (“GAAP”) requires us to make estimates and judgments that affect our reported amounts of assets,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Estimates” in Item 7, “Management’s Discussion and Analysis of Financial Condition and Results of Operations” in our annual report on Form 10-K for the year ended December 28, 2022.</w:t>
      </w:r>
    </w:p>
    <w:p>
      <w:pPr>
        <w:spacing w:after="0" w:line="18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uses of estimates since our annual report on Form 10-K for the year ended December 28,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Recent accounting pronouncements are described in Note 1, “Basis of Presentation and Summary of Significant Accounting Policies” in the Notes to Condensed Consolidated Financial Statements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We expect food and paper costs, particularly those items not subject to purchasing commitments, to increase in the short-term due to current inflationary pressures.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may include the FAST Act), overtime, wage inflation, the frequency and severity of workers’ compensation claims, health care costs, and the performance of our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costs, and expenses above the restaurant level, including salaries for field management, such as area and regional managers, and franchise field operational support.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Depreciation and amortization primarily consists of the depreciation of property and equipment, including leasehold improvements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7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the related debt.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 consists of federal and state taxes on our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Results of Operations</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operating results for the thirteen weeks ended March 29, 2023 and March 30, 2022 and expressed as percentages of total revenue, with the exception of cost of operations and company restaurant expenses, which are expressed as a percentage of company-operated restaurant revenue, are compared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Thirteen Years Ended</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20" w:type="dxa"/>
            <w:vAlign w:val="bottom"/>
          </w:tcPr>
          <w:p>
            <w:pPr>
              <w:spacing w:after="0"/>
              <w:rPr>
                <w:sz w:val="12"/>
                <w:szCs w:val="12"/>
                <w:color w:val="auto"/>
              </w:rPr>
            </w:pPr>
          </w:p>
        </w:tc>
        <w:tc>
          <w:tcPr>
            <w:tcW w:w="146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3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Increase / (Decrease)</w:t>
            </w:r>
          </w:p>
        </w:tc>
        <w:tc>
          <w:tcPr>
            <w:tcW w:w="20" w:type="dxa"/>
            <w:vAlign w:val="bottom"/>
          </w:tcPr>
          <w:p>
            <w:pPr>
              <w:spacing w:after="0"/>
              <w:rPr>
                <w:sz w:val="12"/>
                <w:szCs w:val="12"/>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r>
      <w:tr>
        <w:trPr>
          <w:trHeight w:val="20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 Data</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r>
      <w:tr>
        <w:trPr>
          <w:trHeight w:val="42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114,526</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110,048</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4,478</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 w:type="dxa"/>
            <w:vAlign w:val="bottom"/>
          </w:tcPr>
          <w:p>
            <w:pPr>
              <w:spacing w:after="0"/>
              <w:rPr>
                <w:sz w:val="24"/>
                <w:szCs w:val="24"/>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paper costs (1)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 and related expenses (1)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 (1)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198"/>
        </w:trPr>
        <w:tc>
          <w:tcPr>
            <w:tcW w:w="44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lost profits, net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 (1)</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83,178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84,249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18"/>
                <w:szCs w:val="18"/>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18"/>
                <w:szCs w:val="18"/>
                <w:color w:val="auto"/>
              </w:rPr>
            </w:pPr>
          </w:p>
        </w:tc>
      </w:tr>
      <w:tr>
        <w:trPr>
          <w:trHeight w:val="198"/>
        </w:trPr>
        <w:tc>
          <w:tcPr>
            <w:tcW w:w="44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property,</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and expenses</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18"/>
                <w:szCs w:val="18"/>
                <w:color w:val="auto"/>
              </w:rPr>
            </w:pPr>
          </w:p>
        </w:tc>
      </w:tr>
      <w:tr>
        <w:trPr>
          <w:trHeight w:val="209"/>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106,775</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106,728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0" w:type="dxa"/>
            <w:vAlign w:val="bottom"/>
          </w:tcPr>
          <w:p>
            <w:pPr>
              <w:spacing w:after="0"/>
              <w:rPr>
                <w:sz w:val="18"/>
                <w:szCs w:val="18"/>
                <w:color w:val="auto"/>
              </w:rPr>
            </w:pPr>
          </w:p>
        </w:tc>
      </w:tr>
      <w:tr>
        <w:trPr>
          <w:trHeight w:val="21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133.5</w:t>
            </w:r>
          </w:p>
        </w:tc>
        <w:tc>
          <w:tcPr>
            <w:tcW w:w="2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 w:type="dxa"/>
            <w:vAlign w:val="bottom"/>
          </w:tcPr>
          <w:p>
            <w:pPr>
              <w:spacing w:after="0"/>
              <w:rPr>
                <w:sz w:val="18"/>
                <w:szCs w:val="18"/>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r>
      <w:tr>
        <w:trPr>
          <w:trHeight w:val="21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3,849</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w:t>
            </w:r>
          </w:p>
        </w:tc>
        <w:tc>
          <w:tcPr>
            <w:tcW w:w="20" w:type="dxa"/>
            <w:vAlign w:val="bottom"/>
          </w:tcPr>
          <w:p>
            <w:pPr>
              <w:spacing w:after="0"/>
              <w:rPr>
                <w:sz w:val="18"/>
                <w:szCs w:val="18"/>
                <w:color w:val="auto"/>
              </w:rPr>
            </w:pPr>
          </w:p>
        </w:tc>
      </w:tr>
      <w:tr>
        <w:trPr>
          <w:trHeight w:val="216"/>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0" w:type="dxa"/>
            <w:vAlign w:val="bottom"/>
          </w:tcPr>
          <w:p>
            <w:pPr>
              <w:spacing w:after="0"/>
              <w:rPr>
                <w:sz w:val="18"/>
                <w:szCs w:val="18"/>
                <w:color w:val="auto"/>
              </w:rPr>
            </w:pPr>
          </w:p>
        </w:tc>
      </w:tr>
      <w:tr>
        <w:trPr>
          <w:trHeight w:val="21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4,918</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2,803</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3" w:lineRule="exact"/>
        <w:rPr>
          <w:sz w:val="20"/>
          <w:szCs w:val="20"/>
          <w:color w:val="auto"/>
        </w:rPr>
      </w:pPr>
    </w:p>
    <w:p>
      <w:pPr>
        <w:ind w:left="380" w:right="81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quarter ended March 29, 2023, company-operated restaurant revenue increased $3.9 million, or 4.2%, from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comparable period in the prior year. The increase in company-operated restaurant sales was primarily due to an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company-operated comparable restaurant revenue of $3.5 million, or 3.8%. The company-operated comparable restaurant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increase consisted of an approximately 6.3% increase in average check size due to increases in menu prices, partially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offset by a 2.4% decrease in transactions. In addition, company-operated restaurant revenue was favorably impacted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 million of additional sales from restaurants opened during or after the first quarter of 2022 and a $0.3 million increase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revenue from restaurants that were temporarily closed due to the COVID-19 pandemic during the first quarter of 2022.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company-operated restaurant sales increase was partially offset by a $1.5 million decrease in revenue from the closure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two restaurants and the four company-operated restaurants sold by the Company to existing franchisees, in each case,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or subsequent to the first quarter of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For the quarter ended March 29, 2023, franchise revenue increased $0.4 million, or 4.5%, from the comparable period in the prior year. This increase was primarily due to nine franchise-restaurants openings and four company-operated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restaurants sold by the Company to an existing franchisees during or subsequent to the first quarter of 2022. This franchise revenue increase was partially offset by a franchise comparable restaurant sales decrease of 1.0%.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Advertising Fee Revenue</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For the quarter ended March 29, 2023, franchise advertising fee revenue increased $0.1 million, or 2.1%, from the comparable period in the prior year. As advertising fee revenue is a percentage of franchisees’ revenue, the quarter-to-date fluctuations were due to the increases and decreases noted in franchise revenue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For the quarter ended March 29, 2023, food and paper costs decreased $0.8 million, or 3.0%, from the comparable period in the prior year. The decrease in food and paper costs for the quarter resulted primarily due to lower transactions, partially offset by commodity inflation. For the quarter, food and paper costs as a percentage of company-operated restaurant revenue were 27.5%, down from 29.5% in the comparable period of the prior year. The percentage decrease for the quarter was primarily due to an increase in pricing, partially offset by the increase noted in food and paper costs above.</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For the quarter ended March 29, 2023, labor and related expenses decreased $1.1 million, or 3.5%, from the comparable period in the prior year. The decrease in labor and related expenses for the quarter was primarily due to a $1.0 million decrease related to COVID-19 sick pay, a $1.0 million decrease in overtime due to improvements in operational execution, a $0.7 million decrease related to the 2.4% decrease in quarter-over-quarter sales transactions and a $0.6 million decrease in worker’s compensation expenses. The decrease in labor and related expenses for the quarter was partially offset by a $1.2 million increase primarily related to minimum wage increases in California during fiscal 2023 and 2022 and other labor wage increases as a result of competitive pressure and $0.9 million increase in labor related costs due to improved management staffing.</w:t>
      </w:r>
    </w:p>
    <w:p>
      <w:pPr>
        <w:spacing w:after="0" w:line="192"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For the quarter ended March 29, 2023, labor and related expenses as a percentage of company-operated restaurant revenue were 32.2%, down from 34.8% in the comparable period in the prior year primarily due to the increase in pricing, partially offset by the cost increases highlighted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and Other Operating Expenses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For the quarter ended March 29, 2023, occupancy and other operating expenses increased $1.0 million, or 4.4%, from the comparable period in the prior year. The increase was primarily due to a $0.3 million increase in repairs and maintenance, a $0.2 million increase in advertising fees, a $0.2 million increase in occupancy costs and a $0.3 million increase in other operating supplies.</w:t>
      </w:r>
    </w:p>
    <w:p>
      <w:pPr>
        <w:spacing w:after="0" w:line="180"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For the quarter ended March 29, 2023, occupancy and other operating expenses as a percentage of company-operated restaurant revenue were consistent with the comparable period in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 on Recovery of Insurance Proceeds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September 2022, one of our restaurants incurred damage resulting from a fire. In 2022, we disposed of less than $0.1 million of assets related to the fire. The restaurant was reopened for business on October 27, 2022. In fiscal 2023, we incurred costs directly related to the fire of less than $0.1 million. We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fiscal 2023, as a reduction of company restaurant expenses. We received from the insurance company cash of $0.4 million, net of the insurance deductible, during fiscal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For the quarter ended March 29, 2023, general and administrative expenses increased $1.2 million, or 12.5%, from the comparable period in the prior year. The increase for the quarter was primarily due to a $0.8 million increase in labor related costs, primarily related to an increase in management bonus expense and a $0.3 million increase in special costs related to the recent share distribution (see Note 9, “Related Party Transactions” for further details on the share distribution).</w:t>
      </w:r>
    </w:p>
    <w:p>
      <w:pPr>
        <w:spacing w:after="0" w:line="183"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For the quarter ended March 29, 2023, general and administrative expenses as a percentage of total revenue were 9.8%, up from 9.0% in the comparable period of the prior year. The percentage increase for the quarterly period is primarily due to the cost increases discussed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Restaurants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March 29, 2023, we completed the sale of one restaurant within the Orange County area to an existing franchisee. This sale resulted in cash proceeds of $0.2 million and a net gain on sale of restaurant of $0.1 million for the thirteen weeks ended March 29,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During the thirteen weeks ended March 29, 2023, we recorded non-cash impairment charges of less than $0.1 million, primarily related to the carrying value of ROU assets of one restaurant in California. During the thirteen weeks ended March 30, 2022, we recorded non-cash impairment charges of $0.1 million, primarily related to the long-lived assets of one restaurants in California.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both the thirteen weeks ended March 29, 2023 and March 30, 2022, we recognized less than $0.1 million of closed-store reserve expense related to the amortization of ROU assets, property taxes and CAM payments for our closed locations.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For the quarter ended March 29, 2023, interest expense, net, increased $0.6 million from the comparable period in the prior year. The increase in interest expense was primarily related to the higher outstanding balances on our 2022 Revolver (as defined below) as well as the higher interest rate in the current quarter versus the comparable period in the prior year. This increase was partially offset by the unwinding of our interest rate swap and the corresponding payout that was recognized as part of interest income during the thirteen weeks ended March 29,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Receivable Agreement</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On July 30, 2014, we entered into the income tax receivable agreement (the “TRA”). The TRA calls for us to pay to our pre-IPO stockholders 85% of the savings in cash that we realize in our taxes as a result of utilizing our net operating losses (“NOLs”) and other tax attributes attributable to preceding periods. For the thirteen weeks ended March 29, 2023, we recorded income tax receivable agreement income $0.1 million and for the thirteen weeks ended March 30, 2022 we recorded income tax receivable agreement income of $0.1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For the quarter ended March 29, 2023, we recorded an income tax provision of $2.0 million, reflecting an estimated effective tax rate of 28.4%. For the quarter ended March 30, 2022, we recorded an income tax provision of $0.9 million, reflecting an estimated effective tax rate of approximately 30.0%. The difference between the 21.0% statutory rate and our effective tax rate of 28.4% for the quarter ended March 29, 2023 is primarily a result of state taxes, the change 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valuation allowance against certain state credits, a non-deductible executive compensation, partially offset by a Work Opportunity Tax Credit benefit.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ind w:left="60" w:right="659"/>
        <w:spacing w:after="0" w:line="266"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System-Wide Sales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System-wide sales are neither required by, nor presented in accordance with GAAP. System-wide sales are the sum of company-operated restaurant revenue and sales from franchised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reconciles system-wide sales to company-operated restaurant revenue and total revenue: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40" w:type="dxa"/>
            <w:vAlign w:val="bottom"/>
          </w:tcPr>
          <w:p>
            <w:pPr>
              <w:spacing w:after="0"/>
              <w:rPr>
                <w:sz w:val="15"/>
                <w:szCs w:val="15"/>
                <w:color w:val="auto"/>
              </w:rPr>
            </w:pPr>
          </w:p>
        </w:tc>
        <w:tc>
          <w:tcPr>
            <w:tcW w:w="20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124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from franchised restaurants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System-wide sales</w:t>
            </w: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253,487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jc w:val="both"/>
        <w:ind w:left="60" w:right="499"/>
        <w:spacing w:after="0" w:line="261"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March 29, 2023 and March 30, 2022, there were 468 and 464 comparable restaurants, 181 and 182 company-operated restaurants and 287 and 282 franchised restaurants, respectively. Comparable restaurant sales indicate the performance of existing restaurants, since new restaurants are excluded.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a supplemental measure of restaurant performance.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is useful to investors to highlight trends in our core business that may not otherwise be apparent to investors when relying solely on GAAP financial measures.</w:t>
      </w:r>
    </w:p>
    <w:p>
      <w:pPr>
        <w:spacing w:after="0" w:line="18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40" w:type="dxa"/>
            <w:vAlign w:val="bottom"/>
          </w:tcPr>
          <w:p>
            <w:pPr>
              <w:spacing w:after="0"/>
              <w:rPr>
                <w:sz w:val="15"/>
                <w:szCs w:val="15"/>
                <w:color w:val="auto"/>
              </w:rPr>
            </w:pPr>
          </w:p>
        </w:tc>
        <w:tc>
          <w:tcPr>
            <w:tcW w:w="25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220" w:type="dxa"/>
            <w:vAlign w:val="bottom"/>
            <w:gridSpan w:val="2"/>
            <w:vMerge w:val="continue"/>
          </w:tcPr>
          <w:p>
            <w:pPr>
              <w:spacing w:after="0"/>
              <w:rPr>
                <w:sz w:val="12"/>
                <w:szCs w:val="12"/>
                <w:color w:val="auto"/>
              </w:rPr>
            </w:pPr>
          </w:p>
        </w:tc>
        <w:tc>
          <w:tcPr>
            <w:tcW w:w="1260" w:type="dxa"/>
            <w:vAlign w:val="bottom"/>
            <w:tcBorders>
              <w:top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0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24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(less):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on recovery of insurance proceeds, property, equipment and expenses</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(9,672)</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(6,981)</w:t>
            </w:r>
          </w:p>
        </w:tc>
        <w:tc>
          <w:tcPr>
            <w:tcW w:w="2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114,526</w:t>
            </w:r>
          </w:p>
        </w:tc>
        <w:tc>
          <w:tcPr>
            <w:tcW w:w="24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(9,672)</w:t>
            </w:r>
          </w:p>
        </w:tc>
        <w:tc>
          <w:tcPr>
            <w:tcW w:w="2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(6,981)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49"/>
        </w:trPr>
        <w:tc>
          <w:tcPr>
            <w:tcW w:w="6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97,873</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93,957</w:t>
            </w:r>
          </w:p>
        </w:tc>
        <w:tc>
          <w:tcPr>
            <w:tcW w:w="4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15.0 %</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higher-than-normal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EBITDA represents net income before interest expense, provision for income taxes, depreciation, and amortization. Adjusted EBITDA represents net income before interest expense, provision for income taxes, depreciation, amortization, and other items that we do not consider representative of our on-going operating performance, as identified in the reconciliation table below.</w:t>
      </w:r>
    </w:p>
    <w:p>
      <w:pPr>
        <w:spacing w:after="0" w:line="18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9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94"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reconciliations of our net income to our EBITDA and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6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2,115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11,510</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7,047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(b)</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closed-store reserves (c)</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disposition of restaurants (d)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 agreement income (e)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class action legal expense (f)</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dividend (g)</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legal (h)</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recovery of insurance proceeds (i)</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Pre-opening costs (j)</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12,168</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8,484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7" w:lineRule="exact"/>
        <w:rPr>
          <w:rFonts w:ascii="Times New Roman" w:cs="Times New Roman" w:eastAsia="Times New Roman" w:hAnsi="Times New Roman"/>
          <w:sz w:val="18"/>
          <w:szCs w:val="18"/>
          <w:color w:val="auto"/>
        </w:rPr>
      </w:pPr>
    </w:p>
    <w:p>
      <w:pPr>
        <w:ind w:left="380" w:right="15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ind w:left="380" w:right="21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long-lived and ROU assets and closing restaurants. During the thirteen weeks ended March 29, 2023, we recorded non-cash impairment charges of less than $0.1 million, primarily related to the carrying value of ROU assets of one restaurant in California. During the thirteen weeks ended March 30, 2022, we recorded non-cash impairment charges of $0.1 million primarily related to the long-lived assets of one restaurants in California.</w:t>
      </w:r>
    </w:p>
    <w:p>
      <w:pPr>
        <w:spacing w:after="0" w:line="1" w:lineRule="exact"/>
        <w:rPr>
          <w:rFonts w:ascii="Times New Roman" w:cs="Times New Roman" w:eastAsia="Times New Roman" w:hAnsi="Times New Roman"/>
          <w:sz w:val="18"/>
          <w:szCs w:val="18"/>
          <w:color w:val="auto"/>
        </w:rPr>
      </w:pPr>
    </w:p>
    <w:p>
      <w:pPr>
        <w:ind w:left="380" w:right="3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both the thirteen weeks ended March 29, 2023 and March 30, 2022, we recognized less than $0.1 million of closed-store reserve expense related to the amortization of ROU assets, property taxes and CAM payments for our closed locations.</w:t>
      </w:r>
    </w:p>
    <w:p>
      <w:pPr>
        <w:spacing w:after="0" w:line="1" w:lineRule="exact"/>
        <w:rPr>
          <w:rFonts w:ascii="Times New Roman" w:cs="Times New Roman" w:eastAsia="Times New Roman" w:hAnsi="Times New Roman"/>
          <w:sz w:val="18"/>
          <w:szCs w:val="18"/>
          <w:color w:val="auto"/>
        </w:rPr>
      </w:pPr>
    </w:p>
    <w:p>
      <w:pPr>
        <w:ind w:left="380" w:right="259" w:hanging="330"/>
        <w:spacing w:after="0" w:line="265" w:lineRule="auto"/>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thirteen weeks ended March 29, 2023, we completed the sale of one restaurant within the Orange County area to an existing franchisee. This sale resulted in cash proceeds of $0.2 million during the thirteen weeks ended March 29, 2023 and a net gain on sale of restaurant of $0.1 million for the thirteen weeks ended March 29, 2023.</w:t>
      </w:r>
    </w:p>
    <w:p>
      <w:pPr>
        <w:ind w:left="380" w:right="11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2014, we entered into the TRA. This agreement calls for us to pay to our pre-IPO stockholders 85% of the savings in cash that we realize in our taxes as a result of utilizing our NOLs and other tax attributes attributable to preceding periods. For the thirteen weeks ended March 29, 2023 and March 30, 2022, income tax receivable agreement income consisted of the amortization of interest expense and changes in estimates for actual tax returns filed, related to our total expected TRA payments.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costs and recoveries related to the defense of securities lawsuits.</w:t>
      </w:r>
    </w:p>
    <w:p>
      <w:pPr>
        <w:spacing w:after="0" w:line="9" w:lineRule="exact"/>
        <w:rPr>
          <w:rFonts w:ascii="Times New Roman" w:cs="Times New Roman" w:eastAsia="Times New Roman" w:hAnsi="Times New Roman"/>
          <w:sz w:val="18"/>
          <w:szCs w:val="18"/>
          <w:color w:val="auto"/>
        </w:rPr>
      </w:pPr>
    </w:p>
    <w:p>
      <w:pPr>
        <w:ind w:left="380" w:right="13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costs related to a special dividend declaration. On October 11, 2022, the Board of Directors declared a special dividend of $1.50 per share on the common stock of the Company. The special dividend was paid on November 9, 2022, to stockholders of record, including holders of restricted stock, at the close of business on October 24, 2022.</w:t>
      </w:r>
    </w:p>
    <w:p>
      <w:pPr>
        <w:spacing w:after="0" w:line="1" w:lineRule="exact"/>
        <w:rPr>
          <w:rFonts w:ascii="Times New Roman" w:cs="Times New Roman" w:eastAsia="Times New Roman" w:hAnsi="Times New Roman"/>
          <w:sz w:val="18"/>
          <w:szCs w:val="18"/>
          <w:color w:val="auto"/>
        </w:rPr>
      </w:pPr>
    </w:p>
    <w:p>
      <w:pPr>
        <w:ind w:left="380" w:right="61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costs related to the recent share distribution that occurred on March 28, 2023. Refer to Note 9, “Related Party Transactions” for further details on the share distribution.</w:t>
      </w:r>
    </w:p>
    <w:p>
      <w:pPr>
        <w:ind w:left="380" w:hanging="330"/>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one of our restaurants incurred damage resulting from a fire. In 2022, we disposed of less than</w:t>
      </w:r>
    </w:p>
    <w:p>
      <w:pPr>
        <w:spacing w:after="0" w:line="9" w:lineRule="exact"/>
        <w:rPr>
          <w:rFonts w:ascii="Times New Roman" w:cs="Times New Roman" w:eastAsia="Times New Roman" w:hAnsi="Times New Roman"/>
          <w:sz w:val="18"/>
          <w:szCs w:val="18"/>
          <w:color w:val="auto"/>
        </w:rPr>
      </w:pPr>
    </w:p>
    <w:p>
      <w:pPr>
        <w:ind w:left="380" w:right="1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assets related to the fire. The restaurant was reopened for business on October 27, 2022. In fiscal 2023, we incurred costs directly related to the fire of less than $0.1 million. We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fiscal 2023, as a reduction of company restaurant expenses. We received from the insurance company cash of $0.4 million, net of the insurance deductible, during fiscal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99" w:hanging="330"/>
        <w:spacing w:after="0" w:line="25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cash provided from operations, cash and cash equivalents, and our 2022 Revolver (defined below).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periods indicated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0" w:type="dxa"/>
            <w:vAlign w:val="bottom"/>
          </w:tcPr>
          <w:p>
            <w:pPr>
              <w:spacing w:after="0"/>
              <w:rPr>
                <w:sz w:val="15"/>
                <w:szCs w:val="15"/>
                <w:color w:val="auto"/>
              </w:rPr>
            </w:pPr>
          </w:p>
        </w:tc>
        <w:tc>
          <w:tcPr>
            <w:tcW w:w="23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118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For the thirteen weeks ended March 29, 2023, net cash from operating activities changed by approximately $6.1 million from the comparable period of the prior year. This change was due to favorable working capital fluctuations and higher profitability compared to the same period in the prior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For the thirteen weeks ended March 29, 2023, net cash used in investing activities changed by $1.9 million from the comparable period of the prior year. This change was due primarily to remodeling seven restaurants in the thirteen weeks ended March 29, 2023, compared to opening one new company-operated restaurant and not remodeling any restaurants in the thirteen weeks ended March 30,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For the thirteen weeks ended March 29, 2023, net cash from financing activities changed by $15.3 million from the comparable period of the prior year. The increase was due primarily to $8.0 million of net pay downs on the 2022 Revolver and repurchases of common stock of $5.9 million during the thirteen weeks ended March 29, 2023. This change was offset by a $0.1 million received related to option exercises during the thirteen weeks ended March 29, 2023 compared to a $1.5 million cash inflow related to option exercises during thirteen weeks ended March 30,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22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 as a guarantor, is a party to a credit agreement (the “2022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The special dividend announced by the Company’s Board of Directors on October 11, 2022 is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w:t>
      </w:r>
    </w:p>
    <w:p>
      <w:pPr>
        <w:ind w:left="60" w:right="119"/>
        <w:spacing w:after="0" w:line="271" w:lineRule="auto"/>
        <w:rPr>
          <w:sz w:val="20"/>
          <w:szCs w:val="20"/>
          <w:color w:val="auto"/>
        </w:rPr>
      </w:pPr>
      <w:r>
        <w:rPr>
          <w:rFonts w:ascii="Times New Roman" w:cs="Times New Roman" w:eastAsia="Times New Roman" w:hAnsi="Times New Roman"/>
          <w:sz w:val="17"/>
          <w:szCs w:val="17"/>
          <w:color w:val="auto"/>
        </w:rPr>
        <w:t>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74"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The interest rate range was 5.69% to 6.30% for the thirteen weeks March 29, 2023 under the 2022 Revolver and 1.35% to 1.70% for the thirteen March 30, 2022 under the 2018 Revolver.</w:t>
      </w:r>
    </w:p>
    <w:p>
      <w:pPr>
        <w:spacing w:after="0" w:line="192"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financial covenants. We were in compliance with the financial covenants as of March 29, 2023.</w:t>
      </w:r>
    </w:p>
    <w:p>
      <w:pPr>
        <w:spacing w:after="0" w:line="162"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At March 29, 2023, $9.8 million of letters of credit and $58.0 million of borrowings were outstanding under the 2022 Revolver. There were $82.2 million remaining borrowings available under the 2022 Revolver at March 29, 2023.</w:t>
      </w:r>
    </w:p>
    <w:p>
      <w:pPr>
        <w:spacing w:after="0" w:line="140"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During the year ended December 28, 2022, we refinanced and terminated our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and entered into the 2022 Credit Agreement. See Note 4, “Long-term debt” for additional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Our material cash requirements as of March 29, 2023 have not changed materially since those disclosed under “Material Cash Requirements” in Part II, Item 7 of our annual report on Form 10-K for the year ended December 28, 2022. Our material cash requirements relate mostly to future (i) debt payments, including expected interest expense, calculated based on current interest rates, (ii) restaurant operating lease payments, (iii) income tax receivable agreement payments, (iv) purchasing commitments for chicken, (v) restaurant finance lease payments, and (vi) capital expenditures.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October 11, 2022, the Company’s Board of Directors approved the 2022 Stock Repurchase Agreement under which the Company is authorized to repurchase up to $20.0 million of shares of its common stock. The 2022 Stock Repurchase Agreement will terminate on March 28, 2024, may be modified, suspended or discontinued at any time, and does not obligate the Company to acquire any particular number of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Under the 2022 Stock Repurchase Plan, the Company is permitted to repurchase its common stock from time to time, in amounts and at prices that the Company deemed appropriate, subject to market conditions and other considerations. The Company’s repurchases will be executed using open market purchases, including pursuant to Rule 10b5-1 trading plans, and/or through privately negotiated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On July 27, 2022, we refinanced the 2018 Revolver and entered into the 2022 Credit Agreement, which provides for a $150 million five-year senior secured revolving facility. In connection with the refinancing, the 2018 Credit Agreement was terminated. We are exposed to market risk from changes in interest rates on our debt, which bears interest, at SOFR plus a margin between 1.25% and 2.25%. As of March 29, 2023, we had outstanding borrowings of $58.0 million under our 2022 Revolver, $9.8 million of letters of credit in support of our insurance programs, and the applicable margin on outstanding borrowings under 2022 Revolver was 1.5%. A 1.0% increase in the effective interest rate applied to our 2022 Revolver borrowings would result in a pre-tax interest expense increase of $0.6 million on an annualized basis.</w:t>
      </w:r>
    </w:p>
    <w:p>
      <w:pPr>
        <w:spacing w:after="0" w:line="189" w:lineRule="exact"/>
        <w:rPr>
          <w:sz w:val="20"/>
          <w:szCs w:val="20"/>
          <w:color w:val="auto"/>
        </w:rPr>
      </w:pPr>
    </w:p>
    <w:p>
      <w:pPr>
        <w:ind w:left="60" w:right="219"/>
        <w:spacing w:after="0" w:line="274" w:lineRule="auto"/>
        <w:rPr>
          <w:sz w:val="20"/>
          <w:szCs w:val="20"/>
          <w:color w:val="auto"/>
        </w:rPr>
      </w:pPr>
      <w:r>
        <w:rPr>
          <w:rFonts w:ascii="Times New Roman" w:cs="Times New Roman" w:eastAsia="Times New Roman" w:hAnsi="Times New Roman"/>
          <w:sz w:val="17"/>
          <w:szCs w:val="17"/>
          <w:color w:val="auto"/>
        </w:rPr>
        <w:t>During the thirteen weeks ended March 29, 2023, we paid down $8.0 million on our 2022 Revolver and the outstanding balance as of March 29, 2023 was $58.0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If future rates based upon SOFR are higher than SOFR rates as currently determined, we may experience potential increases in interest rates on our variable rate debt, which could adversely impact our interest expense, results of operations and cash flows.</w:t>
      </w:r>
    </w:p>
    <w:p>
      <w:pPr>
        <w:spacing w:after="0" w:line="173"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our entry into the 2022 Credit Agreement, we terminated the interest rate swap previously used to hedge interest rate risk. In settlement of this swap, we received approximately $0.6 million. The remaining amount in AOCI related to the hedging relationship will be reclassified into earnings when the hedged forecasted transaction is reported in earnings.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6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March 29,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occurred during the quarter ended March 29,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For information regarding material legal proceedings, see Note 7, “Commitments and Contingencies—Legal Matters” in the “Notes to Condensed Consolidated Financial Statements” above, which information is incorporated by reference into this Item 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28, 2022 filed with the SEC on March 10, 2023.</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On October 11, 2022, the Company’s Board of Directors approved a share repurchase program (the “2022 Stock Repurchase Plan”) under which the Company is authorized to repurchase up to $20.0 million of shares of our common stock. The 2022 Stock Repurchase Plan will terminate on March 28, 2024, may be modified, suspended or discontinued at any time, and does not obligate the Company to acquire any particular number of shares.</w:t>
      </w:r>
    </w:p>
    <w:p>
      <w:pPr>
        <w:spacing w:after="0" w:line="180"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Under the 2022 Stock Repurchase Plan, the Company is permitted to repurchase its common stock from time to time, in amounts and at prices that the Company deemed appropriate, subject to market conditions and other considerations. The Company’s repurchases will be executed using open market purchases, including pursuant to Rule 10b5-1 trading plans, and/or through privately negotiated transactions.</w:t>
      </w:r>
    </w:p>
    <w:p>
      <w:pPr>
        <w:spacing w:after="0" w:line="180"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purchases of common stock under the 2022 Stock Repurchase Plan in the quarterly period ended March 29, 2023 (in thousands, except number of shares and per share amounts):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Be Purchased</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6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29, 2022 to January 25,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161,874</w:t>
            </w:r>
          </w:p>
        </w:tc>
        <w:tc>
          <w:tcPr>
            <w:tcW w:w="126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$ 10.92</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161,874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$ 18,364</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26, 2023 to February 22,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$ 12.17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$ 17,026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23, 2023 to March 29,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280,475</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$ 11.03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280,475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$ 13,810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552,349</w:t>
            </w:r>
          </w:p>
        </w:tc>
        <w:tc>
          <w:tcPr>
            <w:tcW w:w="12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552,349</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color w:val="auto"/>
              </w:rPr>
              <w:t>Filed</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8"/>
              </w:rPr>
              <w:t>Period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 File</w:t>
            </w:r>
          </w:p>
        </w:tc>
      </w:tr>
      <w:tr>
        <w:trPr>
          <w:trHeight w:val="128"/>
        </w:trPr>
        <w:tc>
          <w:tcPr>
            <w:tcW w:w="7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gridSpan w:val="15"/>
          </w:tcPr>
          <w:p>
            <w:pPr>
              <w:ind w:left="260"/>
              <w:spacing w:after="0" w:line="129" w:lineRule="exact"/>
              <w:rPr>
                <w:sz w:val="20"/>
                <w:szCs w:val="20"/>
                <w:color w:val="auto"/>
              </w:rPr>
            </w:pPr>
            <w:r>
              <w:rPr>
                <w:rFonts w:ascii="Times New Roman" w:cs="Times New Roman" w:eastAsia="Times New Roman" w:hAnsi="Times New Roman"/>
                <w:sz w:val="14"/>
                <w:szCs w:val="14"/>
                <w:color w:val="auto"/>
              </w:rPr>
              <w:t>Description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3"/>
              </w:rPr>
              <w:t>Herewith</w:t>
            </w:r>
          </w:p>
        </w:tc>
        <w:tc>
          <w:tcPr>
            <w:tcW w:w="120" w:type="dxa"/>
            <w:vAlign w:val="bottom"/>
          </w:tcPr>
          <w:p>
            <w:pPr>
              <w:spacing w:after="0"/>
              <w:rPr>
                <w:sz w:val="11"/>
                <w:szCs w:val="11"/>
                <w:color w:val="auto"/>
              </w:rPr>
            </w:pPr>
          </w:p>
        </w:tc>
        <w:tc>
          <w:tcPr>
            <w:tcW w:w="720" w:type="dxa"/>
            <w:vAlign w:val="bottom"/>
            <w:gridSpan w:val="3"/>
          </w:tcPr>
          <w:p>
            <w:pPr>
              <w:ind w:left="260"/>
              <w:spacing w:after="0" w:line="129" w:lineRule="exact"/>
              <w:rPr>
                <w:sz w:val="20"/>
                <w:szCs w:val="20"/>
                <w:color w:val="auto"/>
              </w:rPr>
            </w:pPr>
            <w:r>
              <w:rPr>
                <w:rFonts w:ascii="Times New Roman" w:cs="Times New Roman" w:eastAsia="Times New Roman" w:hAnsi="Times New Roman"/>
                <w:sz w:val="14"/>
                <w:szCs w:val="14"/>
                <w:color w:val="auto"/>
              </w:rPr>
              <w:t>Form</w:t>
            </w:r>
          </w:p>
        </w:tc>
        <w:tc>
          <w:tcPr>
            <w:tcW w:w="280" w:type="dxa"/>
            <w:vAlign w:val="bottom"/>
          </w:tcPr>
          <w:p>
            <w:pPr>
              <w:spacing w:after="0"/>
              <w:rPr>
                <w:sz w:val="11"/>
                <w:szCs w:val="11"/>
                <w:color w:val="auto"/>
              </w:rPr>
            </w:pPr>
          </w:p>
        </w:tc>
        <w:tc>
          <w:tcPr>
            <w:tcW w:w="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Ended</w:t>
            </w:r>
          </w:p>
        </w:tc>
        <w:tc>
          <w:tcPr>
            <w:tcW w:w="44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rPr>
              <w:t>Exhibit</w:t>
            </w:r>
          </w:p>
        </w:tc>
        <w:tc>
          <w:tcPr>
            <w:tcW w:w="88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Filing Date</w:t>
            </w:r>
          </w:p>
        </w:tc>
        <w:tc>
          <w:tcPr>
            <w:tcW w:w="220" w:type="dxa"/>
            <w:vAlign w:val="bottom"/>
          </w:tcPr>
          <w:p>
            <w:pPr>
              <w:spacing w:after="0"/>
              <w:rPr>
                <w:sz w:val="11"/>
                <w:szCs w:val="11"/>
                <w:color w:val="auto"/>
              </w:rPr>
            </w:pPr>
          </w:p>
        </w:tc>
        <w:tc>
          <w:tcPr>
            <w:tcW w:w="520" w:type="dxa"/>
            <w:vAlign w:val="bottom"/>
            <w:tcBorders>
              <w:top w:val="single" w:sz="8" w:color="auto"/>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140" w:type="dxa"/>
            <w:vAlign w:val="bottom"/>
          </w:tcPr>
          <w:p>
            <w:pPr>
              <w:spacing w:after="0"/>
              <w:rPr>
                <w:sz w:val="11"/>
                <w:szCs w:val="1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Amended and Restated Certificate of</w:t>
              </w:r>
            </w:hyperlink>
          </w:p>
        </w:tc>
        <w:tc>
          <w:tcPr>
            <w:tcW w:w="60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17"/>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Incorporation of El Pollo Loco</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Holdings, Inc.</w:t>
              </w:r>
            </w:hyperlink>
          </w:p>
        </w:tc>
        <w:tc>
          <w:tcPr>
            <w:tcW w:w="1180" w:type="dxa"/>
            <w:vAlign w:val="bottom"/>
            <w:tcBorders>
              <w:top w:val="single" w:sz="8" w:color="0000EE"/>
            </w:tcBorders>
            <w:gridSpan w:val="5"/>
          </w:tcPr>
          <w:p>
            <w:pPr>
              <w:spacing w:after="0"/>
              <w:rPr>
                <w:sz w:val="17"/>
                <w:szCs w:val="17"/>
                <w:color w:val="auto"/>
              </w:rPr>
            </w:pPr>
          </w:p>
        </w:tc>
        <w:tc>
          <w:tcPr>
            <w:tcW w:w="106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ind w:left="2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8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6/25/2014</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88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9/5/2014</w:t>
            </w:r>
          </w:p>
        </w:tc>
        <w:tc>
          <w:tcPr>
            <w:tcW w:w="880" w:type="dxa"/>
            <w:vAlign w:val="bottom"/>
            <w:gridSpan w:val="5"/>
          </w:tcPr>
          <w:p>
            <w:pPr>
              <w:jc w:val="center"/>
              <w:ind w:left="16"/>
              <w:spacing w:after="0" w:line="19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3280" w:type="dxa"/>
            <w:vAlign w:val="bottom"/>
            <w:gridSpan w:val="17"/>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By-Laws of El Pollo</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Loco Holdings, Inc.</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ind w:left="2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8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6/25/2014</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88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9/5/2014</w:t>
            </w:r>
          </w:p>
        </w:tc>
        <w:tc>
          <w:tcPr>
            <w:tcW w:w="880" w:type="dxa"/>
            <w:vAlign w:val="bottom"/>
            <w:gridSpan w:val="5"/>
          </w:tcPr>
          <w:p>
            <w:pPr>
              <w:jc w:val="center"/>
              <w:ind w:left="16"/>
              <w:spacing w:after="0" w:line="19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under section 302 of the Sarbanes–Oxley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29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w:t>
            </w:r>
          </w:p>
        </w:tc>
        <w:tc>
          <w:tcPr>
            <w:tcW w:w="36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under section 302 of the Sarbanes–Oxley</w:t>
            </w:r>
          </w:p>
        </w:tc>
        <w:tc>
          <w:tcPr>
            <w:tcW w:w="26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w:t>
            </w:r>
          </w:p>
        </w:tc>
        <w:tc>
          <w:tcPr>
            <w:tcW w:w="5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Chief Financial Officer under 18 U.S.C.</w:t>
            </w:r>
          </w:p>
        </w:tc>
        <w:tc>
          <w:tcPr>
            <w:tcW w:w="280" w:type="dxa"/>
            <w:vAlign w:val="bottom"/>
            <w:tcBorders>
              <w:top w:val="single" w:sz="8" w:color="0000EE"/>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adopted by section 906 of the</w:t>
            </w:r>
          </w:p>
        </w:tc>
        <w:tc>
          <w:tcPr>
            <w:tcW w:w="1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4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101.SCH XBRL Taxonomy Extension Schema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4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101.CAL XBRL Taxonomy Extension Schema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40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101.LAB XBRL Taxonomy Extension Label Linkbase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page interactive data file does not appear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tags are embedded within the Inline XBRL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159" w:hanging="330"/>
        <w:spacing w:after="0" w:line="26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27686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86" w:lineRule="exact"/>
        <w:rPr>
          <w:sz w:val="20"/>
          <w:szCs w:val="20"/>
          <w:color w:val="auto"/>
        </w:rPr>
      </w:pPr>
    </w:p>
    <w:p>
      <w:pPr>
        <w:ind w:left="100"/>
        <w:spacing w:after="0"/>
        <w:tabs>
          <w:tab w:leader="none" w:pos="462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8"/>
          <w:szCs w:val="18"/>
          <w:color w:val="auto"/>
        </w:rPr>
        <w:t>/s/ Laurance Roberts</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27686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(duly authorized officer)</w:t>
      </w:r>
    </w:p>
    <w:p>
      <w:pPr>
        <w:spacing w:after="0" w:line="295" w:lineRule="exact"/>
        <w:rPr>
          <w:sz w:val="20"/>
          <w:szCs w:val="20"/>
          <w:color w:val="auto"/>
        </w:rPr>
      </w:pPr>
    </w:p>
    <w:p>
      <w:pPr>
        <w:ind w:left="100"/>
        <w:spacing w:after="0"/>
        <w:tabs>
          <w:tab w:leader="none" w:pos="462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8"/>
          <w:szCs w:val="18"/>
          <w:color w:val="auto"/>
        </w:rPr>
        <w:t>/s/ Ira Fils</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27686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Fils, certify that:</w:t>
      </w:r>
    </w:p>
    <w:p>
      <w:pPr>
        <w:spacing w:after="0" w:line="266" w:lineRule="exact"/>
        <w:rPr>
          <w:sz w:val="20"/>
          <w:szCs w:val="20"/>
          <w:color w:val="auto"/>
        </w:rPr>
      </w:pPr>
    </w:p>
    <w:p>
      <w:pPr>
        <w:ind w:left="180" w:hanging="174"/>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65" w:lineRule="exact"/>
        <w:rPr>
          <w:rFonts w:ascii="Times New Roman" w:cs="Times New Roman" w:eastAsia="Times New Roman" w:hAnsi="Times New Roman"/>
          <w:sz w:val="18"/>
          <w:szCs w:val="18"/>
          <w:color w:val="auto"/>
        </w:rPr>
      </w:pPr>
    </w:p>
    <w:p>
      <w:pPr>
        <w:jc w:val="both"/>
        <w:ind w:right="340" w:firstLine="6"/>
        <w:spacing w:after="0" w:line="313"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6"/>
        <w:spacing w:after="0" w:line="313"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100" w:firstLine="6"/>
        <w:spacing w:after="0" w:line="313"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6"/>
        <w:spacing w:after="0" w:line="313"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60" w:firstLine="6"/>
        <w:spacing w:after="0" w:line="313"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100" w:firstLine="6"/>
        <w:spacing w:after="0" w:line="313"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40" w:firstLine="6"/>
        <w:spacing w:after="0" w:line="307"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500" w:firstLine="6"/>
        <w:spacing w:after="0" w:line="313"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420" w:firstLine="6"/>
        <w:spacing w:after="0" w:line="321"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8"/>
          <w:szCs w:val="18"/>
          <w:color w:val="auto"/>
        </w:rPr>
      </w:pPr>
    </w:p>
    <w:p>
      <w:pPr>
        <w:ind w:right="780" w:firstLine="6"/>
        <w:spacing w:after="0" w:line="329"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26035</wp:posOffset>
            </wp:positionV>
            <wp:extent cx="5932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Ira Fils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674370</wp:posOffset>
            </wp:positionV>
            <wp:extent cx="59664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401" w:right="12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Laurance Roberts, certify that:</w:t>
      </w:r>
    </w:p>
    <w:p>
      <w:pPr>
        <w:spacing w:after="0" w:line="266" w:lineRule="exact"/>
        <w:rPr>
          <w:sz w:val="20"/>
          <w:szCs w:val="20"/>
          <w:color w:val="auto"/>
        </w:rPr>
      </w:pPr>
    </w:p>
    <w:p>
      <w:pPr>
        <w:ind w:left="180" w:hanging="174"/>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65" w:lineRule="exact"/>
        <w:rPr>
          <w:rFonts w:ascii="Times New Roman" w:cs="Times New Roman" w:eastAsia="Times New Roman" w:hAnsi="Times New Roman"/>
          <w:sz w:val="18"/>
          <w:szCs w:val="18"/>
          <w:color w:val="auto"/>
        </w:rPr>
      </w:pPr>
    </w:p>
    <w:p>
      <w:pPr>
        <w:jc w:val="both"/>
        <w:ind w:right="340" w:firstLine="6"/>
        <w:spacing w:after="0" w:line="313"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6"/>
        <w:spacing w:after="0" w:line="313"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100" w:firstLine="6"/>
        <w:spacing w:after="0" w:line="313"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6"/>
        <w:spacing w:after="0" w:line="313"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60" w:firstLine="6"/>
        <w:spacing w:after="0" w:line="313"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100" w:firstLine="6"/>
        <w:spacing w:after="0" w:line="313"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40" w:firstLine="6"/>
        <w:spacing w:after="0" w:line="307"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500" w:firstLine="6"/>
        <w:spacing w:after="0" w:line="313"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420" w:firstLine="6"/>
        <w:spacing w:after="0" w:line="321"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8"/>
          <w:szCs w:val="18"/>
          <w:color w:val="auto"/>
        </w:rPr>
      </w:pPr>
    </w:p>
    <w:p>
      <w:pPr>
        <w:ind w:right="780" w:firstLine="6"/>
        <w:spacing w:after="0" w:line="329"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59664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59664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401" w:right="12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66" w:lineRule="exact"/>
        <w:rPr>
          <w:sz w:val="20"/>
          <w:szCs w:val="20"/>
          <w:color w:val="auto"/>
        </w:rPr>
      </w:pPr>
    </w:p>
    <w:p>
      <w:pPr>
        <w:ind w:right="240"/>
        <w:spacing w:after="0" w:line="307"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17145</wp:posOffset>
            </wp:positionV>
            <wp:extent cx="59321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17145</wp:posOffset>
            </wp:positionV>
            <wp:extent cx="59321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Ira Fils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sectPr>
      <w:pgSz w:w="11900" w:h="16838" w:orient="portrait"/>
      <w:cols w:equalWidth="0" w:num="1">
        <w:col w:w="9400"/>
      </w:cols>
      <w:pgMar w:left="1240" w:top="401"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decimal"/>
      <w:start w:val="10"/>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0"/>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5"/>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0" Type="http://schemas.openxmlformats.org/officeDocument/2006/relationships/hyperlink" Target="https://www.sec.gov/Archives/edgar/data/1606366/000119312514332367/d779664dex31.htm" TargetMode="External"/><Relationship Id="rId61" Type="http://schemas.openxmlformats.org/officeDocument/2006/relationships/hyperlink" Target="https://www.sec.gov/Archives/edgar/data/1606366/000119312514332367/d77966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2023-05-05T14:32:14Z</dcterms:created>
  <dcterms:modified xsi:type="dcterms:W3CDTF">2023-05-05T14:32:14Z</dcterms:modified>
</cp:coreProperties>
</file>