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247015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2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26, 2019</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240665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tcPr>
          <w:p>
            <w:pPr>
              <w:jc w:val="center"/>
              <w:ind w:right="25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8"/>
        </w:trPr>
        <w:tc>
          <w:tcPr>
            <w:tcW w:w="6760" w:type="dxa"/>
            <w:vAlign w:val="bottom"/>
          </w:tcPr>
          <w:p>
            <w:pPr>
              <w:jc w:val="center"/>
              <w:ind w:right="25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760" w:type="dxa"/>
            <w:vAlign w:val="bottom"/>
          </w:tcPr>
          <w:p>
            <w:pPr>
              <w:jc w:val="center"/>
              <w:ind w:right="257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760" w:type="dxa"/>
            <w:vAlign w:val="bottom"/>
          </w:tcPr>
          <w:p>
            <w:pPr>
              <w:jc w:val="center"/>
              <w:ind w:right="2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760" w:type="dxa"/>
            <w:vAlign w:val="bottom"/>
          </w:tcPr>
          <w:p>
            <w:pPr>
              <w:jc w:val="right"/>
              <w:ind w:right="1099"/>
              <w:spacing w:after="0"/>
              <w:rPr>
                <w:sz w:val="20"/>
                <w:szCs w:val="20"/>
                <w:color w:val="auto"/>
              </w:rPr>
            </w:pPr>
            <w:r>
              <w:rPr>
                <w:rFonts w:ascii="Arial" w:cs="Arial" w:eastAsia="Arial" w:hAnsi="Arial"/>
                <w:sz w:val="18"/>
                <w:szCs w:val="18"/>
                <w:b w:val="1"/>
                <w:bCs w:val="1"/>
                <w:color w:val="auto"/>
              </w:rPr>
              <w:t>(714) 599-5000</w:t>
            </w:r>
          </w:p>
        </w:tc>
        <w:tc>
          <w:tcPr>
            <w:tcW w:w="2300" w:type="dxa"/>
            <w:vAlign w:val="bottom"/>
          </w:tcPr>
          <w:p>
            <w:pPr>
              <w:spacing w:after="0"/>
              <w:rPr>
                <w:sz w:val="24"/>
                <w:szCs w:val="24"/>
                <w:color w:val="auto"/>
              </w:rPr>
            </w:pPr>
          </w:p>
        </w:tc>
      </w:tr>
      <w:tr>
        <w:trPr>
          <w:trHeight w:val="186"/>
        </w:trPr>
        <w:tc>
          <w:tcPr>
            <w:tcW w:w="6760" w:type="dxa"/>
            <w:vAlign w:val="bottom"/>
          </w:tcPr>
          <w:p>
            <w:pPr>
              <w:jc w:val="center"/>
              <w:ind w:left="31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00" w:type="dxa"/>
            <w:vAlign w:val="bottom"/>
          </w:tcPr>
          <w:p>
            <w:pPr>
              <w:spacing w:after="0"/>
              <w:rPr>
                <w:sz w:val="16"/>
                <w:szCs w:val="16"/>
                <w:color w:val="auto"/>
              </w:rPr>
            </w:pPr>
          </w:p>
        </w:tc>
      </w:tr>
    </w:tbl>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LOCO</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222885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26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6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60"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40"/>
          </w:cols>
          <w:pgMar w:left="240" w:top="1044" w:right="219" w:bottom="1042" w:gutter="0" w:footer="0" w:header="0"/>
        </w:sectPr>
      </w:pPr>
    </w:p>
    <w:bookmarkStart w:id="1" w:name="page2"/>
    <w:bookmarkEnd w:id="1"/>
    <w:p>
      <w:pPr>
        <w:ind w:firstLine="500"/>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0" w:right="1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July 26, 2019, there were 36,837,614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40"/>
          </w:cols>
          <w:pgMar w:left="240" w:top="8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9"/>
              </w:rPr>
              <w:t>Table of Contents</w:t>
            </w:r>
          </w:p>
        </w:tc>
        <w:tc>
          <w:tcPr>
            <w:tcW w:w="7900" w:type="dxa"/>
            <w:vAlign w:val="bottom"/>
            <w:gridSpan w:val="15"/>
          </w:tcPr>
          <w:p>
            <w:pPr>
              <w:spacing w:after="0"/>
              <w:rPr>
                <w:sz w:val="14"/>
                <w:szCs w:val="14"/>
                <w:color w:val="auto"/>
              </w:rPr>
            </w:pPr>
          </w:p>
        </w:tc>
        <w:tc>
          <w:tcPr>
            <w:tcW w:w="23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3"/>
          </w:tcPr>
          <w:p>
            <w:pPr>
              <w:spacing w:after="0"/>
              <w:rPr>
                <w:sz w:val="21"/>
                <w:szCs w:val="21"/>
                <w:color w:val="auto"/>
              </w:rPr>
            </w:pPr>
          </w:p>
        </w:tc>
        <w:tc>
          <w:tcPr>
            <w:tcW w:w="6020" w:type="dxa"/>
            <w:vAlign w:val="bottom"/>
            <w:gridSpan w:val="8"/>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3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w:t>
              </w:r>
            </w:hyperlink>
          </w:p>
        </w:tc>
        <w:tc>
          <w:tcPr>
            <w:tcW w:w="4660" w:type="dxa"/>
            <w:vAlign w:val="bottom"/>
            <w:gridSpan w:val="6"/>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9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Stockholders' Equity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50"/>
        </w:trPr>
        <w:tc>
          <w:tcPr>
            <w:tcW w:w="6120" w:type="dxa"/>
            <w:vAlign w:val="bottom"/>
            <w:tcBorders>
              <w:top w:val="single" w:sz="8" w:color="0000EE"/>
            </w:tcBorders>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w:t>
              </w:r>
            </w:hyperlink>
          </w:p>
        </w:tc>
        <w:tc>
          <w:tcPr>
            <w:tcW w:w="2860" w:type="dxa"/>
            <w:vAlign w:val="bottom"/>
            <w:gridSpan w:val="2"/>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060" w:type="dxa"/>
            <w:vAlign w:val="bottom"/>
            <w:gridSpan w:val="1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2. Management’s Discussion and Analysis of Financial Condition and Results of Operations.</w:t>
              </w:r>
            </w:hyperlink>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3. Quantitative and Qualitative Disclosures About Market Risk.</w:t>
              </w:r>
            </w:hyperlink>
          </w:p>
        </w:tc>
        <w:tc>
          <w:tcPr>
            <w:tcW w:w="2120" w:type="dxa"/>
            <w:vAlign w:val="bottom"/>
            <w:gridSpan w:val="2"/>
          </w:tcPr>
          <w:p>
            <w:pPr>
              <w:spacing w:after="0"/>
              <w:rPr>
                <w:sz w:val="21"/>
                <w:szCs w:val="21"/>
                <w:color w:val="auto"/>
              </w:rPr>
            </w:pPr>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tcBorders>
              <w:left w:val="single" w:sz="8" w:color="0000EE"/>
            </w:tcBorders>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Item 4. Controls and Procedures.</w:t>
              </w:r>
            </w:hyperlink>
          </w:p>
        </w:tc>
        <w:tc>
          <w:tcPr>
            <w:tcW w:w="2580" w:type="dxa"/>
            <w:vAlign w:val="bottom"/>
            <w:gridSpan w:val="7"/>
          </w:tcPr>
          <w:p>
            <w:pPr>
              <w:spacing w:after="0"/>
              <w:rPr>
                <w:sz w:val="21"/>
                <w:szCs w:val="21"/>
                <w:color w:val="auto"/>
              </w:rPr>
            </w:pPr>
          </w:p>
        </w:tc>
        <w:tc>
          <w:tcPr>
            <w:tcW w:w="4040" w:type="dxa"/>
            <w:vAlign w:val="bottom"/>
            <w:gridSpan w:val="3"/>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PART II—OTHER INFORMATION</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 Legal Proceedings.</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1A. Risk Factors.</w:t>
              </w:r>
            </w:hyperlink>
          </w:p>
        </w:tc>
        <w:tc>
          <w:tcPr>
            <w:tcW w:w="260" w:type="dxa"/>
            <w:vAlign w:val="bottom"/>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 Unregistered Sales of Equity Securities and Use of Proceeds.</w:t>
              </w:r>
            </w:hyperlink>
          </w:p>
        </w:tc>
        <w:tc>
          <w:tcPr>
            <w:tcW w:w="238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 Defaults of Senior Securities.</w:t>
              </w:r>
            </w:hyperlink>
          </w:p>
        </w:tc>
        <w:tc>
          <w:tcPr>
            <w:tcW w:w="4040" w:type="dxa"/>
            <w:vAlign w:val="bottom"/>
            <w:gridSpan w:val="3"/>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 Mine Safety Disclosures.</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10"/>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5. Other Information.</w:t>
              </w:r>
            </w:hyperlink>
          </w:p>
        </w:tc>
        <w:tc>
          <w:tcPr>
            <w:tcW w:w="6620" w:type="dxa"/>
            <w:vAlign w:val="bottom"/>
            <w:gridSpan w:val="10"/>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80" w:type="dxa"/>
            <w:vAlign w:val="bottom"/>
            <w:gridSpan w:val="1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Signatures</w:t>
              </w:r>
            </w:hyperlink>
          </w:p>
        </w:tc>
        <w:tc>
          <w:tcPr>
            <w:tcW w:w="440" w:type="dxa"/>
            <w:vAlign w:val="bottom"/>
            <w:gridSpan w:val="2"/>
          </w:tcPr>
          <w:p>
            <w:pPr>
              <w:spacing w:after="0"/>
              <w:rPr>
                <w:sz w:val="21"/>
                <w:szCs w:val="21"/>
                <w:color w:val="auto"/>
              </w:rPr>
            </w:pPr>
          </w:p>
        </w:tc>
        <w:tc>
          <w:tcPr>
            <w:tcW w:w="7780" w:type="dxa"/>
            <w:vAlign w:val="bottom"/>
            <w:gridSpan w:val="14"/>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723"/>
        </w:trPr>
        <w:tc>
          <w:tcPr>
            <w:tcW w:w="760" w:type="dxa"/>
            <w:vAlign w:val="bottom"/>
            <w:tcBorders>
              <w:top w:val="single" w:sz="8" w:color="0000EE"/>
            </w:tcBorders>
          </w:tcPr>
          <w:p>
            <w:pPr>
              <w:spacing w:after="0"/>
              <w:rPr>
                <w:sz w:val="24"/>
                <w:szCs w:val="24"/>
                <w:color w:val="auto"/>
              </w:rPr>
            </w:pPr>
          </w:p>
        </w:tc>
        <w:tc>
          <w:tcPr>
            <w:tcW w:w="5360" w:type="dxa"/>
            <w:vAlign w:val="bottom"/>
            <w:gridSpan w:val="14"/>
          </w:tcPr>
          <w:p>
            <w:pPr>
              <w:jc w:val="right"/>
              <w:ind w:right="400"/>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26, 2019</w:t>
            </w:r>
          </w:p>
        </w:tc>
        <w:tc>
          <w:tcPr>
            <w:tcW w:w="12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b w:val="1"/>
                <w:bCs w:val="1"/>
                <w:color w:val="auto"/>
                <w:w w:val="93"/>
              </w:rPr>
              <w:t>December 26, 2018</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9,599</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2,998</w:t>
            </w:r>
          </w:p>
        </w:tc>
      </w:tr>
      <w:tr>
        <w:trPr>
          <w:trHeight w:val="27"/>
        </w:trPr>
        <w:tc>
          <w:tcPr>
            <w:tcW w:w="8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Property and equipment owned, net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91,259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104,145</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held under finance leases,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Property held under operating leases, net ("ROU Asset")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199,461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61,888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61,888</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11,709</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r>
      <w:tr>
        <w:trPr>
          <w:trHeight w:val="29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636,993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450,226</w:t>
            </w:r>
          </w:p>
        </w:tc>
      </w:tr>
      <w:tr>
        <w:trPr>
          <w:trHeight w:val="23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obligations under finance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Current portion of obligations under operating leases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18,727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Accrued salaries and vacation</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7,574</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Accrued income taxes payable</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6,637</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51,764</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77,329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82,903</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Obligations under finance leases, net of current portion</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operating leases,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Other intangible liabilities, net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payable,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20,024</w:t>
            </w:r>
          </w:p>
        </w:tc>
      </w:tr>
      <w:tr>
        <w:trPr>
          <w:trHeight w:val="27"/>
        </w:trPr>
        <w:tc>
          <w:tcPr>
            <w:tcW w:w="8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184,990</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8420" w:type="dxa"/>
            <w:vAlign w:val="bottom"/>
          </w:tcPr>
          <w:p>
            <w:pPr>
              <w:ind w:left="40"/>
              <w:spacing w:after="0"/>
              <w:rPr>
                <w:sz w:val="20"/>
                <w:szCs w:val="20"/>
                <w:color w:val="auto"/>
              </w:rPr>
            </w:pPr>
            <w:r>
              <w:rPr>
                <w:rFonts w:ascii="Arial" w:cs="Arial" w:eastAsia="Arial" w:hAnsi="Arial"/>
                <w:sz w:val="18"/>
                <w:szCs w:val="18"/>
                <w:color w:val="auto"/>
              </w:rPr>
              <w:t>Preferred stock, $0.01 par value, 100,000,000 shares authorized; none issued or</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value—200,000,000 shares authorized; 37,732,948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39,004,451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358,335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375,734</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(110,888)</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262,824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265,236</w:t>
            </w:r>
          </w:p>
        </w:tc>
      </w:tr>
      <w:tr>
        <w:trPr>
          <w:trHeight w:val="27"/>
        </w:trPr>
        <w:tc>
          <w:tcPr>
            <w:tcW w:w="8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636,993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450,226</w:t>
            </w:r>
          </w:p>
        </w:tc>
      </w:tr>
      <w:tr>
        <w:trPr>
          <w:trHeight w:val="20"/>
        </w:trPr>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360"/>
          </w:cols>
          <w:pgMar w:left="240" w:top="580" w:right="299" w:bottom="989"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80" w:right="299" w:bottom="989"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27, 2018</w:t>
            </w: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100,139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197,289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194,180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10,550</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paper cost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Labor and related expenses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58,848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55,518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44,832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79,450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160,145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156,266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13,686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12,082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(gain) on disposal of assets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6,782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disposition of restaurants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93,160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104,044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199,845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205,352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1,848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10,395</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7,581</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0.20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97"/>
              </w:rPr>
              <w:t>Weighted-average shares used in computing net income per share</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37,939,912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38,482,074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38,296,807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38,473,641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38,580,722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39,043,434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39,043,477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39,015,259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Thirteen Weeks Ended June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4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5"/>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Balance, March 27, 2019</w:t>
            </w:r>
          </w:p>
        </w:tc>
        <w:tc>
          <w:tcPr>
            <w:tcW w:w="1560" w:type="dxa"/>
            <w:vAlign w:val="bottom"/>
            <w:gridSpan w:val="2"/>
          </w:tcPr>
          <w:p>
            <w:pPr>
              <w:jc w:val="right"/>
              <w:ind w:right="37"/>
              <w:spacing w:after="0"/>
              <w:rPr>
                <w:sz w:val="20"/>
                <w:szCs w:val="20"/>
                <w:color w:val="auto"/>
              </w:rPr>
            </w:pPr>
            <w:r>
              <w:rPr>
                <w:rFonts w:ascii="Arial" w:cs="Arial" w:eastAsia="Arial" w:hAnsi="Arial"/>
                <w:sz w:val="18"/>
                <w:szCs w:val="18"/>
                <w:color w:val="auto"/>
              </w:rPr>
              <w:t>38,730,204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372,825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(109,975)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263,238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w w:val="93"/>
              </w:rPr>
              <w:t>Issuance of common stock related to restricted shares, net</w:t>
            </w:r>
          </w:p>
        </w:tc>
        <w:tc>
          <w:tcPr>
            <w:tcW w:w="1560" w:type="dxa"/>
            <w:vAlign w:val="bottom"/>
            <w:gridSpan w:val="2"/>
          </w:tcPr>
          <w:p>
            <w:pPr>
              <w:jc w:val="right"/>
              <w:ind w:right="37"/>
              <w:spacing w:after="0"/>
              <w:rPr>
                <w:sz w:val="20"/>
                <w:szCs w:val="20"/>
                <w:color w:val="auto"/>
              </w:rPr>
            </w:pPr>
            <w:r>
              <w:rPr>
                <w:rFonts w:ascii="Arial" w:cs="Arial" w:eastAsia="Arial" w:hAnsi="Arial"/>
                <w:sz w:val="18"/>
                <w:szCs w:val="18"/>
                <w:color w:val="auto"/>
              </w:rPr>
              <w:t>323,489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upon exercise of stock options</w:t>
            </w:r>
          </w:p>
        </w:tc>
        <w:tc>
          <w:tcPr>
            <w:tcW w:w="15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6,709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Shares repurchased for employee tax withholdings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(24,172)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(1,303,282)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14,087</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26, 2019</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37,732,948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358,335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262,824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Thirteen Weeks Ended June 27, 2018</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8"/>
                <w:szCs w:val="18"/>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4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5"/>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28, 2018</w:t>
            </w:r>
          </w:p>
        </w:tc>
        <w:tc>
          <w:tcPr>
            <w:tcW w:w="15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38,636,038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274,517</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 for employee tax withholdings</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w w:val="92"/>
              </w:rPr>
              <w:t>Forfeiture of common stock related to restricted shares, net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(18,762)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Balance, June 27, 2018</w:t>
            </w:r>
          </w:p>
        </w:tc>
        <w:tc>
          <w:tcPr>
            <w:tcW w:w="3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38,608,810</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387</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374,081</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280,128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Twenty-Six Weeks Ended June 26, 2019</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8"/>
                <w:szCs w:val="18"/>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4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5"/>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Balance, December 26, 2018</w:t>
            </w:r>
          </w:p>
        </w:tc>
        <w:tc>
          <w:tcPr>
            <w:tcW w:w="1560" w:type="dxa"/>
            <w:vAlign w:val="bottom"/>
            <w:gridSpan w:val="2"/>
          </w:tcPr>
          <w:p>
            <w:pPr>
              <w:jc w:val="right"/>
              <w:ind w:right="37"/>
              <w:spacing w:after="0"/>
              <w:rPr>
                <w:sz w:val="20"/>
                <w:szCs w:val="20"/>
                <w:color w:val="auto"/>
              </w:rPr>
            </w:pPr>
            <w:r>
              <w:rPr>
                <w:rFonts w:ascii="Arial" w:cs="Arial" w:eastAsia="Arial" w:hAnsi="Arial"/>
                <w:sz w:val="18"/>
                <w:szCs w:val="18"/>
                <w:color w:val="auto"/>
              </w:rPr>
              <w:t>39,009,451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375,734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(110,888)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265,236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w w:val="93"/>
              </w:rPr>
              <w:t>Issuance of common stock related to restricted shares, net</w:t>
            </w:r>
          </w:p>
        </w:tc>
        <w:tc>
          <w:tcPr>
            <w:tcW w:w="1560" w:type="dxa"/>
            <w:vAlign w:val="bottom"/>
            <w:gridSpan w:val="2"/>
          </w:tcPr>
          <w:p>
            <w:pPr>
              <w:jc w:val="right"/>
              <w:ind w:right="37"/>
              <w:spacing w:after="0"/>
              <w:rPr>
                <w:sz w:val="20"/>
                <w:szCs w:val="20"/>
                <w:color w:val="auto"/>
              </w:rPr>
            </w:pPr>
            <w:r>
              <w:rPr>
                <w:rFonts w:ascii="Arial" w:cs="Arial" w:eastAsia="Arial" w:hAnsi="Arial"/>
                <w:sz w:val="18"/>
                <w:szCs w:val="18"/>
                <w:color w:val="auto"/>
              </w:rPr>
              <w:t>301,371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upon exercise of stock options</w:t>
            </w:r>
          </w:p>
        </w:tc>
        <w:tc>
          <w:tcPr>
            <w:tcW w:w="15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6,709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Shares repurchased for employee tax withholdings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(25,747)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(1,558,836)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26, 2019</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37,732,948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358,335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262,824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0" w:type="dxa"/>
            <w:vAlign w:val="bottom"/>
          </w:tcPr>
          <w:p>
            <w:pPr>
              <w:spacing w:after="0"/>
              <w:rPr>
                <w:sz w:val="24"/>
                <w:szCs w:val="24"/>
                <w:color w:val="auto"/>
              </w:rPr>
            </w:pPr>
          </w:p>
        </w:tc>
        <w:tc>
          <w:tcPr>
            <w:tcW w:w="1560" w:type="dxa"/>
            <w:vAlign w:val="bottom"/>
            <w:gridSpan w:val="2"/>
          </w:tcPr>
          <w:p>
            <w:pPr>
              <w:jc w:val="center"/>
              <w:ind w:left="972"/>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Twenty-Six Weeks Ended June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6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5"/>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27, 2017</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38,661,850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Cumulative effect of accounting change (See Note 10)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repurchased for employee tax withholdings</w:t>
            </w:r>
          </w:p>
        </w:tc>
        <w:tc>
          <w:tcPr>
            <w:tcW w:w="1260" w:type="dxa"/>
            <w:vAlign w:val="bottom"/>
          </w:tcPr>
          <w:p>
            <w:pPr>
              <w:jc w:val="right"/>
              <w:spacing w:after="0"/>
              <w:rPr>
                <w:sz w:val="20"/>
                <w:szCs w:val="20"/>
                <w:color w:val="auto"/>
              </w:rPr>
            </w:pPr>
            <w:r>
              <w:rPr>
                <w:rFonts w:ascii="Arial" w:cs="Arial" w:eastAsia="Arial" w:hAnsi="Arial"/>
                <w:sz w:val="18"/>
                <w:szCs w:val="18"/>
                <w:color w:val="auto"/>
              </w:rPr>
              <w:t>(8,466)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Forfeiture of common stock related to restricted shares, net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27, 2018</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38,608,810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374,081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280,128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27, 2018</w:t>
            </w:r>
          </w:p>
        </w:tc>
      </w:tr>
      <w:tr>
        <w:trPr>
          <w:trHeight w:val="243"/>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7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on disposition of restaurants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Impairment of property and equipment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1,708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Closed-store reserve expense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1,349</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and other receivables, net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salaries and vacation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insurance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2,081</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restaurants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(13,952)</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tax withholdings related to net share settlements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on revolver and swingline loan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on revolver and swingline loan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upon exercise of stock options, net of expenses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obligations under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 buybacks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Decrease in cash and cash equivalents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8,550</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13,085</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88" w:right="239" w:bottom="1440" w:gutter="0" w:footer="0" w:header="0"/>
          <w:type w:val="continuous"/>
        </w:sectPr>
      </w:pPr>
    </w:p>
    <w:bookmarkStart w:id="8" w:name="page9"/>
    <w:bookmarkEnd w:id="8"/>
    <w:p>
      <w:pPr>
        <w:ind w:left="9120"/>
        <w:spacing w:after="0"/>
        <w:rPr>
          <w:sz w:val="20"/>
          <w:szCs w:val="20"/>
          <w:color w:val="auto"/>
        </w:rPr>
      </w:pPr>
      <w:r>
        <w:rPr>
          <w:rFonts w:ascii="Arial" w:cs="Arial" w:eastAsia="Arial" w:hAnsi="Arial"/>
          <w:sz w:val="14"/>
          <w:szCs w:val="14"/>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26, 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27, 2018</w:t>
            </w:r>
          </w:p>
        </w:tc>
      </w:tr>
      <w:tr>
        <w:trPr>
          <w:trHeight w:val="26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1,593</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Unpaid stock buybacks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80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200"/>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June 26, 2019, the Company operated 200 and franchised 284 El Pollo Loco restaurants.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August 2, 2018, the Company announced that the Board of Directors had authorized a stock repurchase program. The Company entered into a stock repurchase plan pursuant to Rule 10b5-1 of the Securities and Exchange Act of 1934, as amended, on August 28, 2018 (the “2018 Stock Repurchase Plan”), which allowed for the repurchase of up to $20.0 million of the Company’s common stock. The 2018 Stock Repurchase Plan commenced purchases on November 6, 2018 and terminated on June 26, 2019.</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April 30, 2019, as part of the Company’s focus on shareholder returns, the Board of Directors approved a new stock repurchase program. The Company entered into a stock repurchase plan pursuant to Rule 10b5-1 of the Securities and Exchange Act of 1934, as amended, on May 17, 2019 (the “2019 Stock Repurchase Plan”), which allowed for the repurchase up to $30.0 million of the Company's outstanding common stock. The 2019 Stock Repurchase Program commenced purchases on June 27, 2019, and will terminate on March 25, 2020, if not terminated sooner by other provisions of the 2019 Stock Repurchase Program, and may also be suspended or terminated at anytime upon prior notice.</w:t>
      </w:r>
    </w:p>
    <w:p>
      <w:pPr>
        <w:spacing w:after="0" w:line="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the 2019 Sock Repurchase Program, the Company may repurchase its common stock from time to time, in amounts and at prices that the Company deems appropriate, subject to market conditions and other considerations. The Company’s repurchases may be executed using open market purchases and/or through privately negotiated transactions.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thirteen weeks ended June 26, 2019, the Company repurchased 1,303,282 shares of common stock under the 2018 Stock Repurchase Plan, using open market purchases, for total consideration of approximately $14.9 million. For the twenty-six weeks ended June 26, 2019, the Company repurchased 1,558,836 shares of common stock under the 2018 Stock Repurchase Plan, using open market purchases, for total consideration of approximately $18.3 million, which were retired.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condensed consolidated financial statements included in the Company’s annual report on Form 10-K for the year ended December 26, 2018.</w:t>
      </w:r>
    </w:p>
    <w:p>
      <w:pPr>
        <w:spacing w:after="0" w:line="19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2019 and 2018 are both 52-week years, ending on December 25, 2019 and December 26, 2018, respectively. Revenues, expenses, and other financial and operational figures may be elevated in a 53-week year.</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 EPL’s 2018 Revolver (as defined below) on a full and unconditional basis (see Note 4),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closed-store reserves, stock-based compensation, income tax receivable agreement liability, contingent liabilities and income tax valuation allowances.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principal liquidity requirements are to service its debt and to meet capital expenditure needs. At June 26, 2019, the Company’s total debt was $85.0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$11.3 million at June 26, 2019, and available borrowings under the 2018 Revolver (see Note 4) will be adequate to meet the Company’s liquidity needs for the next twelve months from the filing of these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thirteen and twenty-six weeks ended June 26, 2019 the Company received insurance proceeds of $10.0 million related to the settlement of the securities class action lawsuit. During the thirteen and twenty-six weeks ended June 27, 2018, the Company received insurance proceeds of $2.4 million and $4.1 million, respectively, related to the reimbursement of certain legal expenses paid in prior years for the defense of securities lawsuits. See Note 7, Commitments and Contingencies, Legal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Disposition of Restaurants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the thirteen and twenty-six weeks ended June 26, 2019, the Company completed the sale of four company-operated restaurants within the San Francisco area to an existing franchisee and seven company-operated restaurants in the Phoenix area to another existing franchisee. The Company has determined that these restaurant dispositions represent multiple element arrangements, and as a result, the cash consideration received was allocated to the separate elements based on their relative selling price. Cash proceeds included upfront consideration for the sale of the restaurants and franchise fees, as well as future cash consideration for royalties and lease payments. The Company considered the future lease payments in allocating the initial cash consideration received. The cash consideration per restaurant for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These sales resulted in cash proceeds of $4.8 million and a net loss on sale of restaurants of $0.9 million and $5.1 million for the thirteen and twenty-six weeks ended June 26, 2019, respectively. These restaurants are now included in the total number of franchised El Pollo Loco restaurants.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August 2018, the SEC adopted the final rule under SEC Release No. 33-10532, “Disclosure Update and Simplification,</w:t>
      </w:r>
      <w:r>
        <w:rPr>
          <w:rFonts w:ascii="Arial" w:cs="Arial" w:eastAsia="Arial" w:hAnsi="Arial"/>
          <w:sz w:val="16"/>
          <w:szCs w:val="16"/>
          <w:i w:val="1"/>
          <w:iCs w:val="1"/>
          <w:color w:val="auto"/>
        </w:rPr>
        <w:t>”</w:t>
      </w:r>
      <w:r>
        <w:rPr>
          <w:rFonts w:ascii="Arial" w:cs="Arial" w:eastAsia="Arial" w:hAnsi="Arial"/>
          <w:sz w:val="16"/>
          <w:szCs w:val="16"/>
          <w:color w:val="auto"/>
        </w:rPr>
        <w:t xml:space="preserve">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Company adopted SEC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Release No. 33-10532 as of December 27, 2018. See “Condensed Consolidated Statements of Changes in Stockholders’ Equity” above.</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June 2018, the Financial Accounting Standards Board (“FASB”) issued Accounting Standards Update (“ASU”) No. 2018-07, “Compensation—Stock Compensation (Topic 718): Improvements to Nonemployee Share-Based Payment Accounting”, (“ASU 2018-07”) which expands the scope of Topic 718 to include share-based payment transactions for acquiring goods and services from non-employees. ASU 2018-07 is effective for financial statements issued for annual periods beginning after December 15, 2018, and for the interim periods therein. The Company adopted ASU 2018-07 as of December 27, 2018 and it did not have a significant impact on the Company’s consolidated financial position or results of operations.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No. 2016-02, “Leases”, (“Topic 842”). Topic 842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was effective for fiscal years beginning after December 15, 2018, including interim periods therein.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adopted Topic 842, and all related ASU’s as of December 27, 2018. See “Changes in Accounting Policies” below for further details.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Subsequent to June 26, 2019, the Company made an $8.0 million borrowing on the 2018 Revolver, related primarily to repurchases under the 2018 Stock Repurchase Agreement.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evaluated subsequent events that have occurred after June 26, 2019, and determined that there were no other events or transactions occurring during this reporting period that require recognition or disclosure in the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had one supplier for which amounts due totaled 37.1% of the Company’s accounts payable at June 26, 2019. As of December 26, 2018, the Company had one supplier for which amounts due totaled 36.0% of the Company’s accounts payable. Purchases from the Company’s largest supplier totaled 30.3% and 28.8% of total expenses for the thirteen and twenty-six weeks ended June 26, 2019, respectively, and 29.1% and 28.6% of total expenses for the thirteen and twenty-six weeks ended June 27, 2018, respectively.</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Company-operated and franchised restaurants in the greater Los Angeles area generated, in the aggregate, approximately 69.3% of total revenue for each of the thirteen and twenty-six weeks ended June 26, 2019, and 68.5% and 68.8% for the thirteen and twenty-six weeks ended June 27,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first quarter of 2018 the Company implemented Topic 606. Revenue is measured based on a consideration specified in a contract with a customer. The Company recognizes revenue when it satisfies a performance obligation by transferring control over a product or service to a customer. Topic 606 defines a five-step process to achieve this core principle. Refer to Note 10, “Revenue From Contracts With Customers” for further details on the Company’s revenue recognition policy.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the restaurants during the thirteen and twenty-six weeks ended June 26, 2019.</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92" w:right="2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8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3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did not identify any indicators of potential impairment of its goodwill or indefinite-lived intangible assets during the thirteen and twenty-six weeks ended June 26, 2019 or June 27, 2018, and therefore did not record any impairment during the respective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26, 2019 and December 26, 2018, the Company had no assets or liabilities measured at fair value on a recurring basis.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26, 2019, reflecting certain property and equipment assets for which an impairment loss was recognized during the corresponding periods, as discussed immediately below under "Impairment of Long-Lived Assets."</w:t>
      </w: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Fair Value Measurements at June 26,</w:t>
            </w:r>
          </w:p>
        </w:tc>
        <w:tc>
          <w:tcPr>
            <w:tcW w:w="1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Thirteen Weeks Ended June</w:t>
            </w:r>
          </w:p>
        </w:tc>
        <w:tc>
          <w:tcPr>
            <w:tcW w:w="140" w:type="dxa"/>
            <w:vAlign w:val="bottom"/>
          </w:tcPr>
          <w:p>
            <w:pPr>
              <w:spacing w:after="0"/>
              <w:rPr>
                <w:sz w:val="14"/>
                <w:szCs w:val="14"/>
                <w:color w:val="auto"/>
              </w:rPr>
            </w:pPr>
          </w:p>
        </w:tc>
        <w:tc>
          <w:tcPr>
            <w:tcW w:w="174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Twenty-Six Weeks Ended</w:t>
            </w:r>
          </w:p>
        </w:tc>
      </w:tr>
      <w:tr>
        <w:trPr>
          <w:trHeight w:val="192"/>
        </w:trPr>
        <w:tc>
          <w:tcPr>
            <w:tcW w:w="2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1"/>
              </w:rPr>
              <w:t>2019 Using</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26, 2019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June 26, 2019</w:t>
            </w:r>
          </w:p>
        </w:tc>
      </w:tr>
      <w:tr>
        <w:trPr>
          <w:trHeight w:val="264"/>
        </w:trPr>
        <w:tc>
          <w:tcPr>
            <w:tcW w:w="2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2"/>
              </w:rPr>
              <w:t>Level 2</w:t>
            </w: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Impairment Losses</w:t>
            </w: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Impairment Losses</w:t>
            </w: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227</w:t>
            </w:r>
          </w:p>
        </w:tc>
      </w:tr>
      <w:tr>
        <w:trPr>
          <w:trHeight w:val="27"/>
        </w:trPr>
        <w:tc>
          <w:tcPr>
            <w:tcW w:w="2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27, 2018, reflecting certain property and equipment assets for which an impairment loss was recognized during the corresponding periods, as discussed immediately below under "Impairment of Long-Lived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tbl>
      <w:tblPr>
        <w:tblLayout w:type="fixed"/>
        <w:tblInd w:w="2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at June</w:t>
            </w:r>
          </w:p>
        </w:tc>
        <w:tc>
          <w:tcPr>
            <w:tcW w:w="1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Thirteen Weeks Ended June</w:t>
            </w:r>
          </w:p>
        </w:tc>
        <w:tc>
          <w:tcPr>
            <w:tcW w:w="140" w:type="dxa"/>
            <w:vAlign w:val="bottom"/>
          </w:tcPr>
          <w:p>
            <w:pPr>
              <w:spacing w:after="0"/>
              <w:rPr>
                <w:sz w:val="14"/>
                <w:szCs w:val="14"/>
                <w:color w:val="auto"/>
              </w:rPr>
            </w:pPr>
          </w:p>
        </w:tc>
        <w:tc>
          <w:tcPr>
            <w:tcW w:w="174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Twenty-Six Weeks Ended</w:t>
            </w:r>
          </w:p>
        </w:tc>
      </w:tr>
      <w:tr>
        <w:trPr>
          <w:trHeight w:val="192"/>
        </w:trPr>
        <w:tc>
          <w:tcPr>
            <w:tcW w:w="2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2"/>
              </w:rPr>
              <w:t>27,2018 Using</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27,2018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June 27,2018</w:t>
            </w:r>
          </w:p>
        </w:tc>
      </w:tr>
      <w:tr>
        <w:trPr>
          <w:trHeight w:val="264"/>
        </w:trPr>
        <w:tc>
          <w:tcPr>
            <w:tcW w:w="2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2"/>
              </w:rPr>
              <w:t>Level 2</w:t>
            </w: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Impairment Losses</w:t>
            </w: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Impairment Losses</w:t>
            </w: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1,708</w:t>
            </w:r>
          </w:p>
        </w:tc>
      </w:tr>
      <w:tr>
        <w:trPr>
          <w:trHeight w:val="27"/>
        </w:trPr>
        <w:tc>
          <w:tcPr>
            <w:tcW w:w="2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loss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the analysis, the Company recorded a non-cash impairment charge of $0.2 million for each of the thirteen and twenty-six weeks ended June 26, 2019, primarily related to the carrying value of one restaurant in California. The Company recorded a non-cash impairment charge of $1.7 million for each of the thirteen and twenty-six weeks ended June 27, 2018, primarily related to the carrying value of the assets of one restaurant in Arizona. Given the difficulty in projecting results for newer restaurants in newer markets, we are monitoring the recoverability of the carrying value of the assets of several restaurants on an ongoing basis. For these restaurants, if expected performance improvements are not realized, an impairment charge may be recognized in future periods, and such charge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Closed-Store Reserves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adoption of Topic 842 “Leases,” when the Company closed a restaurant, it reviewed the future minimum lease payments and related ancillary costs from the date of the restaurant closure to the end of the remaining lease term and recorded a lease charge for the lease liabilities to be incurred, net of any estimated sublease recoveries. The estimates of future closed-store reserves were re-evaluated and adjusted each period based on information available as of the period. In addition, an impairment charge was recognized for any remaining carrying value of certain restaurant assets. During the thirteen weeks ended June 27, 2018, the Company closed two restaurants in Texas, both of which were previously impaired during the third quarter of 2017. During the twenty-six weeks ended June 27, 2018, the Company closed four restaurants in Texas, all of which were previously impaired during the third quarter of 2017, and decided not to move forward with the development of a third location in Texas. This resulted in closed-store reserve expense of $2.3 million and $5.1 million for the thirteen and twenty-six weeks ended June 27, 2018, respectively.</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Subsequent to the adoption of Topic 842, the Company no longer recognizes a closed-store reserve when the Company closes a restaurant, as a lease liability related to the future lease payments is already recognized. Rather, when a restaurant is closed, the Company will evaluate the ROU Asset for impairment, based on anticipated sublease recoveries. The remaining value of the ROU Asset is amortized on a straight-line basis, with the expense recognized in closed-store reserve expense. During the twenty-six weeks ended June 26, 2019, the Company closed one restaurant in California and one in Texas and recognized $0.3 million and $0.6 million of closed-store reserve expense for the thirteen and twenty-six weeks ended June 26, 2019, respectively, primarily related to the amortization of ROU Assets for closed stores.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34" w:right="239" w:bottom="1440" w:gutter="0" w:footer="0" w:header="0"/>
        </w:sectPr>
      </w:pPr>
    </w:p>
    <w:bookmarkStart w:id="14" w:name="page15"/>
    <w:bookmarkEnd w:id="14"/>
    <w:p>
      <w:pPr>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June 26, 2019 or at December 26, 2018, and did not recognize interest or penalties during the thirteen or twenty-six weeks ended June 26, 2019 or June 27, 2018,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July 30, 2014, the Company entered into the TRA, which calls for the Company to pay to its pre-IPO stockholders 85% of the savings in cash that the Company realizes in its income taxes as a result of utilizing its net operating losses and other tax attributes attributable to preceding periods. For the thirteen and twenty-six weeks ended June 26, 2019, we recorded income tax receivable agreement income of $0.1 million and income tax receivable agreement expense of $0.1 million, respectively, and for the thirteen and twenty-six weeks ended June 27, 2018, we recorded income tax receivable agreement expense of $0.7 million and income tax receivable agreement income of $0.2 million, respectively, related to the amortization of interest expense related to our total expected TRA payments and changes in estimates for actual tax returns filed and future forecasted taxable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condensed consolidated financial statements.</w:t>
      </w:r>
    </w:p>
    <w:p>
      <w:pPr>
        <w:spacing w:after="0" w:line="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adopted Topic 842 with a date of initial application of December 27, 2018. As a result, the Company has changed its accounting policy for leases as detailed below.</w:t>
      </w:r>
    </w:p>
    <w:p>
      <w:pPr>
        <w:spacing w:after="0" w:line="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the majority of which are operating leases. Additionally, the Company has various contracts with vendors that have been determined to contain an embedded lease in accordance with Topic 842. As of the date of adoption, the Company recognized a ROU Asset and lease liability equal to the present value of these leases within its consolidated balance sheet for any leases with terms longer than 12 months. The Company also has three finance leases, subleases facilities to certain franchises and is the lessor for certain property, facilities and equipment owned by the Company. The adoption of this ASU did not have an impact on our current accounting policies for these items. Furthermore, the adoption of this standard did not have any impact on the Company’s consolidated statement of operations or the consolidated statement of cash flows.</w:t>
      </w:r>
    </w:p>
    <w:p>
      <w:pPr>
        <w:spacing w:after="0" w:line="10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applied Topic 842 using the effective date method, which allowed the Company to apply the standard as of the adoption date, and to recognize the cumulative effect of initially applying Topic 842 as an adjustment to retained earnings at December 27, 2018, if applicable. Therefore, the comparative information has not been adjusted and continues to be reported under Topic 840. However, the Company did not have any impact to its retained earnings.</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Additionally, the Company elected to apply the package of practical expedients, which allows for carryforwards of 1) historical lease classifications, 2) determination of whether a contract contains a lease under the new definition of a lease and 3) whether previously capitalized initial direct costs qualify for capitalization. See Note 11, "Leases," for further details.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26, 2019</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26,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156,806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2,989</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248,179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(144,034)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$4.5 million and $4.3 million for the thirteen weeks ended June 26, 2019 and June 27, 2018, respectively, and $9.2 million and $8.6 million for the twenty-six weeks ended June 26, 2019 and June 27, 2018, respectively.</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Based on the Company's review of its long-lived assets for impairment, the Company recorded non-cash impairment charges of $0.2 million for each of the thirteen and twenty-six weeks ended June 26, 2019, and $1.7 million for each of the thirteen and twenty-six weeks ended June 27,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June 26, 2019, options to purchase 2,303,921 shares of common stock were outstanding, including 1,708,169 vested and 595,752 unvested. Unvested options vest over time; however, upon a change in control, the board may accelerate vesting. At June 26, 2019, 1,381,010 premium options, options granted above the stock price at date of grant, remained outstanding. A summary of stock option activity as of June 26, 2019 and changes during the twenty-six weeks ended June 26, 2019 is as follows: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680" w:type="dxa"/>
            <w:vAlign w:val="bottom"/>
          </w:tcPr>
          <w:p>
            <w:pPr>
              <w:jc w:val="right"/>
              <w:ind w:right="314"/>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3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ind w:right="45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26, 2018</w:t>
            </w:r>
          </w:p>
        </w:tc>
        <w:tc>
          <w:tcPr>
            <w:tcW w:w="1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Grants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320,536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940" w:type="dxa"/>
            <w:vAlign w:val="bottom"/>
          </w:tcPr>
          <w:p>
            <w:pPr>
              <w:jc w:val="right"/>
              <w:spacing w:after="0"/>
              <w:rPr>
                <w:sz w:val="20"/>
                <w:szCs w:val="20"/>
                <w:color w:val="auto"/>
              </w:rPr>
            </w:pPr>
            <w:r>
              <w:rPr>
                <w:rFonts w:ascii="Arial" w:cs="Arial" w:eastAsia="Arial" w:hAnsi="Arial"/>
                <w:sz w:val="18"/>
                <w:szCs w:val="18"/>
                <w:color w:val="auto"/>
              </w:rPr>
              <w:t>(112,310)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June 26, 2019</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2,303,921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June 26, 2019</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80" w:type="dxa"/>
            <w:vAlign w:val="bottom"/>
            <w:vMerge w:val="continue"/>
          </w:tcPr>
          <w:p>
            <w:pPr>
              <w:spacing w:after="0"/>
              <w:rPr>
                <w:sz w:val="19"/>
                <w:szCs w:val="19"/>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2,289,608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67"/>
        </w:trPr>
        <w:tc>
          <w:tcPr>
            <w:tcW w:w="7380" w:type="dxa"/>
            <w:vAlign w:val="bottom"/>
            <w:tcBorders>
              <w:bottom w:val="single" w:sz="8" w:color="CCEEFF"/>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3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at June 26, 2019</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was estimated on the grant date using an exercise price of the closing stock price on the day prior to date of grant and the</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option-pricing model with the following weighted average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4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Twenty-Six Weeks Ended June 26, 2019</w:t>
            </w: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w w:val="94"/>
              </w:rPr>
              <w:t>Twenty-Six Weeks Ended June 27, 2018</w:t>
            </w: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4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2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6.25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1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26, 2019, the Company had total unrecognized compensation expense of $2.1 million related to unvested stock options, which it expects to recognize over a weighted-average period of 3.41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share activity as of June 26, 2019 and changes during the twenty-six weeks ended June 26, 2019 is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0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89"/>
              </w:rPr>
              <w:t>Shares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31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3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26, 2018</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490,700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285,996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(89,862)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Forfeited, cancelled, or expired</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(44,722)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June 26, 2019</w:t>
            </w:r>
          </w:p>
        </w:tc>
        <w:tc>
          <w:tcPr>
            <w:tcW w:w="1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642,112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Unvested shares at June 26, 2019, included 517,389 unvested restricted shares, 36,058 unvested performance stock units and 88,665 unvested restricted units outstanding.</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26, 2019, the Company had unrecognized compensation expense of $5.3 million related to unvested restricted shares, which it expects to recognize over a weighted-average period of 3.22 years, unrecognized compensation expense of $0.1 million related to performance stock units, which it expects to recognize over a weighted-average period of 3.87 years and unrecognized compensation expense of $0.9 million related to unvested restricted units, which it expects to recognize over a weighted-average period of 3.00 years.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stock-based compensation expense was $0.6 million and $1.1 million for the thirteen and twenty-six weeks ended June 26, 2019, respectively, and $0.6 million and $1.2 million for the thirteen and twenty-six weeks ended June 27,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3.90% to 6.00% for each of the thirteen and twenty-six weeks ended June 26, 2019, respectively, and 3.60% to 3.70% and 3.30% to 3.70% for the thirteen and twenty-six weeks ended June 27,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2018 Credit Agreement contains certain financial covenants. The Company was in compliance with the financial covenants as of June 26, 2019.</w:t>
      </w:r>
    </w:p>
    <w:p>
      <w:pPr>
        <w:spacing w:after="0" w:line="3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June 26, 2019, $8.5 million of letters of credit and $85.0 million of the 2018 Revolver were outstanding. The amount available under the 2018 Revolver was $56.5 million at June 26,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thirteen and twenty-six weeks ended June 26, 2019, the Company borrowed $14.0 million and $11.0 million, respectively, net of pay downs of $12.0 million and $15.0 million, respectively, on the Company’s 2018 Revolver, primarily to fund settlement payments. See Note 7 for further details regarding the settlement payments. During the thirteen and twenty-six weeks ended June 27, 2018, the Company elected to pay down $5.0 million and $13.0 million of outstanding borrowings on the Company’s 2014 Revolver, respectively. There are no required principal payments prior to maturity for the 2018 Revolver.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2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26, 2019</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26, 2018</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Gift card liability</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2,512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settlements and 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38,639</w:t>
            </w: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5,597</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26,098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51,764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8"/>
        <w:spacing w:after="0" w:line="345" w:lineRule="auto"/>
        <w:tabs>
          <w:tab w:leader="none" w:pos="178"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Company previously included the short-term portion deferred rent, tenant improvement allowance and lease escalation liabilities within “Other accrued expenses and current liabilities.” Upon its adoption of Topic 842 “Leases,” these balances were netted with the ROU Asset for the respective operating lease. See “Change in accounting policies" in Note 1 and Note 11 “Leases” for further details of the Company’s adoption of Topic 842.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26,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26, 2018</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rent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franchise and development fees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5,224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4,140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20,024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255" w:lineRule="auto"/>
        <w:tabs>
          <w:tab w:leader="none" w:pos="178"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accordance with the Company’s adoption of Topic 842 “Leases” all deferred rent balances are now included with in the Company’s ROU Asset. Refer to “Change in accounting policies” in Note 1 and Note 11 “Leases” for further details of the Company’s adoption of Topic 842.</w:t>
      </w:r>
    </w:p>
    <w:p>
      <w:pPr>
        <w:spacing w:after="0" w:line="46" w:lineRule="exact"/>
        <w:rPr>
          <w:rFonts w:ascii="Arial" w:cs="Arial" w:eastAsia="Arial" w:hAnsi="Arial"/>
          <w:sz w:val="13"/>
          <w:szCs w:val="13"/>
          <w:color w:val="auto"/>
        </w:rPr>
      </w:pPr>
    </w:p>
    <w:p>
      <w:pPr>
        <w:ind w:right="100" w:firstLine="8"/>
        <w:spacing w:after="0" w:line="414" w:lineRule="auto"/>
        <w:tabs>
          <w:tab w:leader="none" w:pos="178"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 previously included the non-current portion tenant improvement allowance and lease escalation liabilities within “Other noncurrent liabilities.” Upon its adoption of Topic 842 “Leases,” these balances were netted with the ROU Asset for the respective operating lease. See “Change in accounting policies” in Note 1 and Note 11 “Leases” for further details of the Company’s adoption of Topic 842.</w:t>
      </w:r>
    </w:p>
    <w:p>
      <w:pPr>
        <w:spacing w:after="0" w:line="384" w:lineRule="exact"/>
        <w:rPr>
          <w:sz w:val="20"/>
          <w:szCs w:val="20"/>
          <w:color w:val="auto"/>
        </w:rPr>
      </w:pPr>
    </w:p>
    <w:p>
      <w:pPr>
        <w:ind w:right="778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283"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(the “Olvera Action”)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reached a settlement in principle on January 24, 2019 of all claims brought on behalf of approximately 32,000 putative class members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(the “Perez Action”), </w:t>
      </w:r>
      <w:r>
        <w:rPr>
          <w:rFonts w:ascii="Arial" w:cs="Arial" w:eastAsia="Arial" w:hAnsi="Arial"/>
          <w:sz w:val="16"/>
          <w:szCs w:val="16"/>
          <w:u w:val="single" w:color="auto"/>
          <w:color w:val="auto"/>
        </w:rPr>
        <w:t>Maria Vega, et al. v. El Pollo Loco, Inc.</w:t>
      </w:r>
      <w:r>
        <w:rPr>
          <w:rFonts w:ascii="Arial" w:cs="Arial" w:eastAsia="Arial" w:hAnsi="Arial"/>
          <w:sz w:val="16"/>
          <w:szCs w:val="16"/>
          <w:color w:val="auto"/>
        </w:rPr>
        <w:t xml:space="preserve"> (Los Angeles Superior Court Case No. BC649719 (the “Vega Action”),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“Gonzalez Action”) and codified such settlement on April 26,</w:t>
      </w:r>
    </w:p>
    <w:p>
      <w:pPr>
        <w:spacing w:after="0" w:line="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2019. The settlement reached in the </w:t>
      </w:r>
      <w:r>
        <w:rPr>
          <w:rFonts w:ascii="Arial" w:cs="Arial" w:eastAsia="Arial" w:hAnsi="Arial"/>
          <w:sz w:val="18"/>
          <w:szCs w:val="18"/>
          <w:u w:val="single" w:color="auto"/>
          <w:color w:val="auto"/>
        </w:rPr>
        <w:t>Olvera 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Perez 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Vega Action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Gonzalez Action</w:t>
      </w:r>
      <w:r>
        <w:rPr>
          <w:rFonts w:ascii="Arial" w:cs="Arial" w:eastAsia="Arial" w:hAnsi="Arial"/>
          <w:sz w:val="18"/>
          <w:szCs w:val="18"/>
          <w:color w:val="auto"/>
        </w:rPr>
        <w:t xml:space="preserve"> resolves all potential claims from April 12, 2010 through April 1, 2019 that the Company’s California based restaurant employees may have against El Pollo Loco for the failure to pay all compensation owed, failure to pay overtime compensation, failure to provide meal periods and rest breaks and failure to provide itemized wage statements, among other wage and hour related claims. It is anticipated that the settlement will be approved by the Court before the end of the year. A $16.3 million accrual of an expected settlement amount related to this matter was recorded as of December 26, 2018. Purported class actions alleging wage and hour violations are commonly filed against California employers. The Company has similar cases pending that overlap in part with the </w:t>
      </w:r>
      <w:r>
        <w:rPr>
          <w:rFonts w:ascii="Arial" w:cs="Arial" w:eastAsia="Arial" w:hAnsi="Arial"/>
          <w:sz w:val="18"/>
          <w:szCs w:val="18"/>
          <w:u w:val="single" w:color="auto"/>
          <w:color w:val="auto"/>
        </w:rPr>
        <w:t>Olvera</w:t>
      </w:r>
      <w:r>
        <w:rPr>
          <w:rFonts w:ascii="Arial" w:cs="Arial" w:eastAsia="Arial" w:hAnsi="Arial"/>
          <w:sz w:val="18"/>
          <w:szCs w:val="18"/>
          <w:color w:val="auto"/>
        </w:rPr>
        <w:t xml:space="preserve"> action and fully expects to have to defend against similar lawsuits in the future.</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Daniel Turocy, et al. v. El Pollo Loco Holdings, Inc., et al.</w:t>
      </w:r>
      <w:r>
        <w:rPr>
          <w:rFonts w:ascii="Arial" w:cs="Arial" w:eastAsia="Arial" w:hAnsi="Arial"/>
          <w:sz w:val="18"/>
          <w:szCs w:val="18"/>
          <w:color w:val="auto"/>
        </w:rPr>
        <w:t xml:space="preserve"> (Case No. 8:15-cv-01343) was filed in the United States District Court for the Central District of California on August 24, 2015, and </w:t>
      </w:r>
      <w:r>
        <w:rPr>
          <w:rFonts w:ascii="Arial" w:cs="Arial" w:eastAsia="Arial" w:hAnsi="Arial"/>
          <w:sz w:val="18"/>
          <w:szCs w:val="18"/>
          <w:u w:val="single" w:color="auto"/>
          <w:color w:val="auto"/>
        </w:rPr>
        <w:t>Ron Huston, et al. v. El Pollo Loco Holdings, Inc., et 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6"/>
          <w:szCs w:val="16"/>
          <w:color w:val="auto"/>
        </w:rPr>
        <w:t>(Case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5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were to file a Stipulation of Settlement and a motion for preliminary approval of the settlement. On April 3, 2019, Plaintiffs filed the Stipulation of Settlement and a Motion for Preliminary Approval of the Settlement. On May 13, 2019, the Court granted preliminary approval of the settlement. On July 17, 2019, Plaintiffs filed the Motion for Final Approval of Class Action Settlement and Approval of Plan of Allocation and the Motion for an Award of Attorneys’ Fees and Expenses and Awards to Lead Plaintiffs Pursuant to 15 U.S.C. §78u-4(a)(4). The hearing on both motions is scheduled for August 21, 2019. Defendants maintain that the Plaintiffs’ claims are without merit, and have entered into the settlement to eliminate the uncertainties, burden and expense of further protracted litigation. A $20.0 million accrual of an expected settlement amount related to this matter was recorded as of December 26, 2018 and all settlement payments were made during the thirteen and twenty-six weeks ended June 26, 2019</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or until the completion of an investigation of the allegations in the action by a special litigation committee of the Holdings board of directors (the "SLC").</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692" w:right="29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On February 13, 2019, after concluding its investigation, the SLC filed a motion to dismiss the Diep action. The SLC filed its investigative report under seal as an exhibit to the motion to dismiss.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w:t>
      </w:r>
    </w:p>
    <w:p>
      <w:pPr>
        <w:spacing w:after="0" w:line="2" w:lineRule="exact"/>
        <w:rPr>
          <w:sz w:val="20"/>
          <w:szCs w:val="20"/>
          <w:color w:val="auto"/>
        </w:rPr>
      </w:pPr>
    </w:p>
    <w:p>
      <w:pPr>
        <w:ind w:right="20" w:firstLine="8"/>
        <w:spacing w:after="0" w:line="284"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 Pollo Loco, Inc. v. EPL 3766, Inc., was dismissed on April 6, 2017.</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27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16, 2018, the Company filed a motion challenging the verdicts and a motion for new trial (both the liability phase and damages phase) and on September 2, 2018, the court denied those motions. On August 27, 2018, the Company filed a notice of appeal as to the entire judgment, and on October 5, 2018, the Company filed a second notice of appeal challenging the court’s denial of the post-trial motions. On September 5, 2018, we filed a motion to strike several of the costs of suit requested by the Plaintiffs, and on September 28, 2018, the Plaintiffs filed a motion for an award of attorneys’ fees. The court ruled on these motions on October 30, 2018, reducing many of the costs requested by the Plaintiffs and awarding $1,391,703 to the Plaintiffs for attorneys’ fees. We filed a notice of appeal relating to the trial court’s order relating to our motion to strike the costs and the Plaintiff’s motion for attorneys’ fees on November 6, 2018. The Company also filed motions to stay the injunctive part of the judgment pending the appeal but both the trial court and the California Court of Appeal denied those motions. We filed a petition for review of these denials with the California Supreme Court, but the California Supreme Court denied our petition for review on November 14, 2018. The appeal on the merits is currently pending. Briefing on the merits has not yet occurred in the appellate court. Once the record is delivered by the trial court clerk to the court of appeal, a schedule for the briefing on appeal will be set by the appellate court. Based on the assessment by Management, together with our legal trial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ind w:right="280"/>
        <w:spacing w:after="0" w:line="277" w:lineRule="auto"/>
        <w:rPr>
          <w:sz w:val="20"/>
          <w:szCs w:val="20"/>
          <w:color w:val="auto"/>
        </w:rPr>
      </w:pPr>
      <w:r>
        <w:rPr>
          <w:rFonts w:ascii="Arial" w:cs="Arial" w:eastAsia="Arial" w:hAnsi="Arial"/>
          <w:sz w:val="18"/>
          <w:szCs w:val="18"/>
          <w:color w:val="auto"/>
        </w:rPr>
        <w:t>counsel, the Company believes that the loss is currently not probable under ASC 450 and as of June 26, 2019, no accrual has been made with regard to the verdict.</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June 26, 2019, the Company’s total estimated commitment to purchase chicken was $14.8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June 26, 2019, the potential amount of undiscounted payments the Company could be required to make in the event of non-payment by the primary lessee was $2.2 million. The present value of these potential payments discounted at the Company’s estimated pre-tax cost of debt at June 26, 2019 was $1.8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employment agreements with four of the officers of the Company. These agreements provide for minimum salary levels, possible annual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adjustments for cost-of-living changes, and incentive bonuses that are payable under certain business conditions. The Company incurred $0.1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of expenses related to employment agreements for the thirteen and twenty-six weeks ended June 26, 2019, respectively, and incurred $0.4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$0.8 million of expenses related to employment agreements for the thirteen and twenty-six weeks ended June 27, 2018,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Basic earnings per share (“EPS”) is calculated using the weighted-average number of shares of common stock outstanding during the thirteen and twenty-six weeks ended June 26, 2019 and June 27, 2018. Diluted EPS is calculated using the weighted-average number of shares of common stock outstanding and potentially dilutive during the period, using the treasury stock method.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Below are basic and diluted EPS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27,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14,087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37,939,912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38,482,074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38,296,807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38,473,641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38,580,722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39,043,434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39,043,477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39,015,259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share—basic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diluted EPS calculation</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733,449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570,774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438,547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570,774</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5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51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27,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outstanding—basic</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37,939,912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38,482,074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38,296,807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38,473,641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180" w:type="dxa"/>
            <w:vAlign w:val="bottom"/>
          </w:tcPr>
          <w:p>
            <w:pPr>
              <w:spacing w:after="0"/>
              <w:rPr>
                <w:sz w:val="21"/>
                <w:szCs w:val="21"/>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640,810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561,360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746,670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541,618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38,580,722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39,043,434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39,043,477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39,015,259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Trimaran Pollo Partners, L.L.C. (“LLC”), owns approximately 44.4%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ind w:right="6300" w:firstLine="8"/>
        <w:spacing w:after="0" w:line="488"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 Adoption of Topic 606, “Revenue from Contracts with Customers”</w:t>
      </w:r>
    </w:p>
    <w:p>
      <w:pPr>
        <w:spacing w:after="0" w:line="12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December 28, 2017, the Company adopted Topic 606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catch-up adjustment recorded to accumulated deficit was approximately $3.5 million, net of taxes, related to franchise and development fees.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offers a loyalty rewards program, which awards a customer one point for every $1 spent. When 100 points are accumulated a $10 reward to be used on future purchases is earned.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or the likelihood of redemption is remote. A portion of the transaction price is allocated to loyalty points, if necessary, on a pro-rata basis, based on stand-alone selling price, as determined by menu pricing and loyalty point's terms. As of June 26, 2019 and December 26, 2018, the revenue allocated to loyalty points that have not been redeemed are $1.3 million and $1.0 million, respectively, which are reflected in the Company’s accompanying condensed consolidated balance sheets within other accrued expenses and current liabilities. The Company expects the loyalty points to be redeemed and recognized over a one-year period.</w:t>
      </w:r>
    </w:p>
    <w:p>
      <w:pPr>
        <w:spacing w:after="0" w:line="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7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right="240"/>
        <w:spacing w:after="0" w:line="277" w:lineRule="auto"/>
        <w:rPr>
          <w:sz w:val="20"/>
          <w:szCs w:val="20"/>
          <w:color w:val="auto"/>
        </w:rPr>
      </w:pPr>
      <w:r>
        <w:rPr>
          <w:rFonts w:ascii="Arial" w:cs="Arial" w:eastAsia="Arial" w:hAnsi="Arial"/>
          <w:sz w:val="18"/>
          <w:szCs w:val="18"/>
          <w:color w:val="auto"/>
        </w:rPr>
        <w:t>expedient regarding disclosure of the aggregate amount of the transaction price allocated to the performance obligations that are unsatisfied for sales-based royalties.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typically 10 or 20 years, while payment is fixed and due at the time the renewal is signed.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June 26, 2019, there were no performance obligations, related to hardware services that were unsatisfied or partially satisfied.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source and market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3"/>
                <w:szCs w:val="13"/>
                <w:b w:val="1"/>
                <w:bCs w:val="1"/>
                <w:color w:val="auto"/>
              </w:rPr>
              <w:t>Thirteen Weeks Ended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3"/>
                <w:szCs w:val="13"/>
                <w:b w:val="1"/>
                <w:bCs w:val="1"/>
                <w:color w:val="auto"/>
              </w:rPr>
              <w:t>Twenty-Six Weeks Ended</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2"/>
              </w:rPr>
              <w:t>June 26, 2019</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27,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June 26, 2019</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7"/>
              </w:rPr>
              <w:t>June 27, 2018</w:t>
            </w:r>
          </w:p>
        </w:tc>
        <w:tc>
          <w:tcPr>
            <w:tcW w:w="0" w:type="dxa"/>
            <w:vAlign w:val="bottom"/>
          </w:tcPr>
          <w:p>
            <w:pPr>
              <w:spacing w:after="0"/>
              <w:rPr>
                <w:sz w:val="1"/>
                <w:szCs w:val="1"/>
                <w:color w:val="auto"/>
              </w:rPr>
            </w:pPr>
          </w:p>
        </w:tc>
      </w:tr>
      <w:tr>
        <w:trPr>
          <w:trHeight w:val="160"/>
        </w:trPr>
        <w:tc>
          <w:tcPr>
            <w:tcW w:w="6740" w:type="dxa"/>
            <w:vAlign w:val="bottom"/>
          </w:tcPr>
          <w:p>
            <w:pPr>
              <w:ind w:left="40"/>
              <w:spacing w:after="0"/>
              <w:rPr>
                <w:sz w:val="20"/>
                <w:szCs w:val="20"/>
                <w:color w:val="auto"/>
              </w:rPr>
            </w:pPr>
            <w:r>
              <w:rPr>
                <w:rFonts w:ascii="Arial" w:cs="Arial" w:eastAsia="Arial" w:hAnsi="Arial"/>
                <w:sz w:val="13"/>
                <w:szCs w:val="13"/>
                <w:b w:val="1"/>
                <w:bCs w:val="1"/>
                <w:color w:val="auto"/>
              </w:rPr>
              <w:t>Core Market</w:t>
            </w:r>
            <w:r>
              <w:rPr>
                <w:rFonts w:ascii="Arial" w:cs="Arial" w:eastAsia="Arial" w:hAnsi="Arial"/>
                <w:sz w:val="8"/>
                <w:szCs w:val="8"/>
                <w:b w:val="1"/>
                <w:bCs w:val="1"/>
                <w:color w:val="auto"/>
              </w:rPr>
              <w:t>(1)</w:t>
            </w: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Company-operated restaurant revenue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88,808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86,842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174,114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169,804</w:t>
            </w:r>
          </w:p>
        </w:tc>
        <w:tc>
          <w:tcPr>
            <w:tcW w:w="0" w:type="dxa"/>
            <w:vAlign w:val="bottom"/>
          </w:tcPr>
          <w:p>
            <w:pPr>
              <w:spacing w:after="0"/>
              <w:rPr>
                <w:sz w:val="1"/>
                <w:szCs w:val="1"/>
                <w:color w:val="auto"/>
              </w:rPr>
            </w:pPr>
          </w:p>
        </w:tc>
      </w:tr>
      <w:tr>
        <w:trPr>
          <w:trHeight w:val="97"/>
        </w:trPr>
        <w:tc>
          <w:tcPr>
            <w:tcW w:w="674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380"/>
              <w:spacing w:after="0"/>
              <w:rPr>
                <w:sz w:val="20"/>
                <w:szCs w:val="20"/>
                <w:color w:val="auto"/>
              </w:rPr>
            </w:pPr>
            <w:r>
              <w:rPr>
                <w:rFonts w:ascii="Arial" w:cs="Arial" w:eastAsia="Arial" w:hAnsi="Arial"/>
                <w:sz w:val="13"/>
                <w:szCs w:val="13"/>
                <w:color w:val="auto"/>
              </w:rPr>
              <w:t>Franchise revenue</w:t>
            </w:r>
          </w:p>
        </w:tc>
        <w:tc>
          <w:tcPr>
            <w:tcW w:w="160" w:type="dxa"/>
            <w:vAlign w:val="bottom"/>
          </w:tcPr>
          <w:p>
            <w:pPr>
              <w:spacing w:after="0"/>
              <w:rPr>
                <w:sz w:val="15"/>
                <w:szCs w:val="15"/>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4,174</w:t>
            </w:r>
          </w:p>
        </w:tc>
        <w:tc>
          <w:tcPr>
            <w:tcW w:w="26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3,609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7,673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6,985</w:t>
            </w:r>
          </w:p>
        </w:tc>
        <w:tc>
          <w:tcPr>
            <w:tcW w:w="0" w:type="dxa"/>
            <w:vAlign w:val="bottom"/>
          </w:tcPr>
          <w:p>
            <w:pPr>
              <w:spacing w:after="0"/>
              <w:rPr>
                <w:sz w:val="1"/>
                <w:szCs w:val="1"/>
                <w:color w:val="auto"/>
              </w:rPr>
            </w:pPr>
          </w:p>
        </w:tc>
      </w:tr>
      <w:tr>
        <w:trPr>
          <w:trHeight w:val="89"/>
        </w:trPr>
        <w:tc>
          <w:tcPr>
            <w:tcW w:w="6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advertising fee revenue</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2,806</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2,769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5,378</w:t>
            </w:r>
          </w:p>
        </w:tc>
        <w:tc>
          <w:tcPr>
            <w:tcW w:w="0" w:type="dxa"/>
            <w:vAlign w:val="bottom"/>
          </w:tcPr>
          <w:p>
            <w:pPr>
              <w:spacing w:after="0"/>
              <w:rPr>
                <w:sz w:val="1"/>
                <w:szCs w:val="1"/>
                <w:color w:val="auto"/>
              </w:rPr>
            </w:pPr>
          </w:p>
        </w:tc>
      </w:tr>
      <w:tr>
        <w:trPr>
          <w:trHeight w:val="97"/>
        </w:trPr>
        <w:tc>
          <w:tcPr>
            <w:tcW w:w="674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740" w:type="dxa"/>
            <w:vAlign w:val="bottom"/>
          </w:tcPr>
          <w:p>
            <w:pPr>
              <w:ind w:left="600"/>
              <w:spacing w:after="0"/>
              <w:rPr>
                <w:sz w:val="20"/>
                <w:szCs w:val="20"/>
                <w:color w:val="auto"/>
              </w:rPr>
            </w:pPr>
            <w:r>
              <w:rPr>
                <w:rFonts w:ascii="Arial" w:cs="Arial" w:eastAsia="Arial" w:hAnsi="Arial"/>
                <w:sz w:val="13"/>
                <w:szCs w:val="13"/>
                <w:color w:val="auto"/>
              </w:rPr>
              <w:t>Total core market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95,788</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93,220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187,310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182,167</w:t>
            </w:r>
          </w:p>
        </w:tc>
        <w:tc>
          <w:tcPr>
            <w:tcW w:w="0" w:type="dxa"/>
            <w:vAlign w:val="bottom"/>
          </w:tcPr>
          <w:p>
            <w:pPr>
              <w:spacing w:after="0"/>
              <w:rPr>
                <w:sz w:val="1"/>
                <w:szCs w:val="1"/>
                <w:color w:val="auto"/>
              </w:rPr>
            </w:pPr>
          </w:p>
        </w:tc>
      </w:tr>
      <w:tr>
        <w:trPr>
          <w:trHeight w:val="104"/>
        </w:trPr>
        <w:tc>
          <w:tcPr>
            <w:tcW w:w="67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Non-Core Market</w:t>
            </w:r>
            <w:r>
              <w:rPr>
                <w:rFonts w:ascii="Arial" w:cs="Arial" w:eastAsia="Arial" w:hAnsi="Arial"/>
                <w:sz w:val="8"/>
                <w:szCs w:val="8"/>
                <w:b w:val="1"/>
                <w:bCs w:val="1"/>
                <w:color w:val="auto"/>
              </w:rPr>
              <w:t>(2)</w:t>
            </w:r>
            <w:r>
              <w:rPr>
                <w:rFonts w:ascii="Arial" w:cs="Arial" w:eastAsia="Arial" w:hAnsi="Arial"/>
                <w:sz w:val="13"/>
                <w:szCs w:val="13"/>
                <w:b w:val="1"/>
                <w:bCs w:val="1"/>
                <w:color w:val="auto"/>
              </w:rPr>
              <w:t>:</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6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380"/>
              <w:spacing w:after="0"/>
              <w:rPr>
                <w:sz w:val="20"/>
                <w:szCs w:val="20"/>
                <w:color w:val="auto"/>
              </w:rPr>
            </w:pPr>
            <w:r>
              <w:rPr>
                <w:rFonts w:ascii="Arial" w:cs="Arial" w:eastAsia="Arial" w:hAnsi="Arial"/>
                <w:sz w:val="13"/>
                <w:szCs w:val="13"/>
                <w:color w:val="auto"/>
              </w:rPr>
              <w:t>Company-operated restaurant revenue</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11,331</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12,785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23,175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24,376</w:t>
            </w:r>
          </w:p>
        </w:tc>
        <w:tc>
          <w:tcPr>
            <w:tcW w:w="0" w:type="dxa"/>
            <w:vAlign w:val="bottom"/>
          </w:tcPr>
          <w:p>
            <w:pPr>
              <w:spacing w:after="0"/>
              <w:rPr>
                <w:sz w:val="1"/>
                <w:szCs w:val="1"/>
                <w:color w:val="auto"/>
              </w:rPr>
            </w:pPr>
          </w:p>
        </w:tc>
      </w:tr>
      <w:tr>
        <w:trPr>
          <w:trHeight w:val="89"/>
        </w:trPr>
        <w:tc>
          <w:tcPr>
            <w:tcW w:w="6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revenue</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3,744</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2,944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6,689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5,674</w:t>
            </w:r>
          </w:p>
        </w:tc>
        <w:tc>
          <w:tcPr>
            <w:tcW w:w="0" w:type="dxa"/>
            <w:vAlign w:val="bottom"/>
          </w:tcPr>
          <w:p>
            <w:pPr>
              <w:spacing w:after="0"/>
              <w:rPr>
                <w:sz w:val="1"/>
                <w:szCs w:val="1"/>
                <w:color w:val="auto"/>
              </w:rPr>
            </w:pPr>
          </w:p>
        </w:tc>
      </w:tr>
      <w:tr>
        <w:trPr>
          <w:trHeight w:val="97"/>
        </w:trPr>
        <w:tc>
          <w:tcPr>
            <w:tcW w:w="6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380"/>
              <w:spacing w:after="0"/>
              <w:rPr>
                <w:sz w:val="20"/>
                <w:szCs w:val="20"/>
                <w:color w:val="auto"/>
              </w:rPr>
            </w:pPr>
            <w:r>
              <w:rPr>
                <w:rFonts w:ascii="Arial" w:cs="Arial" w:eastAsia="Arial" w:hAnsi="Arial"/>
                <w:sz w:val="13"/>
                <w:szCs w:val="13"/>
                <w:color w:val="auto"/>
              </w:rPr>
              <w:t>Franchise advertising fee revenue</w:t>
            </w:r>
          </w:p>
        </w:tc>
        <w:tc>
          <w:tcPr>
            <w:tcW w:w="160" w:type="dxa"/>
            <w:vAlign w:val="bottom"/>
          </w:tcPr>
          <w:p>
            <w:pPr>
              <w:spacing w:after="0"/>
              <w:rPr>
                <w:sz w:val="15"/>
                <w:szCs w:val="15"/>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2,877</w:t>
            </w:r>
          </w:p>
        </w:tc>
        <w:tc>
          <w:tcPr>
            <w:tcW w:w="26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2,684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5,543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5,172</w:t>
            </w:r>
          </w:p>
        </w:tc>
        <w:tc>
          <w:tcPr>
            <w:tcW w:w="0" w:type="dxa"/>
            <w:vAlign w:val="bottom"/>
          </w:tcPr>
          <w:p>
            <w:pPr>
              <w:spacing w:after="0"/>
              <w:rPr>
                <w:sz w:val="1"/>
                <w:szCs w:val="1"/>
                <w:color w:val="auto"/>
              </w:rPr>
            </w:pPr>
          </w:p>
        </w:tc>
      </w:tr>
      <w:tr>
        <w:trPr>
          <w:trHeight w:val="91"/>
        </w:trPr>
        <w:tc>
          <w:tcPr>
            <w:tcW w:w="67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67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 non-core market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17,952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18,413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35,407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35,222</w:t>
            </w:r>
          </w:p>
        </w:tc>
        <w:tc>
          <w:tcPr>
            <w:tcW w:w="0" w:type="dxa"/>
            <w:vAlign w:val="bottom"/>
          </w:tcPr>
          <w:p>
            <w:pPr>
              <w:spacing w:after="0"/>
              <w:rPr>
                <w:sz w:val="1"/>
                <w:szCs w:val="1"/>
                <w:color w:val="auto"/>
              </w:rPr>
            </w:pPr>
          </w:p>
        </w:tc>
      </w:tr>
      <w:tr>
        <w:trPr>
          <w:trHeight w:val="116"/>
        </w:trPr>
        <w:tc>
          <w:tcPr>
            <w:tcW w:w="6740" w:type="dxa"/>
            <w:vAlign w:val="bottom"/>
            <w:shd w:val="clear" w:color="auto" w:fill="CCEEFF"/>
          </w:tcPr>
          <w:p>
            <w:pPr>
              <w:spacing w:after="0"/>
              <w:rPr>
                <w:sz w:val="9"/>
                <w:szCs w:val="9"/>
                <w:color w:val="auto"/>
              </w:rPr>
            </w:pPr>
          </w:p>
        </w:tc>
        <w:tc>
          <w:tcPr>
            <w:tcW w:w="160" w:type="dxa"/>
            <w:vAlign w:val="bottom"/>
            <w:tcBorders>
              <w:bottom w:val="single" w:sz="8" w:color="auto"/>
            </w:tcBorders>
            <w:vMerge w:val="continue"/>
            <w:shd w:val="clear" w:color="auto" w:fill="CCEEFF"/>
          </w:tcPr>
          <w:p>
            <w:pPr>
              <w:spacing w:after="0"/>
              <w:rPr>
                <w:sz w:val="9"/>
                <w:szCs w:val="9"/>
                <w:color w:val="auto"/>
              </w:rPr>
            </w:pPr>
          </w:p>
        </w:tc>
        <w:tc>
          <w:tcPr>
            <w:tcW w:w="1020" w:type="dxa"/>
            <w:vAlign w:val="bottom"/>
            <w:tcBorders>
              <w:bottom w:val="single" w:sz="8" w:color="auto"/>
            </w:tcBorders>
            <w:vMerge w:val="continue"/>
            <w:shd w:val="clear" w:color="auto" w:fill="CCEEFF"/>
          </w:tcPr>
          <w:p>
            <w:pPr>
              <w:spacing w:after="0"/>
              <w:rPr>
                <w:sz w:val="9"/>
                <w:szCs w:val="9"/>
                <w:color w:val="auto"/>
              </w:rPr>
            </w:pPr>
          </w:p>
        </w:tc>
        <w:tc>
          <w:tcPr>
            <w:tcW w:w="260" w:type="dxa"/>
            <w:vAlign w:val="bottom"/>
            <w:tcBorders>
              <w:bottom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740" w:type="dxa"/>
            <w:vAlign w:val="bottom"/>
          </w:tcPr>
          <w:p>
            <w:pPr>
              <w:ind w:left="40"/>
              <w:spacing w:after="0"/>
              <w:rPr>
                <w:sz w:val="20"/>
                <w:szCs w:val="20"/>
                <w:color w:val="auto"/>
              </w:rPr>
            </w:pPr>
            <w:r>
              <w:rPr>
                <w:rFonts w:ascii="Arial" w:cs="Arial" w:eastAsia="Arial" w:hAnsi="Arial"/>
                <w:sz w:val="13"/>
                <w:szCs w:val="13"/>
                <w:b w:val="1"/>
                <w:bCs w:val="1"/>
                <w:color w:val="auto"/>
              </w:rPr>
              <w:t>Total revenue</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113,740</w:t>
            </w: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111,633</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222,717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217,389</w:t>
            </w:r>
          </w:p>
        </w:tc>
        <w:tc>
          <w:tcPr>
            <w:tcW w:w="0" w:type="dxa"/>
            <w:vAlign w:val="bottom"/>
          </w:tcPr>
          <w:p>
            <w:pPr>
              <w:spacing w:after="0"/>
              <w:rPr>
                <w:sz w:val="1"/>
                <w:szCs w:val="1"/>
                <w:color w:val="auto"/>
              </w:rPr>
            </w:pPr>
          </w:p>
        </w:tc>
      </w:tr>
      <w:tr>
        <w:trPr>
          <w:trHeight w:val="109"/>
        </w:trPr>
        <w:tc>
          <w:tcPr>
            <w:tcW w:w="674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Core Market includes markets with existing company-operated restaurants at the Initial Public Offering (IPO) date.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Non-Core Market includes markets entered into by the Company subsequent to the IPO date.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3"/>
                <w:szCs w:val="13"/>
                <w:b w:val="1"/>
                <w:bCs w:val="1"/>
                <w:color w:val="auto"/>
              </w:rPr>
              <w:t>Thirteen Weeks Ended</w:t>
            </w:r>
          </w:p>
        </w:tc>
        <w:tc>
          <w:tcPr>
            <w:tcW w:w="2540" w:type="dxa"/>
            <w:vAlign w:val="bottom"/>
            <w:tcBorders>
              <w:bottom w:val="single" w:sz="8" w:color="auto"/>
            </w:tcBorders>
            <w:gridSpan w:val="2"/>
          </w:tcPr>
          <w:p>
            <w:pPr>
              <w:jc w:val="right"/>
              <w:ind w:right="537"/>
              <w:spacing w:after="0"/>
              <w:rPr>
                <w:sz w:val="20"/>
                <w:szCs w:val="20"/>
                <w:color w:val="auto"/>
              </w:rPr>
            </w:pPr>
            <w:r>
              <w:rPr>
                <w:rFonts w:ascii="Arial" w:cs="Arial" w:eastAsia="Arial" w:hAnsi="Arial"/>
                <w:sz w:val="13"/>
                <w:szCs w:val="13"/>
                <w:b w:val="1"/>
                <w:bCs w:val="1"/>
                <w:color w:val="auto"/>
              </w:rPr>
              <w:t>Twenty-Six Weeks Ended</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June 26, 2019</w:t>
            </w:r>
          </w:p>
        </w:tc>
        <w:tc>
          <w:tcPr>
            <w:tcW w:w="14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June 27, 2018</w:t>
            </w: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June 26, 2019</w:t>
            </w:r>
          </w:p>
        </w:tc>
        <w:tc>
          <w:tcPr>
            <w:tcW w:w="12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June 27, 2018</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Greater Los Angeles area market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68.5%</w:t>
            </w:r>
          </w:p>
        </w:tc>
        <w:tc>
          <w:tcPr>
            <w:tcW w:w="1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69.3%</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markets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31.5%</w:t>
            </w: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30.7%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0"/>
        </w:trPr>
        <w:tc>
          <w:tcPr>
            <w:tcW w:w="62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1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100%</w:t>
            </w:r>
          </w:p>
        </w:tc>
        <w:tc>
          <w:tcPr>
            <w:tcW w:w="132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100%</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104"/>
        </w:trPr>
        <w:tc>
          <w:tcPr>
            <w:tcW w:w="628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40" w:type="dxa"/>
            <w:vAlign w:val="bottom"/>
            <w:tcBorders>
              <w:bottom w:val="single" w:sz="8" w:color="auto"/>
            </w:tcBorders>
            <w:vMerge w:val="continue"/>
            <w:shd w:val="clear" w:color="auto" w:fill="CCEEFF"/>
          </w:tcPr>
          <w:p>
            <w:pPr>
              <w:spacing w:after="0"/>
              <w:rPr>
                <w:sz w:val="9"/>
                <w:szCs w:val="9"/>
                <w:color w:val="auto"/>
              </w:rPr>
            </w:pPr>
          </w:p>
        </w:tc>
        <w:tc>
          <w:tcPr>
            <w:tcW w:w="1320" w:type="dxa"/>
            <w:vAlign w:val="bottom"/>
            <w:tcBorders>
              <w:bottom w:val="single" w:sz="8" w:color="auto"/>
            </w:tcBorders>
            <w:vMerge w:val="continue"/>
            <w:shd w:val="clear" w:color="auto" w:fill="CCEEFF"/>
          </w:tcPr>
          <w:p>
            <w:pPr>
              <w:spacing w:after="0"/>
              <w:rPr>
                <w:sz w:val="9"/>
                <w:szCs w:val="9"/>
                <w:color w:val="auto"/>
              </w:rPr>
            </w:pPr>
          </w:p>
        </w:tc>
        <w:tc>
          <w:tcPr>
            <w:tcW w:w="122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change in the franchise contract liability balances during the twenty-six weeks ended June 26,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27, 2018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26, 2018</w:t>
            </w:r>
          </w:p>
        </w:tc>
        <w:tc>
          <w:tcPr>
            <w:tcW w:w="66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5,593</w:t>
            </w:r>
          </w:p>
        </w:tc>
      </w:tr>
      <w:tr>
        <w:trPr>
          <w:trHeight w:val="181"/>
        </w:trPr>
        <w:tc>
          <w:tcPr>
            <w:tcW w:w="9820" w:type="dxa"/>
            <w:vAlign w:val="bottom"/>
          </w:tcPr>
          <w:p>
            <w:pPr>
              <w:ind w:left="380"/>
              <w:spacing w:after="0"/>
              <w:rPr>
                <w:sz w:val="20"/>
                <w:szCs w:val="20"/>
                <w:color w:val="auto"/>
              </w:rPr>
            </w:pPr>
            <w:r>
              <w:rPr>
                <w:rFonts w:ascii="Arial" w:cs="Arial" w:eastAsia="Arial" w:hAnsi="Arial"/>
                <w:sz w:val="13"/>
                <w:szCs w:val="13"/>
                <w:color w:val="auto"/>
              </w:rPr>
              <w:t>Revenue recognized - beginning balance</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224"/>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Additional contract liability</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1,257</w:t>
            </w:r>
          </w:p>
        </w:tc>
      </w:tr>
      <w:tr>
        <w:trPr>
          <w:trHeight w:val="183"/>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r>
      <w:tr>
        <w:trPr>
          <w:trHeight w:val="21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June 26, 2019</w:t>
            </w:r>
          </w:p>
        </w:tc>
        <w:tc>
          <w:tcPr>
            <w:tcW w:w="66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6,559</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92"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9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27, 2017</w:t>
            </w:r>
          </w:p>
        </w:tc>
        <w:tc>
          <w:tcPr>
            <w:tcW w:w="66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5,799</w:t>
            </w:r>
          </w:p>
        </w:tc>
      </w:tr>
      <w:tr>
        <w:trPr>
          <w:trHeight w:val="181"/>
        </w:trPr>
        <w:tc>
          <w:tcPr>
            <w:tcW w:w="9820" w:type="dxa"/>
            <w:vAlign w:val="bottom"/>
          </w:tcPr>
          <w:p>
            <w:pPr>
              <w:ind w:left="380"/>
              <w:spacing w:after="0"/>
              <w:rPr>
                <w:sz w:val="20"/>
                <w:szCs w:val="20"/>
                <w:color w:val="auto"/>
              </w:rPr>
            </w:pPr>
            <w:r>
              <w:rPr>
                <w:rFonts w:ascii="Arial" w:cs="Arial" w:eastAsia="Arial" w:hAnsi="Arial"/>
                <w:sz w:val="13"/>
                <w:szCs w:val="13"/>
                <w:color w:val="auto"/>
              </w:rPr>
              <w:t>Revenue recognized - beginning balance</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(174)</w:t>
            </w:r>
          </w:p>
        </w:tc>
      </w:tr>
      <w:tr>
        <w:trPr>
          <w:trHeight w:val="224"/>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Additional contract liability</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w:t>
            </w:r>
          </w:p>
        </w:tc>
      </w:tr>
      <w:tr>
        <w:trPr>
          <w:trHeight w:val="183"/>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1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June 27, 2018</w:t>
            </w:r>
          </w:p>
        </w:tc>
        <w:tc>
          <w:tcPr>
            <w:tcW w:w="66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5,762</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thirteen and twenty-six weeks ended June 26, 2019, there was an increase to the contract liability balance due to the Company's completion of the sale of four company-operated restaurants within the San Francisco area to an existing franchisee and seven company-operated restaurants in the Phoenix area to another existing franchisee. This resulted in an additional contract liability of $0.7 million, relating to allocation of the transaction price to various performance obligations under the contract of the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estimated revenue to be recognized in the future related to performance obligations that are unsatisfied as of June 26, 2019:</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ind w:left="40"/>
              <w:spacing w:after="0"/>
              <w:rPr>
                <w:sz w:val="20"/>
                <w:szCs w:val="20"/>
                <w:color w:val="auto"/>
              </w:rPr>
            </w:pPr>
            <w:r>
              <w:rPr>
                <w:rFonts w:ascii="Arial" w:cs="Arial" w:eastAsia="Arial" w:hAnsi="Arial"/>
                <w:sz w:val="13"/>
                <w:szCs w:val="13"/>
                <w:b w:val="1"/>
                <w:bCs w:val="1"/>
                <w:color w:val="auto"/>
              </w:rPr>
              <w:t>Franchise revenues (in thousands):</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7"/>
        </w:trPr>
        <w:tc>
          <w:tcPr>
            <w:tcW w:w="9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2019</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414</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2020</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701</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2021</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491</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2022</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411</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2023</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385</w:t>
            </w:r>
          </w:p>
        </w:tc>
      </w:tr>
      <w:tr>
        <w:trPr>
          <w:trHeight w:val="210"/>
        </w:trPr>
        <w:tc>
          <w:tcPr>
            <w:tcW w:w="91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Thereafter</w:t>
            </w: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4,157</w:t>
            </w:r>
          </w:p>
        </w:tc>
      </w:tr>
      <w:tr>
        <w:trPr>
          <w:trHeight w:val="210"/>
        </w:trPr>
        <w:tc>
          <w:tcPr>
            <w:tcW w:w="9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Total</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6,559</w:t>
            </w:r>
          </w:p>
        </w:tc>
      </w:tr>
      <w:tr>
        <w:trPr>
          <w:trHeight w:val="20"/>
        </w:trPr>
        <w:tc>
          <w:tcPr>
            <w:tcW w:w="9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Topic 842 "Leases"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December 26, 2018, the Company adopted Topic 842, using the effective date method, recognizing and measuring all leases that existed as of December 26, 2018. The Company recorded a cumulative-effect adjustment as of December 26, 2018. Comparative periods are presented in accordance with ASC Topic 840 and do not include any retrospective adjustments to comparative periods to reflect the adoption of Topic 842. All leases that either (1) commenced, or (2) were modified or re-measured after December 26, 2018 are accounted for under Topic 842.</w:t>
      </w:r>
    </w:p>
    <w:p>
      <w:pPr>
        <w:spacing w:after="0" w:line="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a result of Topic 842, the Company recognized a ROU Asset of $205.2 million and a lease liability of $222.3 million on its consolidated balance sheet as of December 27, 2018. However, there was not a material impact on the Company’s consolidated statement of operations or consolidated statement of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leases</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Additionally, the Company has various contracts with vendors that have been determined to contain an embedded lease in accordance with Topic 842.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4"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As of June 26, 2019, the Company had one lease that it had entered into, but had not yet commenced. The Company has no involvement with the construction or design of the underlying asset until lease commencement.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and facility leases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Buildings and facilities leased from others are primarily for restaurants and support facilities. The majority of the Company’s leases are classified as operating leases; however, the Company currently has three finance leases.</w:t>
      </w:r>
    </w:p>
    <w:p>
      <w:pPr>
        <w:spacing w:after="0" w:line="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based on actual common area maintenance, property tax and insurance costs, making them variable consideration and excluding them from the calculations of the ROU Asset and lease liability.</w:t>
      </w:r>
    </w:p>
    <w:p>
      <w:pPr>
        <w:spacing w:after="0" w:line="10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has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the thirteen and twenty-six weeks ended June 26, 2019, the Company reassessed the lease terms on three restaurants due to the addition of significant leasehold improvements with useful lives that extend past the current lease expiration. This resulted in an additional $1.2 million of ROU Asset and lease liability, which will be recognized over the new lease term. The reassessment did not have any impact on the original lease classification. Additionally, as the Company adopted all practical expedients, no reallocation between lease and non-lease components was necessary.</w:t>
      </w:r>
    </w:p>
    <w:p>
      <w:pPr>
        <w:spacing w:after="0" w:line="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increases. However, none of these leases have early termination rights, the right to purchase the premises or any residual value guarantees. The Company does not have any related party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8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also made significant assumptions and judgments in determining an appropriate discount rate for property leases. These included using a consistent discount rate for a portfolio of leases entered into at varying dates, using the full 20 year term of the lease, excluding any options, and using the total minimum lease payments. The Company utilized a third party valuation firm in determining the discount rate, based on the above assumptions. For all other leases, the Company used the discount rate implicit in the lease, or the Company’s incremental borrowing rate.</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the Company is adopting the practical expedient not to separate lease and non-lease components, no significant assumptions or judgments were necessary in allocating consideration between these components, for all classes of underlying assets.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36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Thirteen Weeks Ended June 26, 2019</w:t>
            </w:r>
          </w:p>
        </w:tc>
        <w:tc>
          <w:tcPr>
            <w:tcW w:w="3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Twenty-Six Weeks Ended June 26, 2019</w:t>
            </w:r>
          </w:p>
        </w:tc>
      </w:tr>
      <w:tr>
        <w:trPr>
          <w:trHeight w:val="252"/>
        </w:trPr>
        <w:tc>
          <w:tcPr>
            <w:tcW w:w="3580" w:type="dxa"/>
            <w:vAlign w:val="bottom"/>
          </w:tcPr>
          <w:p>
            <w:pPr>
              <w:spacing w:after="0"/>
              <w:rPr>
                <w:sz w:val="21"/>
                <w:szCs w:val="21"/>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rPr>
              <w:t>Property</w:t>
            </w: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Equipment</w:t>
            </w:r>
          </w:p>
        </w:tc>
        <w:tc>
          <w:tcPr>
            <w:tcW w:w="114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Property</w:t>
            </w: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Equipment</w:t>
            </w:r>
          </w:p>
        </w:tc>
        <w:tc>
          <w:tcPr>
            <w:tcW w:w="1000" w:type="dxa"/>
            <w:vAlign w:val="bottom"/>
          </w:tcPr>
          <w:p>
            <w:pPr>
              <w:spacing w:after="0"/>
              <w:rPr>
                <w:sz w:val="21"/>
                <w:szCs w:val="21"/>
                <w:color w:val="auto"/>
              </w:rPr>
            </w:pPr>
          </w:p>
        </w:tc>
      </w:tr>
      <w:tr>
        <w:trPr>
          <w:trHeight w:val="234"/>
        </w:trPr>
        <w:tc>
          <w:tcPr>
            <w:tcW w:w="3580" w:type="dxa"/>
            <w:vAlign w:val="bottom"/>
          </w:tcPr>
          <w:p>
            <w:pPr>
              <w:spacing w:after="0"/>
              <w:rPr>
                <w:sz w:val="20"/>
                <w:szCs w:val="20"/>
                <w:color w:val="auto"/>
              </w:rPr>
            </w:pPr>
          </w:p>
        </w:tc>
        <w:tc>
          <w:tcPr>
            <w:tcW w:w="188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Leases</w:t>
            </w: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1"/>
              </w:rPr>
              <w:t>Leases</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Leases</w:t>
            </w: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Leases</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1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6,585</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327</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6,912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13,187</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654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13,841</w:t>
            </w:r>
          </w:p>
        </w:tc>
      </w:tr>
      <w:tr>
        <w:trPr>
          <w:trHeight w:val="27"/>
        </w:trPr>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154</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224</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(511)</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6,211</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363</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6,574</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12,534</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769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13,303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lease cost on the Condensed Consolidated Statement of Income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3780" w:type="dxa"/>
            <w:vAlign w:val="bottom"/>
          </w:tcPr>
          <w:p>
            <w:pPr>
              <w:jc w:val="right"/>
              <w:ind w:right="70"/>
              <w:spacing w:after="0"/>
              <w:rPr>
                <w:sz w:val="20"/>
                <w:szCs w:val="20"/>
                <w:color w:val="auto"/>
              </w:rPr>
            </w:pPr>
            <w:r>
              <w:rPr>
                <w:rFonts w:ascii="Arial" w:cs="Arial" w:eastAsia="Arial" w:hAnsi="Arial"/>
                <w:sz w:val="18"/>
                <w:szCs w:val="18"/>
                <w:b w:val="1"/>
                <w:bCs w:val="1"/>
                <w:color w:val="auto"/>
              </w:rPr>
              <w:t>Thirteen Weeks Ended June</w:t>
            </w:r>
          </w:p>
        </w:tc>
        <w:tc>
          <w:tcPr>
            <w:tcW w:w="22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Twenty-Six Weeks Ended</w:t>
            </w:r>
          </w:p>
        </w:tc>
      </w:tr>
      <w:tr>
        <w:trPr>
          <w:trHeight w:val="234"/>
        </w:trPr>
        <w:tc>
          <w:tcPr>
            <w:tcW w:w="5360" w:type="dxa"/>
            <w:vAlign w:val="bottom"/>
          </w:tcPr>
          <w:p>
            <w:pPr>
              <w:spacing w:after="0"/>
              <w:rPr>
                <w:sz w:val="20"/>
                <w:szCs w:val="20"/>
                <w:color w:val="auto"/>
              </w:rPr>
            </w:pPr>
          </w:p>
        </w:tc>
        <w:tc>
          <w:tcPr>
            <w:tcW w:w="3780" w:type="dxa"/>
            <w:vAlign w:val="bottom"/>
          </w:tcPr>
          <w:p>
            <w:pPr>
              <w:jc w:val="right"/>
              <w:ind w:right="830"/>
              <w:spacing w:after="0"/>
              <w:rPr>
                <w:sz w:val="20"/>
                <w:szCs w:val="20"/>
                <w:color w:val="auto"/>
              </w:rPr>
            </w:pPr>
            <w:r>
              <w:rPr>
                <w:rFonts w:ascii="Arial" w:cs="Arial" w:eastAsia="Arial" w:hAnsi="Arial"/>
                <w:sz w:val="18"/>
                <w:szCs w:val="18"/>
                <w:b w:val="1"/>
                <w:bCs w:val="1"/>
                <w:color w:val="auto"/>
              </w:rPr>
              <w:t>26, 2019</w:t>
            </w:r>
          </w:p>
        </w:tc>
        <w:tc>
          <w:tcPr>
            <w:tcW w:w="228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26, 2019</w:t>
            </w:r>
          </w:p>
        </w:tc>
      </w:tr>
      <w:tr>
        <w:trPr>
          <w:trHeight w:val="27"/>
        </w:trPr>
        <w:tc>
          <w:tcPr>
            <w:tcW w:w="5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Occupancy and other operating expenses</w:t>
            </w:r>
          </w:p>
        </w:tc>
        <w:tc>
          <w:tcPr>
            <w:tcW w:w="3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6,256</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Lease cost – General &amp; administrative</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5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Depreciation and amortization</w:t>
            </w:r>
          </w:p>
        </w:tc>
        <w:tc>
          <w:tcPr>
            <w:tcW w:w="3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Lease cost – Interest expense</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Closed-store reserve</w:t>
            </w:r>
          </w:p>
        </w:tc>
        <w:tc>
          <w:tcPr>
            <w:tcW w:w="3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6,574</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13,303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During the twenty-six weeks ended June 26, 2019, the Company had the following cash and non-cash activities associated with its leases (in thousands):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5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1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Twenty-Six Weeks Ended June 26, 2019</w:t>
            </w:r>
          </w:p>
        </w:tc>
      </w:tr>
      <w:tr>
        <w:trPr>
          <w:trHeight w:val="252"/>
        </w:trPr>
        <w:tc>
          <w:tcPr>
            <w:tcW w:w="7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Equipment</w:t>
            </w:r>
          </w:p>
        </w:tc>
        <w:tc>
          <w:tcPr>
            <w:tcW w:w="1040" w:type="dxa"/>
            <w:vAlign w:val="bottom"/>
          </w:tcPr>
          <w:p>
            <w:pPr>
              <w:spacing w:after="0"/>
              <w:rPr>
                <w:sz w:val="21"/>
                <w:szCs w:val="21"/>
                <w:color w:val="auto"/>
              </w:rPr>
            </w:pPr>
          </w:p>
        </w:tc>
      </w:tr>
      <w:tr>
        <w:trPr>
          <w:trHeight w:val="234"/>
        </w:trPr>
        <w:tc>
          <w:tcPr>
            <w:tcW w:w="7300" w:type="dxa"/>
            <w:vAlign w:val="bottom"/>
          </w:tcPr>
          <w:p>
            <w:pPr>
              <w:spacing w:after="0"/>
              <w:rPr>
                <w:sz w:val="20"/>
                <w:szCs w:val="20"/>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Property Leases</w:t>
            </w: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Leases</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594"/>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used for operating leases</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12,361</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654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13,015</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Financing cash flows used for finance leases</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53</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3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1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obtained in exchange for lease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4,995</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4,995</w:t>
            </w: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3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w w:val="94"/>
              </w:rPr>
              <w:t>Operating lease ROU Assets obtained and liabilities incurred as a result of adoption of ASC 842:</w:t>
            </w:r>
          </w:p>
        </w:tc>
        <w:tc>
          <w:tcPr>
            <w:tcW w:w="1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200,555</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4,668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205,223</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217,615</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4,668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222,283</w:t>
            </w: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3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remaining lease term—finance leases</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3.33</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Weighted-average remaining lease term—operating leases</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12.23</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3.55</w:t>
            </w:r>
          </w:p>
        </w:tc>
        <w:tc>
          <w:tcPr>
            <w:tcW w:w="10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discount rate—finance leases</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Weighted-average discount rate—operating leases</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4.38%</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3.98%</w:t>
            </w:r>
          </w:p>
        </w:tc>
        <w:tc>
          <w:tcPr>
            <w:tcW w:w="1040" w:type="dxa"/>
            <w:vAlign w:val="bottom"/>
          </w:tcPr>
          <w:p>
            <w:pPr>
              <w:spacing w:after="0"/>
              <w:rPr>
                <w:sz w:val="21"/>
                <w:szCs w:val="2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minimum future lease obligations as of June 26, 2019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255270</wp:posOffset>
            </wp:positionV>
            <wp:extent cx="1800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Minimum</w:t>
            </w:r>
          </w:p>
        </w:tc>
        <w:tc>
          <w:tcPr>
            <w:tcW w:w="240" w:type="dxa"/>
            <w:vAlign w:val="bottom"/>
          </w:tcPr>
          <w:p>
            <w:pPr>
              <w:spacing w:after="0"/>
              <w:rPr>
                <w:sz w:val="13"/>
                <w:szCs w:val="13"/>
                <w:color w:val="auto"/>
              </w:rPr>
            </w:pPr>
          </w:p>
        </w:tc>
        <w:tc>
          <w:tcPr>
            <w:tcW w:w="112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rPr>
              <w:t>Minimum</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Years Ending</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240" w:type="dxa"/>
            <w:vAlign w:val="bottom"/>
          </w:tcPr>
          <w:p>
            <w:pPr>
              <w:spacing w:after="0"/>
              <w:rPr>
                <w:sz w:val="12"/>
                <w:szCs w:val="12"/>
                <w:color w:val="auto"/>
              </w:rPr>
            </w:pPr>
          </w:p>
        </w:tc>
        <w:tc>
          <w:tcPr>
            <w:tcW w:w="11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58"/>
        </w:trPr>
        <w:tc>
          <w:tcPr>
            <w:tcW w:w="74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3"/>
                <w:szCs w:val="13"/>
                <w:color w:val="auto"/>
              </w:rPr>
            </w:pPr>
          </w:p>
        </w:tc>
        <w:tc>
          <w:tcPr>
            <w:tcW w:w="1120" w:type="dxa"/>
            <w:vAlign w:val="bottom"/>
          </w:tcPr>
          <w:p>
            <w:pPr>
              <w:jc w:val="center"/>
              <w:ind w:right="155"/>
              <w:spacing w:after="0" w:line="158" w:lineRule="exact"/>
              <w:rPr>
                <w:sz w:val="20"/>
                <w:szCs w:val="20"/>
                <w:color w:val="auto"/>
              </w:rPr>
            </w:pPr>
            <w:r>
              <w:rPr>
                <w:rFonts w:ascii="Arial" w:cs="Arial" w:eastAsia="Arial" w:hAnsi="Arial"/>
                <w:sz w:val="14"/>
                <w:szCs w:val="14"/>
                <w:b w:val="1"/>
                <w:bCs w:val="1"/>
                <w:color w:val="auto"/>
                <w:w w:val="90"/>
              </w:rPr>
              <w:t>Payments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5"/>
              <w:spacing w:after="0" w:line="158"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December 25,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13,263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December 30, 2020</w:t>
            </w: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December 29, 2021</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December 28, 2022</w:t>
            </w:r>
          </w:p>
        </w:tc>
        <w:tc>
          <w:tcPr>
            <w:tcW w:w="1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25,043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December 28, 2023</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154,940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268,317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Less: imputed interest (3.96% to 11.1%)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Less: current maturities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198,612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minimum future lease obligations at December 26, 2018 is as follows, under ASC 840 (in thousands):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5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Capital Leases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Leases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20" w:type="dxa"/>
            <w:vAlign w:val="bottom"/>
          </w:tcPr>
          <w:p>
            <w:pPr>
              <w:jc w:val="center"/>
              <w:ind w:left="320"/>
              <w:spacing w:after="0" w:line="153" w:lineRule="exact"/>
              <w:rPr>
                <w:sz w:val="20"/>
                <w:szCs w:val="20"/>
                <w:color w:val="auto"/>
              </w:rPr>
            </w:pPr>
            <w:r>
              <w:rPr>
                <w:rFonts w:ascii="Arial" w:cs="Arial" w:eastAsia="Arial" w:hAnsi="Arial"/>
                <w:sz w:val="14"/>
                <w:szCs w:val="14"/>
                <w:b w:val="1"/>
                <w:bCs w:val="1"/>
                <w:color w:val="auto"/>
              </w:rPr>
              <w:t>Minimum</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Minimum</w:t>
            </w:r>
          </w:p>
        </w:tc>
        <w:tc>
          <w:tcPr>
            <w:tcW w:w="520" w:type="dxa"/>
            <w:vAlign w:val="bottom"/>
          </w:tcPr>
          <w:p>
            <w:pPr>
              <w:spacing w:after="0"/>
              <w:rPr>
                <w:sz w:val="13"/>
                <w:szCs w:val="13"/>
                <w:color w:val="auto"/>
              </w:rPr>
            </w:pPr>
          </w:p>
        </w:tc>
        <w:tc>
          <w:tcPr>
            <w:tcW w:w="1180" w:type="dxa"/>
            <w:vAlign w:val="bottom"/>
          </w:tcPr>
          <w:p>
            <w:pPr>
              <w:jc w:val="center"/>
              <w:ind w:right="435"/>
              <w:spacing w:after="0" w:line="153" w:lineRule="exact"/>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6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Years Ending</w:t>
            </w:r>
          </w:p>
        </w:tc>
        <w:tc>
          <w:tcPr>
            <w:tcW w:w="1020" w:type="dxa"/>
            <w:vAlign w:val="bottom"/>
          </w:tcPr>
          <w:p>
            <w:pPr>
              <w:jc w:val="center"/>
              <w:ind w:left="300"/>
              <w:spacing w:after="0" w:line="149" w:lineRule="exact"/>
              <w:rPr>
                <w:sz w:val="20"/>
                <w:szCs w:val="20"/>
                <w:color w:val="auto"/>
              </w:rPr>
            </w:pPr>
            <w:r>
              <w:rPr>
                <w:rFonts w:ascii="Arial" w:cs="Arial" w:eastAsia="Arial" w:hAnsi="Arial"/>
                <w:sz w:val="14"/>
                <w:szCs w:val="14"/>
                <w:b w:val="1"/>
                <w:bCs w:val="1"/>
                <w:color w:val="auto"/>
                <w:w w:val="90"/>
              </w:rPr>
              <w:t>Lease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Lease</w:t>
            </w:r>
          </w:p>
        </w:tc>
        <w:tc>
          <w:tcPr>
            <w:tcW w:w="520" w:type="dxa"/>
            <w:vAlign w:val="bottom"/>
          </w:tcPr>
          <w:p>
            <w:pPr>
              <w:spacing w:after="0"/>
              <w:rPr>
                <w:sz w:val="12"/>
                <w:szCs w:val="12"/>
                <w:color w:val="auto"/>
              </w:rPr>
            </w:pPr>
          </w:p>
        </w:tc>
        <w:tc>
          <w:tcPr>
            <w:tcW w:w="1180" w:type="dxa"/>
            <w:vAlign w:val="bottom"/>
          </w:tcPr>
          <w:p>
            <w:pPr>
              <w:jc w:val="center"/>
              <w:ind w:right="43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1020" w:type="dxa"/>
            <w:vAlign w:val="bottom"/>
          </w:tcPr>
          <w:p>
            <w:pPr>
              <w:jc w:val="center"/>
              <w:ind w:left="300"/>
              <w:spacing w:after="0" w:line="158" w:lineRule="exact"/>
              <w:rPr>
                <w:sz w:val="20"/>
                <w:szCs w:val="20"/>
                <w:color w:val="auto"/>
              </w:rPr>
            </w:pPr>
            <w:r>
              <w:rPr>
                <w:rFonts w:ascii="Arial" w:cs="Arial" w:eastAsia="Arial" w:hAnsi="Arial"/>
                <w:sz w:val="14"/>
                <w:szCs w:val="14"/>
                <w:b w:val="1"/>
                <w:bCs w:val="1"/>
                <w:color w:val="auto"/>
                <w:w w:val="90"/>
              </w:rPr>
              <w:t>Payments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Payments</w:t>
            </w:r>
          </w:p>
        </w:tc>
        <w:tc>
          <w:tcPr>
            <w:tcW w:w="520" w:type="dxa"/>
            <w:vAlign w:val="bottom"/>
          </w:tcPr>
          <w:p>
            <w:pPr>
              <w:spacing w:after="0"/>
              <w:rPr>
                <w:sz w:val="13"/>
                <w:szCs w:val="13"/>
                <w:color w:val="auto"/>
              </w:rPr>
            </w:pPr>
          </w:p>
        </w:tc>
        <w:tc>
          <w:tcPr>
            <w:tcW w:w="1180" w:type="dxa"/>
            <w:vAlign w:val="bottom"/>
          </w:tcPr>
          <w:p>
            <w:pPr>
              <w:jc w:val="center"/>
              <w:ind w:right="435"/>
              <w:spacing w:after="0" w:line="158"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25, 2019</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25,388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December 30, 2020</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24,437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29, 2021</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23,342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December 28, 2022</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22,338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28, 2023</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150,342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248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266,481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Less: imputed interest (11.0% to 11.1%)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gridSpan w:val="3"/>
            <w:vMerge w:val="continue"/>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Present value of capital lease obligations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Less: current maturities</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Leases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multiple short-term leases, which have terms of less than 12 months, and thus were excluded from the recognition requirements of Topic</w:t>
      </w:r>
    </w:p>
    <w:p>
      <w:pPr>
        <w:spacing w:after="0" w:line="46" w:lineRule="exact"/>
        <w:rPr>
          <w:sz w:val="20"/>
          <w:szCs w:val="20"/>
          <w:color w:val="auto"/>
        </w:rPr>
      </w:pPr>
    </w:p>
    <w:p>
      <w:pPr>
        <w:ind w:right="260" w:firstLine="8"/>
        <w:spacing w:after="0" w:line="261"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recognized these lease payments in its consolidated statement of operations on a straight-line basis over the lease term and variable lease payments in the period in which the obligation for those payments is incurred.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14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0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color w:val="auto"/>
        </w:rPr>
        <w:t>For the thirteen and twenty-six weeks ended June 26, 2019, the Company received $0.2 million and $0.3 million of lease income, respectively, from company-owned locations</w:t>
      </w:r>
      <w:r>
        <w:rPr>
          <w:rFonts w:ascii="Arial" w:cs="Arial" w:eastAsia="Arial" w:hAnsi="Arial"/>
          <w:sz w:val="19"/>
          <w:szCs w:val="19"/>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discussion and analysis should be read in conjunction with Item 1 above and with the condensed consolidated financial statements contained in our annual report on Form 10-K for the year ended December 26, 2018.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El Pollo Loco is a differentiated and growing restaurant concept that specializes in fire-grilling citrus-marinated chicken and operates in the limited service restaurant (“LSR”) segment. We strive to offer the quality of food and dining experience typical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6" w:right="23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17"/>
          <w:szCs w:val="17"/>
          <w:color w:val="auto"/>
        </w:rPr>
        <w:t>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the following strategies:</w:t>
      </w:r>
    </w:p>
    <w:p>
      <w:pPr>
        <w:spacing w:after="0" w:line="24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June 26, 2019, we had 484 locations in six states. In fiscal 2018, we opened eight new company-operated and nine new franchised restaurants across Arizona, California, Utah, Louisiana and Texas. For the twenty-six weeks ended June 26, 2019, we opened no new company-operated restaurants and two franchised restaurants in California. In 2019, we intend to open two to three new company-operated and two to three new franchised restaurants. To increase comparable restaurant sales, we plan to increase customer frequency, attract new customers, and improve per-person spend. These growth rates are not guaranteed.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System-wide, for the thirteen and twenty-six weeks ended June 26, 2019, comparable restaurant sales increased by 0.7% and 1.5%, respectively, from the comparable periods in the prior year. For company-operated restaurants, comparable restaurant sales, for the thirteen and twenty-six weeks ended June 26, 2019, increased by 0.4% and 1.0%, respectively. For company-operated restaurants, the quarter’s change in comparable restaurant sales consisted of a 3.1% increase in average check size, and a 2.7% decline in transactions and the year-to-date change in comparable restaurant sales consisted of a 3.9% increase in average check size, and a 2.9% decline in transactions. For franchised restaurants, comparable restaurant sales increased 0.9% and 2.0% for the thirteen and twenty-six weeks ended June 26, 2019,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restaurant counts at the beginning and end of each of the last three fiscal years and the twenty-six weeks ended June 26, 2019,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Twenty-Six Weeks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26, 2019</w:t>
            </w: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June 26, 2019, together with our franchisees, we had remodeled 31 company-operated and 44 franchised restaurants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June 26, 2019, including new builds and remodels, we had 116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June 26, 2019, the amount of revenue deferred related to the earned points, net of redemptions, is $1.3 million. The Company had over 1.3 million loyalty program members as of June 26,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26, 2018, and Note 2, “Summary of Significant Accounting Policies,” to Item 8, “Financial Statements and Supplementary Data,” in our annual report. For a summary of our significant accounting policies and a discussion of our use of estimates, see also Note 1 and Note 10 to Item 1 above.</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 other than the adoption of Topic 842, as described in Note 1 and Note 11 to Item 1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pronouncements are described in Note 1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December 25, 2019 will be the first day that we will cease to be an EGC. Please refer to our annual report on Form 10-K for more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to Item I above, for further details regarding our revenue recognition policy.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5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Prior to the adoption of Topic 842 "Leases," closure costs include non-cash restaurant charges such as up-front expensing of the net present value of unpaid rent remaining on the life of a lease, offset by assumed sublease income. Upon the adoption of Topic 842, the Company no longer recognizes a closed-store reserve when the Company closes a restaurant, as a lease liability related to the future lease payments is already recognized. Rather, when a restaurant is closed, the Company will evaluate the ROU Asset for impairment, based on anticipated sublease recoveries. The remaining value of the ROU Asset is amortized on a straight-line basis, with the expense recognized in closed-store reserve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908"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Results of Income</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operating results for the thirteen weeks ended June 26, 2019 and June 27, 2018, in absolute terms, and expressed as percentages of total revenue, with the exception of cost of operations and company restaurant expenses, which are expressed as a percentage of company-operated restaurant revenue, are compared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2"/>
              </w:rPr>
              <w:t>June 26, 2019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2"/>
              </w:rPr>
              <w:t>June 27, 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left="452"/>
              <w:spacing w:after="0" w:line="153" w:lineRule="exact"/>
              <w:rPr>
                <w:sz w:val="20"/>
                <w:szCs w:val="20"/>
                <w:color w:val="auto"/>
              </w:rPr>
            </w:pPr>
            <w:r>
              <w:rPr>
                <w:rFonts w:ascii="Arial" w:cs="Arial" w:eastAsia="Arial" w:hAnsi="Arial"/>
                <w:sz w:val="14"/>
                <w:szCs w:val="14"/>
                <w:b w:val="1"/>
                <w:bCs w:val="1"/>
                <w:color w:val="auto"/>
                <w:w w:val="92"/>
              </w:rPr>
              <w:t>Increase /</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89"/>
              </w:rPr>
              <w:t>(Decrease)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200" w:type="dxa"/>
            <w:vAlign w:val="bottom"/>
          </w:tcPr>
          <w:p>
            <w:pPr>
              <w:spacing w:after="0"/>
              <w:rPr>
                <w:sz w:val="19"/>
                <w:szCs w:val="19"/>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7,918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6,553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113,740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111,633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27,886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28,681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23,032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22,913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80,190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79,450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9,348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12,474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(gain)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(1,775.0)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Loss on disposition of restaurants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104,044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20,580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7,589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12,991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171.2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19,752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233.8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14,087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right="1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04" w:right="239" w:bottom="1440" w:gutter="0" w:footer="0" w:header="0"/>
        </w:sectPr>
      </w:pPr>
    </w:p>
    <w:bookmarkStart w:id="34" w:name="page35"/>
    <w:bookmarkEnd w:id="34"/>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ind w:left="80"/>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2"/>
              </w:rPr>
              <w:t>June 26, 2019</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0"/>
              </w:rPr>
              <w:t>June 27, 2018</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gridSpan w:val="3"/>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21"/>
                <w:szCs w:val="21"/>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14,362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12,659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6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222,717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217,389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55,038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55,916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46,259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44,832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160,145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156,266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20,696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25,676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9,215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Loss on disposition of restaurants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5,051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199,845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205,352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22,872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12,037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10,835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b w:val="1"/>
                <w:bCs w:val="1"/>
                <w:color w:val="auto"/>
              </w:rPr>
              <w:t>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Income tax receivable agreement expense (income)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21,014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102.2</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For the quarter, company-operated restaurant revenue increased $0.5 million, or 0.5%, from the comparable period in the prior year. The growth in company-operated restaurant sales was primarily due to an increase of $2.2 million of non-comparable restaurant sales on restaurants that had not been open the fifteen months required to be included in comparable restaurant sales and an increase of $0.4 million from a 0.4% increase in company-operated comparable sales.</w:t>
      </w:r>
    </w:p>
    <w:p>
      <w:pPr>
        <w:ind w:right="20"/>
        <w:spacing w:after="0" w:line="255" w:lineRule="auto"/>
        <w:rPr>
          <w:sz w:val="20"/>
          <w:szCs w:val="20"/>
          <w:color w:val="auto"/>
        </w:rPr>
      </w:pPr>
      <w:r>
        <w:rPr>
          <w:rFonts w:ascii="Arial" w:cs="Arial" w:eastAsia="Arial" w:hAnsi="Arial"/>
          <w:sz w:val="18"/>
          <w:szCs w:val="18"/>
          <w:color w:val="auto"/>
        </w:rPr>
        <w:t>This restaurant sales increase was partially offset by the closure of seven restaurants during or subsequent to the second quarter of 2018 and the sale of eleven company-operated locations to existing franchisees. The company-operated comparable restaurant sales increase consisted of an increase in average check size of 3.1% partially offset by a decline in transactions of 2.7%.</w:t>
      </w:r>
    </w:p>
    <w:p>
      <w:pPr>
        <w:spacing w:after="0" w:line="8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Year-to-date, company-operated restaurant revenue increased $3.1 million, or 1.6%, from the comparable period in the prior year. The growth in company-operated restaurant sales was primarily due to an increase of $5.5 million of non-comparable restaurant sales on restaurants that had not been open the fifteen months required to be included in comparable restaurant sales and an increase of $1.8 million from a 1.0% increase in company-operated comparable sales. This restaurant sales increase was partially offset by the closure of nine restaurants during or subsequent to the first quarter of 2018 and the sale of eleven company-operated locations to existing franchisees. The company-operated comparable restaurant sales increase consisted of an increase in average check size of 3.9% partially offset by a decline in transactions of 2.9%.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the quarter, franchise revenue increased $1.4 million, or 20.8%, from the comparable period in the prior year. This increase was primarily due to higher fees received from franchised restaurants related to their use of our point-of-sales system, a franchise comparable restaurant sales increase of 0.9%, the opening of eight new franchised restaurants during or after the prior year quarter and the eleven units transferred from company-operated to franchise locations. This was partially offset by the closure of three franchise locations during the same period.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06" w:right="259" w:bottom="1440" w:gutter="0" w:footer="0" w:header="0"/>
        </w:sectPr>
      </w:pPr>
    </w:p>
    <w:bookmarkStart w:id="35" w:name="page36"/>
    <w:bookmarkEnd w:id="35"/>
    <w:p>
      <w:pPr>
        <w:ind w:right="40"/>
        <w:spacing w:after="0" w:line="279" w:lineRule="auto"/>
        <w:rPr>
          <w:sz w:val="20"/>
          <w:szCs w:val="20"/>
          <w:color w:val="auto"/>
        </w:rPr>
      </w:pPr>
      <w:r>
        <w:rPr>
          <w:rFonts w:ascii="Arial" w:cs="Arial" w:eastAsia="Arial" w:hAnsi="Arial"/>
          <w:sz w:val="17"/>
          <w:szCs w:val="17"/>
          <w:color w:val="auto"/>
        </w:rPr>
        <w:t>Year-to-date, franchise revenue increased $1.7 million, or 13.5%, from the comparable period in the prior year. This increase was primarily due to higher fees received from franchised restaurants related to their use of our point-of-sales system, a franchise comparable restaurant sales increase of 2.0%, the opening of eleven new franchised restaurants during or after the first quarter of the prior and the eleven units transferred from company-operated to franchise locations. This was partially offset by the closure of three franchise locations during the same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quarter, franchise advertising fee revenue increased $0.2 million, or 4.2%, from the comparable period in the prior year. This increase was primarily due to an increase in the number of franchise locations and increased franchise comparable restaurant sales.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Year-to-date, franchise advertising fee revenue increased $0.5 million, or 4.9%, from the comparable period in the prior year. This increase was primarily due to an increase in the number of franchise locations and increased franchise comparable restaurant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quarter, food and paper costs decreased $0.8 million, or 2.8%, from the comparable period in the prior year, primarily due to food costs. Year-to-date, food and paper costs decreased $0.9 million, or 1.6%, from the comparable period in the prior year, due to a $1.0 million decrease in food costs, partially offset by a $0.1 million increase in paper costs. The decrease in food and paper costs, for the quarter and year-to-date periods, resulted primarily from lower company transactions.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quarter, food and paper costs as a percentage of company-operated restaurant revenue were 27.8%, down from 28.8% in the comparable period of the prior year. Year-to-date, food and paper costs as a percentage of company-operated restaurant revenue were 27.9%, down from 28.8% in the comparable period of the prior year. The percentage decrease for the quarter and year-to-date periods was due primarily to an increase in pricing and a favorable sales mix, partially offset by commodity inflation.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quarter, labor and related expenses increased $1.4 million, or 5.1%, from the comparable period in the prior year. Year-to-date, labor and related expenses increased $3.3 million, or 6.0%, from the comparable period in the prior year. The increase for the quarter and year-to-date periods was due primarily to increased labor costs resulting from new restaurants opened in fiscal 2018, the impact of the wage increases in California and Los Angeles during fiscal 2018 and the first quarter of fiscal 2019 and higher workers' compensation expense due to increased claims activity, partially offset by reduction in labor by restaurants closed and sold to franchisees.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quarter, labor and related expenses as a percentage of company-operated restaurant revenue were 29.2%, up from 28.0% in the comparable period in the prior year. Year-to-date payroll and benefit expenses as a percentage of company-operated restaurant revenue were 29.8%, up from 28.6% in the comparable period in the prior year. The increases for the quarter and year-to-date periods were due primarily to wage increases in California and Los Angeles and higher workers’ compensation expense due to increased claims activity. Partially offsetting these increases were positive impacts due to an increase in pricing.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quarter, occupancy and other operating expenses increased $0.1 million, or 0.5%, from the comparable period of the prior year. The increase was primarily due to a $0.2 million increase in occupancy costs, primarily related to rent expense from lease renewal inflation, a $0.2 million increase in customer order delivery fees and a $0.1 million increase in utilities costs. These increases were partially offset by a decrease in advertising fees and other operating expenses. Year-to-date, occupancy and other operating expenses increased $1.4 million, or 3.2%, from the comparable period of the prior year. The increase was primarily due to a $0.4 million increase in occupancy costs, due primarily to additional rent and property tax, a $0.4 million increase in utilities costs, $0.3 million increase in repair and maintenance costs and a $0.3 million increase in customer order delivery fees.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quarter, occupancy and other operating expenses as a percentage of company-operated restaurant revenue were 23.0%, which is consistent with the comparable period of the prior year. Year-to-date, occupancy and other operating expenses as a percentage of company-operated restaurant revenue were 23.4%, up from 23.1% in the comparable period of the prior year. The increase resulted primarily from the increases noted above, partially offset by pricing.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92"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 the quarter, general and administrative expenses decreased $3.1 million, or 25.1%, from the comparable period in the prior year. The decrease for the quarter was due primarily due to a decrease in legal expenses related primarily to a decrease in securities class action litigation costs.</w:t>
      </w:r>
    </w:p>
    <w:p>
      <w:pPr>
        <w:spacing w:after="0" w:line="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Year-to-date, general and administrative expenses decreased $5.0 million, or 19.4%, from the comparable period in the prior year. The decrease for the year-to-date period was due primarily to (i) a $4.5 million decrease in legal expenses related primarily to a decrease in securities class action litigation costs and</w:t>
      </w:r>
    </w:p>
    <w:p>
      <w:pPr>
        <w:jc w:val="both"/>
        <w:ind w:right="20" w:firstLine="8"/>
        <w:spacing w:after="0" w:line="302" w:lineRule="auto"/>
        <w:tabs>
          <w:tab w:leader="none" w:pos="2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$0.4 million decrease in restaurant pre-opening costs, (iii) a $0.3 million decrease in travel expense, (iv) a $0.2 million decrease in dead site costs related to costs incurred for potential new restaurant locations that we chose not to continue to pursue, and (v) a $0.1 million decrease in other costs. These decreases were partially offset by a $0.5 million increase in labor related costs, primarily related to an increase in estimated management bonus expenses.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general and administrative expenses as a percentage of total revenue were 8.2%, down from 11.2% in the comparable period of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Year-to-date, general and administrative expenses as a percentage of total revenue were 9.3%, down from 11.8% in the comparable period of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decrease is primarily due to the cost decreases discussed above.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Securities Class Action Legal Expense</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thirteen and twenty-six weeks ended June 26, 2019, we received insurance proceeds of $10.0 million related to the settlement of the securities class action lawsuit. During the thirteen and twenty-six weeks ended June 27, 2018, we received insurance proceeds of $2.4 million and $4.1 million, respectively, related to the reimbursement of certain legal expenses paid in prior years for the defense of securities lawsuits. See Note 7, Commitments and Contingencies, Legal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Disposition of Restaurants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thirteen and twenty-six weeks ended June 26, 2019, we completed the sale of four company-operated restaurants within the San Francisco area to an existing franchisee and seven company-operated restaurants in the Phoenix area to another existing franchisee. We determined that these restaurant dispositions represent multiple element arrangements, and as a result, the cash consideration received was allocated to the separate elements based on their relative selling price. Cash proceeds included upfront consideration for the sale of the restaurants and franchise fees, as well as future cash consideration for royalties and lease payments. We also considered the future lease payments in allocating the initial cash consideration received. The cash consideration per restaurant for franchise fees is consistent with the amounts stated in the related franchise agreements, which are charged for separate standalone arrangements. We initially defer and subsequently recognize the franchise fees over the term of the franchise agreement. Future royalty income is also recognized in revenue as earned.</w:t>
      </w:r>
    </w:p>
    <w:p>
      <w:pPr>
        <w:spacing w:after="0" w:line="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These sales resulted in cash proceeds of $4.8 million and a net loss on sale of restaurants of $0.9 million and $5.1 million for the thirteen and twenty-six weeks ended June 26, 2019, respectively. These restaurants are included in the total number of franchised El Pollo Loco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each of the thirteen and twenty-six weeks ended June 27, 2018, we recorded a non-cash impairment charge of $0.2 million, primarily related to the carrying value of one restaurant in California. We recorded a non-cash impairment charge of $1.7 million for each of the thirteen and twenty-six weeks ended June 27, 2018, primarily related to the carrying value of the assets of one restaurant in Arizona. Given the difficulty in projecting results for newer restaurants in newer markets, we are monitoring the recoverability of the carrying value of the assets of several restaurants on an ongoing basis.</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thirteen weeks ended June 27, 2018, we closed two restaurants in Texas, both of which were previously impaired during the third quarter of 2017. During the twenty-six weeks ended June 27, 2018, we closed four restaurants in Texas, all of which were previously impaired during the third quarter of 2017, and decided not to move forward with the development of a third location in Texas. This resulted in closed-store reserve expense of $2.3 million and $5.1 million for the thirteen and twenty-six weeks ended June 27, 2018,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p>
      <w:pPr>
        <w:ind w:right="100"/>
        <w:spacing w:after="0" w:line="255" w:lineRule="auto"/>
        <w:rPr>
          <w:sz w:val="20"/>
          <w:szCs w:val="20"/>
          <w:color w:val="auto"/>
        </w:rPr>
      </w:pPr>
      <w:r>
        <w:rPr>
          <w:rFonts w:ascii="Arial" w:cs="Arial" w:eastAsia="Arial" w:hAnsi="Arial"/>
          <w:sz w:val="18"/>
          <w:szCs w:val="18"/>
          <w:color w:val="auto"/>
        </w:rPr>
        <w:t>Subsequent to the adoption of Topic 842, the Company no longer recognizes a closed-store reserve when the Company closes a restaurant, as there is already a lease liability on its books related to the future lease payments. Rather, when a restaurant is closed, the Company will evaluate the ROU Asset for impairment, based on anticipated sublease recoveries. The remaining value of the ROU Asset is amortized on a straight-line basis, with the expense recognized in closed-store reserve expense. During the thirteen and twenty-six weeks ended June 26, 2019, the Company closed one restaurant in California and one in Texas and recognized $0.3 million and $0.6 million, respectively, of closed-store reserve expense, primarily related to the amortization of ROU Assets for closed stores.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interest expense, net was consistent with the prior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thirteen and twenty-six weeks ended June 26, 2019 we recorded income tax receivable agreement income of $0.1 million and income tax agreement expense of $0.1 million, respectively, and for the thirteen and twenty-six weeks ended June 27, 2018, we recorded income tax receivable agreement expense of $0.7 million and income tax receivable agreement income of $0.2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quarter ended June 26, 2019, we recorded an income tax provision of $5.7 million, reflecting an estimated effective tax rate of 28.7%. For the quarter ended June 27, 2018, we recorded an income tax provision of $0.9 million, reflecting an estimated effective tax rate of approximately 14.6%. Year-to-date ended June 26, 2019, we recorded an income tax provision of $6.0 million, reflecting an estimated effective tax rate of approximately 28.6%. Year-to-date ended June 27, 2018 we recorded an income tax provision of $2.8 million, reflecting an estimated effective tax rate of approximately 27.1%. The difference between the 21.0% statutory rate and the Company’s effective tax rate of 28.6% for the year-to-date ended June 26, 2019 is primarily a result of state taxes, a Work Opportunity Tax Credit benefit, the Company’s valuation allowance against certain state credits as a result of future forecasted income apportioned to the state jurisdiction, non-deductible executive compensation and changes to total expected TRA payments due to changes in future forecasted taxable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26, 2019 and June 27, 2018, there were 459 and 447 comparable restaurants, 199 and 194 company-operated and 260 and 253 franchised, respectively. Comparable restaurant sales indicate the performance of existing restaurants, since new restaurants are excluded.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asset impairment and closed-store reserve and other costs that are considered normal operating costs and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22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2019</w:t>
            </w:r>
          </w:p>
        </w:tc>
        <w:tc>
          <w:tcPr>
            <w:tcW w:w="22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22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2019</w:t>
            </w:r>
          </w:p>
        </w:tc>
        <w:tc>
          <w:tcPr>
            <w:tcW w:w="220" w:type="dxa"/>
            <w:vAlign w:val="bottom"/>
          </w:tcPr>
          <w:p>
            <w:pPr>
              <w:spacing w:after="0"/>
              <w:rPr>
                <w:sz w:val="22"/>
                <w:szCs w:val="22"/>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June 27, 2018</w:t>
            </w: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20,580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7,589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22,872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12,037</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(less):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25,676</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12,082</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8,556</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(gain) on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(12,659)</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(10,550)</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Recovery of securities lawsuits related legal expenses</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(4,063)</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 impairment and closed-store reserves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6,782</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Loss on sale of restaurants</w:t>
            </w: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37,144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37,914</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113,740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111,633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222,717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217,389</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(12,659)</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(10,550)</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100,139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99,627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197,289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194,180</w:t>
            </w:r>
          </w:p>
        </w:tc>
      </w:tr>
      <w:tr>
        <w:trPr>
          <w:trHeight w:val="284"/>
        </w:trPr>
        <w:tc>
          <w:tcPr>
            <w:tcW w:w="5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6" w:right="23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26, 2019</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27,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7,581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1,848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25,128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11,221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32,010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20,799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6"/>
                <w:szCs w:val="16"/>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Loss (gain) on disposal of assets </w:t>
            </w:r>
            <w:r>
              <w:rPr>
                <w:rFonts w:ascii="Arial" w:cs="Arial" w:eastAsia="Arial" w:hAnsi="Arial"/>
                <w:sz w:val="16"/>
                <w:szCs w:val="16"/>
                <w:color w:val="auto"/>
              </w:rPr>
              <w:t>(b)</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 (c)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Asset impairment and closed-store reserves (recovery) </w:t>
            </w:r>
            <w:r>
              <w:rPr>
                <w:rFonts w:ascii="Arial" w:cs="Arial" w:eastAsia="Arial" w:hAnsi="Arial"/>
                <w:sz w:val="16"/>
                <w:szCs w:val="16"/>
                <w:color w:val="auto"/>
              </w:rPr>
              <w:t>(d)</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6,782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disposition of restaurants (e)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 (f)</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Securities class action legal expense </w:t>
            </w:r>
            <w:r>
              <w:rPr>
                <w:rFonts w:ascii="Arial" w:cs="Arial" w:eastAsia="Arial" w:hAnsi="Arial"/>
                <w:sz w:val="16"/>
                <w:szCs w:val="16"/>
                <w:color w:val="auto"/>
              </w:rPr>
              <w:t>(g)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Pre-opening costs </w:t>
            </w:r>
            <w:r>
              <w:rPr>
                <w:rFonts w:ascii="Arial" w:cs="Arial" w:eastAsia="Arial" w:hAnsi="Arial"/>
                <w:sz w:val="16"/>
                <w:szCs w:val="16"/>
                <w:color w:val="auto"/>
              </w:rPr>
              <w:t>(h)</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Executive transition costs </w:t>
            </w:r>
            <w:r>
              <w:rPr>
                <w:rFonts w:ascii="Arial" w:cs="Arial" w:eastAsia="Arial" w:hAnsi="Arial"/>
                <w:sz w:val="16"/>
                <w:szCs w:val="16"/>
                <w:color w:val="auto"/>
              </w:rPr>
              <w:t>(i)</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17,890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17,510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32,084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32,123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660" w:right="28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66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thirteen and twenty-six weeks ended June 26, 2019 we received insurance proceeds of $10.0 million related to the settlement of the securities class action lawsuit and during the thirteen and twenty-six weeks ended June 27, 2018, we received insurance proceeds of $2.4 million and $4.1 million, respectively, related to the reimbursement of certain legal expenses paid in prior years for the defense of securities lawsuits. See Note 7, Commitments and Contingencies, Legal Matters.</w:t>
      </w:r>
    </w:p>
    <w:p>
      <w:pPr>
        <w:spacing w:after="0" w:line="1" w:lineRule="exact"/>
        <w:rPr>
          <w:rFonts w:ascii="Arial" w:cs="Arial" w:eastAsia="Arial" w:hAnsi="Arial"/>
          <w:sz w:val="18"/>
          <w:szCs w:val="18"/>
          <w:color w:val="auto"/>
        </w:rPr>
      </w:pPr>
    </w:p>
    <w:p>
      <w:pPr>
        <w:ind w:left="660" w:right="180" w:hanging="652"/>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 During the thirteen and twenty-six weeks ended June 27, 2018 we recorded a non-cash impairment charge of $0.2 million, primarily related to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1" w:name="page42"/>
    <w:bookmarkEnd w:id="41"/>
    <w:p>
      <w:pPr>
        <w:ind w:left="660" w:right="380"/>
        <w:spacing w:after="0" w:line="324" w:lineRule="auto"/>
        <w:rPr>
          <w:sz w:val="20"/>
          <w:szCs w:val="20"/>
          <w:color w:val="auto"/>
        </w:rPr>
      </w:pPr>
      <w:r>
        <w:rPr>
          <w:rFonts w:ascii="Arial" w:cs="Arial" w:eastAsia="Arial" w:hAnsi="Arial"/>
          <w:sz w:val="18"/>
          <w:szCs w:val="18"/>
          <w:color w:val="auto"/>
        </w:rPr>
        <w:t>carrying value of one restaurant in California. We recorded a non-cash impairment charge of $1.7 million for each of the thirteen and twenty-six weeks ended June 27, 2018, primarily related to the carrying value of the assets of one restaurant in Arizona.</w:t>
      </w:r>
    </w:p>
    <w:p>
      <w:pPr>
        <w:spacing w:after="0" w:line="143"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During the thirteen and twenty-six weeks ended June 26, 2019, the Company recognized $0.3 million and $0.6 million, respectively, of closed-store reserve expense, primarily related to the amortization of ROU Assets for closed stores. During the thirteen weeks ended June 27, 2018, we closed two restaurants in Texas, both of which were previously impaired during the third quarter of 2017. During the twenty-six weeks ended June 27, 2018, we closed four restaurants in Texas, all of which were previously impaired during the third quarter of 2017, and decided not to move forward with the development of a third location in Texas. This resulted in closed-store reserve expense of $2.3 million and $5.1 million for the thirteen and twenty-six weeks ended June 27, 2018, respectively.</w:t>
      </w:r>
    </w:p>
    <w:p>
      <w:pPr>
        <w:spacing w:after="0" w:line="2" w:lineRule="exact"/>
        <w:rPr>
          <w:sz w:val="20"/>
          <w:szCs w:val="20"/>
          <w:color w:val="auto"/>
        </w:rPr>
      </w:pPr>
    </w:p>
    <w:p>
      <w:pPr>
        <w:jc w:val="both"/>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thirteen and twenty-six weeks ended June 26, 2019, we completed the sale of four company-operated restaurants within the San Francisco area to an existing franchisee and seven company-operated restaurants in the Phoenix area to another existing franchisee. These sales resulted in cash proceeds of $4.8 million and a net loss on sale of restaurants of $0.9 million and $5.1 million, respectively. These restaurants are now included in our franchised restaurant totals.</w:t>
      </w:r>
    </w:p>
    <w:p>
      <w:pPr>
        <w:spacing w:after="0" w:line="1" w:lineRule="exact"/>
        <w:rPr>
          <w:rFonts w:ascii="Arial" w:cs="Arial" w:eastAsia="Arial" w:hAnsi="Arial"/>
          <w:sz w:val="18"/>
          <w:szCs w:val="18"/>
          <w:color w:val="auto"/>
        </w:rPr>
      </w:pPr>
    </w:p>
    <w:p>
      <w:pPr>
        <w:ind w:left="660" w:right="20" w:hanging="652"/>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twenty-six weeks ended June 26, 2019 and June 27, 2018, income tax receivable agreement (income) expense consisted of the amortization of interest expense and changes in estimates for actual tax returns filed, related to our total expected TRA payments.</w:t>
      </w: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7, Commitments and Contingencies, Legal Matters."</w:t>
      </w:r>
    </w:p>
    <w:p>
      <w:pPr>
        <w:spacing w:after="0" w:line="9" w:lineRule="exact"/>
        <w:rPr>
          <w:rFonts w:ascii="Arial" w:cs="Arial" w:eastAsia="Arial" w:hAnsi="Arial"/>
          <w:sz w:val="18"/>
          <w:szCs w:val="18"/>
          <w:color w:val="auto"/>
        </w:rPr>
      </w:pPr>
    </w:p>
    <w:p>
      <w:pPr>
        <w:ind w:left="660" w:right="20" w:hanging="652"/>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ind w:left="660" w:right="120" w:hanging="652"/>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recruiter costs, CEO sign-on bonus, and former CEO stock modification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twelve months from the filing of the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4"/>
          </w:tcPr>
          <w:p>
            <w:pPr>
              <w:jc w:val="right"/>
              <w:ind w:right="1454"/>
              <w:spacing w:after="0"/>
              <w:rPr>
                <w:sz w:val="20"/>
                <w:szCs w:val="20"/>
                <w:color w:val="auto"/>
              </w:rPr>
            </w:pPr>
            <w:r>
              <w:rPr>
                <w:rFonts w:ascii="Arial" w:cs="Arial" w:eastAsia="Arial" w:hAnsi="Arial"/>
                <w:sz w:val="14"/>
                <w:szCs w:val="14"/>
                <w:b w:val="1"/>
                <w:bCs w:val="1"/>
                <w:color w:val="auto"/>
              </w:rPr>
              <w:t>Twenty-Six Weeks Ended</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20" w:type="dxa"/>
            <w:vAlign w:val="bottom"/>
          </w:tcPr>
          <w:p>
            <w:pPr>
              <w:spacing w:after="0"/>
              <w:rPr>
                <w:sz w:val="19"/>
                <w:szCs w:val="19"/>
                <w:color w:val="auto"/>
              </w:rPr>
            </w:pP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26, 2019</w:t>
            </w:r>
          </w:p>
        </w:tc>
        <w:tc>
          <w:tcPr>
            <w:tcW w:w="420" w:type="dxa"/>
            <w:vAlign w:val="bottom"/>
          </w:tcPr>
          <w:p>
            <w:pPr>
              <w:spacing w:after="0"/>
              <w:rPr>
                <w:sz w:val="19"/>
                <w:szCs w:val="19"/>
                <w:color w:val="auto"/>
              </w:rPr>
            </w:pPr>
          </w:p>
        </w:tc>
        <w:tc>
          <w:tcPr>
            <w:tcW w:w="1860" w:type="dxa"/>
            <w:vAlign w:val="bottom"/>
          </w:tcPr>
          <w:p>
            <w:pPr>
              <w:jc w:val="right"/>
              <w:ind w:right="634"/>
              <w:spacing w:after="0"/>
              <w:rPr>
                <w:sz w:val="20"/>
                <w:szCs w:val="20"/>
                <w:color w:val="auto"/>
              </w:rPr>
            </w:pPr>
            <w:r>
              <w:rPr>
                <w:rFonts w:ascii="Arial" w:cs="Arial" w:eastAsia="Arial" w:hAnsi="Arial"/>
                <w:sz w:val="14"/>
                <w:szCs w:val="14"/>
                <w:b w:val="1"/>
                <w:bCs w:val="1"/>
                <w:color w:val="auto"/>
              </w:rPr>
              <w:t>June 27,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12,859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25,630</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(7,419)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(7,143)</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4,312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4,535</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For the twenty-six weeks ended June 26, 2019, net cash provided by operating activities decreased by approximately $12.8 million from the comparable periods of the prior year. This was due primarily due to a $10.0 million payment, net of insurance reimbursements, related to our securities litigation settlement (see Note 7) and less favorable working capital fluctuations in the current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twenty-six weeks ended June 26, 2019, net cash used in investing activities decreased by $12.8 million from the comparable period of the prior year. This was due primarily to opening no new company restaurants and completing three remodels in the twenty-six weeks ended June 26, 2019 compared to three new company restaurants and six completed remodels in the twenty-six weeks ended June 27, 2018, and cash proceeds of $4.8 million received related to the sale of four company-operated restaurants within the San Francisco area to an existing franchisee and seven company-operated restaurants in the Phoenix area to another existing franchisee.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 ending December 25, 2019, we expect to incur capital expenditures of $12.0 million to $15.0 million, consisting of $4.0 to $7.0 million related to new restaurants, $2.0 million related to the remodeling of existing restaurants, and $6.0 million related to major maintenance and other corporate capital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twenty-six weeks ended June 26, 2019, net cash used in financing activities increased by $0.3 million from the comparable period of the prior year. This was due primarily to an $18.2 million increase in cash outflow related to stock buybacks in the current period and net stock activity of $0.1 million. This was partially offset by an increase in net borrowings of $18.0 million on the revolving debt facilities during the twenty-six weeks ended June 26, 2019 compared to the twenty-six weeks ended June 27,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July 13, 2018, the Company refinanced the 2014 Revolver, pursuant to the 2018 Credit Agreement, which provides for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3.90% to 6.00% for each of the thirteen and twenty-six weeks ended June 26, 2019, respectively, and 3.60% to 3.70% and 3.30% to 3.70% for the thirteen and twenty-six weeks ended June 27,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2018 Credit Agreement contains certain financial covenants. The Company was in compliance with the financial covenants as of June 26, 2019.</w:t>
      </w:r>
    </w:p>
    <w:p>
      <w:pPr>
        <w:spacing w:after="0" w:line="3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June 26, 2019, $8.5 million of letters of credit and $85.0 million of the 2018 Revolver were outstanding. The amount available under the 2018 Revolver was $56.5 million at June 26,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contractual commitments outstanding on June 26, 2019, have not changed materially since our annual report on Form 10-K for the year ended December 26, 2018. These relate to future (i) debt payments, including expected interest expense, calculated based on current interest rates, (ii) restaurant operating lease payments, (iii) income tax receivable agreement payments, and (iv) purchasing commitments for chicken.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26, 2019 and December 26, 2018, we were using $8.5 million of borrowing capacity on the 2018 Revolver for letters of credit in support of our insurance programs.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909"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USD LIBOR plus a margin between 1.25% and 2.25%. As of June 26, 2019, we had outstanding borrowings of $85.0 million and another $8.5 million of letters of credit in support of our insurance programs. A 1.0% increase in the effective interest rate applied to these borrowings would result in a pre-tax interest expense increase of $0.9 million on an annualized basis.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the period covered by this report that has materially affected, or is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905"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information regarding legal proceedings, see "Note 7. Commitments and Contingencies—Legal Matters" in the accompanying "Notes to Condensed Consolidated Financial Statements"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26, 2018.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Company’s purchases of common stock under the 2018 Stock Repurchase Program (as defined below) in the quarterly period ended June 26, 2019 (in thousands, except number of shares and per share amounts):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Shares That May Be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Purchased Under the Plans or</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28, 2019 to April 24, 2019</w:t>
            </w:r>
          </w:p>
        </w:tc>
        <w:tc>
          <w:tcPr>
            <w:tcW w:w="1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282,371</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282,371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12,079</w:t>
            </w:r>
          </w:p>
        </w:tc>
        <w:tc>
          <w:tcPr>
            <w:tcW w:w="0" w:type="dxa"/>
            <w:vAlign w:val="bottom"/>
          </w:tcPr>
          <w:p>
            <w:pPr>
              <w:spacing w:after="0"/>
              <w:rPr>
                <w:sz w:val="1"/>
                <w:szCs w:val="1"/>
                <w:color w:val="auto"/>
              </w:rPr>
            </w:pPr>
          </w:p>
        </w:tc>
      </w:tr>
      <w:tr>
        <w:trPr>
          <w:trHeight w:val="264"/>
        </w:trPr>
        <w:tc>
          <w:tcPr>
            <w:tcW w:w="4100" w:type="dxa"/>
            <w:vAlign w:val="bottom"/>
          </w:tcPr>
          <w:p>
            <w:pPr>
              <w:ind w:left="20"/>
              <w:spacing w:after="0"/>
              <w:rPr>
                <w:sz w:val="20"/>
                <w:szCs w:val="20"/>
                <w:color w:val="auto"/>
              </w:rPr>
            </w:pPr>
            <w:r>
              <w:rPr>
                <w:rFonts w:ascii="Arial" w:cs="Arial" w:eastAsia="Arial" w:hAnsi="Arial"/>
                <w:sz w:val="14"/>
                <w:szCs w:val="14"/>
                <w:color w:val="auto"/>
              </w:rPr>
              <w:t>April 25, 2019 to May 22, 2019</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363,543</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2"/>
                <w:szCs w:val="22"/>
                <w:color w:val="auto"/>
              </w:rPr>
            </w:pPr>
          </w:p>
        </w:tc>
        <w:tc>
          <w:tcPr>
            <w:tcW w:w="1820" w:type="dxa"/>
            <w:vAlign w:val="bottom"/>
          </w:tcPr>
          <w:p>
            <w:pPr>
              <w:jc w:val="right"/>
              <w:ind w:right="39"/>
              <w:spacing w:after="0"/>
              <w:rPr>
                <w:sz w:val="20"/>
                <w:szCs w:val="20"/>
                <w:color w:val="auto"/>
              </w:rPr>
            </w:pPr>
            <w:r>
              <w:rPr>
                <w:rFonts w:ascii="Arial" w:cs="Arial" w:eastAsia="Arial" w:hAnsi="Arial"/>
                <w:sz w:val="18"/>
                <w:szCs w:val="18"/>
                <w:color w:val="auto"/>
              </w:rPr>
              <w:t>363,543</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May 23, 2019 to June 26, 2019</w:t>
            </w:r>
          </w:p>
        </w:tc>
        <w:tc>
          <w:tcPr>
            <w:tcW w:w="1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657,368</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657,368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0"/>
        </w:trPr>
        <w:tc>
          <w:tcPr>
            <w:tcW w:w="4100" w:type="dxa"/>
            <w:vAlign w:val="bottom"/>
          </w:tcPr>
          <w:p>
            <w:pPr>
              <w:ind w:left="1840"/>
              <w:spacing w:after="0"/>
              <w:rPr>
                <w:sz w:val="20"/>
                <w:szCs w:val="20"/>
                <w:color w:val="auto"/>
              </w:rPr>
            </w:pPr>
            <w:r>
              <w:rPr>
                <w:rFonts w:ascii="Arial" w:cs="Arial" w:eastAsia="Arial" w:hAnsi="Arial"/>
                <w:sz w:val="14"/>
                <w:szCs w:val="14"/>
                <w:color w:val="auto"/>
              </w:rPr>
              <w:t>Total</w:t>
            </w:r>
          </w:p>
        </w:tc>
        <w:tc>
          <w:tcPr>
            <w:tcW w:w="1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1,303,282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1,303,282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 2018, the Company announced that the Board of Directors had authorized a stock repurchase program. The Company entered into a stock repurchase plan pursuant to Rule 10b5-1 of the Exchange Act on August 28, 2018 (the "2018 Stock Repurchase Plan"), which allowed the repurchase of up to $20.0 million of the Company’s common stock. The 2018 Stock Repurchase Plan commenced purchases on November 6, 2018 and terminated on June 26, 2019.</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30, 2019, as part of the Company’s focus on shareholder returns, the Board of Directors approved a new stock repurchase program. The Company entered into a stock repurchase plan pursuant to Rule 10b5-1 of the Securities and Exchange Act of 1934, as amended, May 17, 2019 (the “2019 Stock Repurchase Plan”), which allowed for the repurchase up to $30.0 million of the Company’s outstanding common stock. The 2019 Stock Repurchase Program commenced purchases on June 27, 2019, and will terminate on March 25, 2020, if not terminated sooner by other provisions of the 2019 Stock Repurchase Program, and may also be suspended or terminated at any time upon prior notice.</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the 2019 Stock Repurchase Program, the Company may repurchase its common stock from time to time, in amounts and at prices that the Company deems appropriate, subject to market conditions and other considerations. The Company’s repurchases may be executed using open market purchases and/or through privately negotiated transactions.</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Additionally, as discussed above in (i) Part I, Item 1, "Note 1. Basis of Presentation”, and (ii) Part I, Item 2, “Liquidity and Capital Resources - Debt and Other Obligations”, our 2018 Revolver limits the payment of 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of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904"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spacing w:after="0"/>
              <w:rPr>
                <w:sz w:val="20"/>
                <w:szCs w:val="20"/>
                <w:color w:val="auto"/>
              </w:rPr>
            </w:pPr>
            <w:r>
              <w:rPr>
                <w:rFonts w:ascii="Arial" w:cs="Arial" w:eastAsia="Arial" w:hAnsi="Arial"/>
                <w:sz w:val="14"/>
                <w:szCs w:val="14"/>
                <w:color w:val="auto"/>
              </w:rPr>
              <w:t>Number</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20" w:type="dxa"/>
            <w:vAlign w:val="bottom"/>
            <w:gridSpan w:val="12"/>
            <w:vMerge w:val="restart"/>
          </w:tcPr>
          <w:p>
            <w:pPr>
              <w:ind w:left="58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4"/>
                <w:szCs w:val="1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Filed</w:t>
            </w:r>
          </w:p>
        </w:tc>
        <w:tc>
          <w:tcPr>
            <w:tcW w:w="220" w:type="dxa"/>
            <w:vAlign w:val="bottom"/>
          </w:tcPr>
          <w:p>
            <w:pPr>
              <w:spacing w:after="0"/>
              <w:rPr>
                <w:sz w:val="14"/>
                <w:szCs w:val="14"/>
                <w:color w:val="auto"/>
              </w:rPr>
            </w:pP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Form</w:t>
            </w:r>
          </w:p>
        </w:tc>
        <w:tc>
          <w:tcPr>
            <w:tcW w:w="1120" w:type="dxa"/>
            <w:vAlign w:val="bottom"/>
            <w:gridSpan w:val="3"/>
            <w:vMerge w:val="restart"/>
          </w:tcPr>
          <w:p>
            <w:pPr>
              <w:ind w:left="240"/>
              <w:spacing w:after="0"/>
              <w:rPr>
                <w:sz w:val="20"/>
                <w:szCs w:val="20"/>
                <w:color w:val="auto"/>
              </w:rPr>
            </w:pPr>
            <w:r>
              <w:rPr>
                <w:rFonts w:ascii="Arial" w:cs="Arial" w:eastAsia="Arial" w:hAnsi="Arial"/>
                <w:sz w:val="14"/>
                <w:szCs w:val="14"/>
                <w:color w:val="auto"/>
              </w:rPr>
              <w:t>Period Ended</w:t>
            </w:r>
          </w:p>
        </w:tc>
        <w:tc>
          <w:tcPr>
            <w:tcW w:w="22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color w:val="auto"/>
              </w:rPr>
              <w:t>Exhibit</w:t>
            </w:r>
          </w:p>
        </w:tc>
        <w:tc>
          <w:tcPr>
            <w:tcW w:w="900" w:type="dxa"/>
            <w:vAlign w:val="bottom"/>
            <w:gridSpan w:val="3"/>
            <w:vMerge w:val="restart"/>
          </w:tcPr>
          <w:p>
            <w:pPr>
              <w:ind w:left="160"/>
              <w:spacing w:after="0"/>
              <w:rPr>
                <w:sz w:val="20"/>
                <w:szCs w:val="20"/>
                <w:color w:val="auto"/>
              </w:rPr>
            </w:pPr>
            <w:r>
              <w:rPr>
                <w:rFonts w:ascii="Arial" w:cs="Arial" w:eastAsia="Arial" w:hAnsi="Arial"/>
                <w:sz w:val="14"/>
                <w:szCs w:val="14"/>
                <w:color w:val="auto"/>
              </w:rPr>
              <w:t>Filing Date</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w w:val="93"/>
              </w:rPr>
              <w:t>SEC File Number</w:t>
            </w:r>
          </w:p>
        </w:tc>
        <w:tc>
          <w:tcPr>
            <w:tcW w:w="0" w:type="dxa"/>
            <w:vAlign w:val="bottom"/>
          </w:tcPr>
          <w:p>
            <w:pPr>
              <w:spacing w:after="0"/>
              <w:rPr>
                <w:sz w:val="1"/>
                <w:szCs w:val="1"/>
                <w:color w:val="auto"/>
              </w:rPr>
            </w:pPr>
          </w:p>
        </w:tc>
      </w:tr>
      <w:tr>
        <w:trPr>
          <w:trHeight w:val="129"/>
        </w:trPr>
        <w:tc>
          <w:tcPr>
            <w:tcW w:w="9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20" w:type="dxa"/>
            <w:vAlign w:val="bottom"/>
            <w:gridSpan w:val="12"/>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0"/>
              </w:rPr>
              <w:t>Herewith</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4520" w:type="dxa"/>
            <w:vAlign w:val="bottom"/>
            <w:tcBorders>
              <w:bottom w:val="single" w:sz="8" w:color="0000FF"/>
            </w:tcBorders>
            <w:gridSpan w:val="9"/>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Amended and Restated Certificate of Incorporation of El Pollo</w:t>
              </w:r>
            </w:hyperlink>
          </w:p>
        </w:tc>
        <w:tc>
          <w:tcPr>
            <w:tcW w:w="4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Loco Holdings, Inc.</w:t>
              </w:r>
            </w:hyperlink>
          </w:p>
        </w:tc>
        <w:tc>
          <w:tcPr>
            <w:tcW w:w="352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10-Q</w:t>
            </w:r>
          </w:p>
        </w:tc>
        <w:tc>
          <w:tcPr>
            <w:tcW w:w="10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6/25/2014</w:t>
            </w:r>
          </w:p>
        </w:tc>
        <w:tc>
          <w:tcPr>
            <w:tcW w:w="100" w:type="dxa"/>
            <w:vAlign w:val="bottom"/>
          </w:tcPr>
          <w:p>
            <w:pPr>
              <w:spacing w:after="0"/>
              <w:rPr>
                <w:sz w:val="17"/>
                <w:szCs w:val="17"/>
                <w:color w:val="auto"/>
              </w:rPr>
            </w:pPr>
          </w:p>
        </w:tc>
        <w:tc>
          <w:tcPr>
            <w:tcW w:w="6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17"/>
                <w:szCs w:val="17"/>
                <w:color w:val="auto"/>
              </w:rPr>
            </w:pPr>
          </w:p>
        </w:tc>
        <w:tc>
          <w:tcPr>
            <w:tcW w:w="1300" w:type="dxa"/>
            <w:vAlign w:val="bottom"/>
            <w:gridSpan w:val="2"/>
          </w:tcPr>
          <w:p>
            <w:pPr>
              <w:jc w:val="right"/>
              <w:ind w:right="368"/>
              <w:spacing w:after="0" w:line="196" w:lineRule="exact"/>
              <w:rPr>
                <w:sz w:val="20"/>
                <w:szCs w:val="20"/>
                <w:color w:val="auto"/>
              </w:rPr>
            </w:pPr>
            <w:r>
              <w:rPr>
                <w:rFonts w:ascii="Arial" w:cs="Arial" w:eastAsia="Arial" w:hAnsi="Arial"/>
                <w:sz w:val="18"/>
                <w:szCs w:val="18"/>
                <w:color w:val="auto"/>
                <w:w w:val="97"/>
              </w:rPr>
              <w:t>001-36556</w:t>
            </w:r>
          </w:p>
        </w:tc>
        <w:tc>
          <w:tcPr>
            <w:tcW w:w="0" w:type="dxa"/>
            <w:vAlign w:val="bottom"/>
          </w:tcPr>
          <w:p>
            <w:pPr>
              <w:spacing w:after="0"/>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4680" w:type="dxa"/>
            <w:vAlign w:val="bottom"/>
            <w:tcBorders>
              <w:bottom w:val="single" w:sz="8" w:color="0000FF"/>
            </w:tcBorders>
            <w:gridSpan w:val="13"/>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Amended and Restated By-Laws of El Pollo Loco Holdings, Inc.</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10-Q</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6/25/2014</w:t>
            </w:r>
          </w:p>
        </w:tc>
        <w:tc>
          <w:tcPr>
            <w:tcW w:w="100" w:type="dxa"/>
            <w:vAlign w:val="bottom"/>
          </w:tcPr>
          <w:p>
            <w:pPr>
              <w:spacing w:after="0"/>
              <w:rPr>
                <w:sz w:val="24"/>
                <w:szCs w:val="24"/>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24"/>
                <w:szCs w:val="24"/>
                <w:color w:val="auto"/>
              </w:rPr>
            </w:pPr>
          </w:p>
        </w:tc>
        <w:tc>
          <w:tcPr>
            <w:tcW w:w="1300" w:type="dxa"/>
            <w:vAlign w:val="bottom"/>
            <w:gridSpan w:val="2"/>
          </w:tcPr>
          <w:p>
            <w:pPr>
              <w:jc w:val="right"/>
              <w:ind w:right="368"/>
              <w:spacing w:after="0"/>
              <w:rPr>
                <w:sz w:val="20"/>
                <w:szCs w:val="20"/>
                <w:color w:val="auto"/>
              </w:rPr>
            </w:pPr>
            <w:r>
              <w:rPr>
                <w:rFonts w:ascii="Arial" w:cs="Arial" w:eastAsia="Arial" w:hAnsi="Arial"/>
                <w:sz w:val="18"/>
                <w:szCs w:val="18"/>
                <w:color w:val="auto"/>
                <w:w w:val="97"/>
              </w:rPr>
              <w:t>001-36556</w:t>
            </w:r>
          </w:p>
        </w:tc>
        <w:tc>
          <w:tcPr>
            <w:tcW w:w="0" w:type="dxa"/>
            <w:vAlign w:val="bottom"/>
          </w:tcPr>
          <w:p>
            <w:pPr>
              <w:spacing w:after="0"/>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4500" w:type="dxa"/>
            <w:vAlign w:val="bottom"/>
            <w:tcBorders>
              <w:bottom w:val="single" w:sz="8" w:color="0000FF"/>
            </w:tcBorders>
            <w:gridSpan w:val="8"/>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Employment Agreement between Miguel Lozano and El Pollo</w:t>
              </w:r>
            </w:hyperlink>
          </w:p>
        </w:tc>
        <w:tc>
          <w:tcPr>
            <w:tcW w:w="46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gridSpan w:val="14"/>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Loco, Inc.</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10-Q</w:t>
            </w:r>
          </w:p>
        </w:tc>
        <w:tc>
          <w:tcPr>
            <w:tcW w:w="10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3/27/2019</w:t>
            </w:r>
          </w:p>
        </w:tc>
        <w:tc>
          <w:tcPr>
            <w:tcW w:w="100" w:type="dxa"/>
            <w:vAlign w:val="bottom"/>
          </w:tcPr>
          <w:p>
            <w:pPr>
              <w:spacing w:after="0"/>
              <w:rPr>
                <w:sz w:val="17"/>
                <w:szCs w:val="17"/>
                <w:color w:val="auto"/>
              </w:rPr>
            </w:pPr>
          </w:p>
        </w:tc>
        <w:tc>
          <w:tcPr>
            <w:tcW w:w="6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10.31</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5/3/2019</w:t>
            </w:r>
          </w:p>
        </w:tc>
        <w:tc>
          <w:tcPr>
            <w:tcW w:w="80" w:type="dxa"/>
            <w:vAlign w:val="bottom"/>
          </w:tcPr>
          <w:p>
            <w:pPr>
              <w:spacing w:after="0"/>
              <w:rPr>
                <w:sz w:val="17"/>
                <w:szCs w:val="17"/>
                <w:color w:val="auto"/>
              </w:rPr>
            </w:pPr>
          </w:p>
        </w:tc>
        <w:tc>
          <w:tcPr>
            <w:tcW w:w="1300" w:type="dxa"/>
            <w:vAlign w:val="bottom"/>
            <w:gridSpan w:val="2"/>
          </w:tcPr>
          <w:p>
            <w:pPr>
              <w:jc w:val="right"/>
              <w:ind w:right="368"/>
              <w:spacing w:after="0" w:line="196" w:lineRule="exact"/>
              <w:rPr>
                <w:sz w:val="20"/>
                <w:szCs w:val="20"/>
                <w:color w:val="auto"/>
              </w:rPr>
            </w:pPr>
            <w:r>
              <w:rPr>
                <w:rFonts w:ascii="Arial" w:cs="Arial" w:eastAsia="Arial" w:hAnsi="Arial"/>
                <w:sz w:val="18"/>
                <w:szCs w:val="18"/>
                <w:color w:val="auto"/>
                <w:w w:val="97"/>
              </w:rPr>
              <w:t>001-36556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464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 of Principal Executive Officer under section 302 of</w:t>
              </w:r>
            </w:hyperlink>
          </w:p>
        </w:tc>
        <w:tc>
          <w:tcPr>
            <w:tcW w:w="3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the Sarbanes–Oxley Act of 2002</w:t>
              </w:r>
            </w:hyperlink>
          </w:p>
        </w:tc>
        <w:tc>
          <w:tcPr>
            <w:tcW w:w="260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center"/>
              <w:ind w:right="240"/>
              <w:spacing w:after="0" w:line="196" w:lineRule="exact"/>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4960" w:type="dxa"/>
            <w:vAlign w:val="bottom"/>
            <w:gridSpan w:val="1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Principal Financial Officer under section 302 of</w:t>
              </w:r>
            </w:hyperlink>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the Sarbanes–Oxley Act of 2002</w:t>
              </w:r>
            </w:hyperlink>
          </w:p>
        </w:tc>
        <w:tc>
          <w:tcPr>
            <w:tcW w:w="3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434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 of Chief Executive Officer and Chief Financial</w:t>
              </w:r>
            </w:hyperlink>
          </w:p>
        </w:tc>
        <w:tc>
          <w:tcPr>
            <w:tcW w:w="620" w:type="dxa"/>
            <w:vAlign w:val="bottom"/>
            <w:gridSpan w:val="7"/>
          </w:tcPr>
          <w:p>
            <w:pPr>
              <w:spacing w:after="0"/>
              <w:rPr>
                <w:sz w:val="24"/>
                <w:szCs w:val="24"/>
                <w:color w:val="auto"/>
              </w:rPr>
            </w:pP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gridSpan w:val="14"/>
          </w:tcPr>
          <w:p>
            <w:pPr>
              <w:spacing w:after="0" w:line="196" w:lineRule="exact"/>
              <w:rPr>
                <w:rFonts w:ascii="Arial" w:cs="Arial" w:eastAsia="Arial" w:hAnsi="Arial"/>
                <w:sz w:val="18"/>
                <w:szCs w:val="18"/>
                <w:color w:val="0000FF"/>
                <w:w w:val="96"/>
              </w:rPr>
            </w:pPr>
            <w:hyperlink w:anchor="page51">
              <w:r>
                <w:rPr>
                  <w:rFonts w:ascii="Arial" w:cs="Arial" w:eastAsia="Arial" w:hAnsi="Arial"/>
                  <w:sz w:val="18"/>
                  <w:szCs w:val="18"/>
                  <w:color w:val="0000FF"/>
                  <w:w w:val="96"/>
                </w:rPr>
                <w:t>Officer under 18 U.S.C. section 1350, adopted by section 906 of</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the Sarbanes–Oxley Act of 2002</w:t>
              </w:r>
            </w:hyperlink>
          </w:p>
        </w:tc>
        <w:tc>
          <w:tcPr>
            <w:tcW w:w="3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3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62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6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96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96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96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0"/>
                <w:szCs w:val="20"/>
                <w:color w:val="auto"/>
              </w:rPr>
            </w:pPr>
            <w:r>
              <w:rPr>
                <w:rFonts w:ascii="Arial" w:cs="Arial" w:eastAsia="Arial" w:hAnsi="Arial"/>
                <w:sz w:val="18"/>
                <w:szCs w:val="18"/>
                <w:color w:val="auto"/>
              </w:rPr>
              <w:t>August 2, 2019</w:t>
            </w:r>
          </w:p>
        </w:tc>
        <w:tc>
          <w:tcPr>
            <w:tcW w:w="30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Bernard Acoca</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Bernard Acoca</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0"/>
                <w:szCs w:val="20"/>
                <w:color w:val="auto"/>
              </w:rPr>
            </w:pPr>
            <w:r>
              <w:rPr>
                <w:rFonts w:ascii="Arial" w:cs="Arial" w:eastAsia="Arial" w:hAnsi="Arial"/>
                <w:sz w:val="18"/>
                <w:szCs w:val="18"/>
                <w:color w:val="auto"/>
              </w:rPr>
              <w:t>August 2, 2019</w:t>
            </w:r>
          </w:p>
        </w:tc>
        <w:tc>
          <w:tcPr>
            <w:tcW w:w="30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4"/>
                <w:szCs w:val="24"/>
                <w:color w:val="auto"/>
              </w:rPr>
            </w:pPr>
          </w:p>
        </w:tc>
        <w:tc>
          <w:tcPr>
            <w:tcW w:w="3020" w:type="dxa"/>
            <w:vAlign w:val="bottom"/>
          </w:tcPr>
          <w:p>
            <w:pPr>
              <w:jc w:val="right"/>
              <w:ind w:right="510"/>
              <w:spacing w:after="0"/>
              <w:rPr>
                <w:sz w:val="20"/>
                <w:szCs w:val="20"/>
                <w:color w:val="auto"/>
              </w:rPr>
            </w:pPr>
            <w:r>
              <w:rPr>
                <w:rFonts w:ascii="Arial" w:cs="Arial" w:eastAsia="Arial" w:hAnsi="Arial"/>
                <w:sz w:val="18"/>
                <w:szCs w:val="18"/>
                <w:color w:val="auto"/>
              </w:rPr>
              <w:t>48</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lowerRoman"/>
      <w:start w:val="1"/>
    </w:lvl>
  </w:abstractNum>
  <w:abstractNum w:abstractNumId="8">
    <w:nsid w:val="431BD7B7"/>
    <w:multiLevelType w:val="hybridMultilevel"/>
    <w:lvl w:ilvl="0">
      <w:lvlJc w:val="left"/>
      <w:lvlText w:val="(%1)"/>
      <w:numFmt w:val="lowerRoman"/>
      <w:start w:val="1"/>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84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5"/>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2" Type="http://schemas.openxmlformats.org/officeDocument/2006/relationships/hyperlink" Target="http://www.sec.gov/Archives/edgar/data/1606366/000119312514332367/d779664dex31.htm" TargetMode="External"/><Relationship Id="rId23" Type="http://schemas.openxmlformats.org/officeDocument/2006/relationships/hyperlink" Target="http://www.sec.gov/Archives/edgar/data/1606366/000119312514332367/d779664dex32.htm" TargetMode="External"/><Relationship Id="rId24" Type="http://schemas.openxmlformats.org/officeDocument/2006/relationships/hyperlink" Target="http://www.sec.gov/Archives/edgar/data/1606366/000160636619000019/exhibit1031lozanoemployag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2019-12-28T09:07:27Z</dcterms:created>
  <dcterms:modified xsi:type="dcterms:W3CDTF">2019-12-28T09:07:27Z</dcterms:modified>
</cp:coreProperties>
</file>