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428625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111760</wp:posOffset>
            </wp:positionV>
            <wp:extent cx="162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3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86360</wp:posOffset>
            </wp:positionV>
            <wp:extent cx="162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8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02" w:lineRule="exact"/>
        <w:rPr>
          <w:sz w:val="24"/>
          <w:szCs w:val="24"/>
          <w:color w:val="auto"/>
        </w:rPr>
      </w:pPr>
    </w:p>
    <w:p>
      <w:pPr>
        <w:ind w:left="700" w:right="240" w:hanging="652"/>
        <w:spacing w:after="0" w:line="273" w:lineRule="auto"/>
        <w:tabs>
          <w:tab w:leader="none" w:pos="7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June 29, 2022</w:t>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03" w:lineRule="exact"/>
        <w:rPr>
          <w:sz w:val="24"/>
          <w:szCs w:val="24"/>
          <w:color w:val="auto"/>
        </w:rPr>
      </w:pPr>
    </w:p>
    <w:p>
      <w:pPr>
        <w:ind w:left="700" w:right="220" w:hanging="645"/>
        <w:spacing w:after="0" w:line="272" w:lineRule="auto"/>
        <w:tabs>
          <w:tab w:leader="none" w:pos="70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69" w:lineRule="exact"/>
        <w:rPr>
          <w:sz w:val="24"/>
          <w:szCs w:val="24"/>
          <w:color w:val="auto"/>
        </w:rPr>
      </w:pPr>
    </w:p>
    <w:p>
      <w:pPr>
        <w:ind w:left="3120"/>
        <w:spacing w:after="0"/>
        <w:tabs>
          <w:tab w:leader="none" w:pos="608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3335655</wp:posOffset>
            </wp:positionH>
            <wp:positionV relativeFrom="paragraph">
              <wp:posOffset>-3175</wp:posOffset>
            </wp:positionV>
            <wp:extent cx="11398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001-36556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81915</wp:posOffset>
            </wp:positionV>
            <wp:extent cx="16287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EL POLLO LOCO HOLDINGS, INC.</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120650</wp:posOffset>
            </wp:positionV>
            <wp:extent cx="1628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tbl>
      <w:tblPr>
        <w:tblLayout w:type="fixed"/>
        <w:tblInd w:w="600" w:type="dxa"/>
        <w:tblCellMar>
          <w:top w:w="0" w:type="dxa"/>
          <w:left w:w="0" w:type="dxa"/>
          <w:bottom w:w="0" w:type="dxa"/>
          <w:right w:w="0" w:type="dxa"/>
        </w:tblCellMar>
      </w:tblPr>
      <w:tr>
        <w:trPr>
          <w:trHeight w:val="198"/>
        </w:trPr>
        <w:tc>
          <w:tcPr>
            <w:tcW w:w="6060" w:type="dxa"/>
            <w:vAlign w:val="bottom"/>
          </w:tcPr>
          <w:p>
            <w:pPr>
              <w:jc w:val="center"/>
              <w:ind w:right="2288"/>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2060" w:type="dxa"/>
            <w:vAlign w:val="bottom"/>
          </w:tcPr>
          <w:p>
            <w:pPr>
              <w:jc w:val="right"/>
              <w:ind w:right="508"/>
              <w:spacing w:after="0"/>
              <w:rPr>
                <w:sz w:val="20"/>
                <w:szCs w:val="20"/>
                <w:color w:val="auto"/>
              </w:rPr>
            </w:pPr>
            <w:r>
              <w:rPr>
                <w:rFonts w:ascii="Times New Roman" w:cs="Times New Roman" w:eastAsia="Times New Roman" w:hAnsi="Times New Roman"/>
                <w:sz w:val="16"/>
                <w:szCs w:val="16"/>
                <w:b w:val="1"/>
                <w:bCs w:val="1"/>
                <w:color w:val="auto"/>
              </w:rPr>
              <w:t>20-3563182</w:t>
            </w:r>
          </w:p>
        </w:tc>
      </w:tr>
      <w:tr>
        <w:trPr>
          <w:trHeight w:val="166"/>
        </w:trPr>
        <w:tc>
          <w:tcPr>
            <w:tcW w:w="6060" w:type="dxa"/>
            <w:vAlign w:val="bottom"/>
          </w:tcPr>
          <w:p>
            <w:pPr>
              <w:jc w:val="center"/>
              <w:ind w:right="2288"/>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 of incorporation or organization)</w:t>
            </w:r>
          </w:p>
        </w:tc>
        <w:tc>
          <w:tcPr>
            <w:tcW w:w="2060" w:type="dxa"/>
            <w:vAlign w:val="bottom"/>
          </w:tcPr>
          <w:p>
            <w:pPr>
              <w:jc w:val="center"/>
              <w:ind w:left="48"/>
              <w:spacing w:after="0"/>
              <w:rPr>
                <w:sz w:val="20"/>
                <w:szCs w:val="20"/>
                <w:color w:val="auto"/>
              </w:rPr>
            </w:pPr>
            <w:r>
              <w:rPr>
                <w:rFonts w:ascii="Times New Roman" w:cs="Times New Roman" w:eastAsia="Times New Roman" w:hAnsi="Times New Roman"/>
                <w:sz w:val="13"/>
                <w:szCs w:val="13"/>
                <w:b w:val="1"/>
                <w:bCs w:val="1"/>
                <w:color w:val="auto"/>
                <w:w w:val="97"/>
              </w:rPr>
              <w:t>(I.R.S. Employer Identification No.)</w:t>
            </w:r>
          </w:p>
        </w:tc>
      </w:tr>
      <w:tr>
        <w:trPr>
          <w:trHeight w:val="333"/>
        </w:trPr>
        <w:tc>
          <w:tcPr>
            <w:tcW w:w="6060" w:type="dxa"/>
            <w:vAlign w:val="bottom"/>
          </w:tcPr>
          <w:p>
            <w:pPr>
              <w:jc w:val="center"/>
              <w:ind w:right="2288"/>
              <w:spacing w:after="0"/>
              <w:rPr>
                <w:sz w:val="20"/>
                <w:szCs w:val="20"/>
                <w:color w:val="auto"/>
              </w:rPr>
            </w:pPr>
            <w:r>
              <w:rPr>
                <w:rFonts w:ascii="Times New Roman" w:cs="Times New Roman" w:eastAsia="Times New Roman" w:hAnsi="Times New Roman"/>
                <w:sz w:val="16"/>
                <w:szCs w:val="16"/>
                <w:b w:val="1"/>
                <w:bCs w:val="1"/>
                <w:color w:val="auto"/>
              </w:rPr>
              <w:t>3535 Harbor Blvd., Suite 100, Costa Mesa, California</w:t>
            </w:r>
          </w:p>
        </w:tc>
        <w:tc>
          <w:tcPr>
            <w:tcW w:w="2060" w:type="dxa"/>
            <w:vAlign w:val="bottom"/>
          </w:tcPr>
          <w:p>
            <w:pPr>
              <w:jc w:val="right"/>
              <w:ind w:right="688"/>
              <w:spacing w:after="0"/>
              <w:rPr>
                <w:sz w:val="20"/>
                <w:szCs w:val="20"/>
                <w:color w:val="auto"/>
              </w:rPr>
            </w:pPr>
            <w:r>
              <w:rPr>
                <w:rFonts w:ascii="Times New Roman" w:cs="Times New Roman" w:eastAsia="Times New Roman" w:hAnsi="Times New Roman"/>
                <w:sz w:val="16"/>
                <w:szCs w:val="16"/>
                <w:b w:val="1"/>
                <w:bCs w:val="1"/>
                <w:color w:val="auto"/>
              </w:rPr>
              <w:t>92626</w:t>
            </w:r>
          </w:p>
        </w:tc>
      </w:tr>
      <w:tr>
        <w:trPr>
          <w:trHeight w:val="166"/>
        </w:trPr>
        <w:tc>
          <w:tcPr>
            <w:tcW w:w="6060" w:type="dxa"/>
            <w:vAlign w:val="bottom"/>
          </w:tcPr>
          <w:p>
            <w:pPr>
              <w:jc w:val="center"/>
              <w:ind w:right="2268"/>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060" w:type="dxa"/>
            <w:vAlign w:val="bottom"/>
          </w:tcPr>
          <w:p>
            <w:pPr>
              <w:jc w:val="center"/>
              <w:ind w:left="48"/>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r>
        <w:trPr>
          <w:trHeight w:val="320"/>
        </w:trPr>
        <w:tc>
          <w:tcPr>
            <w:tcW w:w="6060" w:type="dxa"/>
            <w:vAlign w:val="bottom"/>
          </w:tcPr>
          <w:p>
            <w:pPr>
              <w:jc w:val="right"/>
              <w:ind w:right="968"/>
              <w:spacing w:after="0"/>
              <w:rPr>
                <w:sz w:val="20"/>
                <w:szCs w:val="20"/>
                <w:color w:val="auto"/>
              </w:rPr>
            </w:pPr>
            <w:r>
              <w:rPr>
                <w:rFonts w:ascii="Times New Roman" w:cs="Times New Roman" w:eastAsia="Times New Roman" w:hAnsi="Times New Roman"/>
                <w:sz w:val="16"/>
                <w:szCs w:val="16"/>
                <w:b w:val="1"/>
                <w:bCs w:val="1"/>
                <w:color w:val="auto"/>
              </w:rPr>
              <w:t>(714) 599-5000</w:t>
            </w:r>
          </w:p>
        </w:tc>
        <w:tc>
          <w:tcPr>
            <w:tcW w:w="2060" w:type="dxa"/>
            <w:vAlign w:val="bottom"/>
          </w:tcPr>
          <w:p>
            <w:pPr>
              <w:spacing w:after="0"/>
              <w:rPr>
                <w:sz w:val="24"/>
                <w:szCs w:val="24"/>
                <w:color w:val="auto"/>
              </w:rPr>
            </w:pPr>
          </w:p>
        </w:tc>
      </w:tr>
      <w:tr>
        <w:trPr>
          <w:trHeight w:val="166"/>
        </w:trPr>
        <w:tc>
          <w:tcPr>
            <w:tcW w:w="6060" w:type="dxa"/>
            <w:vAlign w:val="bottom"/>
          </w:tcPr>
          <w:p>
            <w:pPr>
              <w:jc w:val="center"/>
              <w:ind w:left="2868"/>
              <w:spacing w:after="0"/>
              <w:rPr>
                <w:sz w:val="20"/>
                <w:szCs w:val="20"/>
                <w:color w:val="auto"/>
              </w:rPr>
            </w:pPr>
            <w:r>
              <w:rPr>
                <w:rFonts w:ascii="Times New Roman" w:cs="Times New Roman" w:eastAsia="Times New Roman" w:hAnsi="Times New Roman"/>
                <w:sz w:val="13"/>
                <w:szCs w:val="13"/>
                <w:b w:val="1"/>
                <w:bCs w:val="1"/>
                <w:color w:val="auto"/>
                <w:w w:val="96"/>
              </w:rPr>
              <w:t>(Registrant’s telephone number, including area code)</w:t>
            </w:r>
          </w:p>
        </w:tc>
        <w:tc>
          <w:tcPr>
            <w:tcW w:w="2060" w:type="dxa"/>
            <w:vAlign w:val="bottom"/>
          </w:tcPr>
          <w:p>
            <w:pPr>
              <w:spacing w:after="0"/>
              <w:rPr>
                <w:sz w:val="14"/>
                <w:szCs w:val="14"/>
                <w:color w:val="auto"/>
              </w:rPr>
            </w:pPr>
          </w:p>
        </w:tc>
      </w:tr>
    </w:tbl>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N/A</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former address and former fiscal year, if changed since last report)</w:t>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93" w:lineRule="exact"/>
        <w:rPr>
          <w:sz w:val="24"/>
          <w:szCs w:val="24"/>
          <w:color w:val="auto"/>
        </w:rPr>
      </w:pPr>
    </w:p>
    <w:tbl>
      <w:tblPr>
        <w:tblLayout w:type="fixed"/>
        <w:tblInd w:w="10" w:type="dxa"/>
        <w:tblCellMar>
          <w:top w:w="0" w:type="dxa"/>
          <w:left w:w="0" w:type="dxa"/>
          <w:bottom w:w="0" w:type="dxa"/>
          <w:right w:w="0" w:type="dxa"/>
        </w:tblCellMar>
      </w:tblPr>
      <w:tr>
        <w:trPr>
          <w:trHeight w:val="216"/>
        </w:trPr>
        <w:tc>
          <w:tcPr>
            <w:tcW w:w="3860" w:type="dxa"/>
            <w:vAlign w:val="bottom"/>
            <w:tcBorders>
              <w:top w:val="single" w:sz="8" w:color="auto"/>
              <w:left w:val="single" w:sz="8" w:color="auto"/>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20" w:type="dxa"/>
            <w:vAlign w:val="bottom"/>
            <w:tcBorders>
              <w:top w:val="single" w:sz="8" w:color="auto"/>
              <w:bottom w:val="single" w:sz="8" w:color="auto"/>
            </w:tcBorders>
          </w:tcPr>
          <w:p>
            <w:pPr>
              <w:spacing w:after="0"/>
              <w:rPr>
                <w:sz w:val="18"/>
                <w:szCs w:val="18"/>
                <w:color w:val="auto"/>
              </w:rPr>
            </w:pPr>
          </w:p>
        </w:tc>
        <w:tc>
          <w:tcPr>
            <w:tcW w:w="38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196"/>
        </w:trPr>
        <w:tc>
          <w:tcPr>
            <w:tcW w:w="3860" w:type="dxa"/>
            <w:vAlign w:val="bottom"/>
            <w:tcBorders>
              <w:left w:val="single" w:sz="8" w:color="auto"/>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2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LOCO</w:t>
            </w:r>
          </w:p>
        </w:tc>
        <w:tc>
          <w:tcPr>
            <w:tcW w:w="20" w:type="dxa"/>
            <w:vAlign w:val="bottom"/>
            <w:tcBorders>
              <w:bottom w:val="single" w:sz="8" w:color="auto"/>
            </w:tcBorders>
          </w:tcPr>
          <w:p>
            <w:pPr>
              <w:spacing w:after="0"/>
              <w:rPr>
                <w:sz w:val="17"/>
                <w:szCs w:val="17"/>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176"/>
        </w:trPr>
        <w:tc>
          <w:tcPr>
            <w:tcW w:w="38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840" w:type="dxa"/>
            <w:vAlign w:val="bottom"/>
          </w:tcPr>
          <w:p>
            <w:pPr>
              <w:spacing w:after="0"/>
              <w:rPr>
                <w:sz w:val="15"/>
                <w:szCs w:val="15"/>
                <w:color w:val="auto"/>
              </w:rPr>
            </w:pPr>
          </w:p>
        </w:tc>
      </w:tr>
    </w:tbl>
    <w:p>
      <w:pPr>
        <w:spacing w:after="0" w:line="148" w:lineRule="exact"/>
        <w:rPr>
          <w:sz w:val="24"/>
          <w:szCs w:val="24"/>
          <w:color w:val="auto"/>
        </w:rPr>
      </w:pPr>
    </w:p>
    <w:p>
      <w:pPr>
        <w:jc w:val="both"/>
        <w:ind w:right="160" w:firstLine="506"/>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43" w:lineRule="exact"/>
        <w:rPr>
          <w:sz w:val="24"/>
          <w:szCs w:val="24"/>
          <w:color w:val="auto"/>
        </w:rPr>
      </w:pPr>
    </w:p>
    <w:p>
      <w:pPr>
        <w:ind w:right="40" w:firstLine="506"/>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300" w:hanging="229"/>
        <w:spacing w:after="0" w:line="184" w:lineRule="exact"/>
        <w:tabs>
          <w:tab w:leader="none" w:pos="30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92" w:lineRule="exact"/>
        <w:rPr>
          <w:sz w:val="24"/>
          <w:szCs w:val="24"/>
          <w:color w:val="auto"/>
        </w:rPr>
      </w:pPr>
    </w:p>
    <w:p>
      <w:pPr>
        <w:ind w:right="80" w:firstLine="506"/>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0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4720" w:type="dxa"/>
            <w:vAlign w:val="bottom"/>
          </w:tcPr>
          <w:p>
            <w:pPr>
              <w:ind w:left="2640"/>
              <w:spacing w:after="0"/>
              <w:rPr>
                <w:sz w:val="20"/>
                <w:szCs w:val="20"/>
                <w:color w:val="auto"/>
              </w:rPr>
            </w:pPr>
            <w:r>
              <w:rPr>
                <w:rFonts w:ascii="Times New Roman" w:cs="Times New Roman" w:eastAsia="Times New Roman" w:hAnsi="Times New Roman"/>
                <w:sz w:val="16"/>
                <w:szCs w:val="16"/>
                <w:color w:val="auto"/>
              </w:rPr>
              <w:t>Accelerated Filer</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3"/>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0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4720" w:type="dxa"/>
            <w:vAlign w:val="bottom"/>
          </w:tcPr>
          <w:p>
            <w:pPr>
              <w:ind w:left="26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4"/>
        </w:trPr>
        <w:tc>
          <w:tcPr>
            <w:tcW w:w="17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720" w:type="dxa"/>
            <w:vAlign w:val="bottom"/>
          </w:tcPr>
          <w:p>
            <w:pPr>
              <w:ind w:left="2640"/>
              <w:spacing w:after="0"/>
              <w:rPr>
                <w:sz w:val="20"/>
                <w:szCs w:val="20"/>
                <w:color w:val="auto"/>
              </w:rPr>
            </w:pPr>
            <w:r>
              <w:rPr>
                <w:rFonts w:ascii="Times New Roman" w:cs="Times New Roman" w:eastAsia="Times New Roman" w:hAnsi="Times New Roman"/>
                <w:sz w:val="16"/>
                <w:szCs w:val="16"/>
                <w:color w:val="auto"/>
              </w:rPr>
              <w:t>Emerging Growth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55" w:lineRule="exact"/>
        <w:rPr>
          <w:sz w:val="24"/>
          <w:szCs w:val="24"/>
          <w:color w:val="auto"/>
        </w:rPr>
      </w:pPr>
    </w:p>
    <w:p>
      <w:pPr>
        <w:ind w:right="60" w:firstLine="506"/>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 w:lineRule="exact"/>
        <w:rPr>
          <w:sz w:val="24"/>
          <w:szCs w:val="24"/>
          <w:color w:val="auto"/>
        </w:rPr>
      </w:pPr>
    </w:p>
    <w:p>
      <w:pPr>
        <w:ind w:left="500" w:right="1200"/>
        <w:spacing w:after="0" w:line="25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As of July 29, 2022, there were 37,002,513 shares of the issuer’s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664210</wp:posOffset>
            </wp:positionV>
            <wp:extent cx="649795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64135</wp:posOffset>
            </wp:positionV>
            <wp:extent cx="64979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106680</wp:posOffset>
            </wp:positionV>
            <wp:extent cx="649795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661" w:right="839"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Table of Contents</w:t>
            </w:r>
          </w:p>
        </w:tc>
        <w:tc>
          <w:tcPr>
            <w:tcW w:w="7340" w:type="dxa"/>
            <w:vAlign w:val="bottom"/>
            <w:gridSpan w:val="20"/>
          </w:tcPr>
          <w:p>
            <w:pPr>
              <w:spacing w:after="0"/>
              <w:rPr>
                <w:sz w:val="13"/>
                <w:szCs w:val="13"/>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9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7"/>
              </w:rPr>
              <w:t>PART I—FINANCIAL INFORMATION</w:t>
            </w:r>
          </w:p>
        </w:tc>
        <w:tc>
          <w:tcPr>
            <w:tcW w:w="1220" w:type="dxa"/>
            <w:vAlign w:val="bottom"/>
            <w:vMerge w:val="restart"/>
          </w:tcPr>
          <w:p>
            <w:pPr>
              <w:spacing w:after="0"/>
              <w:rPr>
                <w:sz w:val="24"/>
                <w:szCs w:val="24"/>
                <w:color w:val="auto"/>
              </w:rPr>
            </w:pPr>
          </w:p>
        </w:tc>
        <w:tc>
          <w:tcPr>
            <w:tcW w:w="480" w:type="dxa"/>
            <w:vAlign w:val="bottom"/>
            <w:vMerge w:val="restart"/>
          </w:tcPr>
          <w:p>
            <w:pPr>
              <w:spacing w:after="0"/>
              <w:rPr>
                <w:sz w:val="24"/>
                <w:szCs w:val="24"/>
                <w:color w:val="auto"/>
              </w:rPr>
            </w:pPr>
          </w:p>
        </w:tc>
        <w:tc>
          <w:tcPr>
            <w:tcW w:w="28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260" w:type="dxa"/>
            <w:vAlign w:val="bottom"/>
            <w:vMerge w:val="restart"/>
          </w:tcPr>
          <w:p>
            <w:pPr>
              <w:spacing w:after="0"/>
              <w:rPr>
                <w:sz w:val="24"/>
                <w:szCs w:val="24"/>
                <w:color w:val="auto"/>
              </w:rPr>
            </w:pPr>
          </w:p>
        </w:tc>
        <w:tc>
          <w:tcPr>
            <w:tcW w:w="600" w:type="dxa"/>
            <w:vAlign w:val="bottom"/>
            <w:vMerge w:val="restart"/>
          </w:tcPr>
          <w:p>
            <w:pPr>
              <w:spacing w:after="0"/>
              <w:rPr>
                <w:sz w:val="24"/>
                <w:szCs w:val="24"/>
                <w:color w:val="auto"/>
              </w:rPr>
            </w:pPr>
          </w:p>
        </w:tc>
        <w:tc>
          <w:tcPr>
            <w:tcW w:w="660" w:type="dxa"/>
            <w:vAlign w:val="bottom"/>
            <w:vMerge w:val="restart"/>
          </w:tcPr>
          <w:p>
            <w:pPr>
              <w:spacing w:after="0"/>
              <w:rPr>
                <w:sz w:val="24"/>
                <w:szCs w:val="24"/>
                <w:color w:val="auto"/>
              </w:rPr>
            </w:pPr>
          </w:p>
        </w:tc>
        <w:tc>
          <w:tcPr>
            <w:tcW w:w="540" w:type="dxa"/>
            <w:vAlign w:val="bottom"/>
            <w:vMerge w:val="restart"/>
          </w:tcPr>
          <w:p>
            <w:pPr>
              <w:spacing w:after="0"/>
              <w:rPr>
                <w:sz w:val="24"/>
                <w:szCs w:val="24"/>
                <w:color w:val="auto"/>
              </w:rPr>
            </w:pPr>
          </w:p>
        </w:tc>
        <w:tc>
          <w:tcPr>
            <w:tcW w:w="1380" w:type="dxa"/>
            <w:vAlign w:val="bottom"/>
            <w:vMerge w:val="restart"/>
          </w:tcPr>
          <w:p>
            <w:pPr>
              <w:spacing w:after="0"/>
              <w:rPr>
                <w:sz w:val="24"/>
                <w:szCs w:val="24"/>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08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EE"/>
                <w:w w:val="97"/>
              </w:rPr>
              <w:t>Item 1. Financial Statements.</w:t>
            </w: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2080" w:type="dxa"/>
            <w:vAlign w:val="bottom"/>
            <w:tcBorders>
              <w:bottom w:val="single" w:sz="8" w:color="0000EE"/>
            </w:tcBorders>
            <w:gridSpan w:val="8"/>
            <w:vMerge w:val="continue"/>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gridSpan w:val="2"/>
          </w:tcPr>
          <w:p>
            <w:pPr>
              <w:spacing w:after="0"/>
              <w:rPr>
                <w:sz w:val="15"/>
                <w:szCs w:val="15"/>
                <w:color w:val="auto"/>
              </w:rPr>
            </w:pPr>
          </w:p>
        </w:tc>
        <w:tc>
          <w:tcPr>
            <w:tcW w:w="480" w:type="dxa"/>
            <w:vAlign w:val="bottom"/>
            <w:vMerge w:val="restart"/>
          </w:tcPr>
          <w:p>
            <w:pPr>
              <w:spacing w:after="0"/>
              <w:rPr>
                <w:sz w:val="15"/>
                <w:szCs w:val="15"/>
                <w:color w:val="auto"/>
              </w:rPr>
            </w:pPr>
          </w:p>
        </w:tc>
        <w:tc>
          <w:tcPr>
            <w:tcW w:w="28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260" w:type="dxa"/>
            <w:vAlign w:val="bottom"/>
            <w:vMerge w:val="restart"/>
          </w:tcPr>
          <w:p>
            <w:pPr>
              <w:spacing w:after="0"/>
              <w:rPr>
                <w:sz w:val="15"/>
                <w:szCs w:val="15"/>
                <w:color w:val="auto"/>
              </w:rPr>
            </w:pPr>
          </w:p>
        </w:tc>
        <w:tc>
          <w:tcPr>
            <w:tcW w:w="600" w:type="dxa"/>
            <w:vAlign w:val="bottom"/>
            <w:vMerge w:val="restart"/>
          </w:tcPr>
          <w:p>
            <w:pPr>
              <w:spacing w:after="0"/>
              <w:rPr>
                <w:sz w:val="15"/>
                <w:szCs w:val="15"/>
                <w:color w:val="auto"/>
              </w:rPr>
            </w:pPr>
          </w:p>
        </w:tc>
        <w:tc>
          <w:tcPr>
            <w:tcW w:w="660" w:type="dxa"/>
            <w:vAlign w:val="bottom"/>
            <w:vMerge w:val="restart"/>
          </w:tcPr>
          <w:p>
            <w:pPr>
              <w:spacing w:after="0"/>
              <w:rPr>
                <w:sz w:val="15"/>
                <w:szCs w:val="15"/>
                <w:color w:val="auto"/>
              </w:rPr>
            </w:pPr>
          </w:p>
        </w:tc>
        <w:tc>
          <w:tcPr>
            <w:tcW w:w="540" w:type="dxa"/>
            <w:vAlign w:val="bottom"/>
            <w:vMerge w:val="restart"/>
          </w:tcPr>
          <w:p>
            <w:pPr>
              <w:spacing w:after="0"/>
              <w:rPr>
                <w:sz w:val="15"/>
                <w:szCs w:val="15"/>
                <w:color w:val="auto"/>
              </w:rPr>
            </w:pPr>
          </w:p>
        </w:tc>
        <w:tc>
          <w:tcPr>
            <w:tcW w:w="1380" w:type="dxa"/>
            <w:vAlign w:val="bottom"/>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61"/>
        </w:trPr>
        <w:tc>
          <w:tcPr>
            <w:tcW w:w="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3840" w:type="dxa"/>
            <w:vAlign w:val="bottom"/>
            <w:gridSpan w:val="13"/>
            <w:vMerge w:val="restart"/>
          </w:tcPr>
          <w:p>
            <w:pPr>
              <w:spacing w:after="0"/>
              <w:rPr>
                <w:sz w:val="20"/>
                <w:szCs w:val="20"/>
                <w:color w:val="auto"/>
              </w:rPr>
            </w:pPr>
            <w:r>
              <w:rPr>
                <w:rFonts w:ascii="Times New Roman" w:cs="Times New Roman" w:eastAsia="Times New Roman" w:hAnsi="Times New Roman"/>
                <w:sz w:val="18"/>
                <w:szCs w:val="18"/>
                <w:color w:val="0000EE"/>
                <w:w w:val="99"/>
              </w:rPr>
              <w:t>Condensed Consolidated Balance Sheets (Unaudited)</w:t>
            </w:r>
          </w:p>
        </w:tc>
        <w:tc>
          <w:tcPr>
            <w:tcW w:w="48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40" w:type="dxa"/>
            <w:vAlign w:val="bottom"/>
            <w:tcBorders>
              <w:bottom w:val="single" w:sz="8" w:color="0000EE"/>
            </w:tcBorders>
            <w:gridSpan w:val="13"/>
            <w:vMerge w:val="continue"/>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260" w:type="dxa"/>
            <w:vAlign w:val="bottom"/>
            <w:vMerge w:val="restart"/>
          </w:tcPr>
          <w:p>
            <w:pPr>
              <w:spacing w:after="0"/>
              <w:rPr>
                <w:sz w:val="15"/>
                <w:szCs w:val="15"/>
                <w:color w:val="auto"/>
              </w:rPr>
            </w:pPr>
          </w:p>
        </w:tc>
        <w:tc>
          <w:tcPr>
            <w:tcW w:w="600" w:type="dxa"/>
            <w:vAlign w:val="bottom"/>
            <w:vMerge w:val="restart"/>
          </w:tcPr>
          <w:p>
            <w:pPr>
              <w:spacing w:after="0"/>
              <w:rPr>
                <w:sz w:val="15"/>
                <w:szCs w:val="15"/>
                <w:color w:val="auto"/>
              </w:rPr>
            </w:pPr>
          </w:p>
        </w:tc>
        <w:tc>
          <w:tcPr>
            <w:tcW w:w="660" w:type="dxa"/>
            <w:vAlign w:val="bottom"/>
            <w:vMerge w:val="restart"/>
          </w:tcPr>
          <w:p>
            <w:pPr>
              <w:spacing w:after="0"/>
              <w:rPr>
                <w:sz w:val="15"/>
                <w:szCs w:val="15"/>
                <w:color w:val="auto"/>
              </w:rPr>
            </w:pPr>
          </w:p>
        </w:tc>
        <w:tc>
          <w:tcPr>
            <w:tcW w:w="540" w:type="dxa"/>
            <w:vAlign w:val="bottom"/>
            <w:vMerge w:val="restart"/>
          </w:tcPr>
          <w:p>
            <w:pPr>
              <w:spacing w:after="0"/>
              <w:rPr>
                <w:sz w:val="15"/>
                <w:szCs w:val="15"/>
                <w:color w:val="auto"/>
              </w:rPr>
            </w:pPr>
          </w:p>
        </w:tc>
        <w:tc>
          <w:tcPr>
            <w:tcW w:w="1380" w:type="dxa"/>
            <w:vAlign w:val="bottom"/>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32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Income (Unaudited)</w:t>
            </w:r>
          </w:p>
        </w:tc>
        <w:tc>
          <w:tcPr>
            <w:tcW w:w="28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320" w:type="dxa"/>
            <w:vAlign w:val="bottom"/>
            <w:tcBorders>
              <w:bottom w:val="single" w:sz="8" w:color="0000EE"/>
            </w:tcBorders>
            <w:gridSpan w:val="14"/>
            <w:vMerge w:val="continue"/>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vMerge w:val="restart"/>
          </w:tcPr>
          <w:p>
            <w:pPr>
              <w:spacing w:after="0"/>
              <w:rPr>
                <w:sz w:val="15"/>
                <w:szCs w:val="15"/>
                <w:color w:val="auto"/>
              </w:rPr>
            </w:pPr>
          </w:p>
        </w:tc>
        <w:tc>
          <w:tcPr>
            <w:tcW w:w="540" w:type="dxa"/>
            <w:vAlign w:val="bottom"/>
            <w:vMerge w:val="restart"/>
          </w:tcPr>
          <w:p>
            <w:pPr>
              <w:spacing w:after="0"/>
              <w:rPr>
                <w:sz w:val="15"/>
                <w:szCs w:val="15"/>
                <w:color w:val="auto"/>
              </w:rPr>
            </w:pPr>
          </w:p>
        </w:tc>
        <w:tc>
          <w:tcPr>
            <w:tcW w:w="1380" w:type="dxa"/>
            <w:vAlign w:val="bottom"/>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50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Comprehensive Income (Unaudited)</w:t>
            </w: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500" w:type="dxa"/>
            <w:vAlign w:val="bottom"/>
            <w:tcBorders>
              <w:bottom w:val="single" w:sz="8" w:color="0000EE"/>
            </w:tcBorders>
            <w:gridSpan w:val="19"/>
            <w:vMerge w:val="continue"/>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vMerge w:val="restart"/>
          </w:tcPr>
          <w:p>
            <w:pPr>
              <w:spacing w:after="0"/>
              <w:rPr>
                <w:sz w:val="15"/>
                <w:szCs w:val="15"/>
                <w:color w:val="auto"/>
              </w:rPr>
            </w:pPr>
          </w:p>
        </w:tc>
        <w:tc>
          <w:tcPr>
            <w:tcW w:w="1380" w:type="dxa"/>
            <w:vAlign w:val="bottom"/>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160" w:type="dxa"/>
            <w:vAlign w:val="bottom"/>
            <w:gridSpan w:val="20"/>
            <w:vMerge w:val="restart"/>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Changes in Stockholders’ Equity (Unaudited)</w:t>
            </w:r>
          </w:p>
        </w:tc>
        <w:tc>
          <w:tcPr>
            <w:tcW w:w="540" w:type="dxa"/>
            <w:vAlign w:val="bottom"/>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160" w:type="dxa"/>
            <w:vAlign w:val="bottom"/>
            <w:tcBorders>
              <w:bottom w:val="single" w:sz="8" w:color="0000EE"/>
            </w:tcBorders>
            <w:gridSpan w:val="20"/>
            <w:vMerge w:val="continue"/>
          </w:tcPr>
          <w:p>
            <w:pPr>
              <w:spacing w:after="0"/>
              <w:rPr>
                <w:sz w:val="15"/>
                <w:szCs w:val="15"/>
                <w:color w:val="auto"/>
              </w:rPr>
            </w:pPr>
          </w:p>
        </w:tc>
        <w:tc>
          <w:tcPr>
            <w:tcW w:w="540" w:type="dxa"/>
            <w:vAlign w:val="bottom"/>
            <w:vMerge w:val="restart"/>
          </w:tcPr>
          <w:p>
            <w:pPr>
              <w:spacing w:after="0"/>
              <w:rPr>
                <w:sz w:val="15"/>
                <w:szCs w:val="15"/>
                <w:color w:val="auto"/>
              </w:rPr>
            </w:pPr>
          </w:p>
        </w:tc>
        <w:tc>
          <w:tcPr>
            <w:tcW w:w="1380" w:type="dxa"/>
            <w:vAlign w:val="bottom"/>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4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Cash Flows (Unaudited)</w:t>
            </w:r>
          </w:p>
        </w:tc>
        <w:tc>
          <w:tcPr>
            <w:tcW w:w="260" w:type="dxa"/>
            <w:vAlign w:val="bottom"/>
          </w:tcPr>
          <w:p>
            <w:pPr>
              <w:spacing w:after="0"/>
              <w:rPr>
                <w:sz w:val="5"/>
                <w:szCs w:val="5"/>
                <w:color w:val="auto"/>
              </w:rPr>
            </w:pPr>
          </w:p>
        </w:tc>
        <w:tc>
          <w:tcPr>
            <w:tcW w:w="1260" w:type="dxa"/>
            <w:vAlign w:val="bottom"/>
            <w:gridSpan w:val="2"/>
          </w:tcPr>
          <w:p>
            <w:pPr>
              <w:spacing w:after="0"/>
              <w:rPr>
                <w:sz w:val="5"/>
                <w:szCs w:val="5"/>
                <w:color w:val="auto"/>
              </w:rPr>
            </w:pPr>
          </w:p>
        </w:tc>
        <w:tc>
          <w:tcPr>
            <w:tcW w:w="540" w:type="dxa"/>
            <w:vAlign w:val="bottom"/>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40" w:type="dxa"/>
            <w:vAlign w:val="bottom"/>
            <w:tcBorders>
              <w:bottom w:val="single" w:sz="8" w:color="0000EE"/>
            </w:tcBorders>
            <w:gridSpan w:val="17"/>
            <w:vMerge w:val="continue"/>
          </w:tcPr>
          <w:p>
            <w:pPr>
              <w:spacing w:after="0"/>
              <w:rPr>
                <w:sz w:val="15"/>
                <w:szCs w:val="15"/>
                <w:color w:val="auto"/>
              </w:rPr>
            </w:pPr>
          </w:p>
        </w:tc>
        <w:tc>
          <w:tcPr>
            <w:tcW w:w="260" w:type="dxa"/>
            <w:vAlign w:val="bottom"/>
          </w:tcPr>
          <w:p>
            <w:pPr>
              <w:spacing w:after="0"/>
              <w:rPr>
                <w:sz w:val="15"/>
                <w:szCs w:val="15"/>
                <w:color w:val="auto"/>
              </w:rPr>
            </w:pPr>
          </w:p>
        </w:tc>
        <w:tc>
          <w:tcPr>
            <w:tcW w:w="1800" w:type="dxa"/>
            <w:vAlign w:val="bottom"/>
            <w:gridSpan w:val="3"/>
            <w:vMerge w:val="restart"/>
          </w:tcPr>
          <w:p>
            <w:pPr>
              <w:spacing w:after="0"/>
              <w:rPr>
                <w:sz w:val="15"/>
                <w:szCs w:val="15"/>
                <w:color w:val="auto"/>
              </w:rPr>
            </w:pPr>
          </w:p>
        </w:tc>
        <w:tc>
          <w:tcPr>
            <w:tcW w:w="1380" w:type="dxa"/>
            <w:vAlign w:val="bottom"/>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90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color w:val="0000EE"/>
                <w:w w:val="99"/>
              </w:rPr>
              <w:t>Notes to Condensed Consolidated Financial Statements (Unaudited)</w:t>
            </w:r>
          </w:p>
        </w:tc>
        <w:tc>
          <w:tcPr>
            <w:tcW w:w="1800" w:type="dxa"/>
            <w:vAlign w:val="bottom"/>
            <w:gridSpan w:val="3"/>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900" w:type="dxa"/>
            <w:vAlign w:val="bottom"/>
            <w:tcBorders>
              <w:bottom w:val="single" w:sz="8" w:color="0000EE"/>
            </w:tcBorders>
            <w:gridSpan w:val="18"/>
            <w:vMerge w:val="continue"/>
          </w:tcPr>
          <w:p>
            <w:pPr>
              <w:spacing w:after="0"/>
              <w:rPr>
                <w:sz w:val="15"/>
                <w:szCs w:val="15"/>
                <w:color w:val="auto"/>
              </w:rPr>
            </w:pPr>
          </w:p>
        </w:tc>
        <w:tc>
          <w:tcPr>
            <w:tcW w:w="1800" w:type="dxa"/>
            <w:vAlign w:val="bottom"/>
            <w:gridSpan w:val="3"/>
          </w:tcPr>
          <w:p>
            <w:pPr>
              <w:spacing w:after="0"/>
              <w:rPr>
                <w:sz w:val="15"/>
                <w:szCs w:val="15"/>
                <w:color w:val="auto"/>
              </w:rPr>
            </w:pPr>
          </w:p>
        </w:tc>
        <w:tc>
          <w:tcPr>
            <w:tcW w:w="1380" w:type="dxa"/>
            <w:vAlign w:val="bottom"/>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61"/>
        </w:trPr>
        <w:tc>
          <w:tcPr>
            <w:tcW w:w="7040" w:type="dxa"/>
            <w:vAlign w:val="bottom"/>
            <w:gridSpan w:val="23"/>
            <w:vMerge w:val="restart"/>
          </w:tcPr>
          <w:p>
            <w:pPr>
              <w:spacing w:after="0"/>
              <w:rPr>
                <w:sz w:val="20"/>
                <w:szCs w:val="20"/>
                <w:color w:val="auto"/>
              </w:rPr>
            </w:pPr>
            <w:r>
              <w:rPr>
                <w:rFonts w:ascii="Times New Roman" w:cs="Times New Roman" w:eastAsia="Times New Roman" w:hAnsi="Times New Roman"/>
                <w:sz w:val="18"/>
                <w:szCs w:val="18"/>
                <w:color w:val="0000EE"/>
                <w:w w:val="99"/>
              </w:rPr>
              <w:t>Item 2. Management’s Discussion and Analysis of Financial Condition and Results of Operations.</w:t>
            </w:r>
          </w:p>
        </w:tc>
        <w:tc>
          <w:tcPr>
            <w:tcW w:w="138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7040" w:type="dxa"/>
            <w:vAlign w:val="bottom"/>
            <w:tcBorders>
              <w:bottom w:val="single" w:sz="8" w:color="0000EE"/>
            </w:tcBorders>
            <w:gridSpan w:val="23"/>
            <w:vMerge w:val="continue"/>
          </w:tcPr>
          <w:p>
            <w:pPr>
              <w:spacing w:after="0"/>
              <w:rPr>
                <w:sz w:val="15"/>
                <w:szCs w:val="15"/>
                <w:color w:val="auto"/>
              </w:rPr>
            </w:pPr>
          </w:p>
        </w:tc>
        <w:tc>
          <w:tcPr>
            <w:tcW w:w="1380" w:type="dxa"/>
            <w:vAlign w:val="bottom"/>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61"/>
        </w:trPr>
        <w:tc>
          <w:tcPr>
            <w:tcW w:w="496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color w:val="0000EE"/>
                <w:w w:val="99"/>
              </w:rPr>
              <w:t>Item 3. Quantitative and Qualitative Disclosures About Market Risk.</w:t>
            </w:r>
          </w:p>
        </w:tc>
        <w:tc>
          <w:tcPr>
            <w:tcW w:w="2080" w:type="dxa"/>
            <w:vAlign w:val="bottom"/>
            <w:gridSpan w:val="5"/>
          </w:tcPr>
          <w:p>
            <w:pPr>
              <w:spacing w:after="0"/>
              <w:rPr>
                <w:sz w:val="5"/>
                <w:szCs w:val="5"/>
                <w:color w:val="auto"/>
              </w:rPr>
            </w:pPr>
          </w:p>
        </w:tc>
        <w:tc>
          <w:tcPr>
            <w:tcW w:w="138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4960" w:type="dxa"/>
            <w:vAlign w:val="bottom"/>
            <w:tcBorders>
              <w:bottom w:val="single" w:sz="8" w:color="0000EE"/>
            </w:tcBorders>
            <w:gridSpan w:val="18"/>
            <w:vMerge w:val="continue"/>
          </w:tcPr>
          <w:p>
            <w:pPr>
              <w:spacing w:after="0"/>
              <w:rPr>
                <w:sz w:val="15"/>
                <w:szCs w:val="15"/>
                <w:color w:val="auto"/>
              </w:rPr>
            </w:pPr>
          </w:p>
        </w:tc>
        <w:tc>
          <w:tcPr>
            <w:tcW w:w="3460" w:type="dxa"/>
            <w:vAlign w:val="bottom"/>
            <w:gridSpan w:val="6"/>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61"/>
        </w:trPr>
        <w:tc>
          <w:tcPr>
            <w:tcW w:w="238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color w:val="0000EE"/>
                <w:w w:val="99"/>
              </w:rPr>
              <w:t>Item 4. Controls and Procedures.</w:t>
            </w: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20" w:type="dxa"/>
            <w:vAlign w:val="bottom"/>
            <w:gridSpan w:val="4"/>
          </w:tcPr>
          <w:p>
            <w:pPr>
              <w:spacing w:after="0"/>
              <w:rPr>
                <w:sz w:val="5"/>
                <w:szCs w:val="5"/>
                <w:color w:val="auto"/>
              </w:rPr>
            </w:pPr>
          </w:p>
        </w:tc>
        <w:tc>
          <w:tcPr>
            <w:tcW w:w="20" w:type="dxa"/>
            <w:vAlign w:val="bottom"/>
          </w:tcPr>
          <w:p>
            <w:pPr>
              <w:spacing w:after="0"/>
              <w:rPr>
                <w:sz w:val="5"/>
                <w:szCs w:val="5"/>
                <w:color w:val="auto"/>
              </w:rPr>
            </w:pPr>
          </w:p>
        </w:tc>
        <w:tc>
          <w:tcPr>
            <w:tcW w:w="3460" w:type="dxa"/>
            <w:vAlign w:val="bottom"/>
            <w:gridSpan w:val="6"/>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2380" w:type="dxa"/>
            <w:vAlign w:val="bottom"/>
            <w:tcBorders>
              <w:bottom w:val="single" w:sz="8" w:color="0000EE"/>
            </w:tcBorders>
            <w:gridSpan w:val="11"/>
            <w:vMerge w:val="continue"/>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vMerge w:val="restart"/>
          </w:tcPr>
          <w:p>
            <w:pPr>
              <w:spacing w:after="0"/>
              <w:rPr>
                <w:sz w:val="15"/>
                <w:szCs w:val="15"/>
                <w:color w:val="auto"/>
              </w:rPr>
            </w:pPr>
          </w:p>
        </w:tc>
        <w:tc>
          <w:tcPr>
            <w:tcW w:w="2020" w:type="dxa"/>
            <w:vAlign w:val="bottom"/>
            <w:gridSpan w:val="4"/>
            <w:vMerge w:val="restart"/>
          </w:tcPr>
          <w:p>
            <w:pPr>
              <w:spacing w:after="0"/>
              <w:rPr>
                <w:sz w:val="15"/>
                <w:szCs w:val="15"/>
                <w:color w:val="auto"/>
              </w:rPr>
            </w:pPr>
          </w:p>
        </w:tc>
        <w:tc>
          <w:tcPr>
            <w:tcW w:w="3480" w:type="dxa"/>
            <w:vAlign w:val="bottom"/>
            <w:gridSpan w:val="7"/>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61"/>
        </w:trPr>
        <w:tc>
          <w:tcPr>
            <w:tcW w:w="2640" w:type="dxa"/>
            <w:vAlign w:val="bottom"/>
            <w:gridSpan w:val="12"/>
            <w:vMerge w:val="restart"/>
          </w:tcPr>
          <w:p>
            <w:pPr>
              <w:spacing w:after="0"/>
              <w:rPr>
                <w:sz w:val="20"/>
                <w:szCs w:val="20"/>
                <w:color w:val="auto"/>
              </w:rPr>
            </w:pPr>
            <w:r>
              <w:rPr>
                <w:rFonts w:ascii="Times New Roman" w:cs="Times New Roman" w:eastAsia="Times New Roman" w:hAnsi="Times New Roman"/>
                <w:sz w:val="18"/>
                <w:szCs w:val="18"/>
                <w:color w:val="0000EE"/>
                <w:w w:val="96"/>
              </w:rPr>
              <w:t>PART II—OTHER INFORMATION</w:t>
            </w:r>
          </w:p>
        </w:tc>
        <w:tc>
          <w:tcPr>
            <w:tcW w:w="280" w:type="dxa"/>
            <w:vAlign w:val="bottom"/>
            <w:vMerge w:val="continue"/>
          </w:tcPr>
          <w:p>
            <w:pPr>
              <w:spacing w:after="0"/>
              <w:rPr>
                <w:sz w:val="5"/>
                <w:szCs w:val="5"/>
                <w:color w:val="auto"/>
              </w:rPr>
            </w:pPr>
          </w:p>
        </w:tc>
        <w:tc>
          <w:tcPr>
            <w:tcW w:w="2020" w:type="dxa"/>
            <w:vAlign w:val="bottom"/>
            <w:gridSpan w:val="4"/>
            <w:vMerge w:val="continue"/>
          </w:tcPr>
          <w:p>
            <w:pPr>
              <w:spacing w:after="0"/>
              <w:rPr>
                <w:sz w:val="5"/>
                <w:szCs w:val="5"/>
                <w:color w:val="auto"/>
              </w:rPr>
            </w:pPr>
          </w:p>
        </w:tc>
        <w:tc>
          <w:tcPr>
            <w:tcW w:w="3480" w:type="dxa"/>
            <w:vAlign w:val="bottom"/>
            <w:gridSpan w:val="7"/>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37"/>
        </w:trPr>
        <w:tc>
          <w:tcPr>
            <w:tcW w:w="2640" w:type="dxa"/>
            <w:vAlign w:val="bottom"/>
            <w:tcBorders>
              <w:bottom w:val="single" w:sz="8" w:color="0000EE"/>
            </w:tcBorders>
            <w:gridSpan w:val="12"/>
            <w:vMerge w:val="continue"/>
          </w:tcPr>
          <w:p>
            <w:pPr>
              <w:spacing w:after="0"/>
              <w:rPr>
                <w:sz w:val="24"/>
                <w:szCs w:val="24"/>
                <w:color w:val="auto"/>
              </w:rPr>
            </w:pPr>
          </w:p>
        </w:tc>
        <w:tc>
          <w:tcPr>
            <w:tcW w:w="280" w:type="dxa"/>
            <w:vAlign w:val="bottom"/>
            <w:vMerge w:val="restart"/>
          </w:tcPr>
          <w:p>
            <w:pPr>
              <w:spacing w:after="0"/>
              <w:rPr>
                <w:sz w:val="24"/>
                <w:szCs w:val="24"/>
                <w:color w:val="auto"/>
              </w:rPr>
            </w:pPr>
          </w:p>
        </w:tc>
        <w:tc>
          <w:tcPr>
            <w:tcW w:w="2020" w:type="dxa"/>
            <w:vAlign w:val="bottom"/>
            <w:gridSpan w:val="4"/>
            <w:vMerge w:val="restart"/>
          </w:tcPr>
          <w:p>
            <w:pPr>
              <w:spacing w:after="0"/>
              <w:rPr>
                <w:sz w:val="24"/>
                <w:szCs w:val="24"/>
                <w:color w:val="auto"/>
              </w:rPr>
            </w:pPr>
          </w:p>
        </w:tc>
        <w:tc>
          <w:tcPr>
            <w:tcW w:w="3480" w:type="dxa"/>
            <w:vAlign w:val="bottom"/>
            <w:gridSpan w:val="7"/>
            <w:vMerge w:val="restart"/>
          </w:tcPr>
          <w:p>
            <w:pPr>
              <w:spacing w:after="0"/>
              <w:rPr>
                <w:sz w:val="24"/>
                <w:szCs w:val="24"/>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61"/>
        </w:trPr>
        <w:tc>
          <w:tcPr>
            <w:tcW w:w="192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EE"/>
                <w:w w:val="98"/>
              </w:rPr>
              <w:t>Item 1. Legal Proceedings.</w:t>
            </w:r>
          </w:p>
        </w:tc>
        <w:tc>
          <w:tcPr>
            <w:tcW w:w="440" w:type="dxa"/>
            <w:vAlign w:val="bottom"/>
            <w:gridSpan w:val="2"/>
          </w:tcPr>
          <w:p>
            <w:pPr>
              <w:spacing w:after="0"/>
              <w:rPr>
                <w:sz w:val="5"/>
                <w:szCs w:val="5"/>
                <w:color w:val="auto"/>
              </w:rPr>
            </w:pPr>
          </w:p>
        </w:tc>
        <w:tc>
          <w:tcPr>
            <w:tcW w:w="280" w:type="dxa"/>
            <w:vAlign w:val="bottom"/>
            <w:gridSpan w:val="2"/>
          </w:tcPr>
          <w:p>
            <w:pPr>
              <w:spacing w:after="0"/>
              <w:rPr>
                <w:sz w:val="5"/>
                <w:szCs w:val="5"/>
                <w:color w:val="auto"/>
              </w:rPr>
            </w:pPr>
          </w:p>
        </w:tc>
        <w:tc>
          <w:tcPr>
            <w:tcW w:w="280" w:type="dxa"/>
            <w:vAlign w:val="bottom"/>
            <w:vMerge w:val="continue"/>
          </w:tcPr>
          <w:p>
            <w:pPr>
              <w:spacing w:after="0"/>
              <w:rPr>
                <w:sz w:val="5"/>
                <w:szCs w:val="5"/>
                <w:color w:val="auto"/>
              </w:rPr>
            </w:pPr>
          </w:p>
        </w:tc>
        <w:tc>
          <w:tcPr>
            <w:tcW w:w="2020" w:type="dxa"/>
            <w:vAlign w:val="bottom"/>
            <w:gridSpan w:val="4"/>
            <w:vMerge w:val="continue"/>
          </w:tcPr>
          <w:p>
            <w:pPr>
              <w:spacing w:after="0"/>
              <w:rPr>
                <w:sz w:val="5"/>
                <w:szCs w:val="5"/>
                <w:color w:val="auto"/>
              </w:rPr>
            </w:pPr>
          </w:p>
        </w:tc>
        <w:tc>
          <w:tcPr>
            <w:tcW w:w="3480" w:type="dxa"/>
            <w:vAlign w:val="bottom"/>
            <w:gridSpan w:val="7"/>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1920" w:type="dxa"/>
            <w:vAlign w:val="bottom"/>
            <w:tcBorders>
              <w:bottom w:val="single" w:sz="8" w:color="0000EE"/>
            </w:tcBorders>
            <w:gridSpan w:val="8"/>
            <w:vMerge w:val="continue"/>
          </w:tcPr>
          <w:p>
            <w:pPr>
              <w:spacing w:after="0"/>
              <w:rPr>
                <w:sz w:val="15"/>
                <w:szCs w:val="15"/>
                <w:color w:val="auto"/>
              </w:rPr>
            </w:pPr>
          </w:p>
        </w:tc>
        <w:tc>
          <w:tcPr>
            <w:tcW w:w="440" w:type="dxa"/>
            <w:vAlign w:val="bottom"/>
            <w:gridSpan w:val="2"/>
            <w:vMerge w:val="restart"/>
          </w:tcPr>
          <w:p>
            <w:pPr>
              <w:spacing w:after="0"/>
              <w:rPr>
                <w:sz w:val="15"/>
                <w:szCs w:val="15"/>
                <w:color w:val="auto"/>
              </w:rPr>
            </w:pPr>
          </w:p>
        </w:tc>
        <w:tc>
          <w:tcPr>
            <w:tcW w:w="560" w:type="dxa"/>
            <w:vAlign w:val="bottom"/>
            <w:gridSpan w:val="3"/>
            <w:vMerge w:val="restart"/>
          </w:tcPr>
          <w:p>
            <w:pPr>
              <w:spacing w:after="0"/>
              <w:rPr>
                <w:sz w:val="15"/>
                <w:szCs w:val="15"/>
                <w:color w:val="auto"/>
              </w:rPr>
            </w:pPr>
          </w:p>
        </w:tc>
        <w:tc>
          <w:tcPr>
            <w:tcW w:w="2020" w:type="dxa"/>
            <w:vAlign w:val="bottom"/>
            <w:gridSpan w:val="4"/>
            <w:vMerge w:val="restart"/>
          </w:tcPr>
          <w:p>
            <w:pPr>
              <w:spacing w:after="0"/>
              <w:rPr>
                <w:sz w:val="15"/>
                <w:szCs w:val="15"/>
                <w:color w:val="auto"/>
              </w:rPr>
            </w:pPr>
          </w:p>
        </w:tc>
        <w:tc>
          <w:tcPr>
            <w:tcW w:w="3480" w:type="dxa"/>
            <w:vAlign w:val="bottom"/>
            <w:gridSpan w:val="7"/>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61"/>
        </w:trPr>
        <w:tc>
          <w:tcPr>
            <w:tcW w:w="162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0000EE"/>
                <w:w w:val="97"/>
              </w:rPr>
              <w:t>Item 1A. Risk Factors.</w:t>
            </w: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560" w:type="dxa"/>
            <w:vAlign w:val="bottom"/>
            <w:gridSpan w:val="3"/>
            <w:vMerge w:val="continue"/>
          </w:tcPr>
          <w:p>
            <w:pPr>
              <w:spacing w:after="0"/>
              <w:rPr>
                <w:sz w:val="5"/>
                <w:szCs w:val="5"/>
                <w:color w:val="auto"/>
              </w:rPr>
            </w:pPr>
          </w:p>
        </w:tc>
        <w:tc>
          <w:tcPr>
            <w:tcW w:w="2020" w:type="dxa"/>
            <w:vAlign w:val="bottom"/>
            <w:gridSpan w:val="4"/>
            <w:vMerge w:val="continue"/>
          </w:tcPr>
          <w:p>
            <w:pPr>
              <w:spacing w:after="0"/>
              <w:rPr>
                <w:sz w:val="5"/>
                <w:szCs w:val="5"/>
                <w:color w:val="auto"/>
              </w:rPr>
            </w:pPr>
          </w:p>
        </w:tc>
        <w:tc>
          <w:tcPr>
            <w:tcW w:w="3480" w:type="dxa"/>
            <w:vAlign w:val="bottom"/>
            <w:gridSpan w:val="7"/>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1620" w:type="dxa"/>
            <w:vAlign w:val="bottom"/>
            <w:tcBorders>
              <w:bottom w:val="single" w:sz="8" w:color="0000EE"/>
            </w:tcBorders>
            <w:gridSpan w:val="6"/>
            <w:vMerge w:val="continue"/>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gridSpan w:val="3"/>
          </w:tcPr>
          <w:p>
            <w:pPr>
              <w:spacing w:after="0"/>
              <w:rPr>
                <w:sz w:val="15"/>
                <w:szCs w:val="15"/>
                <w:color w:val="auto"/>
              </w:rPr>
            </w:pPr>
          </w:p>
        </w:tc>
        <w:tc>
          <w:tcPr>
            <w:tcW w:w="560" w:type="dxa"/>
            <w:vAlign w:val="bottom"/>
            <w:gridSpan w:val="3"/>
          </w:tcPr>
          <w:p>
            <w:pPr>
              <w:spacing w:after="0"/>
              <w:rPr>
                <w:sz w:val="15"/>
                <w:szCs w:val="15"/>
                <w:color w:val="auto"/>
              </w:rPr>
            </w:pPr>
          </w:p>
        </w:tc>
        <w:tc>
          <w:tcPr>
            <w:tcW w:w="2020" w:type="dxa"/>
            <w:vAlign w:val="bottom"/>
            <w:gridSpan w:val="4"/>
          </w:tcPr>
          <w:p>
            <w:pPr>
              <w:spacing w:after="0"/>
              <w:rPr>
                <w:sz w:val="15"/>
                <w:szCs w:val="15"/>
                <w:color w:val="auto"/>
              </w:rPr>
            </w:pPr>
          </w:p>
        </w:tc>
        <w:tc>
          <w:tcPr>
            <w:tcW w:w="3480" w:type="dxa"/>
            <w:vAlign w:val="bottom"/>
            <w:gridSpan w:val="7"/>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61"/>
        </w:trPr>
        <w:tc>
          <w:tcPr>
            <w:tcW w:w="494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0000EE"/>
                <w:w w:val="99"/>
              </w:rPr>
              <w:t>Item 2. Unregistered Sales of Equity Securities and Use of Proceeds.</w:t>
            </w:r>
          </w:p>
        </w:tc>
        <w:tc>
          <w:tcPr>
            <w:tcW w:w="3480" w:type="dxa"/>
            <w:vAlign w:val="bottom"/>
            <w:gridSpan w:val="7"/>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4940" w:type="dxa"/>
            <w:vAlign w:val="bottom"/>
            <w:tcBorders>
              <w:bottom w:val="single" w:sz="8" w:color="0000EE"/>
            </w:tcBorders>
            <w:gridSpan w:val="17"/>
            <w:vMerge w:val="continue"/>
          </w:tcPr>
          <w:p>
            <w:pPr>
              <w:spacing w:after="0"/>
              <w:rPr>
                <w:sz w:val="15"/>
                <w:szCs w:val="15"/>
                <w:color w:val="auto"/>
              </w:rPr>
            </w:pPr>
          </w:p>
        </w:tc>
        <w:tc>
          <w:tcPr>
            <w:tcW w:w="3480" w:type="dxa"/>
            <w:vAlign w:val="bottom"/>
            <w:gridSpan w:val="7"/>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61"/>
        </w:trPr>
        <w:tc>
          <w:tcPr>
            <w:tcW w:w="2920" w:type="dxa"/>
            <w:vAlign w:val="bottom"/>
            <w:gridSpan w:val="13"/>
            <w:vMerge w:val="restart"/>
          </w:tcPr>
          <w:p>
            <w:pPr>
              <w:spacing w:after="0"/>
              <w:rPr>
                <w:sz w:val="20"/>
                <w:szCs w:val="20"/>
                <w:color w:val="auto"/>
              </w:rPr>
            </w:pPr>
            <w:r>
              <w:rPr>
                <w:rFonts w:ascii="Times New Roman" w:cs="Times New Roman" w:eastAsia="Times New Roman" w:hAnsi="Times New Roman"/>
                <w:sz w:val="18"/>
                <w:szCs w:val="18"/>
                <w:color w:val="0000EE"/>
                <w:w w:val="99"/>
              </w:rPr>
              <w:t>Item 3. Defaults Upon Senior Securities.</w:t>
            </w:r>
          </w:p>
        </w:tc>
        <w:tc>
          <w:tcPr>
            <w:tcW w:w="2020" w:type="dxa"/>
            <w:vAlign w:val="bottom"/>
            <w:gridSpan w:val="4"/>
          </w:tcPr>
          <w:p>
            <w:pPr>
              <w:spacing w:after="0"/>
              <w:rPr>
                <w:sz w:val="5"/>
                <w:szCs w:val="5"/>
                <w:color w:val="auto"/>
              </w:rPr>
            </w:pPr>
          </w:p>
        </w:tc>
        <w:tc>
          <w:tcPr>
            <w:tcW w:w="3480" w:type="dxa"/>
            <w:vAlign w:val="bottom"/>
            <w:gridSpan w:val="7"/>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920" w:type="dxa"/>
            <w:vAlign w:val="bottom"/>
            <w:tcBorders>
              <w:bottom w:val="single" w:sz="8" w:color="0000EE"/>
            </w:tcBorders>
            <w:gridSpan w:val="13"/>
            <w:vMerge w:val="continue"/>
          </w:tcPr>
          <w:p>
            <w:pPr>
              <w:spacing w:after="0"/>
              <w:rPr>
                <w:sz w:val="15"/>
                <w:szCs w:val="15"/>
                <w:color w:val="auto"/>
              </w:rPr>
            </w:pPr>
          </w:p>
        </w:tc>
        <w:tc>
          <w:tcPr>
            <w:tcW w:w="5500" w:type="dxa"/>
            <w:vAlign w:val="bottom"/>
            <w:gridSpan w:val="11"/>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61"/>
        </w:trPr>
        <w:tc>
          <w:tcPr>
            <w:tcW w:w="236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0000EE"/>
                <w:w w:val="98"/>
              </w:rPr>
              <w:t>Item 4. Mine Safety Disclosures.</w:t>
            </w:r>
          </w:p>
        </w:tc>
        <w:tc>
          <w:tcPr>
            <w:tcW w:w="560" w:type="dxa"/>
            <w:vAlign w:val="bottom"/>
            <w:gridSpan w:val="3"/>
          </w:tcPr>
          <w:p>
            <w:pPr>
              <w:spacing w:after="0"/>
              <w:rPr>
                <w:sz w:val="5"/>
                <w:szCs w:val="5"/>
                <w:color w:val="auto"/>
              </w:rPr>
            </w:pPr>
          </w:p>
        </w:tc>
        <w:tc>
          <w:tcPr>
            <w:tcW w:w="5500" w:type="dxa"/>
            <w:vAlign w:val="bottom"/>
            <w:gridSpan w:val="11"/>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360" w:type="dxa"/>
            <w:vAlign w:val="bottom"/>
            <w:tcBorders>
              <w:bottom w:val="single" w:sz="8" w:color="0000EE"/>
            </w:tcBorders>
            <w:gridSpan w:val="10"/>
            <w:vMerge w:val="continue"/>
          </w:tcPr>
          <w:p>
            <w:pPr>
              <w:spacing w:after="0"/>
              <w:rPr>
                <w:sz w:val="15"/>
                <w:szCs w:val="15"/>
                <w:color w:val="auto"/>
              </w:rPr>
            </w:pPr>
          </w:p>
        </w:tc>
        <w:tc>
          <w:tcPr>
            <w:tcW w:w="6060" w:type="dxa"/>
            <w:vAlign w:val="bottom"/>
            <w:gridSpan w:val="14"/>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61"/>
        </w:trPr>
        <w:tc>
          <w:tcPr>
            <w:tcW w:w="190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EE"/>
                <w:w w:val="98"/>
              </w:rPr>
              <w:t>Item 5. Other Information.</w:t>
            </w:r>
          </w:p>
        </w:tc>
        <w:tc>
          <w:tcPr>
            <w:tcW w:w="460" w:type="dxa"/>
            <w:vAlign w:val="bottom"/>
            <w:gridSpan w:val="3"/>
          </w:tcPr>
          <w:p>
            <w:pPr>
              <w:spacing w:after="0"/>
              <w:rPr>
                <w:sz w:val="5"/>
                <w:szCs w:val="5"/>
                <w:color w:val="auto"/>
              </w:rPr>
            </w:pPr>
          </w:p>
        </w:tc>
        <w:tc>
          <w:tcPr>
            <w:tcW w:w="6060" w:type="dxa"/>
            <w:vAlign w:val="bottom"/>
            <w:gridSpan w:val="14"/>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1900" w:type="dxa"/>
            <w:vAlign w:val="bottom"/>
            <w:tcBorders>
              <w:bottom w:val="single" w:sz="8" w:color="0000EE"/>
            </w:tcBorders>
            <w:gridSpan w:val="7"/>
            <w:vMerge w:val="continue"/>
          </w:tcPr>
          <w:p>
            <w:pPr>
              <w:spacing w:after="0"/>
              <w:rPr>
                <w:sz w:val="15"/>
                <w:szCs w:val="15"/>
                <w:color w:val="auto"/>
              </w:rPr>
            </w:pPr>
          </w:p>
        </w:tc>
        <w:tc>
          <w:tcPr>
            <w:tcW w:w="6520" w:type="dxa"/>
            <w:vAlign w:val="bottom"/>
            <w:gridSpan w:val="17"/>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61"/>
        </w:trPr>
        <w:tc>
          <w:tcPr>
            <w:tcW w:w="118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0000EE"/>
                <w:w w:val="96"/>
              </w:rPr>
              <w:t>Item 6. Exhibits.</w:t>
            </w:r>
          </w:p>
        </w:tc>
        <w:tc>
          <w:tcPr>
            <w:tcW w:w="720" w:type="dxa"/>
            <w:vAlign w:val="bottom"/>
            <w:gridSpan w:val="2"/>
          </w:tcPr>
          <w:p>
            <w:pPr>
              <w:spacing w:after="0"/>
              <w:rPr>
                <w:sz w:val="5"/>
                <w:szCs w:val="5"/>
                <w:color w:val="auto"/>
              </w:rPr>
            </w:pPr>
          </w:p>
        </w:tc>
        <w:tc>
          <w:tcPr>
            <w:tcW w:w="6520" w:type="dxa"/>
            <w:vAlign w:val="bottom"/>
            <w:gridSpan w:val="17"/>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1180" w:type="dxa"/>
            <w:vAlign w:val="bottom"/>
            <w:tcBorders>
              <w:bottom w:val="single" w:sz="8" w:color="0000EE"/>
            </w:tcBorders>
            <w:gridSpan w:val="5"/>
            <w:vMerge w:val="continue"/>
          </w:tcPr>
          <w:p>
            <w:pPr>
              <w:spacing w:after="0"/>
              <w:rPr>
                <w:sz w:val="15"/>
                <w:szCs w:val="15"/>
                <w:color w:val="auto"/>
              </w:rPr>
            </w:pPr>
          </w:p>
        </w:tc>
        <w:tc>
          <w:tcPr>
            <w:tcW w:w="7240" w:type="dxa"/>
            <w:vAlign w:val="bottom"/>
            <w:gridSpan w:val="19"/>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61"/>
        </w:trPr>
        <w:tc>
          <w:tcPr>
            <w:tcW w:w="7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0000EE"/>
                <w:w w:val="94"/>
              </w:rPr>
              <w:t>Signatures</w:t>
            </w:r>
          </w:p>
        </w:tc>
        <w:tc>
          <w:tcPr>
            <w:tcW w:w="440" w:type="dxa"/>
            <w:vAlign w:val="bottom"/>
            <w:gridSpan w:val="2"/>
          </w:tcPr>
          <w:p>
            <w:pPr>
              <w:spacing w:after="0"/>
              <w:rPr>
                <w:sz w:val="5"/>
                <w:szCs w:val="5"/>
                <w:color w:val="auto"/>
              </w:rPr>
            </w:pPr>
          </w:p>
        </w:tc>
        <w:tc>
          <w:tcPr>
            <w:tcW w:w="7240" w:type="dxa"/>
            <w:vAlign w:val="bottom"/>
            <w:gridSpan w:val="19"/>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740" w:type="dxa"/>
            <w:vAlign w:val="bottom"/>
            <w:tcBorders>
              <w:bottom w:val="single" w:sz="8" w:color="0000EE"/>
            </w:tcBorders>
            <w:gridSpan w:val="3"/>
            <w:vMerge w:val="continue"/>
          </w:tcPr>
          <w:p>
            <w:pPr>
              <w:spacing w:after="0"/>
              <w:rPr>
                <w:sz w:val="15"/>
                <w:szCs w:val="15"/>
                <w:color w:val="auto"/>
              </w:rPr>
            </w:pPr>
          </w:p>
        </w:tc>
        <w:tc>
          <w:tcPr>
            <w:tcW w:w="7680" w:type="dxa"/>
            <w:vAlign w:val="bottom"/>
            <w:gridSpan w:val="21"/>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61"/>
        </w:trPr>
        <w:tc>
          <w:tcPr>
            <w:tcW w:w="740" w:type="dxa"/>
            <w:vAlign w:val="bottom"/>
            <w:gridSpan w:val="3"/>
          </w:tcPr>
          <w:p>
            <w:pPr>
              <w:spacing w:after="0"/>
              <w:rPr>
                <w:sz w:val="5"/>
                <w:szCs w:val="5"/>
                <w:color w:val="auto"/>
              </w:rPr>
            </w:pPr>
          </w:p>
        </w:tc>
        <w:tc>
          <w:tcPr>
            <w:tcW w:w="7680" w:type="dxa"/>
            <w:vAlign w:val="bottom"/>
            <w:gridSpan w:val="21"/>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ind w:left="1580" w:right="1600"/>
        <w:spacing w:after="0" w:line="385" w:lineRule="auto"/>
        <w:rPr>
          <w:sz w:val="20"/>
          <w:szCs w:val="20"/>
          <w:color w:val="auto"/>
        </w:rPr>
      </w:pPr>
      <w:r>
        <w:rPr>
          <w:rFonts w:ascii="Times New Roman" w:cs="Times New Roman" w:eastAsia="Times New Roman" w:hAnsi="Times New Roman"/>
          <w:sz w:val="18"/>
          <w:szCs w:val="18"/>
          <w:b w:val="1"/>
          <w:bCs w:val="1"/>
          <w:color w:val="auto"/>
        </w:rPr>
        <w:t>EL POLLO LOCO HOLDINGS, INC. CONDENSED CONSOLIDATED BALANCE SHEETS (UNAUDITED) (Amounts in thousands, except share data)</w:t>
      </w:r>
    </w:p>
    <w:tbl>
      <w:tblPr>
        <w:tblLayout w:type="fixed"/>
        <w:tblInd w:w="40" w:type="dxa"/>
        <w:tblCellMar>
          <w:top w:w="0" w:type="dxa"/>
          <w:left w:w="0" w:type="dxa"/>
          <w:bottom w:w="0" w:type="dxa"/>
          <w:right w:w="0" w:type="dxa"/>
        </w:tblCellMar>
      </w:tblPr>
      <w:tr>
        <w:trPr>
          <w:trHeight w:val="149"/>
        </w:trPr>
        <w:tc>
          <w:tcPr>
            <w:tcW w:w="6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June 29,</w:t>
            </w:r>
          </w:p>
        </w:tc>
        <w:tc>
          <w:tcPr>
            <w:tcW w:w="120" w:type="dxa"/>
            <w:vAlign w:val="bottom"/>
          </w:tcPr>
          <w:p>
            <w:pPr>
              <w:spacing w:after="0"/>
              <w:rPr>
                <w:sz w:val="12"/>
                <w:szCs w:val="12"/>
                <w:color w:val="auto"/>
              </w:rPr>
            </w:pPr>
          </w:p>
        </w:tc>
        <w:tc>
          <w:tcPr>
            <w:tcW w:w="1020" w:type="dxa"/>
            <w:vAlign w:val="bottom"/>
          </w:tcPr>
          <w:p>
            <w:pPr>
              <w:jc w:val="right"/>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December 29,</w:t>
            </w:r>
          </w:p>
        </w:tc>
      </w:tr>
      <w:tr>
        <w:trPr>
          <w:trHeight w:val="173"/>
        </w:trPr>
        <w:tc>
          <w:tcPr>
            <w:tcW w:w="63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3"/>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34,311</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30,046</w:t>
            </w:r>
          </w:p>
        </w:tc>
      </w:tr>
      <w:tr>
        <w:trPr>
          <w:trHeight w:val="203"/>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and other receivables, net</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13,999</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13,407</w:t>
            </w:r>
          </w:p>
        </w:tc>
      </w:tr>
      <w:tr>
        <w:trPr>
          <w:trHeight w:val="20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Inventories</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2,250</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2,318</w:t>
            </w:r>
          </w:p>
        </w:tc>
      </w:tr>
      <w:tr>
        <w:trPr>
          <w:trHeight w:val="203"/>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3,470</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3,732</w:t>
            </w:r>
          </w:p>
        </w:tc>
      </w:tr>
      <w:tr>
        <w:trPr>
          <w:trHeight w:val="20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receivable</w:t>
            </w: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w:t>
            </w:r>
          </w:p>
        </w:tc>
        <w:tc>
          <w:tcPr>
            <w:tcW w:w="2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55,458</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49,503</w:t>
            </w:r>
          </w:p>
        </w:tc>
      </w:tr>
      <w:tr>
        <w:trPr>
          <w:trHeight w:val="20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76,073</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75,668</w:t>
            </w:r>
          </w:p>
        </w:tc>
      </w:tr>
      <w:tr>
        <w:trPr>
          <w:trHeight w:val="203"/>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held under finance lease, net</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1,598</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1,635</w:t>
            </w:r>
          </w:p>
        </w:tc>
      </w:tr>
      <w:tr>
        <w:trPr>
          <w:trHeight w:val="20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held under operating leases, net ("ROU asset")</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170,816</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171,981</w:t>
            </w:r>
          </w:p>
        </w:tc>
      </w:tr>
      <w:tr>
        <w:trPr>
          <w:trHeight w:val="203"/>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248,674</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248,674</w:t>
            </w:r>
          </w:p>
        </w:tc>
      </w:tr>
      <w:tr>
        <w:trPr>
          <w:trHeight w:val="20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Trademarks</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61,888</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61,888</w:t>
            </w:r>
          </w:p>
        </w:tc>
      </w:tr>
      <w:tr>
        <w:trPr>
          <w:trHeight w:val="203"/>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2,017</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2,245</w:t>
            </w:r>
          </w:p>
        </w:tc>
      </w:tr>
      <w:tr>
        <w:trPr>
          <w:trHeight w:val="20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2,879</w:t>
            </w:r>
          </w:p>
        </w:tc>
        <w:tc>
          <w:tcPr>
            <w:tcW w:w="2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2,192</w:t>
            </w:r>
          </w:p>
        </w:tc>
      </w:tr>
      <w:tr>
        <w:trPr>
          <w:trHeight w:val="236"/>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619,403</w:t>
            </w:r>
          </w:p>
        </w:tc>
        <w:tc>
          <w:tcPr>
            <w:tcW w:w="2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613,786</w:t>
            </w:r>
          </w:p>
        </w:tc>
      </w:tr>
      <w:tr>
        <w:trPr>
          <w:trHeight w:val="183"/>
        </w:trPr>
        <w:tc>
          <w:tcPr>
            <w:tcW w:w="632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03"/>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portion of obligations under finance leases</w:t>
            </w: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r>
      <w:tr>
        <w:trPr>
          <w:trHeight w:val="203"/>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portion of obligations under operating leases</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20,154</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19,959</w:t>
            </w:r>
          </w:p>
        </w:tc>
      </w:tr>
      <w:tr>
        <w:trPr>
          <w:trHeight w:val="20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9,288</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10,626</w:t>
            </w:r>
          </w:p>
        </w:tc>
      </w:tr>
      <w:tr>
        <w:trPr>
          <w:trHeight w:val="203"/>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salaries and vacation</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9,648</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11,539</w:t>
            </w:r>
          </w:p>
        </w:tc>
      </w:tr>
      <w:tr>
        <w:trPr>
          <w:trHeight w:val="20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insurance</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11,474</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11,193</w:t>
            </w:r>
          </w:p>
        </w:tc>
      </w:tr>
      <w:tr>
        <w:trPr>
          <w:trHeight w:val="203"/>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income taxes payable</w:t>
            </w:r>
          </w:p>
        </w:tc>
        <w:tc>
          <w:tcPr>
            <w:tcW w:w="200" w:type="dxa"/>
            <w:vAlign w:val="bottom"/>
          </w:tcPr>
          <w:p>
            <w:pPr>
              <w:spacing w:after="0"/>
              <w:rPr>
                <w:sz w:val="17"/>
                <w:szCs w:val="17"/>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889</w:t>
            </w:r>
          </w:p>
        </w:tc>
      </w:tr>
      <w:tr>
        <w:trPr>
          <w:trHeight w:val="20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portion of income tax receivable agreement payable</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w:t>
            </w:r>
          </w:p>
        </w:tc>
      </w:tr>
      <w:tr>
        <w:trPr>
          <w:trHeight w:val="203"/>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accrued expenses and current liabilities</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19,020</w:t>
            </w:r>
          </w:p>
        </w:tc>
        <w:tc>
          <w:tcPr>
            <w:tcW w:w="2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19,796</w:t>
            </w:r>
          </w:p>
        </w:tc>
      </w:tr>
      <w:tr>
        <w:trPr>
          <w:trHeight w:val="196"/>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70,133</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74,582</w:t>
            </w:r>
          </w:p>
        </w:tc>
      </w:tr>
      <w:tr>
        <w:trPr>
          <w:trHeight w:val="203"/>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Revolver loan</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w:t>
            </w:r>
          </w:p>
        </w:tc>
      </w:tr>
      <w:tr>
        <w:trPr>
          <w:trHeight w:val="20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Obligations under finance leases, net of current portion</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1,681</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1,712</w:t>
            </w:r>
          </w:p>
        </w:tc>
      </w:tr>
      <w:tr>
        <w:trPr>
          <w:trHeight w:val="203"/>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Obligations under operating leases, net of current portion</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170,354</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171,651</w:t>
            </w:r>
          </w:p>
        </w:tc>
      </w:tr>
      <w:tr>
        <w:trPr>
          <w:trHeight w:val="20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taxes</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6,712</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5,464</w:t>
            </w:r>
          </w:p>
        </w:tc>
      </w:tr>
      <w:tr>
        <w:trPr>
          <w:trHeight w:val="203"/>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receivable agreement payable, net of current portion</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1,101</w:t>
            </w:r>
          </w:p>
        </w:tc>
      </w:tr>
      <w:tr>
        <w:trPr>
          <w:trHeight w:val="20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5,898</w:t>
            </w:r>
          </w:p>
        </w:tc>
        <w:tc>
          <w:tcPr>
            <w:tcW w:w="2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8,653</w:t>
            </w:r>
          </w:p>
        </w:tc>
      </w:tr>
      <w:tr>
        <w:trPr>
          <w:trHeight w:val="196"/>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295,560</w:t>
            </w:r>
          </w:p>
        </w:tc>
        <w:tc>
          <w:tcPr>
            <w:tcW w:w="2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303,163</w:t>
            </w:r>
          </w:p>
        </w:tc>
      </w:tr>
      <w:tr>
        <w:trPr>
          <w:trHeight w:val="196"/>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and contingencies (Note 7)</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3"/>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stock, $0.01 par value, 100,000,000 shares authorized; none issued or outstanding</w:t>
            </w: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$0.01 par value, 200,000,000 shares authorized; 37,002,513 and 36,601,648</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3"/>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issued and outstanding as June 29, 2022 and December 29, 2021, respectively</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w:t>
            </w:r>
          </w:p>
        </w:tc>
      </w:tr>
      <w:tr>
        <w:trPr>
          <w:trHeight w:val="206"/>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Additional paid-in-capital</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346,095</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342,941</w:t>
            </w:r>
          </w:p>
        </w:tc>
      </w:tr>
      <w:tr>
        <w:trPr>
          <w:trHeight w:val="203"/>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20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(23,137)</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(32,393)</w:t>
            </w:r>
          </w:p>
        </w:tc>
      </w:tr>
      <w:tr>
        <w:trPr>
          <w:trHeight w:val="20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2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w:t>
            </w:r>
          </w:p>
        </w:tc>
      </w:tr>
      <w:tr>
        <w:trPr>
          <w:trHeight w:val="196"/>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323,843</w:t>
            </w:r>
          </w:p>
        </w:tc>
        <w:tc>
          <w:tcPr>
            <w:tcW w:w="2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310,623</w:t>
            </w:r>
          </w:p>
        </w:tc>
      </w:tr>
      <w:tr>
        <w:trPr>
          <w:trHeight w:val="196"/>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619,403</w:t>
            </w:r>
          </w:p>
        </w:tc>
        <w:tc>
          <w:tcPr>
            <w:tcW w:w="2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613,786</w:t>
            </w:r>
          </w:p>
        </w:tc>
      </w:tr>
      <w:tr>
        <w:trPr>
          <w:trHeight w:val="20"/>
        </w:trPr>
        <w:tc>
          <w:tcPr>
            <w:tcW w:w="6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 (unaudited).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(UNAUDITED)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200" w:lineRule="exact"/>
        <w:rPr>
          <w:sz w:val="20"/>
          <w:szCs w:val="20"/>
          <w:color w:val="auto"/>
        </w:rPr>
      </w:pP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2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80" w:type="dxa"/>
            <w:vAlign w:val="bottom"/>
          </w:tcPr>
          <w:p>
            <w:pPr>
              <w:spacing w:after="0"/>
              <w:rPr>
                <w:sz w:val="15"/>
                <w:szCs w:val="15"/>
                <w:color w:val="auto"/>
              </w:rPr>
            </w:pPr>
          </w:p>
        </w:tc>
        <w:tc>
          <w:tcPr>
            <w:tcW w:w="220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142"/>
        </w:trPr>
        <w:tc>
          <w:tcPr>
            <w:tcW w:w="43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June 29, 2022</w:t>
            </w: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June 30, 2021</w:t>
            </w: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June 29, 2022</w:t>
            </w: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11"/>
              <w:spacing w:after="0" w:line="142" w:lineRule="exact"/>
              <w:rPr>
                <w:sz w:val="20"/>
                <w:szCs w:val="20"/>
                <w:color w:val="auto"/>
              </w:rPr>
            </w:pPr>
            <w:r>
              <w:rPr>
                <w:rFonts w:ascii="Times New Roman" w:cs="Times New Roman" w:eastAsia="Times New Roman" w:hAnsi="Times New Roman"/>
                <w:sz w:val="14"/>
                <w:szCs w:val="14"/>
                <w:b w:val="1"/>
                <w:bCs w:val="1"/>
                <w:color w:val="auto"/>
              </w:rPr>
              <w:t>June 30, 2021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Company-operated restaurant revenue</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106,454</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106,970</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200,411</w:t>
            </w:r>
          </w:p>
        </w:tc>
        <w:tc>
          <w:tcPr>
            <w:tcW w:w="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201,131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revenue</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Franchise advertising fee revenue</w:t>
            </w: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7,593</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6,626</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14,429</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12,574</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124,111</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121,985</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234,159</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229,706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 of operations</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Food and paper cost</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59,423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52,273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 and related expenses</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31,526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65,687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62,258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Occupancy and other operating expenses</w:t>
            </w: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25,832</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25,336</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49,677</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49,180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Company restaurant expenses</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84,744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174,787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163,711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Franchise expenses</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assets held for sale</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Impairment and closed-store reserves</w:t>
            </w: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113,682</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109,314</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220,410</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211,034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receivable agreement expense (income)</w:t>
            </w: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0"/>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provision for income taxes</w:t>
            </w: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12,211</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13,216</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17,772</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3,055</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3,393</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3,960</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4,990</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7,141</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8,818</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12,782</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w:t>
            </w: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32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Weighted-average shares used in computing net</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per share</w:t>
            </w: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36,331,099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35,927,781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36,278,423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35,861,493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36,473,960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36,416,686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36,478,808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36,423,394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(UNAUDITED)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00" w:lineRule="exact"/>
        <w:rPr>
          <w:sz w:val="20"/>
          <w:szCs w:val="20"/>
          <w:color w:val="auto"/>
        </w:rPr>
      </w:pP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2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40" w:type="dxa"/>
            <w:vAlign w:val="bottom"/>
          </w:tcPr>
          <w:p>
            <w:pPr>
              <w:spacing w:after="0"/>
              <w:rPr>
                <w:sz w:val="15"/>
                <w:szCs w:val="15"/>
                <w:color w:val="auto"/>
              </w:rPr>
            </w:pPr>
          </w:p>
        </w:tc>
        <w:tc>
          <w:tcPr>
            <w:tcW w:w="202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142"/>
        </w:trPr>
        <w:tc>
          <w:tcPr>
            <w:tcW w:w="4660" w:type="dxa"/>
            <w:vAlign w:val="bottom"/>
          </w:tcPr>
          <w:p>
            <w:pPr>
              <w:spacing w:after="0"/>
              <w:rPr>
                <w:sz w:val="12"/>
                <w:szCs w:val="12"/>
                <w:color w:val="auto"/>
              </w:rPr>
            </w:pPr>
          </w:p>
        </w:tc>
        <w:tc>
          <w:tcPr>
            <w:tcW w:w="1060" w:type="dxa"/>
            <w:vAlign w:val="bottom"/>
            <w:tcBorders>
              <w:top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June 29, 2022</w:t>
            </w:r>
          </w:p>
        </w:tc>
        <w:tc>
          <w:tcPr>
            <w:tcW w:w="84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June 30, 2021</w:t>
            </w:r>
          </w:p>
        </w:tc>
        <w:tc>
          <w:tcPr>
            <w:tcW w:w="180" w:type="dxa"/>
            <w:vAlign w:val="bottom"/>
          </w:tcPr>
          <w:p>
            <w:pPr>
              <w:spacing w:after="0"/>
              <w:rPr>
                <w:sz w:val="12"/>
                <w:szCs w:val="12"/>
                <w:color w:val="auto"/>
              </w:rPr>
            </w:pPr>
          </w:p>
        </w:tc>
        <w:tc>
          <w:tcPr>
            <w:tcW w:w="1120" w:type="dxa"/>
            <w:vAlign w:val="bottom"/>
            <w:tcBorders>
              <w:top w:val="single" w:sz="8" w:color="auto"/>
            </w:tcBorders>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June 29, 2022</w:t>
            </w:r>
          </w:p>
        </w:tc>
        <w:tc>
          <w:tcPr>
            <w:tcW w:w="8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June 30, 2021</w:t>
            </w:r>
          </w:p>
        </w:tc>
        <w:tc>
          <w:tcPr>
            <w:tcW w:w="180" w:type="dxa"/>
            <w:vAlign w:val="bottom"/>
          </w:tcPr>
          <w:p>
            <w:pPr>
              <w:spacing w:after="0"/>
              <w:rPr>
                <w:sz w:val="12"/>
                <w:szCs w:val="12"/>
                <w:color w:val="auto"/>
              </w:rPr>
            </w:pPr>
          </w:p>
        </w:tc>
      </w:tr>
      <w:tr>
        <w:trPr>
          <w:trHeight w:val="209"/>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7,141</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9,256</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12,782</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Changes in derivative instruments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198"/>
        </w:trPr>
        <w:tc>
          <w:tcPr>
            <w:tcW w:w="466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Unrealized net gains arising during the period from</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4"/>
        </w:trPr>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rate swap</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80" w:type="dxa"/>
            <w:vAlign w:val="bottom"/>
          </w:tcPr>
          <w:p>
            <w:pPr>
              <w:spacing w:after="0"/>
              <w:rPr>
                <w:sz w:val="20"/>
                <w:szCs w:val="20"/>
                <w:color w:val="auto"/>
              </w:rPr>
            </w:pPr>
          </w:p>
        </w:tc>
      </w:tr>
      <w:tr>
        <w:trPr>
          <w:trHeight w:val="216"/>
        </w:trPr>
        <w:tc>
          <w:tcPr>
            <w:tcW w:w="4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Reclassifications of losses into net income</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80" w:type="dxa"/>
            <w:vAlign w:val="bottom"/>
            <w:shd w:val="clear" w:color="auto" w:fill="CCEEFF"/>
          </w:tcPr>
          <w:p>
            <w:pPr>
              <w:spacing w:after="0"/>
              <w:rPr>
                <w:sz w:val="18"/>
                <w:szCs w:val="18"/>
                <w:color w:val="auto"/>
              </w:rPr>
            </w:pPr>
          </w:p>
        </w:tc>
      </w:tr>
      <w:tr>
        <w:trPr>
          <w:trHeight w:val="216"/>
        </w:trPr>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(108)</w:t>
            </w:r>
          </w:p>
        </w:tc>
        <w:tc>
          <w:tcPr>
            <w:tcW w:w="2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(297)</w:t>
            </w:r>
          </w:p>
        </w:tc>
        <w:tc>
          <w:tcPr>
            <w:tcW w:w="2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(84)</w:t>
            </w:r>
          </w:p>
        </w:tc>
      </w:tr>
      <w:tr>
        <w:trPr>
          <w:trHeight w:val="209"/>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80" w:type="dxa"/>
            <w:vAlign w:val="bottom"/>
            <w:tcBorders>
              <w:top w:val="single" w:sz="8" w:color="CCEEFF"/>
            </w:tcBorders>
            <w:shd w:val="clear" w:color="auto" w:fill="CCEEFF"/>
          </w:tcPr>
          <w:p>
            <w:pPr>
              <w:spacing w:after="0"/>
              <w:rPr>
                <w:sz w:val="18"/>
                <w:szCs w:val="18"/>
                <w:color w:val="auto"/>
              </w:rPr>
            </w:pPr>
          </w:p>
        </w:tc>
      </w:tr>
      <w:tr>
        <w:trPr>
          <w:trHeight w:val="20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7,435</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8,903</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10,062</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13,008</w:t>
            </w:r>
          </w:p>
        </w:tc>
        <w:tc>
          <w:tcPr>
            <w:tcW w:w="180" w:type="dxa"/>
            <w:vAlign w:val="bottom"/>
          </w:tcPr>
          <w:p>
            <w:pPr>
              <w:spacing w:after="0"/>
              <w:rPr>
                <w:sz w:val="18"/>
                <w:szCs w:val="18"/>
                <w:color w:val="auto"/>
              </w:rPr>
            </w:pPr>
          </w:p>
        </w:tc>
      </w:tr>
      <w:tr>
        <w:trPr>
          <w:trHeight w:val="20"/>
        </w:trPr>
        <w:tc>
          <w:tcPr>
            <w:tcW w:w="4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1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10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Thirteen Weeks Ended June 29, 2022</w:t>
            </w: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3"/>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60" w:type="dxa"/>
            <w:vAlign w:val="bottom"/>
          </w:tcPr>
          <w:p>
            <w:pPr>
              <w:spacing w:after="0"/>
              <w:rPr>
                <w:sz w:val="10"/>
                <w:szCs w:val="10"/>
                <w:color w:val="auto"/>
              </w:rPr>
            </w:pPr>
          </w:p>
        </w:tc>
        <w:tc>
          <w:tcPr>
            <w:tcW w:w="720" w:type="dxa"/>
            <w:vAlign w:val="bottom"/>
            <w:vMerge w:val="restart"/>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13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2"/>
                <w:szCs w:val="12"/>
                <w:color w:val="auto"/>
              </w:rPr>
            </w:pPr>
          </w:p>
        </w:tc>
        <w:tc>
          <w:tcPr>
            <w:tcW w:w="8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100" w:type="dxa"/>
            <w:vAlign w:val="bottom"/>
          </w:tcPr>
          <w:p>
            <w:pPr>
              <w:spacing w:after="0"/>
              <w:rPr>
                <w:sz w:val="15"/>
                <w:szCs w:val="15"/>
                <w:color w:val="auto"/>
              </w:rPr>
            </w:pPr>
          </w:p>
        </w:tc>
        <w:tc>
          <w:tcPr>
            <w:tcW w:w="1380" w:type="dxa"/>
            <w:vAlign w:val="bottom"/>
            <w:tcBorders>
              <w:bottom w:val="single" w:sz="8" w:color="auto"/>
            </w:tcBorders>
            <w:gridSpan w:val="3"/>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980" w:type="dxa"/>
            <w:vAlign w:val="bottom"/>
            <w:gridSpan w:val="3"/>
            <w:vMerge w:val="continue"/>
          </w:tcPr>
          <w:p>
            <w:pPr>
              <w:spacing w:after="0"/>
              <w:rPr>
                <w:sz w:val="15"/>
                <w:szCs w:val="15"/>
                <w:color w:val="auto"/>
              </w:rPr>
            </w:pPr>
          </w:p>
        </w:tc>
        <w:tc>
          <w:tcPr>
            <w:tcW w:w="11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1060" w:type="dxa"/>
            <w:vAlign w:val="bottom"/>
            <w:gridSpan w:val="2"/>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92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2"/>
                <w:szCs w:val="12"/>
                <w:color w:val="auto"/>
              </w:rPr>
            </w:pPr>
          </w:p>
        </w:tc>
        <w:tc>
          <w:tcPr>
            <w:tcW w:w="82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40" w:type="dxa"/>
            <w:vAlign w:val="bottom"/>
          </w:tcPr>
          <w:p>
            <w:pPr>
              <w:spacing w:after="0"/>
              <w:rPr>
                <w:sz w:val="12"/>
                <w:szCs w:val="12"/>
                <w:color w:val="auto"/>
              </w:rPr>
            </w:pPr>
          </w:p>
        </w:tc>
        <w:tc>
          <w:tcPr>
            <w:tcW w:w="880" w:type="dxa"/>
            <w:vAlign w:val="bottom"/>
            <w:gridSpan w:val="2"/>
          </w:tcPr>
          <w:p>
            <w:pPr>
              <w:jc w:val="center"/>
              <w:ind w:right="400"/>
              <w:spacing w:after="0" w:line="142" w:lineRule="exact"/>
              <w:rPr>
                <w:sz w:val="20"/>
                <w:szCs w:val="20"/>
                <w:color w:val="auto"/>
              </w:rPr>
            </w:pPr>
            <w:r>
              <w:rPr>
                <w:rFonts w:ascii="Times New Roman" w:cs="Times New Roman" w:eastAsia="Times New Roman" w:hAnsi="Times New Roman"/>
                <w:sz w:val="14"/>
                <w:szCs w:val="14"/>
                <w:b w:val="1"/>
                <w:bCs w:val="1"/>
                <w:color w:val="auto"/>
                <w:w w:val="99"/>
              </w:rPr>
              <w:t>Income</w:t>
            </w:r>
          </w:p>
        </w:tc>
        <w:tc>
          <w:tcPr>
            <w:tcW w:w="160" w:type="dxa"/>
            <w:vAlign w:val="bottom"/>
          </w:tcPr>
          <w:p>
            <w:pPr>
              <w:spacing w:after="0"/>
              <w:rPr>
                <w:sz w:val="12"/>
                <w:szCs w:val="12"/>
                <w:color w:val="auto"/>
              </w:rPr>
            </w:pPr>
          </w:p>
        </w:tc>
        <w:tc>
          <w:tcPr>
            <w:tcW w:w="720" w:type="dxa"/>
            <w:vAlign w:val="bottom"/>
          </w:tcPr>
          <w:p>
            <w:pPr>
              <w:jc w:val="center"/>
              <w:ind w:right="73"/>
              <w:spacing w:after="0" w:line="142"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09"/>
        </w:trPr>
        <w:tc>
          <w:tcPr>
            <w:tcW w:w="3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March 30, 2022</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36,743,496</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$ 345,296</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(30,278)</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315,606</w:t>
            </w:r>
          </w:p>
        </w:tc>
        <w:tc>
          <w:tcPr>
            <w:tcW w:w="0" w:type="dxa"/>
            <w:vAlign w:val="bottom"/>
          </w:tcPr>
          <w:p>
            <w:pPr>
              <w:spacing w:after="0"/>
              <w:rPr>
                <w:sz w:val="1"/>
                <w:szCs w:val="1"/>
                <w:color w:val="auto"/>
              </w:rPr>
            </w:pPr>
          </w:p>
        </w:tc>
      </w:tr>
      <w:tr>
        <w:trPr>
          <w:trHeight w:val="216"/>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0" w:type="dxa"/>
            <w:vAlign w:val="bottom"/>
          </w:tcPr>
          <w:p>
            <w:pPr>
              <w:spacing w:after="0"/>
              <w:rPr>
                <w:sz w:val="1"/>
                <w:szCs w:val="1"/>
                <w:color w:val="auto"/>
              </w:rPr>
            </w:pPr>
          </w:p>
        </w:tc>
      </w:tr>
      <w:tr>
        <w:trPr>
          <w:trHeight w:val="198"/>
        </w:trPr>
        <w:tc>
          <w:tcPr>
            <w:tcW w:w="310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Issuance of common stock related to</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shares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298,638</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1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Issuance of common stock upon</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8,627</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98"/>
        </w:trPr>
        <w:tc>
          <w:tcPr>
            <w:tcW w:w="310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Shares repurchased for employee tax</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withholdings</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(20,317)</w:t>
            </w:r>
          </w:p>
        </w:tc>
        <w:tc>
          <w:tcPr>
            <w:tcW w:w="32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(218)</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198"/>
        </w:trPr>
        <w:tc>
          <w:tcPr>
            <w:tcW w:w="31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Forfeiture of common stock related to</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shares</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(27,931)</w:t>
            </w:r>
          </w:p>
        </w:tc>
        <w:tc>
          <w:tcPr>
            <w:tcW w:w="3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16"/>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7,141</w:t>
            </w:r>
          </w:p>
        </w:tc>
        <w:tc>
          <w:tcPr>
            <w:tcW w:w="0" w:type="dxa"/>
            <w:vAlign w:val="bottom"/>
          </w:tcPr>
          <w:p>
            <w:pPr>
              <w:spacing w:after="0"/>
              <w:rPr>
                <w:sz w:val="1"/>
                <w:szCs w:val="1"/>
                <w:color w:val="auto"/>
              </w:rPr>
            </w:pPr>
          </w:p>
        </w:tc>
      </w:tr>
      <w:tr>
        <w:trPr>
          <w:trHeight w:val="209"/>
        </w:trPr>
        <w:tc>
          <w:tcPr>
            <w:tcW w:w="3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June 29, 2022</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37,002,513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$ 346,095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323,843</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1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Thirteen Weeks Ended June 30, 2021</w:t>
            </w: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3"/>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60" w:type="dxa"/>
            <w:vAlign w:val="bottom"/>
          </w:tcPr>
          <w:p>
            <w:pPr>
              <w:spacing w:after="0"/>
              <w:rPr>
                <w:sz w:val="10"/>
                <w:szCs w:val="10"/>
                <w:color w:val="auto"/>
              </w:rPr>
            </w:pPr>
          </w:p>
        </w:tc>
        <w:tc>
          <w:tcPr>
            <w:tcW w:w="720" w:type="dxa"/>
            <w:vAlign w:val="bottom"/>
            <w:vMerge w:val="restart"/>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13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2"/>
                <w:szCs w:val="12"/>
                <w:color w:val="auto"/>
              </w:rPr>
            </w:pPr>
          </w:p>
        </w:tc>
        <w:tc>
          <w:tcPr>
            <w:tcW w:w="8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100" w:type="dxa"/>
            <w:vAlign w:val="bottom"/>
          </w:tcPr>
          <w:p>
            <w:pPr>
              <w:spacing w:after="0"/>
              <w:rPr>
                <w:sz w:val="15"/>
                <w:szCs w:val="15"/>
                <w:color w:val="auto"/>
              </w:rPr>
            </w:pPr>
          </w:p>
        </w:tc>
        <w:tc>
          <w:tcPr>
            <w:tcW w:w="1380" w:type="dxa"/>
            <w:vAlign w:val="bottom"/>
            <w:tcBorders>
              <w:bottom w:val="single" w:sz="8" w:color="auto"/>
            </w:tcBorders>
            <w:gridSpan w:val="3"/>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980" w:type="dxa"/>
            <w:vAlign w:val="bottom"/>
            <w:gridSpan w:val="3"/>
            <w:vMerge w:val="continue"/>
          </w:tcPr>
          <w:p>
            <w:pPr>
              <w:spacing w:after="0"/>
              <w:rPr>
                <w:sz w:val="15"/>
                <w:szCs w:val="15"/>
                <w:color w:val="auto"/>
              </w:rPr>
            </w:pPr>
          </w:p>
        </w:tc>
        <w:tc>
          <w:tcPr>
            <w:tcW w:w="11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1060" w:type="dxa"/>
            <w:vAlign w:val="bottom"/>
            <w:gridSpan w:val="2"/>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92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2"/>
                <w:szCs w:val="12"/>
                <w:color w:val="auto"/>
              </w:rPr>
            </w:pPr>
          </w:p>
        </w:tc>
        <w:tc>
          <w:tcPr>
            <w:tcW w:w="82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40" w:type="dxa"/>
            <w:vAlign w:val="bottom"/>
          </w:tcPr>
          <w:p>
            <w:pPr>
              <w:spacing w:after="0"/>
              <w:rPr>
                <w:sz w:val="12"/>
                <w:szCs w:val="12"/>
                <w:color w:val="auto"/>
              </w:rPr>
            </w:pPr>
          </w:p>
        </w:tc>
        <w:tc>
          <w:tcPr>
            <w:tcW w:w="880" w:type="dxa"/>
            <w:vAlign w:val="bottom"/>
            <w:gridSpan w:val="2"/>
          </w:tcPr>
          <w:p>
            <w:pPr>
              <w:jc w:val="center"/>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2"/>
                <w:szCs w:val="12"/>
                <w:color w:val="auto"/>
              </w:rPr>
            </w:pPr>
          </w:p>
        </w:tc>
        <w:tc>
          <w:tcPr>
            <w:tcW w:w="720" w:type="dxa"/>
            <w:vAlign w:val="bottom"/>
          </w:tcPr>
          <w:p>
            <w:pPr>
              <w:jc w:val="center"/>
              <w:ind w:right="73"/>
              <w:spacing w:after="0" w:line="142"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3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March 31, 2021</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36,478,683</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$ 340,739</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(57,550)</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282,862</w:t>
            </w:r>
          </w:p>
        </w:tc>
        <w:tc>
          <w:tcPr>
            <w:tcW w:w="0" w:type="dxa"/>
            <w:vAlign w:val="bottom"/>
          </w:tcPr>
          <w:p>
            <w:pPr>
              <w:spacing w:after="0"/>
              <w:rPr>
                <w:sz w:val="1"/>
                <w:szCs w:val="1"/>
                <w:color w:val="auto"/>
              </w:rPr>
            </w:pPr>
          </w:p>
        </w:tc>
      </w:tr>
      <w:tr>
        <w:trPr>
          <w:trHeight w:val="216"/>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0" w:type="dxa"/>
            <w:vAlign w:val="bottom"/>
          </w:tcPr>
          <w:p>
            <w:pPr>
              <w:spacing w:after="0"/>
              <w:rPr>
                <w:sz w:val="1"/>
                <w:szCs w:val="1"/>
                <w:color w:val="auto"/>
              </w:rPr>
            </w:pPr>
          </w:p>
        </w:tc>
      </w:tr>
      <w:tr>
        <w:trPr>
          <w:trHeight w:val="198"/>
        </w:trPr>
        <w:tc>
          <w:tcPr>
            <w:tcW w:w="310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Issuance of common stock related to</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shares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206,098</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1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Issuance of common stock upon</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30,125</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198"/>
        </w:trPr>
        <w:tc>
          <w:tcPr>
            <w:tcW w:w="310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Shares repurchased for employee tax</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withholdings</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(37,938)</w:t>
            </w:r>
          </w:p>
        </w:tc>
        <w:tc>
          <w:tcPr>
            <w:tcW w:w="32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(660)</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0" w:type="dxa"/>
            <w:vAlign w:val="bottom"/>
          </w:tcPr>
          <w:p>
            <w:pPr>
              <w:spacing w:after="0"/>
              <w:rPr>
                <w:sz w:val="1"/>
                <w:szCs w:val="1"/>
                <w:color w:val="auto"/>
              </w:rPr>
            </w:pPr>
          </w:p>
        </w:tc>
      </w:tr>
      <w:tr>
        <w:trPr>
          <w:trHeight w:val="198"/>
        </w:trPr>
        <w:tc>
          <w:tcPr>
            <w:tcW w:w="31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Forfeiture of common stock related to</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shares</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(39,207)</w:t>
            </w:r>
          </w:p>
        </w:tc>
        <w:tc>
          <w:tcPr>
            <w:tcW w:w="3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8,818</w:t>
            </w:r>
          </w:p>
        </w:tc>
        <w:tc>
          <w:tcPr>
            <w:tcW w:w="0" w:type="dxa"/>
            <w:vAlign w:val="bottom"/>
          </w:tcPr>
          <w:p>
            <w:pPr>
              <w:spacing w:after="0"/>
              <w:rPr>
                <w:sz w:val="1"/>
                <w:szCs w:val="1"/>
                <w:color w:val="auto"/>
              </w:rPr>
            </w:pPr>
          </w:p>
        </w:tc>
      </w:tr>
      <w:tr>
        <w:trPr>
          <w:trHeight w:val="210"/>
        </w:trPr>
        <w:tc>
          <w:tcPr>
            <w:tcW w:w="3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June 30, 2021</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36,637,761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$ 341,358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(48,732)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292,386</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0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520" w:type="dxa"/>
            <w:vAlign w:val="bottom"/>
            <w:tcBorders>
              <w:bottom w:val="single" w:sz="8" w:color="auto"/>
            </w:tcBorders>
            <w:gridSpan w:val="10"/>
          </w:tcPr>
          <w:p>
            <w:pPr>
              <w:ind w:left="300"/>
              <w:spacing w:after="0"/>
              <w:rPr>
                <w:sz w:val="20"/>
                <w:szCs w:val="20"/>
                <w:color w:val="auto"/>
              </w:rPr>
            </w:pPr>
            <w:r>
              <w:rPr>
                <w:rFonts w:ascii="Times New Roman" w:cs="Times New Roman" w:eastAsia="Times New Roman" w:hAnsi="Times New Roman"/>
                <w:sz w:val="14"/>
                <w:szCs w:val="14"/>
                <w:b w:val="1"/>
                <w:bCs w:val="1"/>
                <w:color w:val="auto"/>
              </w:rPr>
              <w:t>Twenty-Six Weeks Ended June 29, 2022</w:t>
            </w: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0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3"/>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80" w:type="dxa"/>
            <w:vAlign w:val="bottom"/>
          </w:tcPr>
          <w:p>
            <w:pPr>
              <w:spacing w:after="0"/>
              <w:rPr>
                <w:sz w:val="10"/>
                <w:szCs w:val="10"/>
                <w:color w:val="auto"/>
              </w:rPr>
            </w:pPr>
          </w:p>
        </w:tc>
        <w:tc>
          <w:tcPr>
            <w:tcW w:w="720" w:type="dxa"/>
            <w:vAlign w:val="bottom"/>
            <w:vMerge w:val="restart"/>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14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080" w:type="dxa"/>
            <w:vAlign w:val="bottom"/>
          </w:tcPr>
          <w:p>
            <w:pPr>
              <w:spacing w:after="0"/>
              <w:rPr>
                <w:sz w:val="15"/>
                <w:szCs w:val="15"/>
                <w:color w:val="auto"/>
              </w:rPr>
            </w:pPr>
          </w:p>
        </w:tc>
        <w:tc>
          <w:tcPr>
            <w:tcW w:w="1400" w:type="dxa"/>
            <w:vAlign w:val="bottom"/>
            <w:tcBorders>
              <w:bottom w:val="single" w:sz="8" w:color="auto"/>
            </w:tcBorders>
            <w:gridSpan w:val="3"/>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980" w:type="dxa"/>
            <w:vAlign w:val="bottom"/>
            <w:gridSpan w:val="3"/>
            <w:vMerge w:val="continue"/>
          </w:tcPr>
          <w:p>
            <w:pPr>
              <w:spacing w:after="0"/>
              <w:rPr>
                <w:sz w:val="15"/>
                <w:szCs w:val="15"/>
                <w:color w:val="auto"/>
              </w:rPr>
            </w:pPr>
          </w:p>
        </w:tc>
        <w:tc>
          <w:tcPr>
            <w:tcW w:w="11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080" w:type="dxa"/>
            <w:vAlign w:val="bottom"/>
          </w:tcPr>
          <w:p>
            <w:pPr>
              <w:spacing w:after="0"/>
              <w:rPr>
                <w:sz w:val="12"/>
                <w:szCs w:val="12"/>
                <w:color w:val="auto"/>
              </w:rPr>
            </w:pPr>
          </w:p>
        </w:tc>
        <w:tc>
          <w:tcPr>
            <w:tcW w:w="1080" w:type="dxa"/>
            <w:vAlign w:val="bottom"/>
            <w:gridSpan w:val="2"/>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92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2"/>
                <w:szCs w:val="12"/>
                <w:color w:val="auto"/>
              </w:rPr>
            </w:pPr>
          </w:p>
        </w:tc>
        <w:tc>
          <w:tcPr>
            <w:tcW w:w="82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120" w:type="dxa"/>
            <w:vAlign w:val="bottom"/>
            <w:gridSpan w:val="3"/>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(Loss) Income</w:t>
            </w:r>
          </w:p>
        </w:tc>
        <w:tc>
          <w:tcPr>
            <w:tcW w:w="180" w:type="dxa"/>
            <w:vAlign w:val="bottom"/>
          </w:tcPr>
          <w:p>
            <w:pPr>
              <w:spacing w:after="0"/>
              <w:rPr>
                <w:sz w:val="12"/>
                <w:szCs w:val="12"/>
                <w:color w:val="auto"/>
              </w:rPr>
            </w:pPr>
          </w:p>
        </w:tc>
        <w:tc>
          <w:tcPr>
            <w:tcW w:w="720" w:type="dxa"/>
            <w:vAlign w:val="bottom"/>
          </w:tcPr>
          <w:p>
            <w:pPr>
              <w:jc w:val="center"/>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3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29, 2021</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36,601,648</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$ 342,941</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(32,393)</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310,623</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0" w:type="dxa"/>
            <w:vAlign w:val="bottom"/>
          </w:tcPr>
          <w:p>
            <w:pPr>
              <w:spacing w:after="0"/>
              <w:rPr>
                <w:sz w:val="1"/>
                <w:szCs w:val="1"/>
                <w:color w:val="auto"/>
              </w:rPr>
            </w:pPr>
          </w:p>
        </w:tc>
      </w:tr>
      <w:tr>
        <w:trPr>
          <w:trHeight w:val="198"/>
        </w:trPr>
        <w:tc>
          <w:tcPr>
            <w:tcW w:w="3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related to</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shares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298,638</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150,475</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0" w:type="dxa"/>
            <w:vAlign w:val="bottom"/>
          </w:tcPr>
          <w:p>
            <w:pPr>
              <w:spacing w:after="0"/>
              <w:rPr>
                <w:sz w:val="1"/>
                <w:szCs w:val="1"/>
                <w:color w:val="auto"/>
              </w:rPr>
            </w:pPr>
          </w:p>
        </w:tc>
      </w:tr>
      <w:tr>
        <w:trPr>
          <w:trHeight w:val="198"/>
        </w:trPr>
        <w:tc>
          <w:tcPr>
            <w:tcW w:w="3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repurchased for employee tax</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withholdings</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(20,317)</w:t>
            </w:r>
          </w:p>
        </w:tc>
        <w:tc>
          <w:tcPr>
            <w:tcW w:w="32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(218)</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198"/>
        </w:trPr>
        <w:tc>
          <w:tcPr>
            <w:tcW w:w="3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Forfeiture of common stock related to</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shares</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(27,931)</w:t>
            </w:r>
          </w:p>
        </w:tc>
        <w:tc>
          <w:tcPr>
            <w:tcW w:w="320" w:type="dxa"/>
            <w:vAlign w:val="bottom"/>
          </w:tcPr>
          <w:p>
            <w:pPr>
              <w:spacing w:after="0"/>
              <w:rPr>
                <w:sz w:val="20"/>
                <w:szCs w:val="20"/>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9,256</w:t>
            </w:r>
          </w:p>
        </w:tc>
        <w:tc>
          <w:tcPr>
            <w:tcW w:w="0" w:type="dxa"/>
            <w:vAlign w:val="bottom"/>
          </w:tcPr>
          <w:p>
            <w:pPr>
              <w:spacing w:after="0"/>
              <w:rPr>
                <w:sz w:val="1"/>
                <w:szCs w:val="1"/>
                <w:color w:val="auto"/>
              </w:rPr>
            </w:pPr>
          </w:p>
        </w:tc>
      </w:tr>
      <w:tr>
        <w:trPr>
          <w:trHeight w:val="209"/>
        </w:trPr>
        <w:tc>
          <w:tcPr>
            <w:tcW w:w="3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June 29, 2022</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37,002,513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$ 346,095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323,843</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8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080" w:type="dxa"/>
            <w:vAlign w:val="bottom"/>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3520" w:type="dxa"/>
            <w:vAlign w:val="bottom"/>
            <w:tcBorders>
              <w:bottom w:val="single" w:sz="8" w:color="auto"/>
            </w:tcBorders>
            <w:gridSpan w:val="10"/>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b w:val="1"/>
                <w:bCs w:val="1"/>
                <w:color w:val="auto"/>
              </w:rPr>
              <w:t>Twenty-Six Weeks Ended June 30, 2021</w:t>
            </w:r>
          </w:p>
        </w:tc>
        <w:tc>
          <w:tcPr>
            <w:tcW w:w="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center"/>
              <w:ind w:right="73"/>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080" w:type="dxa"/>
            <w:vAlign w:val="bottom"/>
            <w:tcBorders>
              <w:bottom w:val="single" w:sz="8" w:color="CCEEFF"/>
            </w:tcBorders>
          </w:tcPr>
          <w:p>
            <w:pPr>
              <w:spacing w:after="0"/>
              <w:rPr>
                <w:sz w:val="12"/>
                <w:szCs w:val="12"/>
                <w:color w:val="auto"/>
              </w:rPr>
            </w:pPr>
          </w:p>
        </w:tc>
        <w:tc>
          <w:tcPr>
            <w:tcW w:w="1400" w:type="dxa"/>
            <w:vAlign w:val="bottom"/>
            <w:tcBorders>
              <w:bottom w:val="single" w:sz="8" w:color="auto"/>
            </w:tcBorders>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34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920" w:type="dxa"/>
            <w:vAlign w:val="bottom"/>
            <w:tcBorders>
              <w:bottom w:val="single" w:sz="8" w:color="CCEEFF"/>
            </w:tcBorders>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980" w:type="dxa"/>
            <w:vAlign w:val="bottom"/>
            <w:tcBorders>
              <w:bottom w:val="single" w:sz="8" w:color="CCEEFF"/>
            </w:tcBorders>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120" w:type="dxa"/>
            <w:vAlign w:val="bottom"/>
            <w:tcBorders>
              <w:bottom w:val="single" w:sz="8" w:color="CCEEFF"/>
            </w:tcBorders>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00" w:type="dxa"/>
            <w:vAlign w:val="bottom"/>
            <w:tcBorders>
              <w:bottom w:val="single" w:sz="8" w:color="CCEEFF"/>
            </w:tcBorders>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0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120" w:type="dxa"/>
            <w:vAlign w:val="bottom"/>
            <w:gridSpan w:val="3"/>
            <w:shd w:val="clear" w:color="auto" w:fill="CCEEFF"/>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(Loss) Income</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center"/>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3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December 30, 2020</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36,423,505</w:t>
            </w:r>
          </w:p>
        </w:tc>
        <w:tc>
          <w:tcPr>
            <w:tcW w:w="160" w:type="dxa"/>
            <w:vAlign w:val="bottom"/>
          </w:tcPr>
          <w:p>
            <w:pPr>
              <w:spacing w:after="0"/>
              <w:rPr>
                <w:sz w:val="18"/>
                <w:szCs w:val="18"/>
                <w:color w:val="auto"/>
              </w:rPr>
            </w:pPr>
          </w:p>
        </w:tc>
        <w:tc>
          <w:tcPr>
            <w:tcW w:w="320" w:type="dxa"/>
            <w:vAlign w:val="bottom"/>
            <w:tcBorders>
              <w:top w:val="single" w:sz="8" w:color="auto"/>
            </w:tcBorders>
          </w:tcPr>
          <w:p>
            <w:pPr>
              <w:jc w:val="right"/>
              <w:ind w:right="160"/>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6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$ 339,561</w:t>
            </w:r>
          </w:p>
        </w:tc>
        <w:tc>
          <w:tcPr>
            <w:tcW w:w="140" w:type="dxa"/>
            <w:vAlign w:val="bottom"/>
          </w:tcPr>
          <w:p>
            <w:pPr>
              <w:spacing w:after="0"/>
              <w:rPr>
                <w:sz w:val="18"/>
                <w:szCs w:val="18"/>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(61,514)</w:t>
            </w:r>
          </w:p>
        </w:tc>
        <w:tc>
          <w:tcPr>
            <w:tcW w:w="140" w:type="dxa"/>
            <w:vAlign w:val="bottom"/>
          </w:tcPr>
          <w:p>
            <w:pPr>
              <w:spacing w:after="0"/>
              <w:rPr>
                <w:sz w:val="18"/>
                <w:szCs w:val="18"/>
                <w:color w:val="auto"/>
              </w:rPr>
            </w:pPr>
          </w:p>
        </w:tc>
        <w:tc>
          <w:tcPr>
            <w:tcW w:w="20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277,578</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0" w:type="dxa"/>
            <w:vAlign w:val="bottom"/>
          </w:tcPr>
          <w:p>
            <w:pPr>
              <w:spacing w:after="0"/>
              <w:rPr>
                <w:sz w:val="1"/>
                <w:szCs w:val="1"/>
                <w:color w:val="auto"/>
              </w:rPr>
            </w:pPr>
          </w:p>
        </w:tc>
      </w:tr>
      <w:tr>
        <w:trPr>
          <w:trHeight w:val="198"/>
        </w:trPr>
        <w:tc>
          <w:tcPr>
            <w:tcW w:w="3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related to</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shares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206,098</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91,544</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0" w:type="dxa"/>
            <w:vAlign w:val="bottom"/>
          </w:tcPr>
          <w:p>
            <w:pPr>
              <w:spacing w:after="0"/>
              <w:rPr>
                <w:sz w:val="1"/>
                <w:szCs w:val="1"/>
                <w:color w:val="auto"/>
              </w:rPr>
            </w:pPr>
          </w:p>
        </w:tc>
      </w:tr>
      <w:tr>
        <w:trPr>
          <w:trHeight w:val="198"/>
        </w:trPr>
        <w:tc>
          <w:tcPr>
            <w:tcW w:w="3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 repurchased for employee tax</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withholdings</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(37,938)</w:t>
            </w:r>
          </w:p>
        </w:tc>
        <w:tc>
          <w:tcPr>
            <w:tcW w:w="320" w:type="dxa"/>
            <w:vAlign w:val="bottom"/>
          </w:tcPr>
          <w:p>
            <w:pPr>
              <w:spacing w:after="0"/>
              <w:rPr>
                <w:sz w:val="20"/>
                <w:szCs w:val="20"/>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(660)</w:t>
            </w:r>
          </w:p>
        </w:tc>
        <w:tc>
          <w:tcPr>
            <w:tcW w:w="16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Forfeiture of common stock related to</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shares</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(45,448)</w:t>
            </w:r>
          </w:p>
        </w:tc>
        <w:tc>
          <w:tcPr>
            <w:tcW w:w="320" w:type="dxa"/>
            <w:vAlign w:val="bottom"/>
          </w:tcPr>
          <w:p>
            <w:pPr>
              <w:spacing w:after="0"/>
              <w:rPr>
                <w:sz w:val="20"/>
                <w:szCs w:val="20"/>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 (loss) income, net</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tax</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12,782</w:t>
            </w:r>
          </w:p>
        </w:tc>
        <w:tc>
          <w:tcPr>
            <w:tcW w:w="0" w:type="dxa"/>
            <w:vAlign w:val="bottom"/>
          </w:tcPr>
          <w:p>
            <w:pPr>
              <w:spacing w:after="0"/>
              <w:rPr>
                <w:sz w:val="1"/>
                <w:szCs w:val="1"/>
                <w:color w:val="auto"/>
              </w:rPr>
            </w:pPr>
          </w:p>
        </w:tc>
      </w:tr>
      <w:tr>
        <w:trPr>
          <w:trHeight w:val="210"/>
        </w:trPr>
        <w:tc>
          <w:tcPr>
            <w:tcW w:w="3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June 30, 2021</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36,637,761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$ 341,358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(48,732)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292,386</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33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gridSpan w:val="8"/>
          </w:tcPr>
          <w:p>
            <w:pPr>
              <w:ind w:left="32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142"/>
        </w:trPr>
        <w:tc>
          <w:tcPr>
            <w:tcW w:w="6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3"/>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June 29, 2022</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June 30, 2021</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9,256</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12,782</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flows provided by provided by operating</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activities: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7,215</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7,855</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1,796</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1,894</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receivable agreement income</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(316)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on assets held for sale</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1,524</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disposal of assets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108</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of property and equipment</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253</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126</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1,180</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Accounts and other receivables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(592)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(507)</w:t>
            </w:r>
          </w:p>
        </w:tc>
        <w:tc>
          <w:tcPr>
            <w:tcW w:w="0" w:type="dxa"/>
            <w:vAlign w:val="bottom"/>
          </w:tcPr>
          <w:p>
            <w:pPr>
              <w:spacing w:after="0"/>
              <w:rPr>
                <w:sz w:val="1"/>
                <w:szCs w:val="1"/>
                <w:color w:val="auto"/>
              </w:rPr>
            </w:pPr>
          </w:p>
        </w:tc>
      </w:tr>
      <w:tr>
        <w:trPr>
          <w:trHeight w:val="203"/>
        </w:trPr>
        <w:tc>
          <w:tcPr>
            <w:tcW w:w="6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Inventories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68</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262</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Income taxes receivable</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(2,316)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2,014</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(812)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(312)</w:t>
            </w:r>
          </w:p>
        </w:tc>
        <w:tc>
          <w:tcPr>
            <w:tcW w:w="0" w:type="dxa"/>
            <w:vAlign w:val="bottom"/>
          </w:tcPr>
          <w:p>
            <w:pPr>
              <w:spacing w:after="0"/>
              <w:rPr>
                <w:sz w:val="1"/>
                <w:szCs w:val="1"/>
                <w:color w:val="auto"/>
              </w:rPr>
            </w:pPr>
          </w:p>
        </w:tc>
      </w:tr>
      <w:tr>
        <w:trPr>
          <w:trHeight w:val="203"/>
        </w:trPr>
        <w:tc>
          <w:tcPr>
            <w:tcW w:w="6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(454)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(557)</w:t>
            </w: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Accrued salaries and vacation</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(1,891)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Accrued insurance</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281</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accrued expenses and liabilities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(2,344)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(1,075)</w:t>
            </w:r>
          </w:p>
        </w:tc>
        <w:tc>
          <w:tcPr>
            <w:tcW w:w="0" w:type="dxa"/>
            <w:vAlign w:val="bottom"/>
          </w:tcPr>
          <w:p>
            <w:pPr>
              <w:spacing w:after="0"/>
              <w:rPr>
                <w:sz w:val="1"/>
                <w:szCs w:val="1"/>
                <w:color w:val="auto"/>
              </w:rPr>
            </w:pPr>
          </w:p>
        </w:tc>
      </w:tr>
      <w:tr>
        <w:trPr>
          <w:trHeight w:val="196"/>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flows provided by operating activities</w:t>
            </w:r>
          </w:p>
        </w:tc>
        <w:tc>
          <w:tcPr>
            <w:tcW w:w="3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11,820</w:t>
            </w: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26,624</w:t>
            </w:r>
          </w:p>
        </w:tc>
        <w:tc>
          <w:tcPr>
            <w:tcW w:w="40" w:type="dxa"/>
            <w:vAlign w:val="bottom"/>
            <w:tcBorders>
              <w:top w:val="single" w:sz="8" w:color="auto"/>
              <w:bottom w:val="single" w:sz="8" w:color="auto"/>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disposition of restaurants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4,556</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(8,831)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(8,828)</w:t>
            </w:r>
          </w:p>
        </w:tc>
        <w:tc>
          <w:tcPr>
            <w:tcW w:w="0" w:type="dxa"/>
            <w:vAlign w:val="bottom"/>
          </w:tcPr>
          <w:p>
            <w:pPr>
              <w:spacing w:after="0"/>
              <w:rPr>
                <w:sz w:val="1"/>
                <w:szCs w:val="1"/>
                <w:color w:val="auto"/>
              </w:rPr>
            </w:pPr>
          </w:p>
        </w:tc>
      </w:tr>
      <w:tr>
        <w:trPr>
          <w:trHeight w:val="196"/>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flows used in investing activities</w:t>
            </w:r>
          </w:p>
        </w:tc>
        <w:tc>
          <w:tcPr>
            <w:tcW w:w="3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(8,831)</w:t>
            </w: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(4,272)</w:t>
            </w:r>
          </w:p>
        </w:tc>
        <w:tc>
          <w:tcPr>
            <w:tcW w:w="1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 on revolver and swingline loan</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(22,800)</w:t>
            </w: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Minimum tax withholdings related to net share settlements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(660)</w:t>
            </w:r>
          </w:p>
        </w:tc>
        <w:tc>
          <w:tcPr>
            <w:tcW w:w="0" w:type="dxa"/>
            <w:vAlign w:val="bottom"/>
          </w:tcPr>
          <w:p>
            <w:pPr>
              <w:spacing w:after="0"/>
              <w:rPr>
                <w:sz w:val="1"/>
                <w:szCs w:val="1"/>
                <w:color w:val="auto"/>
              </w:rPr>
            </w:pPr>
          </w:p>
        </w:tc>
      </w:tr>
      <w:tr>
        <w:trPr>
          <w:trHeight w:val="203"/>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 upon exercise of stock options, net of expenses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1,580</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 of obligations under finance leases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196"/>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flows provided by (used in) financing activities</w:t>
            </w:r>
          </w:p>
        </w:tc>
        <w:tc>
          <w:tcPr>
            <w:tcW w:w="3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1,276</w:t>
            </w: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(22,947)</w:t>
            </w:r>
          </w:p>
        </w:tc>
        <w:tc>
          <w:tcPr>
            <w:tcW w:w="1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Increase (decrease) in cash and cash equivalents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4,265</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Cash and cash equivalents, </w:t>
            </w:r>
            <w:r>
              <w:rPr>
                <w:rFonts w:ascii="Times New Roman" w:cs="Times New Roman" w:eastAsia="Times New Roman" w:hAnsi="Times New Roman"/>
                <w:sz w:val="16"/>
                <w:szCs w:val="16"/>
                <w:color w:val="auto"/>
              </w:rPr>
              <w:t>beginning of period</w:t>
            </w:r>
          </w:p>
        </w:tc>
        <w:tc>
          <w:tcPr>
            <w:tcW w:w="3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30,046</w:t>
            </w: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13,219</w:t>
            </w: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Cash and cash equivalents, </w:t>
            </w:r>
            <w:r>
              <w:rPr>
                <w:rFonts w:ascii="Times New Roman" w:cs="Times New Roman" w:eastAsia="Times New Roman" w:hAnsi="Times New Roman"/>
                <w:sz w:val="16"/>
                <w:szCs w:val="16"/>
                <w:color w:val="auto"/>
              </w:rPr>
              <w:t>end of period</w:t>
            </w:r>
          </w:p>
        </w:tc>
        <w:tc>
          <w:tcPr>
            <w:tcW w:w="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34,311</w:t>
            </w:r>
          </w:p>
        </w:tc>
        <w:tc>
          <w:tcPr>
            <w:tcW w:w="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12,624</w:t>
            </w:r>
          </w:p>
        </w:tc>
        <w:tc>
          <w:tcPr>
            <w:tcW w:w="4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8"/>
          </w:tcPr>
          <w:p>
            <w:pPr>
              <w:ind w:left="16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142"/>
        </w:trPr>
        <w:tc>
          <w:tcPr>
            <w:tcW w:w="6020" w:type="dxa"/>
            <w:vAlign w:val="bottom"/>
          </w:tcPr>
          <w:p>
            <w:pPr>
              <w:spacing w:after="0"/>
              <w:rPr>
                <w:sz w:val="12"/>
                <w:szCs w:val="12"/>
                <w:color w:val="auto"/>
              </w:rPr>
            </w:pPr>
          </w:p>
        </w:tc>
        <w:tc>
          <w:tcPr>
            <w:tcW w:w="1420" w:type="dxa"/>
            <w:vAlign w:val="bottom"/>
            <w:tcBorders>
              <w:top w:val="single" w:sz="8" w:color="auto"/>
            </w:tcBorders>
            <w:gridSpan w:val="5"/>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June 29, 2022</w:t>
            </w: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June 30, 2021</w:t>
            </w:r>
          </w:p>
        </w:tc>
        <w:tc>
          <w:tcPr>
            <w:tcW w:w="2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paid during the period for interest</w:t>
            </w:r>
          </w:p>
        </w:tc>
        <w:tc>
          <w:tcPr>
            <w:tcW w:w="3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1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598</w:t>
            </w:r>
          </w:p>
        </w:tc>
        <w:tc>
          <w:tcPr>
            <w:tcW w:w="4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during the period for income taxes</w:t>
            </w:r>
          </w:p>
        </w:tc>
        <w:tc>
          <w:tcPr>
            <w:tcW w:w="30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5,097</w:t>
            </w:r>
          </w:p>
        </w:tc>
        <w:tc>
          <w:tcPr>
            <w:tcW w:w="1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2,094</w:t>
            </w:r>
          </w:p>
        </w:tc>
        <w:tc>
          <w:tcPr>
            <w:tcW w:w="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Unpaid purchases of property and equipment</w:t>
            </w: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20" w:type="dxa"/>
            <w:vAlign w:val="bottom"/>
            <w:vMerge w:val="continue"/>
          </w:tcPr>
          <w:p>
            <w:pPr>
              <w:spacing w:after="0"/>
              <w:rPr>
                <w:sz w:val="15"/>
                <w:szCs w:val="15"/>
                <w:color w:val="auto"/>
              </w:rPr>
            </w:pPr>
          </w:p>
        </w:tc>
        <w:tc>
          <w:tcPr>
            <w:tcW w:w="3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1,388</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1,038</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 (unaudited).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25" w:lineRule="exact"/>
        <w:rPr>
          <w:sz w:val="20"/>
          <w:szCs w:val="20"/>
          <w:color w:val="auto"/>
        </w:rPr>
      </w:pPr>
    </w:p>
    <w:p>
      <w:pPr>
        <w:ind w:left="60" w:right="1359" w:hanging="10"/>
        <w:spacing w:after="0" w:line="503" w:lineRule="auto"/>
        <w:tabs>
          <w:tab w:leader="none" w:pos="2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SUMMARY OF SIGNIFICANT ACCOUNTING POLICIES Overview</w:t>
      </w:r>
    </w:p>
    <w:p>
      <w:pPr>
        <w:ind w:left="60" w:right="259"/>
        <w:spacing w:after="0" w:line="258" w:lineRule="auto"/>
        <w:rPr>
          <w:sz w:val="20"/>
          <w:szCs w:val="20"/>
          <w:color w:val="auto"/>
        </w:rPr>
      </w:pPr>
      <w:r>
        <w:rPr>
          <w:rFonts w:ascii="Times New Roman" w:cs="Times New Roman" w:eastAsia="Times New Roman" w:hAnsi="Times New Roman"/>
          <w:sz w:val="18"/>
          <w:szCs w:val="18"/>
          <w:color w:val="auto"/>
        </w:rPr>
        <w:t>El Pollo Loco Holdings, Inc. (“Holdings”) is a Delaware corporation headquartered in Costa Mesa, California. Holdings and its direct and indirect subsidiaries are collectively referred to herein as the “Company.” The Company’s activities are conducted principally through its indirect wholly-owned subsidiary, El Pollo Loco, Inc. (“EPL”), which develops, franchises, licenses, and operates quick-service restaurants under the name El Pollo Loco® and operates under one operating segment. At June 29, 2022, the Company operated 188 and franchised 293 El Pollo Loco restaurants.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the Company have been prepared in accordance with U.S. generally accepted accounting principles (“GAAP”) for interim financial statements and pursuant to the rules and regulations of the Securities and Exchange Commission (“SEC”). In the opinion of management, the accompanying unaudited condensed consolidated financial statements reflect all adjustments consisting of normal recurring adjustments necessary for a fair statement of the Company’s condensed consolidated financial position and results of operations and cash flows for the periods presented. Interim results of operations are not necessarily indicative of the results that may be achieved for the full year. The condensed consolidated financial statements and related notes do not include all information and footnotes required by GAAP for annual reports. This quarterly report should be read in conjunction with the consolidated financial statements included in the Company’s annual report on Form 10-K for the year ended December 29, 2021.</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uses a 52- or 53-week fiscal year ending on the last Wednesday of the calendar year. In a 52-week</w:t>
      </w:r>
    </w:p>
    <w:p>
      <w:pPr>
        <w:spacing w:after="0" w:line="27" w:lineRule="exact"/>
        <w:rPr>
          <w:sz w:val="20"/>
          <w:szCs w:val="20"/>
          <w:color w:val="auto"/>
        </w:rPr>
      </w:pPr>
    </w:p>
    <w:p>
      <w:pPr>
        <w:ind w:left="60" w:right="179"/>
        <w:spacing w:after="0" w:line="273" w:lineRule="auto"/>
        <w:rPr>
          <w:sz w:val="20"/>
          <w:szCs w:val="20"/>
          <w:color w:val="auto"/>
        </w:rPr>
      </w:pPr>
      <w:r>
        <w:rPr>
          <w:rFonts w:ascii="Times New Roman" w:cs="Times New Roman" w:eastAsia="Times New Roman" w:hAnsi="Times New Roman"/>
          <w:sz w:val="17"/>
          <w:szCs w:val="17"/>
          <w:color w:val="auto"/>
        </w:rPr>
        <w:t>fiscal year, each quarter includes 13 weeks of operations; in a 53-week fiscal year, the first, second and third quarters each include 13 weeks of operations, and the fourth quarter includes 14 weeks of operations. Every six or seven years, a 53-week fiscal year occurs. Fiscal 2022 and 2021 are both 52-week years, ending on December 28, 2022 and December 29, 2021, respectively. Revenues, expenses, and other financial and operational figures may be elevated in a 53-week year.</w:t>
      </w:r>
    </w:p>
    <w:p>
      <w:pPr>
        <w:spacing w:after="0" w:line="172"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Holdings has no material assets or operations. Holdings and Holdings’ direct subsidiary, EPL Intermediate, Inc. (“Intermediate”), guarantee EPL’s 2018 Revolver (as defined below) on a full and unconditional basis (see Note 4, “Long-Term Debt”), and Intermediate has no subsidiaries other than EPL. EPL is a separate and distinct legal entity and has no obligation to make funds available to Intermediate. EPL and Intermediate may pay dividends to Intermediate and to Holdings, respectively, subject to the terms of the 2018 Revolver.</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229" w:lineRule="exact"/>
        <w:rPr>
          <w:sz w:val="20"/>
          <w:szCs w:val="20"/>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Holdings and its wholly owned subsidiaries. All intercompany balances and transactions have been eliminated in consolidation.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management to make estimates and assumptions that affect the reported amounts of assets and liabilities and disclosures of contingent assets and liabilities at the date of the condensed consolidated financial statements and revenue and expenses during the periods reported. Actual results could materially differ from those estimates. The Company’s significant estimates include estimates for impairment of goodwill, intangible assets and property and equipment, insurance reserves, lease accounting matters, stock-based compensation, income tax receivable agreement liability, contingent liabilities and income tax valuation allowances.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COVID-19</w:t>
      </w:r>
    </w:p>
    <w:p>
      <w:pPr>
        <w:spacing w:after="0" w:line="229" w:lineRule="exact"/>
        <w:rPr>
          <w:sz w:val="20"/>
          <w:szCs w:val="20"/>
          <w:color w:val="auto"/>
        </w:rPr>
      </w:pPr>
    </w:p>
    <w:p>
      <w:pPr>
        <w:ind w:left="60" w:right="79"/>
        <w:spacing w:after="0" w:line="271" w:lineRule="auto"/>
        <w:rPr>
          <w:sz w:val="20"/>
          <w:szCs w:val="20"/>
          <w:color w:val="auto"/>
        </w:rPr>
      </w:pPr>
      <w:r>
        <w:rPr>
          <w:rFonts w:ascii="Times New Roman" w:cs="Times New Roman" w:eastAsia="Times New Roman" w:hAnsi="Times New Roman"/>
          <w:sz w:val="17"/>
          <w:szCs w:val="17"/>
          <w:color w:val="auto"/>
        </w:rPr>
        <w:t>While all of the Company’s restaurants had dining rooms open as of June 29, 2022, the Company continues to experience staffing challenges, which resulted in reduced operating hours and service channels at some of the Company restaurants, as well as higher wage inflation, overtime costs and other labor related costs. Further, the Company experienced inflationary pressures and supply chain disruptions that resulted in increased commodity prices and impacted the Company’s business and results of operations during the thirteen and twenty-six weeks ended June 29, 2022. The Company expects these pressures to continue during the rest of fiscal 2022. During the thirteen and twenty-six weeks ended June 29, 2022, the Company incurred $0.3 million and $2.6 million, respectively, in COVID-19 related expenses, primarily due to leaves of absence and overtime pay. During the thirteen and twenty-six weeks ended June 30, 2021, the Company incurred $0.2 million and $3.0 million, respectively, in COVID-19 related expenses, primarily due to leaves of absence and overtime pay.</w:t>
      </w:r>
    </w:p>
    <w:p>
      <w:pPr>
        <w:spacing w:after="0" w:line="173"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Due to the rapid development and fluidity of this situation, the Company cannot determine the ultimate impact that the COVID-19 pandemic will have on the Company’s condensed consolidated financial condition, liquidity, and future results of operations, and therefore any prediction as to the ultimate materiality of the adverse impact on the Company’s condensed consolidated financial condition, liquidity, and future results of operations is uncertain.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The Company considers all liquid instruments with an original maturity of three months or less at the date of purchase to be cash equivalents.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29"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Company’s principal liquidity and capital requirements are new restaurants, existing restaurant capital investments (remodels and maintenance), interest payments on its debt, lease obligations and working capital and general corporate needs. At June 29, 2022, the Company’s total debt was $40.0 million. The Company’s ability to make payments on its indebtedness and to fund planned capital expenditures depends on available cash and its ability to generate adequate cash flows in the future, which, to a certain extent, is subject to general economic, financial, competitive, legislative, regulatory, and other factors that are beyond the Company’s control. Based on current operations, the Company believes that its cash flow from operations and available cash of $34.3 million at June 29, 2022 will be adequate to meet the Company’s liquidity needs for the next twelve months from the date of filing of these condensed consolidated financial statements.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Subsequent Events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2022 Credit Agreement</w:t>
      </w:r>
    </w:p>
    <w:p>
      <w:pPr>
        <w:spacing w:after="0" w:line="227"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On July 27, 2022, the Company refinanced the 2018 Revolver, pursuant to a credit agreement (the “2022 Credit Agreement”) among EPL, as borrower, the Company and Intermediate, as guarantors, Bank of America, N.A., as administrative agent, swingline lender, and letter of credit issuer, the lenders party thereto, and the other parties thereto, which provides for a $150 million five-year senior secured revolving facility (the “2022 Revolver”). In connection with the refinancing, the 2018 Credit Agreement (as defined below) was terminated. The 2022 Revolver includes a sub limit</w:t>
      </w:r>
    </w:p>
    <w:p>
      <w:pPr>
        <w:spacing w:after="0" w:line="3" w:lineRule="exact"/>
        <w:rPr>
          <w:sz w:val="20"/>
          <w:szCs w:val="20"/>
          <w:color w:val="auto"/>
        </w:rPr>
      </w:pPr>
    </w:p>
    <w:p>
      <w:pPr>
        <w:ind w:left="60" w:right="239"/>
        <w:spacing w:after="0" w:line="251" w:lineRule="auto"/>
        <w:rPr>
          <w:sz w:val="20"/>
          <w:szCs w:val="20"/>
          <w:color w:val="auto"/>
        </w:rPr>
      </w:pPr>
      <w:r>
        <w:rPr>
          <w:rFonts w:ascii="Times New Roman" w:cs="Times New Roman" w:eastAsia="Times New Roman" w:hAnsi="Times New Roman"/>
          <w:sz w:val="18"/>
          <w:szCs w:val="18"/>
          <w:color w:val="auto"/>
        </w:rPr>
        <w:t>of $15.0 million for letters of credit and a sub limit of $15.0 million for swingline loans. On July 29, 2022, the Company made a $20.0 million payment to the 2022 Revolver and the outstanding balance as of August 4, 2022 was $20.0 million. The proceeds of the 2022 Revolver were used to refinance and terminate the 2018 Revolver and may also be used from time to time for general corporate purposes. The 2022 Revolver will mature on July 27, 2027. The obligations of EPL under the 2022 Credit Agreement and related loan documents are guaranteed by the Company and Intermediate and the obligations of each of the Company, EPL and Intermediate under the 2022 Credit Agreement and related loan documents are secured by a first priority (subject to permitted liens) lien on substantially all of their respective assets (subject to customary exceptions).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79"/>
        <w:spacing w:after="0" w:line="274" w:lineRule="auto"/>
        <w:rPr>
          <w:sz w:val="20"/>
          <w:szCs w:val="20"/>
          <w:color w:val="auto"/>
        </w:rPr>
      </w:pPr>
      <w:r>
        <w:rPr>
          <w:rFonts w:ascii="Times New Roman" w:cs="Times New Roman" w:eastAsia="Times New Roman" w:hAnsi="Times New Roman"/>
          <w:sz w:val="17"/>
          <w:szCs w:val="17"/>
          <w:color w:val="auto"/>
        </w:rPr>
        <w:t>Borrowings under the 2022 Credit Agreement (other than any swingline loans) bear interest, at the borrower’s option, at rates based upon either the secured overnight financing rate (“SOFR”) or a base rate, plus, for each rate, a margin determined in accordance with a lease-adjusted consolidated leverage ratio-based pricing grid. The base rate is calculated as the highest of (a) the federal funds rate plus 0.50%, (b) the published of Bank of America prime rate, or (c) Term SOFR with a term of one-month plus 1.00%. For Term SOFR loans, the margin is in the range of 1.25% to 2.25%, and for base rate loans the margin is in a range of 0.25% to 1.25%. Borrowings under the 2022 Revolver may be repaid and reborrowed.</w:t>
      </w:r>
    </w:p>
    <w:p>
      <w:pPr>
        <w:spacing w:after="0" w:line="173"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The 2022 Credit Agreement includes negative covenants and financial covenants, including, among others, the following (all subject to certain exceptions): a maximum lease-adjusted consolidated leverage ratio covenant, a minimum consolidated fixed charge coverage ratio, and limitations on (among others) indebtedness, liens, investments, asset sales, mergers, consolidations, liquidations, dispositions, restricted payments, negative pledges, transactions with affiliates, sale-leaseback transactions and prepayments of certain debt. The 2022 Credit Agreement also includes certain affirmative covenants and events of default.</w:t>
      </w:r>
    </w:p>
    <w:p>
      <w:pPr>
        <w:spacing w:after="0" w:line="187" w:lineRule="exact"/>
        <w:rPr>
          <w:sz w:val="20"/>
          <w:szCs w:val="20"/>
          <w:color w:val="auto"/>
        </w:rPr>
      </w:pPr>
    </w:p>
    <w:p>
      <w:pPr>
        <w:ind w:left="60" w:right="359"/>
        <w:spacing w:after="0" w:line="261" w:lineRule="auto"/>
        <w:rPr>
          <w:sz w:val="20"/>
          <w:szCs w:val="20"/>
          <w:color w:val="auto"/>
        </w:rPr>
      </w:pPr>
      <w:r>
        <w:rPr>
          <w:rFonts w:ascii="Times New Roman" w:cs="Times New Roman" w:eastAsia="Times New Roman" w:hAnsi="Times New Roman"/>
          <w:sz w:val="18"/>
          <w:szCs w:val="18"/>
          <w:color w:val="auto"/>
        </w:rPr>
        <w:t>In connection with the Company’s entry into the 2022 Credit Agreement, it terminated the interest rate swap previously used to hedge interest rate risk. In settlement of this swap, the Company received approximately $0.6 million. The remaining amount in accumulated other comprehensive income (“AOCI”) related to the hedging relationship will be reclassified into earnings when the hedged forecasted transaction is reported in earnings.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Concentration of Risk</w:t>
      </w:r>
    </w:p>
    <w:p>
      <w:pPr>
        <w:spacing w:after="0" w:line="229" w:lineRule="exact"/>
        <w:rPr>
          <w:sz w:val="20"/>
          <w:szCs w:val="20"/>
          <w:color w:val="auto"/>
        </w:rPr>
      </w:pPr>
    </w:p>
    <w:p>
      <w:pPr>
        <w:ind w:left="60" w:right="539"/>
        <w:spacing w:after="0" w:line="282" w:lineRule="auto"/>
        <w:rPr>
          <w:sz w:val="20"/>
          <w:szCs w:val="20"/>
          <w:color w:val="auto"/>
        </w:rPr>
      </w:pPr>
      <w:r>
        <w:rPr>
          <w:rFonts w:ascii="Times New Roman" w:cs="Times New Roman" w:eastAsia="Times New Roman" w:hAnsi="Times New Roman"/>
          <w:sz w:val="18"/>
          <w:szCs w:val="18"/>
          <w:color w:val="auto"/>
        </w:rPr>
        <w:t>Cash and cash equivalents are maintained at financial institutions and, at times, these balances may exceed federally-insured limits. The Company has never experienced any losses related to these balances.</w:t>
      </w:r>
    </w:p>
    <w:p>
      <w:pPr>
        <w:spacing w:after="0" w:line="162" w:lineRule="exact"/>
        <w:rPr>
          <w:sz w:val="20"/>
          <w:szCs w:val="20"/>
          <w:color w:val="auto"/>
        </w:rPr>
      </w:pPr>
    </w:p>
    <w:p>
      <w:pPr>
        <w:ind w:left="60" w:right="419"/>
        <w:spacing w:after="0" w:line="276" w:lineRule="auto"/>
        <w:rPr>
          <w:sz w:val="20"/>
          <w:szCs w:val="20"/>
          <w:color w:val="auto"/>
        </w:rPr>
      </w:pPr>
      <w:r>
        <w:rPr>
          <w:rFonts w:ascii="Times New Roman" w:cs="Times New Roman" w:eastAsia="Times New Roman" w:hAnsi="Times New Roman"/>
          <w:sz w:val="17"/>
          <w:szCs w:val="17"/>
          <w:color w:val="auto"/>
        </w:rPr>
        <w:t>The Company had one supplier to whom amounts due totaled 24.1% and 26.1% of the Company’s accounts payable at June 29, 2022 and December 29, 2021, respectively. Purchases from the Company’s largest supplier totaled 27.4% and</w:t>
      </w:r>
    </w:p>
    <w:p>
      <w:pPr>
        <w:spacing w:after="0" w:line="1" w:lineRule="exact"/>
        <w:rPr>
          <w:sz w:val="20"/>
          <w:szCs w:val="20"/>
          <w:color w:val="auto"/>
        </w:rPr>
      </w:pPr>
    </w:p>
    <w:p>
      <w:pPr>
        <w:ind w:left="60" w:right="119"/>
        <w:spacing w:after="0" w:line="260" w:lineRule="auto"/>
        <w:rPr>
          <w:sz w:val="20"/>
          <w:szCs w:val="20"/>
          <w:color w:val="auto"/>
        </w:rPr>
      </w:pPr>
      <w:r>
        <w:rPr>
          <w:rFonts w:ascii="Times New Roman" w:cs="Times New Roman" w:eastAsia="Times New Roman" w:hAnsi="Times New Roman"/>
          <w:sz w:val="18"/>
          <w:szCs w:val="18"/>
          <w:color w:val="auto"/>
        </w:rPr>
        <w:t>28.5% of total expenses for the thirteen and twenty-six weeks ended June 29, 2022 and 26.2% and 26.6% of total expenses for the thirteen and twenty-six weeks ended June 30, 2021.</w:t>
      </w:r>
    </w:p>
    <w:p>
      <w:pPr>
        <w:spacing w:after="0" w:line="181"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Company -operated and franchised restaurants in the greater Los Angeles area generated, in the aggregate, approximately 70.9% of total revenue for both the thirteen and twenty-six weeks ended June 29, 2022 and 70.6% and 70.4% for the thirteen and twenty-six weeks ended June 30, 2021, respectively.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Goodwill and Indefinite Lived Intangible Assets</w:t>
      </w:r>
    </w:p>
    <w:p>
      <w:pPr>
        <w:spacing w:after="0" w:line="229" w:lineRule="exact"/>
        <w:rPr>
          <w:sz w:val="20"/>
          <w:szCs w:val="20"/>
          <w:color w:val="auto"/>
        </w:rPr>
      </w:pPr>
    </w:p>
    <w:p>
      <w:pPr>
        <w:ind w:left="60" w:right="279"/>
        <w:spacing w:after="0" w:line="261" w:lineRule="auto"/>
        <w:rPr>
          <w:sz w:val="20"/>
          <w:szCs w:val="20"/>
          <w:color w:val="auto"/>
        </w:rPr>
      </w:pPr>
      <w:r>
        <w:rPr>
          <w:rFonts w:ascii="Times New Roman" w:cs="Times New Roman" w:eastAsia="Times New Roman" w:hAnsi="Times New Roman"/>
          <w:sz w:val="18"/>
          <w:szCs w:val="18"/>
          <w:color w:val="auto"/>
        </w:rPr>
        <w:t>The Company’s indefinite-lived intangible assets consist of trademarks. Goodwill represents the excess of cost over fair value of net identified assets acquired in business combinations accounted for under the purchase method. The Company does not amortize its goodwill and indefinite-lived intangible assets. Goodwill resulted from the acquisition of certain franchise locations.</w:t>
      </w:r>
    </w:p>
    <w:p>
      <w:pPr>
        <w:spacing w:after="0" w:line="180"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Upon the sale or closure of a restaurant, the Company evaluates whether there is a decrement of goodwill. The amount of goodwill included in the cost basis of the asset sold is determined based on the relative fair value of the portion of the reporting unit disposed of compared to the fair value of the reporting unit retained.</w:t>
      </w:r>
    </w:p>
    <w:p>
      <w:pPr>
        <w:spacing w:after="0" w:line="176" w:lineRule="exact"/>
        <w:rPr>
          <w:sz w:val="20"/>
          <w:szCs w:val="20"/>
          <w:color w:val="auto"/>
        </w:rPr>
      </w:pPr>
    </w:p>
    <w:p>
      <w:pPr>
        <w:ind w:left="60" w:right="579"/>
        <w:spacing w:after="0" w:line="282" w:lineRule="auto"/>
        <w:rPr>
          <w:sz w:val="20"/>
          <w:szCs w:val="20"/>
          <w:color w:val="auto"/>
        </w:rPr>
      </w:pPr>
      <w:r>
        <w:rPr>
          <w:rFonts w:ascii="Times New Roman" w:cs="Times New Roman" w:eastAsia="Times New Roman" w:hAnsi="Times New Roman"/>
          <w:sz w:val="18"/>
          <w:szCs w:val="18"/>
          <w:color w:val="auto"/>
        </w:rPr>
        <w:t>The Company performs an annual impairment test for goodwill during the fourth fiscal quarter of each year, or more frequently if impairment indicators arise.</w:t>
      </w:r>
    </w:p>
    <w:p>
      <w:pPr>
        <w:spacing w:after="0" w:line="162"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The Company reviews goodwill for impairment utilizing either a qualitative assessment or a fair value test by comparing the fair value of a reporting unit with its carrying amount. If the Company decides that it is appropriate to perform a qualitative assessment and concludes that the fair value of a reporting unit more likely than not exceeds its carrying value, no further evaluation is necessary. If the Company performs the fair value test, the Company will compare the fair value of a reporting unit with its carrying amount, including goodwill. If the fair value of a reporting unit exceeds its carrying amount, goodwill of the reporting unit is considered not impaired. If the carrying amount of a reporting unit exceeds its fair value, the Company will recognize an impairment charge for the amount by which the carrying amount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exceeds the reporting unit’s fair value; however, the loss recognized cannot exceed the total amount of goodwill allocated to that reporting unit.</w:t>
      </w:r>
    </w:p>
    <w:p>
      <w:pPr>
        <w:spacing w:after="0" w:line="162" w:lineRule="exact"/>
        <w:rPr>
          <w:sz w:val="20"/>
          <w:szCs w:val="20"/>
          <w:color w:val="auto"/>
        </w:rPr>
      </w:pPr>
    </w:p>
    <w:p>
      <w:pPr>
        <w:jc w:val="both"/>
        <w:ind w:left="60" w:right="159"/>
        <w:spacing w:after="0" w:line="261" w:lineRule="auto"/>
        <w:rPr>
          <w:sz w:val="20"/>
          <w:szCs w:val="20"/>
          <w:color w:val="auto"/>
        </w:rPr>
      </w:pPr>
      <w:r>
        <w:rPr>
          <w:rFonts w:ascii="Times New Roman" w:cs="Times New Roman" w:eastAsia="Times New Roman" w:hAnsi="Times New Roman"/>
          <w:sz w:val="18"/>
          <w:szCs w:val="18"/>
          <w:color w:val="auto"/>
        </w:rPr>
        <w:t>The Company performs an annual impairment test for indefinite-lived intangible assets during the fourth fiscal quarter of each year, or more frequently if impairment indicators arise. An impairment test consists of either a qualitative assessment or a comparison of the fair value of an intangible asset with its carrying amount. The excess of the carrying amount of an intangible asset over its fair value is recognized as an impairment loss.</w:t>
      </w:r>
    </w:p>
    <w:p>
      <w:pPr>
        <w:spacing w:after="0" w:line="180" w:lineRule="exact"/>
        <w:rPr>
          <w:sz w:val="20"/>
          <w:szCs w:val="20"/>
          <w:color w:val="auto"/>
        </w:rPr>
      </w:pPr>
    </w:p>
    <w:p>
      <w:pPr>
        <w:jc w:val="both"/>
        <w:ind w:left="60" w:right="379"/>
        <w:spacing w:after="0" w:line="266" w:lineRule="auto"/>
        <w:rPr>
          <w:sz w:val="20"/>
          <w:szCs w:val="20"/>
          <w:color w:val="auto"/>
        </w:rPr>
      </w:pPr>
      <w:r>
        <w:rPr>
          <w:rFonts w:ascii="Times New Roman" w:cs="Times New Roman" w:eastAsia="Times New Roman" w:hAnsi="Times New Roman"/>
          <w:sz w:val="18"/>
          <w:szCs w:val="18"/>
          <w:color w:val="auto"/>
        </w:rPr>
        <w:t>The assumptions used in the estimate of fair value are generally consistent with the past performance of the Company’s reporting segment and are also consistent with the projections and assumptions that are used in current operating plans. These assumptions are subject to change as a result of changing economic and competitive conditions.</w:t>
      </w:r>
    </w:p>
    <w:p>
      <w:pPr>
        <w:spacing w:after="0" w:line="176"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The Company determined that there were no indicators of potential impairment of its goodwill and indefinite-lived intangible assets during the thirteen and twenty-six weeks ended June 29, 2022. Accordingly, the Company did not record any impairment to its goodwill or indefinite-lived intangible assets during the thirteen and twenty-six weeks ended June 29, 2022.</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jc w:val="both"/>
        <w:ind w:left="60" w:right="99"/>
        <w:spacing w:after="0" w:line="266"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in an orderly transaction between market participants at the measurement date. Financial assets and liabilities carried at fair value are classified and disclosed in one of the following three categories:</w:t>
      </w:r>
    </w:p>
    <w:p>
      <w:pPr>
        <w:spacing w:after="0" w:line="176" w:lineRule="exact"/>
        <w:rPr>
          <w:sz w:val="20"/>
          <w:szCs w:val="20"/>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for identical instruments in active markets.</w:t>
      </w:r>
    </w:p>
    <w:p>
      <w:pPr>
        <w:spacing w:after="0" w:line="225" w:lineRule="exact"/>
        <w:rPr>
          <w:rFonts w:ascii="Times New Roman" w:cs="Times New Roman" w:eastAsia="Times New Roman" w:hAnsi="Times New Roman"/>
          <w:sz w:val="18"/>
          <w:szCs w:val="18"/>
          <w:color w:val="auto"/>
        </w:rPr>
      </w:pPr>
    </w:p>
    <w:p>
      <w:pPr>
        <w:ind w:left="720" w:right="11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Observable prices for similar instruments in active markets; quoted prices for identical or similar instruments in markets that are not active; and model-derived valuations whose inputs or significant value drivers are observable.</w:t>
      </w:r>
    </w:p>
    <w:p>
      <w:pPr>
        <w:spacing w:after="0" w:line="1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used when little or no market data is available.</w:t>
      </w:r>
    </w:p>
    <w:p>
      <w:pPr>
        <w:spacing w:after="0" w:line="225"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During fiscal 2019, the Company entered into an interest rate swap, which is required to be measured at fair value on a recurring basis. The fair value was determined based on Level 2 inputs, which include valuation models, as reported by the Company’s counterparty. These valuation models use a discounted cash flow analysis on the cash flows of the derivative based on the terms of the contract and the forward yield curves adjusted for the Company’s credit risk. The key inputs for the valuation models are observable market prices, discount rates, and forward yield curves. See Note 4, “Long-Term Debt” for further discussion regarding the Company’s interest rate swap.</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fair value for the interest rate swap at June 29, 2022 (in thousands):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320" w:type="dxa"/>
            <w:vAlign w:val="bottom"/>
            <w:gridSpan w:val="8"/>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0" w:type="dxa"/>
            <w:vAlign w:val="bottom"/>
          </w:tcPr>
          <w:p>
            <w:pPr>
              <w:spacing w:after="0"/>
              <w:rPr>
                <w:sz w:val="1"/>
                <w:szCs w:val="1"/>
                <w:color w:val="auto"/>
              </w:rPr>
            </w:pPr>
          </w:p>
        </w:tc>
      </w:tr>
      <w:tr>
        <w:trPr>
          <w:trHeight w:val="142"/>
        </w:trPr>
        <w:tc>
          <w:tcPr>
            <w:tcW w:w="4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center"/>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 - Interest rate swap</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fair value for the interest rate swap at December 29, 2021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Pr>
          <w:p>
            <w:pPr>
              <w:spacing w:after="0"/>
              <w:rPr>
                <w:sz w:val="15"/>
                <w:szCs w:val="15"/>
                <w:color w:val="auto"/>
              </w:rPr>
            </w:pPr>
          </w:p>
        </w:tc>
        <w:tc>
          <w:tcPr>
            <w:tcW w:w="3300" w:type="dxa"/>
            <w:vAlign w:val="bottom"/>
            <w:gridSpan w:val="8"/>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center"/>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 - Interest rate swap</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379"/>
        <w:spacing w:after="0" w:line="266" w:lineRule="auto"/>
        <w:rPr>
          <w:sz w:val="20"/>
          <w:szCs w:val="20"/>
          <w:color w:val="auto"/>
        </w:rPr>
      </w:pPr>
      <w:r>
        <w:rPr>
          <w:rFonts w:ascii="Times New Roman" w:cs="Times New Roman" w:eastAsia="Times New Roman" w:hAnsi="Times New Roman"/>
          <w:sz w:val="18"/>
          <w:szCs w:val="18"/>
          <w:color w:val="auto"/>
        </w:rPr>
        <w:t>Certain assets and liabilities are measured at fair value on a nonrecurring basis. In other words, the instruments are not measured at fair value on an ongoing basis, but are subject to fair value adjustments only in certain circumstances (e.g., when there is evidence of impairment).</w:t>
      </w:r>
    </w:p>
    <w:p>
      <w:pPr>
        <w:spacing w:after="0" w:line="176"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The following non-financial instruments were measured at fair value, on a nonrecurring basis, as of and for the thirteen and twenty-six weeks ended June 29, 2022, reflecting certain property and equipment assets and right-of-use (“ROU”) assets for which an impairment loss was recognized during the corresponding periods, as discussed under Note 2,</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40"/>
        <w:spacing w:after="0" w:line="282" w:lineRule="auto"/>
        <w:rPr>
          <w:sz w:val="20"/>
          <w:szCs w:val="20"/>
          <w:color w:val="auto"/>
        </w:rPr>
      </w:pPr>
      <w:r>
        <w:rPr>
          <w:rFonts w:ascii="Times New Roman" w:cs="Times New Roman" w:eastAsia="Times New Roman" w:hAnsi="Times New Roman"/>
          <w:sz w:val="18"/>
          <w:szCs w:val="18"/>
          <w:color w:val="auto"/>
        </w:rPr>
        <w:t>“Property and Equipment” and immediately below under “Impairment of Long-Lived Assets and ROU Assets” (in thousands):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80" w:type="dxa"/>
            <w:vAlign w:val="bottom"/>
            <w:gridSpan w:val="9"/>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Measurements at June 29, 2022 Using</w:t>
            </w:r>
          </w:p>
        </w:tc>
        <w:tc>
          <w:tcPr>
            <w:tcW w:w="140" w:type="dxa"/>
            <w:vAlign w:val="bottom"/>
          </w:tcPr>
          <w:p>
            <w:pPr>
              <w:spacing w:after="0"/>
              <w:rPr>
                <w:sz w:val="13"/>
                <w:szCs w:val="13"/>
                <w:color w:val="auto"/>
              </w:rPr>
            </w:pPr>
          </w:p>
        </w:tc>
        <w:tc>
          <w:tcPr>
            <w:tcW w:w="116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Thirteen Weeks</w:t>
            </w:r>
          </w:p>
        </w:tc>
        <w:tc>
          <w:tcPr>
            <w:tcW w:w="120" w:type="dxa"/>
            <w:vAlign w:val="bottom"/>
          </w:tcPr>
          <w:p>
            <w:pPr>
              <w:spacing w:after="0"/>
              <w:rPr>
                <w:sz w:val="13"/>
                <w:szCs w:val="13"/>
                <w:color w:val="auto"/>
              </w:rPr>
            </w:pPr>
          </w:p>
        </w:tc>
        <w:tc>
          <w:tcPr>
            <w:tcW w:w="122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Twenty-Six Weeks</w:t>
            </w:r>
          </w:p>
        </w:tc>
        <w:tc>
          <w:tcPr>
            <w:tcW w:w="0" w:type="dxa"/>
            <w:vAlign w:val="bottom"/>
          </w:tcPr>
          <w:p>
            <w:pPr>
              <w:spacing w:after="0"/>
              <w:rPr>
                <w:sz w:val="1"/>
                <w:szCs w:val="1"/>
                <w:color w:val="auto"/>
              </w:rPr>
            </w:pPr>
          </w:p>
        </w:tc>
      </w:tr>
      <w:tr>
        <w:trPr>
          <w:trHeight w:val="173"/>
        </w:trPr>
        <w:tc>
          <w:tcPr>
            <w:tcW w:w="2760" w:type="dxa"/>
            <w:vAlign w:val="bottom"/>
          </w:tcPr>
          <w:p>
            <w:pPr>
              <w:spacing w:after="0"/>
              <w:rPr>
                <w:sz w:val="15"/>
                <w:szCs w:val="15"/>
                <w:color w:val="auto"/>
              </w:rPr>
            </w:pPr>
          </w:p>
        </w:tc>
        <w:tc>
          <w:tcPr>
            <w:tcW w:w="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080" w:type="dxa"/>
            <w:vAlign w:val="bottom"/>
            <w:gridSpan w:val="9"/>
            <w:vMerge w:val="continue"/>
          </w:tcPr>
          <w:p>
            <w:pPr>
              <w:spacing w:after="0"/>
              <w:rPr>
                <w:sz w:val="15"/>
                <w:szCs w:val="15"/>
                <w:color w:val="auto"/>
              </w:rPr>
            </w:pPr>
          </w:p>
        </w:tc>
        <w:tc>
          <w:tcPr>
            <w:tcW w:w="2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Ended June 29, 2022 Ended June 29, 2022</w:t>
            </w:r>
          </w:p>
        </w:tc>
        <w:tc>
          <w:tcPr>
            <w:tcW w:w="0" w:type="dxa"/>
            <w:vAlign w:val="bottom"/>
          </w:tcPr>
          <w:p>
            <w:pPr>
              <w:spacing w:after="0"/>
              <w:rPr>
                <w:sz w:val="1"/>
                <w:szCs w:val="1"/>
                <w:color w:val="auto"/>
              </w:rPr>
            </w:pPr>
          </w:p>
        </w:tc>
      </w:tr>
      <w:tr>
        <w:trPr>
          <w:trHeight w:val="142"/>
        </w:trPr>
        <w:tc>
          <w:tcPr>
            <w:tcW w:w="276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40" w:type="dxa"/>
            <w:vAlign w:val="bottom"/>
          </w:tcPr>
          <w:p>
            <w:pPr>
              <w:spacing w:after="0"/>
              <w:rPr>
                <w:sz w:val="12"/>
                <w:szCs w:val="12"/>
                <w:color w:val="auto"/>
              </w:rPr>
            </w:pPr>
          </w:p>
        </w:tc>
        <w:tc>
          <w:tcPr>
            <w:tcW w:w="130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Impairment Losses</w:t>
            </w:r>
          </w:p>
        </w:tc>
        <w:tc>
          <w:tcPr>
            <w:tcW w:w="134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Impairment Losses</w:t>
            </w:r>
          </w:p>
        </w:tc>
        <w:tc>
          <w:tcPr>
            <w:tcW w:w="0" w:type="dxa"/>
            <w:vAlign w:val="bottom"/>
          </w:tcPr>
          <w:p>
            <w:pPr>
              <w:spacing w:after="0"/>
              <w:rPr>
                <w:sz w:val="1"/>
                <w:szCs w:val="1"/>
                <w:color w:val="auto"/>
              </w:rPr>
            </w:pPr>
          </w:p>
        </w:tc>
      </w:tr>
      <w:tr>
        <w:trPr>
          <w:trHeight w:val="209"/>
        </w:trPr>
        <w:tc>
          <w:tcPr>
            <w:tcW w:w="2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Certain property and equipment, net</w:t>
            </w: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right="200"/>
        <w:spacing w:after="0" w:line="261" w:lineRule="auto"/>
        <w:rPr>
          <w:sz w:val="20"/>
          <w:szCs w:val="20"/>
          <w:color w:val="auto"/>
        </w:rPr>
      </w:pPr>
      <w:r>
        <w:rPr>
          <w:rFonts w:ascii="Times New Roman" w:cs="Times New Roman" w:eastAsia="Times New Roman" w:hAnsi="Times New Roman"/>
          <w:sz w:val="18"/>
          <w:szCs w:val="18"/>
          <w:color w:val="auto"/>
        </w:rPr>
        <w:t>The following non-financial instruments were measured at fair value on a nonrecurring basis as of and for the thirteen and twenty-six weeks ended June 30, 2021, reflecting certain property and equipment assets and ROU assets for which an impairment loss was recognized during the corresponding periods, as discussed immediately below under “Impairment of Long-Lived Assets and ROU Assets” (in thousands):</w:t>
      </w:r>
    </w:p>
    <w:p>
      <w:pPr>
        <w:spacing w:after="0" w:line="17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40" w:type="dxa"/>
            <w:vAlign w:val="bottom"/>
            <w:gridSpan w:val="8"/>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Measurements at June 30, 2021 Using</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Thirteen Weeks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w w:val="98"/>
              </w:rPr>
              <w:t>Twenty-Six Weeks</w:t>
            </w:r>
          </w:p>
        </w:tc>
        <w:tc>
          <w:tcPr>
            <w:tcW w:w="0" w:type="dxa"/>
            <w:vAlign w:val="bottom"/>
          </w:tcPr>
          <w:p>
            <w:pPr>
              <w:spacing w:after="0"/>
              <w:rPr>
                <w:sz w:val="1"/>
                <w:szCs w:val="1"/>
                <w:color w:val="auto"/>
              </w:rPr>
            </w:pPr>
          </w:p>
        </w:tc>
      </w:tr>
      <w:tr>
        <w:trPr>
          <w:trHeight w:val="173"/>
        </w:trPr>
        <w:tc>
          <w:tcPr>
            <w:tcW w:w="2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5"/>
                <w:szCs w:val="15"/>
                <w:color w:val="auto"/>
              </w:rPr>
            </w:pPr>
          </w:p>
        </w:tc>
        <w:tc>
          <w:tcPr>
            <w:tcW w:w="3040" w:type="dxa"/>
            <w:vAlign w:val="bottom"/>
            <w:tcBorders>
              <w:bottom w:val="single" w:sz="8" w:color="auto"/>
            </w:tcBorders>
            <w:gridSpan w:val="8"/>
            <w:vMerge w:val="continue"/>
          </w:tcPr>
          <w:p>
            <w:pPr>
              <w:spacing w:after="0"/>
              <w:rPr>
                <w:sz w:val="15"/>
                <w:szCs w:val="15"/>
                <w:color w:val="auto"/>
              </w:rPr>
            </w:pPr>
          </w:p>
        </w:tc>
        <w:tc>
          <w:tcPr>
            <w:tcW w:w="40" w:type="dxa"/>
            <w:vAlign w:val="bottom"/>
          </w:tcPr>
          <w:p>
            <w:pPr>
              <w:spacing w:after="0"/>
              <w:rPr>
                <w:sz w:val="15"/>
                <w:szCs w:val="15"/>
                <w:color w:val="auto"/>
              </w:rPr>
            </w:pPr>
          </w:p>
        </w:tc>
        <w:tc>
          <w:tcPr>
            <w:tcW w:w="13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Ended June 30, 2021</w:t>
            </w:r>
          </w:p>
        </w:tc>
        <w:tc>
          <w:tcPr>
            <w:tcW w:w="140" w:type="dxa"/>
            <w:vAlign w:val="bottom"/>
          </w:tcPr>
          <w:p>
            <w:pPr>
              <w:spacing w:after="0"/>
              <w:rPr>
                <w:sz w:val="15"/>
                <w:szCs w:val="15"/>
                <w:color w:val="auto"/>
              </w:rPr>
            </w:pPr>
          </w:p>
        </w:tc>
        <w:tc>
          <w:tcPr>
            <w:tcW w:w="13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Ended June 30, 2021</w:t>
            </w:r>
          </w:p>
        </w:tc>
        <w:tc>
          <w:tcPr>
            <w:tcW w:w="0" w:type="dxa"/>
            <w:vAlign w:val="bottom"/>
          </w:tcPr>
          <w:p>
            <w:pPr>
              <w:spacing w:after="0"/>
              <w:rPr>
                <w:sz w:val="1"/>
                <w:szCs w:val="1"/>
                <w:color w:val="auto"/>
              </w:rPr>
            </w:pPr>
          </w:p>
        </w:tc>
      </w:tr>
      <w:tr>
        <w:trPr>
          <w:trHeight w:val="142"/>
        </w:trPr>
        <w:tc>
          <w:tcPr>
            <w:tcW w:w="202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40" w:type="dxa"/>
            <w:vAlign w:val="bottom"/>
            <w:tcBorders>
              <w:bottom w:val="single" w:sz="8" w:color="CCEEFF"/>
            </w:tcBorders>
          </w:tcPr>
          <w:p>
            <w:pPr>
              <w:spacing w:after="0"/>
              <w:rPr>
                <w:sz w:val="12"/>
                <w:szCs w:val="12"/>
                <w:color w:val="auto"/>
              </w:rPr>
            </w:pPr>
          </w:p>
        </w:tc>
        <w:tc>
          <w:tcPr>
            <w:tcW w:w="13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Impairment Losses</w:t>
            </w:r>
          </w:p>
        </w:tc>
        <w:tc>
          <w:tcPr>
            <w:tcW w:w="140" w:type="dxa"/>
            <w:vAlign w:val="bottom"/>
            <w:tcBorders>
              <w:bottom w:val="single" w:sz="8" w:color="CCEEFF"/>
            </w:tcBorders>
          </w:tcPr>
          <w:p>
            <w:pPr>
              <w:spacing w:after="0"/>
              <w:rPr>
                <w:sz w:val="12"/>
                <w:szCs w:val="12"/>
                <w:color w:val="auto"/>
              </w:rPr>
            </w:pPr>
          </w:p>
        </w:tc>
        <w:tc>
          <w:tcPr>
            <w:tcW w:w="13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Impairment Losses</w:t>
            </w:r>
          </w:p>
        </w:tc>
        <w:tc>
          <w:tcPr>
            <w:tcW w:w="0" w:type="dxa"/>
            <w:vAlign w:val="bottom"/>
          </w:tcPr>
          <w:p>
            <w:pPr>
              <w:spacing w:after="0"/>
              <w:rPr>
                <w:sz w:val="1"/>
                <w:szCs w:val="1"/>
                <w:color w:val="auto"/>
              </w:rPr>
            </w:pPr>
          </w:p>
        </w:tc>
      </w:tr>
      <w:tr>
        <w:trPr>
          <w:trHeight w:val="178"/>
        </w:trPr>
        <w:tc>
          <w:tcPr>
            <w:tcW w:w="202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Certain property and</w:t>
            </w: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net</w:t>
            </w: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198"/>
        </w:trPr>
        <w:tc>
          <w:tcPr>
            <w:tcW w:w="2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Certain property and</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equipment, held for sale</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3,772</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Certain ROU assets, net</w:t>
            </w: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Impairment of Long-Lived Assets and ROU Assets</w:t>
      </w:r>
    </w:p>
    <w:p>
      <w:pPr>
        <w:spacing w:after="0" w:line="229" w:lineRule="exact"/>
        <w:rPr>
          <w:sz w:val="20"/>
          <w:szCs w:val="20"/>
          <w:color w:val="auto"/>
        </w:rPr>
      </w:pPr>
    </w:p>
    <w:p>
      <w:pPr>
        <w:ind w:left="60" w:right="80"/>
        <w:spacing w:after="0" w:line="252" w:lineRule="auto"/>
        <w:rPr>
          <w:sz w:val="20"/>
          <w:szCs w:val="20"/>
          <w:color w:val="auto"/>
        </w:rPr>
      </w:pPr>
      <w:r>
        <w:rPr>
          <w:rFonts w:ascii="Times New Roman" w:cs="Times New Roman" w:eastAsia="Times New Roman" w:hAnsi="Times New Roman"/>
          <w:sz w:val="18"/>
          <w:szCs w:val="18"/>
          <w:color w:val="auto"/>
        </w:rPr>
        <w:t>The Company reviews its long-lived and ROU assets for impairment on a restaurant-by-restaurant basis whenever events or changes in circumstances indicate that the carrying value of certain long-lived and ROU assets may not be recoverable. The Company considers a triggering event related to long-lived assets or ROU assets in a net asset position to have occurred related to a specific restaurant if the restaurant’s average unit volume for the last twelve months is less than a minimum threshold or if consistent levels of undiscounted cash flows for the remaining lease period are less than the carrying value of the restaurant’s assets. Additionally, the Company considers a triggering event related to ROU assets to have occurred related to a specific lease if the location has been subleased and future estimated sublease income is less than lease payments under the head lease. If the Company concludes that the carrying value of certain long-lived and ROU assets will not be recovered based on expected undiscounted future cash flows, an impairment loss is recorded to reduce the long-lived or ROU assets to their estimated fair value. The fair value is measured on a nonrecurring basis using unobservable (Level 3) inputs. There is uncertainty in the projected undiscounted future cash flows used in the Company’s impairment review analysis, which requires the use of estimates and assumptions. If actual performance does not achieve the projections, or if the assumptions used change in the future, the Company may be required to recognize impairment charges in future periods, and such charges could be material. The Company determined that triggering events occurred for certain restaurants during the thirteen and twenty-six weeks ended June 29, 2022 that required an impairment review of certain of the Company’s long-lived and ROU assets. Based on the results of the analysis, the Company recorded non-cash impairment charges of $0.2 million and $0.3 million for the thirteen and twenty-six weeks ended June 29, 2022, respectively, primarily related to the long-lived assets of one restaurant in California.</w:t>
      </w:r>
    </w:p>
    <w:p>
      <w:pPr>
        <w:spacing w:after="0" w:line="192" w:lineRule="exact"/>
        <w:rPr>
          <w:sz w:val="20"/>
          <w:szCs w:val="20"/>
          <w:color w:val="auto"/>
        </w:rPr>
      </w:pPr>
    </w:p>
    <w:p>
      <w:pPr>
        <w:ind w:left="60" w:right="100"/>
        <w:spacing w:after="0" w:line="255" w:lineRule="auto"/>
        <w:rPr>
          <w:sz w:val="20"/>
          <w:szCs w:val="20"/>
          <w:color w:val="auto"/>
        </w:rPr>
      </w:pPr>
      <w:r>
        <w:rPr>
          <w:rFonts w:ascii="Times New Roman" w:cs="Times New Roman" w:eastAsia="Times New Roman" w:hAnsi="Times New Roman"/>
          <w:sz w:val="18"/>
          <w:szCs w:val="18"/>
          <w:color w:val="auto"/>
        </w:rPr>
        <w:t>The Company recorded a non-cash impairment charge of $0.4 million and $0.7 million for the thirteen and twenty-six weeks ended June 30, 2021, respectively, primarily related to the carrying value of the ROU assets of one restaurant in Texas closed in 2019, the carrying value of the ROU assets of one restaurant in California and the long-lived assets of three restaurants in California. Given the inherent uncertainty in projecting results for newer restaurants in newer markets, as well as the impact of the COVID-19 pandemic, the Company is monitoring the recoverability of the carrying value of the assets of several restaurants on an ongoing basis. For these restaurants, if expected performance is not realized, an impairment charge may be recognized in future periods, and such charge could be material.</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Closed-Store Reserves</w:t>
      </w:r>
    </w:p>
    <w:p>
      <w:pPr>
        <w:spacing w:after="0" w:line="229" w:lineRule="exact"/>
        <w:rPr>
          <w:sz w:val="20"/>
          <w:szCs w:val="20"/>
          <w:color w:val="auto"/>
        </w:rPr>
      </w:pPr>
    </w:p>
    <w:p>
      <w:pPr>
        <w:ind w:left="60" w:right="340"/>
        <w:spacing w:after="0" w:line="289" w:lineRule="auto"/>
        <w:rPr>
          <w:sz w:val="20"/>
          <w:szCs w:val="20"/>
          <w:color w:val="auto"/>
        </w:rPr>
      </w:pPr>
      <w:r>
        <w:rPr>
          <w:rFonts w:ascii="Times New Roman" w:cs="Times New Roman" w:eastAsia="Times New Roman" w:hAnsi="Times New Roman"/>
          <w:sz w:val="17"/>
          <w:szCs w:val="17"/>
          <w:color w:val="auto"/>
        </w:rPr>
        <w:t>When a restaurant is closed, the Company will evaluate the ROU asset for impairment, based on anticipated sublease recoveries. The remaining value of the ROU asset is amortized on a straight-line basis, with the expense recognized in closed-store reserve expense. Additionally, any property tax and common area maintenance (“CAM”) payments relating</w:t>
      </w:r>
    </w:p>
    <w:p>
      <w:pPr>
        <w:sectPr>
          <w:pgSz w:w="11900" w:h="16838" w:orient="portrait"/>
          <w:cols w:equalWidth="0" w:num="1">
            <w:col w:w="9040"/>
          </w:cols>
          <w:pgMar w:left="1440" w:top="513" w:right="1419" w:bottom="1440" w:gutter="0" w:footer="0" w:header="0"/>
        </w:sectPr>
      </w:pPr>
    </w:p>
    <w:p>
      <w:pPr>
        <w:spacing w:after="0" w:line="37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40"/>
          </w:cols>
          <w:pgMar w:left="1440" w:top="513" w:right="1419"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to closed restaurants are included within closed-store expense. During the thirteen and twenty-six weeks ended June 29, 2022, the Company recognized less than $0.1 million and $0.1 million, respectively, of closed-store reserve expense related to the amortization of ROU assets, property taxes and CAM payments for its closed locations. During the thirteen and twenty-six weeks ended June 30, 2021, the Company recognized $0.1 million and $0.3 million of closed-store reserve expense, respectively, primarily related to the amortization of ROU assets, property taxes and CAM payments for its closed locations.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uses an interest rate swap, a derivative instrument, to hedge interest rate risk and not for trading purposes.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derivative contract is entered into with a financial institution.</w:t>
      </w:r>
    </w:p>
    <w:p>
      <w:pPr>
        <w:spacing w:after="0" w:line="207" w:lineRule="exact"/>
        <w:rPr>
          <w:sz w:val="20"/>
          <w:szCs w:val="20"/>
          <w:color w:val="auto"/>
        </w:rPr>
      </w:pPr>
    </w:p>
    <w:p>
      <w:pPr>
        <w:ind w:left="60" w:right="199"/>
        <w:spacing w:after="0" w:line="255" w:lineRule="auto"/>
        <w:rPr>
          <w:sz w:val="20"/>
          <w:szCs w:val="20"/>
          <w:color w:val="auto"/>
        </w:rPr>
      </w:pPr>
      <w:r>
        <w:rPr>
          <w:rFonts w:ascii="Times New Roman" w:cs="Times New Roman" w:eastAsia="Times New Roman" w:hAnsi="Times New Roman"/>
          <w:sz w:val="18"/>
          <w:szCs w:val="18"/>
          <w:color w:val="auto"/>
        </w:rPr>
        <w:t>The Company records the derivative instrument on its condensed consolidated balance sheets at fair value. The derivative instrument qualifies as a hedging instrument in a qualifying cash flow hedge relationship, and the gain or loss on the derivative instrument is reported as a component of accumulated other comprehensive (loss) income (“AOCI”) and reclassified into earnings in the same period or periods during which the hedged transaction affects earnings. For any derivative instruments not designated as hedging instruments, the gain or loss will be recognized in earnings immediately. If a derivative previously designated as a hedge is terminated, or no longer meets the qualifications for hedge accounting, any balances in AOCI will be reclassified to earnings immediately.</w:t>
      </w:r>
    </w:p>
    <w:p>
      <w:pPr>
        <w:spacing w:after="0" w:line="189" w:lineRule="exact"/>
        <w:rPr>
          <w:sz w:val="20"/>
          <w:szCs w:val="20"/>
          <w:color w:val="auto"/>
        </w:rPr>
      </w:pPr>
    </w:p>
    <w:p>
      <w:pPr>
        <w:ind w:left="60" w:right="259"/>
        <w:spacing w:after="0" w:line="258" w:lineRule="auto"/>
        <w:rPr>
          <w:sz w:val="20"/>
          <w:szCs w:val="20"/>
          <w:color w:val="auto"/>
        </w:rPr>
      </w:pPr>
      <w:r>
        <w:rPr>
          <w:rFonts w:ascii="Times New Roman" w:cs="Times New Roman" w:eastAsia="Times New Roman" w:hAnsi="Times New Roman"/>
          <w:sz w:val="18"/>
          <w:szCs w:val="18"/>
          <w:color w:val="auto"/>
        </w:rPr>
        <w:t>As a result of the use of an interest rate swap, the Company is exposed to risk that the counterparty will fail to meet its contractual obligations. To mitigate the counterparty credit risk, the Company will only enter into contracts with major financial institutions, based upon their credit ratings and other factors, and will continue to assess the creditworthiness of the counterparty. As of June 29, 2022, the counterparty to the Company’s interest rate swap has performed in accordance with its contractual obligation.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left="60" w:right="119"/>
        <w:spacing w:after="0" w:line="273" w:lineRule="auto"/>
        <w:rPr>
          <w:sz w:val="20"/>
          <w:szCs w:val="20"/>
          <w:color w:val="auto"/>
        </w:rPr>
      </w:pPr>
      <w:r>
        <w:rPr>
          <w:rFonts w:ascii="Times New Roman" w:cs="Times New Roman" w:eastAsia="Times New Roman" w:hAnsi="Times New Roman"/>
          <w:sz w:val="17"/>
          <w:szCs w:val="17"/>
          <w:color w:val="auto"/>
        </w:rPr>
        <w:t>The provision for income taxes, income taxes payable and deferred income taxes is determined using the asset and liability method. Deferred tax assets and liabilities are determined based on temporary differences between the financial carrying amounts and the tax bases of assets and liabilities using enacted tax rates in effect in the years in which the temporary differences are expected to reverse. On a periodic basis, the Company assesses the probability that its net deferred tax assets, if any, will be recovered. If, after evaluating all of the positive and negative evidence, a conclusion is made that it is more likely than not that some portion or all of the net deferred tax assets will not be recovered, a valuation allowance is provided by charging to tax expense a reserve for the portion of deferred tax assets which are not expected to be realized.</w:t>
      </w:r>
    </w:p>
    <w:p>
      <w:pPr>
        <w:spacing w:after="0" w:line="171" w:lineRule="exact"/>
        <w:rPr>
          <w:sz w:val="20"/>
          <w:szCs w:val="20"/>
          <w:color w:val="auto"/>
        </w:rPr>
      </w:pPr>
    </w:p>
    <w:p>
      <w:pPr>
        <w:ind w:left="60" w:right="739"/>
        <w:spacing w:after="0" w:line="282" w:lineRule="auto"/>
        <w:rPr>
          <w:sz w:val="20"/>
          <w:szCs w:val="20"/>
          <w:color w:val="auto"/>
        </w:rPr>
      </w:pPr>
      <w:r>
        <w:rPr>
          <w:rFonts w:ascii="Times New Roman" w:cs="Times New Roman" w:eastAsia="Times New Roman" w:hAnsi="Times New Roman"/>
          <w:sz w:val="18"/>
          <w:szCs w:val="18"/>
          <w:color w:val="auto"/>
        </w:rPr>
        <w:t>The Company reviews its filing positions for all open tax years in all U.S. federal and state jurisdictions where the Company is required to file.</w:t>
      </w:r>
    </w:p>
    <w:p>
      <w:pPr>
        <w:spacing w:after="0" w:line="162" w:lineRule="exact"/>
        <w:rPr>
          <w:sz w:val="20"/>
          <w:szCs w:val="20"/>
          <w:color w:val="auto"/>
        </w:rPr>
      </w:pPr>
    </w:p>
    <w:p>
      <w:pPr>
        <w:jc w:val="both"/>
        <w:ind w:left="60" w:right="319"/>
        <w:spacing w:after="0" w:line="272" w:lineRule="auto"/>
        <w:rPr>
          <w:sz w:val="20"/>
          <w:szCs w:val="20"/>
          <w:color w:val="auto"/>
        </w:rPr>
      </w:pPr>
      <w:r>
        <w:rPr>
          <w:rFonts w:ascii="Times New Roman" w:cs="Times New Roman" w:eastAsia="Times New Roman" w:hAnsi="Times New Roman"/>
          <w:sz w:val="17"/>
          <w:szCs w:val="17"/>
          <w:color w:val="auto"/>
        </w:rPr>
        <w:t>When there are uncertainties related to potential income tax benefits, in order to qualify for recognition, the position the Company takes has to have at least a “more likely than not” chance of being sustained (based on the position’s technical merits) upon challenge by the respective authorities. The term “more likely than not” means a likelihood of more than</w:t>
      </w:r>
    </w:p>
    <w:p>
      <w:pPr>
        <w:spacing w:after="0" w:line="2" w:lineRule="exact"/>
        <w:rPr>
          <w:sz w:val="20"/>
          <w:szCs w:val="20"/>
          <w:color w:val="auto"/>
        </w:rPr>
      </w:pPr>
    </w:p>
    <w:p>
      <w:pPr>
        <w:ind w:left="60" w:right="159"/>
        <w:spacing w:after="0" w:line="252" w:lineRule="auto"/>
        <w:rPr>
          <w:sz w:val="20"/>
          <w:szCs w:val="20"/>
          <w:color w:val="auto"/>
        </w:rPr>
      </w:pPr>
      <w:r>
        <w:rPr>
          <w:rFonts w:ascii="Times New Roman" w:cs="Times New Roman" w:eastAsia="Times New Roman" w:hAnsi="Times New Roman"/>
          <w:sz w:val="18"/>
          <w:szCs w:val="18"/>
          <w:color w:val="auto"/>
        </w:rPr>
        <w:t>50 percent. Otherwise, the Company may not recognize any of the potential tax benefit associated with the position. The Company recognizes a benefit for a tax position that meets the “more likely than not” criterion at the largest amount of tax benefit that is greater than 50 percent likely of being realized upon its effective resolution. Unrecognized tax benefits involve management’s judgment regarding the likelihood of the benefit being sustained. The final resolution of uncertain tax positions could result in adjustments to recorded amounts and may affect the Company’s condensed consolidated financial position, results of operations, and cash flows.</w:t>
      </w:r>
    </w:p>
    <w:p>
      <w:pPr>
        <w:spacing w:after="0" w:line="190" w:lineRule="exact"/>
        <w:rPr>
          <w:sz w:val="20"/>
          <w:szCs w:val="20"/>
          <w:color w:val="auto"/>
        </w:rPr>
      </w:pPr>
    </w:p>
    <w:p>
      <w:pPr>
        <w:ind w:left="60" w:right="339"/>
        <w:spacing w:after="0" w:line="258" w:lineRule="auto"/>
        <w:rPr>
          <w:sz w:val="20"/>
          <w:szCs w:val="20"/>
          <w:color w:val="auto"/>
        </w:rPr>
      </w:pPr>
      <w:r>
        <w:rPr>
          <w:rFonts w:ascii="Times New Roman" w:cs="Times New Roman" w:eastAsia="Times New Roman" w:hAnsi="Times New Roman"/>
          <w:sz w:val="18"/>
          <w:szCs w:val="18"/>
          <w:color w:val="auto"/>
        </w:rPr>
        <w:t>The Company’s policy is to recognize interest and penalties related to income tax matters in income tax expense. The Company had no accrual for interest or penalties at June 29, 2022 or at December 29, 2021. The Company did not recognize interest or penalties during the thirteen and twenty-six weeks ended June 29, 2022 and June 30, 2021, respectively, since there were no material unrecognized tax benefits. Management believes no significant changes to the amount of unrecognized tax benefits will occur within the next twelve months.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On July 30, 2014, the Company entered into the income tax receivable agreement (the “TRA”), which calls for the Company to pay to its pre-initial public offering (“IPO”) stockholders 85% of the savings in cash that the Company realizes in its income taxes as a result of utilizing its net operating losses (“NOLs”) and other tax attributes attributable to preceding periods. For the thirteen and twenty-six weeks ended June 29, 2022, the Company recorded income tax receivable agreement income of $0.2 million and $0.3 million, respectively, and for the thirteen and twenty-six weeks ended June 30, 2021, the Company recorded income tax receivable agreement expense of less than $0.1 million and income tax receivable agreement income of less than $0.1 million, respectively, in each case, related to the amortization of interest expense related to the total expected TRA payments and changes in estimates for actual tax returns filed and future forecasted taxable income.</w:t>
      </w:r>
    </w:p>
    <w:p>
      <w:pPr>
        <w:spacing w:after="0" w:line="188"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The Coronavirus Aid, Relief and Economic Security Act provides for the deferral of employer Social Security taxes that are otherwise owed for wage payment and the creation of refundable employee retention credits. The total amount deferred as of December 30, 2020 was $4.9 million, of which 50% was paid at the end of 2021 and the remaining 50% is due by December 31, 2022.</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PROPERTY AND EQUIPMENT</w:t>
      </w:r>
    </w:p>
    <w:p>
      <w:pPr>
        <w:spacing w:after="0" w:line="229"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The costs and related accumulated depreciation and amortization of major classes of property and equipment are as follows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June 29, 2022</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29, 2021</w:t>
            </w:r>
          </w:p>
        </w:tc>
      </w:tr>
      <w:tr>
        <w:trPr>
          <w:trHeight w:val="210"/>
        </w:trPr>
        <w:tc>
          <w:tcPr>
            <w:tcW w:w="6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12,323</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12,323</w:t>
            </w:r>
          </w:p>
        </w:tc>
      </w:tr>
      <w:tr>
        <w:trPr>
          <w:trHeight w:val="216"/>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147,169</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144,631</w:t>
            </w:r>
          </w:p>
        </w:tc>
      </w:tr>
      <w:tr>
        <w:trPr>
          <w:trHeight w:val="21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property and equipment</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79,719</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78,383</w:t>
            </w:r>
          </w:p>
        </w:tc>
      </w:tr>
      <w:tr>
        <w:trPr>
          <w:trHeight w:val="216"/>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7,156</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5,333</w:t>
            </w:r>
          </w:p>
        </w:tc>
      </w:tr>
      <w:tr>
        <w:trPr>
          <w:trHeight w:val="210"/>
        </w:trPr>
        <w:tc>
          <w:tcPr>
            <w:tcW w:w="6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246,367</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240,670</w:t>
            </w:r>
          </w:p>
        </w:tc>
      </w:tr>
      <w:tr>
        <w:trPr>
          <w:trHeight w:val="216"/>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(170,294)</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(165,002)</w:t>
            </w:r>
          </w:p>
        </w:tc>
      </w:tr>
      <w:tr>
        <w:trPr>
          <w:trHeight w:val="210"/>
        </w:trPr>
        <w:tc>
          <w:tcPr>
            <w:tcW w:w="64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76,073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75,668</w:t>
            </w:r>
          </w:p>
        </w:tc>
      </w:tr>
      <w:tr>
        <w:trPr>
          <w:trHeight w:val="20"/>
        </w:trPr>
        <w:tc>
          <w:tcPr>
            <w:tcW w:w="6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399"/>
        <w:spacing w:after="0" w:line="266" w:lineRule="auto"/>
        <w:rPr>
          <w:sz w:val="20"/>
          <w:szCs w:val="20"/>
          <w:color w:val="auto"/>
        </w:rPr>
      </w:pPr>
      <w:r>
        <w:rPr>
          <w:rFonts w:ascii="Times New Roman" w:cs="Times New Roman" w:eastAsia="Times New Roman" w:hAnsi="Times New Roman"/>
          <w:sz w:val="18"/>
          <w:szCs w:val="18"/>
          <w:color w:val="auto"/>
        </w:rPr>
        <w:t>Depreciation expense was $3.6 million and $3.9 million for the thirteen weeks ended June 29, 2022 and June 30, 2021, respectively, and $7.2 million and $7.9 million for the twenty-six weeks ended June 29, 2022 and June 30, 2021, respectively.</w:t>
      </w:r>
    </w:p>
    <w:p>
      <w:pPr>
        <w:spacing w:after="0" w:line="176"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Based on the Company’s review of its long-lived assets for impairment, the Company recorded non-cash impairment charges of $0.2 million and $0.3 million for the thirteen and twenty-six weeks ended June 29, 2022, respectively, primarily related to the carrying value of the long-lived assets of one restaurant in California.</w:t>
      </w:r>
    </w:p>
    <w:p>
      <w:pPr>
        <w:spacing w:after="0" w:line="176"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During the thirteen and twenty-six weeks ended June 30, 2021, the Company recorded non-cash impairment charges of less than $0.1 million and $0.3 million, respectively, primarily related to the carrying value of the assets of three restaurants in California. See Note 1, “Basis of Presentation and Summary of Significant Accounting Policies – Impairment of Long-Lived Assets and ROU Assets” for additional information.</w:t>
      </w:r>
    </w:p>
    <w:p>
      <w:pPr>
        <w:spacing w:after="0" w:line="3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STOCK-BASED COMPENSATION</w:t>
      </w:r>
    </w:p>
    <w:p>
      <w:pPr>
        <w:spacing w:after="0" w:line="229"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At June 29, 2022, options to purchase 1,183,873 shares of common stock were outstanding, including 628,053 vested and 555,820 unvested. Unvested options vest over time; however, upon a change in control, the Board of Directors may accelerate vesting. At June 29, 2022, 203,569 premium options, which are options granted above the stock price at date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of grant, remained outstanding. A summary of stock option activity as of June 29, 2022 and changes during the twenty-six weeks ended June 29, 2022 is as follows:</w:t>
      </w:r>
    </w:p>
    <w:p>
      <w:pPr>
        <w:spacing w:after="0" w:line="23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4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60" w:type="dxa"/>
            <w:vAlign w:val="bottom"/>
          </w:tcPr>
          <w:p>
            <w:pPr>
              <w:spacing w:after="0"/>
              <w:rPr>
                <w:sz w:val="13"/>
                <w:szCs w:val="13"/>
                <w:color w:val="auto"/>
              </w:rPr>
            </w:pPr>
          </w:p>
        </w:tc>
        <w:tc>
          <w:tcPr>
            <w:tcW w:w="84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9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10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73"/>
        </w:trPr>
        <w:tc>
          <w:tcPr>
            <w:tcW w:w="454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4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09"/>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 December 29, 2021</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978,078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372,958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(150,475)</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 cancelled or expired</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(16,688)</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 June 29, 2022</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1,183,873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1220" w:type="dxa"/>
            <w:vAlign w:val="bottom"/>
            <w:tcBorders>
              <w:top w:val="single" w:sz="8" w:color="CCEEFF"/>
              <w:bottom w:val="single" w:sz="8" w:color="CCEEFF"/>
            </w:tcBorders>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6.28</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CCEEFF"/>
              <w:bottom w:val="single" w:sz="8" w:color="CCEEFF"/>
            </w:tcBorders>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873</w:t>
            </w:r>
          </w:p>
        </w:tc>
        <w:tc>
          <w:tcPr>
            <w:tcW w:w="0" w:type="dxa"/>
            <w:vAlign w:val="bottom"/>
          </w:tcPr>
          <w:p>
            <w:pPr>
              <w:spacing w:after="0"/>
              <w:rPr>
                <w:sz w:val="1"/>
                <w:szCs w:val="1"/>
                <w:color w:val="auto"/>
              </w:rPr>
            </w:pPr>
          </w:p>
        </w:tc>
      </w:tr>
      <w:tr>
        <w:trPr>
          <w:trHeight w:val="20"/>
        </w:trPr>
        <w:tc>
          <w:tcPr>
            <w:tcW w:w="4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June 29, 2022</w:t>
            </w: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20" w:type="dxa"/>
            <w:vAlign w:val="bottom"/>
            <w:gridSpan w:val="2"/>
            <w:vMerge w:val="restart"/>
          </w:tcPr>
          <w:p>
            <w:pPr>
              <w:jc w:val="right"/>
              <w:ind w:right="288"/>
              <w:spacing w:after="0"/>
              <w:rPr>
                <w:sz w:val="20"/>
                <w:szCs w:val="20"/>
                <w:color w:val="auto"/>
              </w:rPr>
            </w:pPr>
            <w:r>
              <w:rPr>
                <w:rFonts w:ascii="Times New Roman" w:cs="Times New Roman" w:eastAsia="Times New Roman" w:hAnsi="Times New Roman"/>
                <w:sz w:val="18"/>
                <w:szCs w:val="18"/>
                <w:color w:val="auto"/>
              </w:rPr>
              <w:t>6.24</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ind w:right="215"/>
              <w:spacing w:after="0"/>
              <w:rPr>
                <w:sz w:val="20"/>
                <w:szCs w:val="20"/>
                <w:color w:val="auto"/>
              </w:rPr>
            </w:pPr>
            <w:r>
              <w:rPr>
                <w:rFonts w:ascii="Times New Roman" w:cs="Times New Roman" w:eastAsia="Times New Roman" w:hAnsi="Times New Roman"/>
                <w:sz w:val="18"/>
                <w:szCs w:val="18"/>
                <w:color w:val="auto"/>
              </w:rPr>
              <w:t>873</w:t>
            </w:r>
          </w:p>
        </w:tc>
        <w:tc>
          <w:tcPr>
            <w:tcW w:w="0" w:type="dxa"/>
            <w:vAlign w:val="bottom"/>
          </w:tcPr>
          <w:p>
            <w:pPr>
              <w:spacing w:after="0" w:line="20" w:lineRule="exact"/>
              <w:rPr>
                <w:sz w:val="1"/>
                <w:szCs w:val="1"/>
                <w:color w:val="auto"/>
              </w:rPr>
            </w:pPr>
          </w:p>
        </w:tc>
      </w:tr>
      <w:tr>
        <w:trPr>
          <w:trHeight w:val="237"/>
        </w:trPr>
        <w:tc>
          <w:tcPr>
            <w:tcW w:w="4540" w:type="dxa"/>
            <w:vAlign w:val="bottom"/>
            <w:tcBorders>
              <w:bottom w:val="single" w:sz="8" w:color="CCEEFF"/>
            </w:tcBorders>
            <w:vMerge w:val="continue"/>
          </w:tcPr>
          <w:p>
            <w:pPr>
              <w:spacing w:after="0"/>
              <w:rPr>
                <w:sz w:val="20"/>
                <w:szCs w:val="20"/>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1,172,691</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11.22</w:t>
            </w:r>
          </w:p>
        </w:tc>
        <w:tc>
          <w:tcPr>
            <w:tcW w:w="1220" w:type="dxa"/>
            <w:vAlign w:val="bottom"/>
            <w:tcBorders>
              <w:bottom w:val="single" w:sz="8" w:color="CCEEFF"/>
            </w:tcBorders>
            <w:gridSpan w:val="2"/>
            <w:vMerge w:val="continue"/>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84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54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Exercisable at June 29, 2022</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628,053</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10.48</w:t>
            </w:r>
          </w:p>
        </w:tc>
        <w:tc>
          <w:tcPr>
            <w:tcW w:w="1220" w:type="dxa"/>
            <w:vAlign w:val="bottom"/>
            <w:tcBorders>
              <w:bottom w:val="single" w:sz="8" w:color="CCEEFF"/>
            </w:tcBorders>
            <w:gridSpan w:val="2"/>
            <w:shd w:val="clear" w:color="auto" w:fill="CCEEFF"/>
          </w:tcPr>
          <w:p>
            <w:pPr>
              <w:jc w:val="right"/>
              <w:ind w:right="288"/>
              <w:spacing w:after="0" w:line="196" w:lineRule="exact"/>
              <w:rPr>
                <w:sz w:val="20"/>
                <w:szCs w:val="20"/>
                <w:color w:val="auto"/>
              </w:rPr>
            </w:pPr>
            <w:r>
              <w:rPr>
                <w:rFonts w:ascii="Times New Roman" w:cs="Times New Roman" w:eastAsia="Times New Roman" w:hAnsi="Times New Roman"/>
                <w:sz w:val="18"/>
                <w:szCs w:val="18"/>
                <w:color w:val="auto"/>
              </w:rPr>
              <w:t>3.65</w:t>
            </w:r>
          </w:p>
        </w:tc>
        <w:tc>
          <w:tcPr>
            <w:tcW w:w="16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215"/>
              <w:spacing w:after="0" w:line="196" w:lineRule="exact"/>
              <w:rPr>
                <w:sz w:val="20"/>
                <w:szCs w:val="20"/>
                <w:color w:val="auto"/>
              </w:rPr>
            </w:pPr>
            <w:r>
              <w:rPr>
                <w:rFonts w:ascii="Times New Roman" w:cs="Times New Roman" w:eastAsia="Times New Roman" w:hAnsi="Times New Roman"/>
                <w:sz w:val="18"/>
                <w:szCs w:val="18"/>
                <w:color w:val="auto"/>
              </w:rPr>
              <w:t>873</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119"/>
        <w:spacing w:after="0" w:line="312" w:lineRule="auto"/>
        <w:rPr>
          <w:sz w:val="20"/>
          <w:szCs w:val="20"/>
          <w:color w:val="auto"/>
        </w:rPr>
      </w:pPr>
      <w:r>
        <w:rPr>
          <w:rFonts w:ascii="Times New Roman" w:cs="Times New Roman" w:eastAsia="Times New Roman" w:hAnsi="Times New Roman"/>
          <w:sz w:val="17"/>
          <w:szCs w:val="17"/>
          <w:color w:val="auto"/>
        </w:rPr>
        <w:t>The fair value of each stock option was estimated on the grant date using an exercise price of the closing stock price on the day prior to date of grant and the Black-Scholes option-pricing model with the following weighted average assumptions:</w:t>
      </w:r>
    </w:p>
    <w:p>
      <w:pPr>
        <w:spacing w:after="0" w:line="14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340" w:type="dxa"/>
            <w:vAlign w:val="bottom"/>
          </w:tcPr>
          <w:p>
            <w:pPr>
              <w:spacing w:after="0"/>
              <w:rPr>
                <w:sz w:val="15"/>
                <w:szCs w:val="15"/>
                <w:color w:val="auto"/>
              </w:rPr>
            </w:pPr>
          </w:p>
        </w:tc>
        <w:tc>
          <w:tcPr>
            <w:tcW w:w="132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June 29, 2022</w:t>
            </w:r>
          </w:p>
        </w:tc>
        <w:tc>
          <w:tcPr>
            <w:tcW w:w="1240" w:type="dxa"/>
            <w:vAlign w:val="bottom"/>
            <w:gridSpan w:val="2"/>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June 30, 2021</w:t>
            </w:r>
          </w:p>
        </w:tc>
      </w:tr>
      <w:tr>
        <w:trPr>
          <w:trHeight w:val="210"/>
        </w:trPr>
        <w:tc>
          <w:tcPr>
            <w:tcW w:w="6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32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43.0 %</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2.9 %</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16"/>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13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6.25</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80" w:type="dxa"/>
            <w:vAlign w:val="bottom"/>
            <w:shd w:val="clear" w:color="auto" w:fill="CCEEFF"/>
          </w:tcPr>
          <w:p>
            <w:pPr>
              <w:spacing w:after="0"/>
              <w:rPr>
                <w:sz w:val="18"/>
                <w:szCs w:val="18"/>
                <w:color w:val="auto"/>
              </w:rPr>
            </w:pPr>
          </w:p>
        </w:tc>
      </w:tr>
      <w:tr>
        <w:trPr>
          <w:trHeight w:val="234"/>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dividends</w:t>
            </w:r>
          </w:p>
        </w:tc>
        <w:tc>
          <w:tcPr>
            <w:tcW w:w="132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bl>
    <w:p>
      <w:pPr>
        <w:spacing w:after="0" w:line="395"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At June 29, 2022, the Company had total unrecognized compensation expense of $2.7 million related to unvested stock options, which it expects to recognize over a weighted-average period of 3.39 years.</w:t>
      </w:r>
    </w:p>
    <w:p>
      <w:pPr>
        <w:spacing w:after="0" w:line="162"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A summary of restricted share activity as of June 29, 2022 and changes during the twenty-six weeks ended June 29, 2022 is as follows: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20" w:type="dxa"/>
            <w:vAlign w:val="bottom"/>
          </w:tcPr>
          <w:p>
            <w:pPr>
              <w:spacing w:after="0"/>
              <w:rPr>
                <w:sz w:val="13"/>
                <w:szCs w:val="13"/>
                <w:color w:val="auto"/>
              </w:rPr>
            </w:pPr>
          </w:p>
        </w:tc>
        <w:tc>
          <w:tcPr>
            <w:tcW w:w="11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73"/>
        </w:trPr>
        <w:tc>
          <w:tcPr>
            <w:tcW w:w="662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6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shares at December 29, 2021</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495,780</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0" w:type="dxa"/>
            <w:vAlign w:val="bottom"/>
          </w:tcPr>
          <w:p>
            <w:pPr>
              <w:spacing w:after="0"/>
              <w:rPr>
                <w:sz w:val="1"/>
                <w:szCs w:val="1"/>
                <w:color w:val="auto"/>
              </w:rPr>
            </w:pPr>
          </w:p>
        </w:tc>
      </w:tr>
      <w:tr>
        <w:trPr>
          <w:trHeight w:val="21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298,638</w:t>
            </w:r>
          </w:p>
        </w:tc>
        <w:tc>
          <w:tcPr>
            <w:tcW w:w="180" w:type="dxa"/>
            <w:vAlign w:val="bottom"/>
          </w:tcPr>
          <w:p>
            <w:pPr>
              <w:spacing w:after="0"/>
              <w:rPr>
                <w:sz w:val="18"/>
                <w:szCs w:val="18"/>
                <w:color w:val="auto"/>
              </w:rPr>
            </w:pP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Released</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(153,103)</w:t>
            </w: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0" w:type="dxa"/>
            <w:vAlign w:val="bottom"/>
          </w:tcPr>
          <w:p>
            <w:pPr>
              <w:spacing w:after="0"/>
              <w:rPr>
                <w:sz w:val="1"/>
                <w:szCs w:val="1"/>
                <w:color w:val="auto"/>
              </w:rPr>
            </w:pPr>
          </w:p>
        </w:tc>
      </w:tr>
      <w:tr>
        <w:trPr>
          <w:trHeight w:val="21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 cancelled, or expired</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(27,931)</w:t>
            </w: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0" w:type="dxa"/>
            <w:vAlign w:val="bottom"/>
          </w:tcPr>
          <w:p>
            <w:pPr>
              <w:spacing w:after="0"/>
              <w:rPr>
                <w:sz w:val="1"/>
                <w:szCs w:val="1"/>
                <w:color w:val="auto"/>
              </w:rPr>
            </w:pPr>
          </w:p>
        </w:tc>
      </w:tr>
      <w:tr>
        <w:trPr>
          <w:trHeight w:val="210"/>
        </w:trPr>
        <w:tc>
          <w:tcPr>
            <w:tcW w:w="6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shares at June 29, 2022</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613,384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459"/>
        <w:spacing w:after="0" w:line="282" w:lineRule="auto"/>
        <w:rPr>
          <w:sz w:val="20"/>
          <w:szCs w:val="20"/>
          <w:color w:val="auto"/>
        </w:rPr>
      </w:pPr>
      <w:r>
        <w:rPr>
          <w:rFonts w:ascii="Times New Roman" w:cs="Times New Roman" w:eastAsia="Times New Roman" w:hAnsi="Times New Roman"/>
          <w:sz w:val="18"/>
          <w:szCs w:val="18"/>
          <w:color w:val="auto"/>
        </w:rPr>
        <w:t>At June 29, 2022, the Company had unrecognized compensation expense of $6.6 million related to unvested restricted shares, which it expects to recognize over a weighted-average period of 2.83 years.</w:t>
      </w:r>
    </w:p>
    <w:p>
      <w:pPr>
        <w:spacing w:after="0" w:line="162" w:lineRule="exact"/>
        <w:rPr>
          <w:sz w:val="20"/>
          <w:szCs w:val="20"/>
          <w:color w:val="auto"/>
        </w:rPr>
      </w:pPr>
    </w:p>
    <w:p>
      <w:pPr>
        <w:ind w:left="60" w:right="219"/>
        <w:spacing w:after="0" w:line="312" w:lineRule="auto"/>
        <w:rPr>
          <w:sz w:val="20"/>
          <w:szCs w:val="20"/>
          <w:color w:val="auto"/>
        </w:rPr>
      </w:pPr>
      <w:r>
        <w:rPr>
          <w:rFonts w:ascii="Times New Roman" w:cs="Times New Roman" w:eastAsia="Times New Roman" w:hAnsi="Times New Roman"/>
          <w:sz w:val="17"/>
          <w:szCs w:val="17"/>
          <w:color w:val="auto"/>
        </w:rPr>
        <w:t>Total stock-based compensation expense was $1.0 million and $1.8 million for the thirteen and twenty-six weeks ended June 29, 2022, respectively, and $1.0 million and $1.9 million for the thirteen and twenty-six weeks ended June 30, 2021.</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LONG-TERM DEBT</w:t>
      </w:r>
    </w:p>
    <w:p>
      <w:pPr>
        <w:spacing w:after="0" w:line="229"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The Company, as a guarantor, is a party to a credit agreement (the “2018 Credit Agreement”) among EPL, as borrower, Intermediate, as a guarantor, Bank of America, N.A., as administrative agent, swingline lender, and letter of credit issuer, the lenders party thereto, and the other parties thereto, which provides for a $150.0 million five-year senior secured revolving credit facility (the “2018 Revolver”). The 2018 Revolver includes a sub limit of $15.0 million for letters of credit and a sub limit of $15.0 million for swingline loans. The 2018 Revolver and 2018 Credit Agreement will mature on July 13, 2023. The obligations under the 2018 Credit Agreement and related loan documents are guaranteed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by Holdings and Intermediate. The obligations of Holdings, EPL and Intermediate under the 2018 Credit Agreement and related loan documents are secured by a first priority lien on substantially all of their respective assets.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Under the 2018 Revolver, Holdings may not make certain payments such as cash dividends, except that it may, inter alia,</w:t>
      </w:r>
    </w:p>
    <w:p>
      <w:pPr>
        <w:spacing w:after="0" w:line="27" w:lineRule="exact"/>
        <w:rPr>
          <w:sz w:val="20"/>
          <w:szCs w:val="20"/>
          <w:color w:val="auto"/>
        </w:rPr>
      </w:pPr>
    </w:p>
    <w:p>
      <w:pPr>
        <w:jc w:val="both"/>
        <w:ind w:left="60" w:right="339" w:hanging="10"/>
        <w:spacing w:after="0" w:line="265" w:lineRule="auto"/>
        <w:tabs>
          <w:tab w:leader="none" w:pos="27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 up to $1.0 million per year to repurchase or redeem qualified equity interests of Holdings held by past or present officers, directors, or employees (or their estates) of the Company upon death, disability, or termination of employment,</w:t>
      </w:r>
    </w:p>
    <w:p>
      <w:pPr>
        <w:ind w:left="60" w:right="139" w:hanging="10"/>
        <w:spacing w:after="0" w:line="265" w:lineRule="auto"/>
        <w:tabs>
          <w:tab w:leader="none" w:pos="32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 under its TRA, and (iii) so long as no default or event of default has occurred and is continuing, (a) make non-cash repurchases of equity interests in connection with the exercise of stock options by directors, officers and management, provided that those equity interests represent a portion of the consideration of the exercise price of those stock options,</w:t>
      </w:r>
    </w:p>
    <w:p>
      <w:pPr>
        <w:ind w:left="60" w:right="179"/>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pay up to $0.5 million in any 12 month consecutive period to redeem, repurchase or otherwise acquire equity interests of any subsidiary that is not a wholly-owned subsidiary from any holder of equity interest in such subsidiary, (c) pay up to $2.5 million per year pursuant to stock option plans, employment agreements, or incentive plans, (d) make up to $5.0 million in other restricted payments per year, and (e) make other restricted payments, subject to its compliance, on a pro forma basis, with (x) a lease-adjusted consolidated leverage ratio not to exceed 4.25 times and (y) the financial covenants applicable to the 2018 Revolver.</w:t>
      </w:r>
    </w:p>
    <w:p>
      <w:pPr>
        <w:spacing w:after="0" w:line="190"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Borrowings under the 2018 Credit Agreement (other than any swingline loans) bear interest, at the borrower’s option, at rates based upon either LIBOR or a base rate, plus, for each rate, a margin determined in accordance with a lease-adjusted consolidated leverage ratio-based pricing grid. The base rate is calculated as the highest of (a) the federal funds rate plus 0.50%, (b) the published Bank of America prime rate, or (c) LIBOR plus 1.00%. For LIBOR loans, the margin is in the range of 1.25% to 2.25%, and for base rate loans the margin is in a range of 0.25% to 1.25%. Borrowings under the 2018 Revolver may be repaid and reborrowed. The interest rate range was 1.70% to 2.87% and 1.35% to 2.87% for the thirteen and twenty-six weeks ended June 29, 2022, respectively, and 1.35% to 1.36% and 1.35% to 1.65% for the thirteen and twenty-six weeks ended June 30, 2021.</w:t>
      </w:r>
    </w:p>
    <w:p>
      <w:pPr>
        <w:spacing w:after="0" w:line="192" w:lineRule="exact"/>
        <w:rPr>
          <w:sz w:val="20"/>
          <w:szCs w:val="20"/>
          <w:color w:val="auto"/>
        </w:rPr>
      </w:pPr>
    </w:p>
    <w:p>
      <w:pPr>
        <w:ind w:left="60" w:right="519"/>
        <w:spacing w:after="0" w:line="282" w:lineRule="auto"/>
        <w:rPr>
          <w:sz w:val="20"/>
          <w:szCs w:val="20"/>
          <w:color w:val="auto"/>
        </w:rPr>
      </w:pPr>
      <w:r>
        <w:rPr>
          <w:rFonts w:ascii="Times New Roman" w:cs="Times New Roman" w:eastAsia="Times New Roman" w:hAnsi="Times New Roman"/>
          <w:sz w:val="18"/>
          <w:szCs w:val="18"/>
          <w:color w:val="auto"/>
        </w:rPr>
        <w:t>The 2018 Credit Agreement contains certain financial covenants. The Company was in compliance with the financial covenants as of June 29, 2022.</w:t>
      </w:r>
    </w:p>
    <w:p>
      <w:pPr>
        <w:spacing w:after="0" w:line="162" w:lineRule="exact"/>
        <w:rPr>
          <w:sz w:val="20"/>
          <w:szCs w:val="20"/>
          <w:color w:val="auto"/>
        </w:rPr>
      </w:pPr>
    </w:p>
    <w:p>
      <w:pPr>
        <w:ind w:left="60" w:right="679"/>
        <w:spacing w:after="0" w:line="312" w:lineRule="auto"/>
        <w:rPr>
          <w:sz w:val="20"/>
          <w:szCs w:val="20"/>
          <w:color w:val="auto"/>
        </w:rPr>
      </w:pPr>
      <w:r>
        <w:rPr>
          <w:rFonts w:ascii="Times New Roman" w:cs="Times New Roman" w:eastAsia="Times New Roman" w:hAnsi="Times New Roman"/>
          <w:sz w:val="17"/>
          <w:szCs w:val="17"/>
          <w:color w:val="auto"/>
        </w:rPr>
        <w:t>At June 29, 2022, $10.0 million of letters of credit and $40.0 million in borrowings under the 2018 Revolver were outstanding. The Company had $100.0 million in borrowing availability under the 2018 Revolver at June 29, 2022.</w:t>
      </w:r>
    </w:p>
    <w:p>
      <w:pPr>
        <w:spacing w:after="0" w:line="140"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On July 27, 2022, the 2018 Revolver was refinanced pursuant to a new 2022 Credit Agreement among EPL, as borrower, the Company and Intermediate, as guarantors, the lenders and other parties party thereto and Bank of America, N.A., as administrative agent, swingline lender and letters of credit issuer, which provides for a $150.0 million five-year senior secured revolving facility. In connection with the refinancing, the 2018 Credit Agreement was terminated. On July 29, 2022, the Company made a $20.0 million payment to the 2022 Revolver and the outstanding balance as of August 4, 2022 was $20.0 million. For more information regarding the 2022 Credit Agreement, see Note 1, “Subsequent Events ― 2022 Credit Agreement.”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Maturities</w:t>
      </w:r>
    </w:p>
    <w:p>
      <w:pPr>
        <w:spacing w:after="0" w:line="229"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No amounts were paid on the 2018 Revolver during the thirteen and twenty-six weeks ended June 29, 2022. During the thirteen and twenty-six weeks ended June 30, 2021, the Company paid down $13.8 million and $22.8 million on the 2018 Revolver, respectively. On July 27, 2022, the Company refinanced and terminated the 2018 Revolver pursuant to the 2022 Credit Agreement.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Rate Swap</w:t>
      </w:r>
    </w:p>
    <w:p>
      <w:pPr>
        <w:spacing w:after="0" w:line="229"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During the year ended December 25, 2019, the Company entered into a variable-to-fixed interest rate swap agreement with a notional amount of $40.0 million that matures in June 2023. The objective of the interest rate swap was to reduce the Company’s exposure to interest rate risk for a portion of its variable-rate interest payments on its borrowings under the 2018 Revolver. Under the terms of the swap agreement, the variable LIBOR-based component of interest payments was converted to a fixed rate of 1.31%, plus applicable margin, which was 1.5% for the twenty-six weeks ended June 29, 2022. The interest rate swap was designated as a cash flow hedge, as the changes in the future cash flows of the swap were expected to offset changes in expected future interest payments on the related variable-rate debt, in accordance with Accounting Standards Codification (“ASC”) 815 “Derivatives and Hedging.”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00"/>
        <w:spacing w:after="0" w:line="266" w:lineRule="auto"/>
        <w:rPr>
          <w:sz w:val="20"/>
          <w:szCs w:val="20"/>
          <w:color w:val="auto"/>
        </w:rPr>
      </w:pPr>
      <w:r>
        <w:rPr>
          <w:rFonts w:ascii="Times New Roman" w:cs="Times New Roman" w:eastAsia="Times New Roman" w:hAnsi="Times New Roman"/>
          <w:sz w:val="18"/>
          <w:szCs w:val="18"/>
          <w:color w:val="auto"/>
        </w:rPr>
        <w:t>The changes in the fair value of the interest rate swap are not included in earnings, but are included in other comprehensive income (“OCI”). These changes in fair value are subsequently reclassified into net earnings as a component of interest expense as the hedged interest payments are made on the variable rate borrowings.</w:t>
      </w:r>
    </w:p>
    <w:p>
      <w:pPr>
        <w:spacing w:after="0" w:line="176" w:lineRule="exact"/>
        <w:rPr>
          <w:sz w:val="20"/>
          <w:szCs w:val="20"/>
          <w:color w:val="auto"/>
        </w:rPr>
      </w:pPr>
    </w:p>
    <w:p>
      <w:pPr>
        <w:ind w:left="60" w:right="440"/>
        <w:spacing w:after="0" w:line="261" w:lineRule="auto"/>
        <w:rPr>
          <w:sz w:val="20"/>
          <w:szCs w:val="20"/>
          <w:color w:val="auto"/>
        </w:rPr>
      </w:pPr>
      <w:r>
        <w:rPr>
          <w:rFonts w:ascii="Times New Roman" w:cs="Times New Roman" w:eastAsia="Times New Roman" w:hAnsi="Times New Roman"/>
          <w:sz w:val="18"/>
          <w:szCs w:val="18"/>
          <w:color w:val="auto"/>
        </w:rPr>
        <w:t>Subsequent to the quartet-end, in connection with the Company’s entry into the 2022 Credit Agreement, it terminated the interest rate swap previously used to hedge interest rate risk. In settlement of this swap, the Company received approximately $0.6 million. The remaining amount in AOCI related to the hedging relationship will be reclassified into earnings when the hedged forecasted transaction is reported in earnings.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the twenty-six weeks ended June 29, 2022, the swap was a highly effective cash flow hedge.</w:t>
      </w:r>
    </w:p>
    <w:p>
      <w:pPr>
        <w:spacing w:after="0" w:line="225" w:lineRule="exact"/>
        <w:rPr>
          <w:sz w:val="20"/>
          <w:szCs w:val="20"/>
          <w:color w:val="auto"/>
        </w:rPr>
      </w:pPr>
    </w:p>
    <w:p>
      <w:pPr>
        <w:ind w:left="60" w:right="680"/>
        <w:spacing w:after="0" w:line="282" w:lineRule="auto"/>
        <w:rPr>
          <w:sz w:val="20"/>
          <w:szCs w:val="20"/>
          <w:color w:val="auto"/>
        </w:rPr>
      </w:pPr>
      <w:r>
        <w:rPr>
          <w:rFonts w:ascii="Times New Roman" w:cs="Times New Roman" w:eastAsia="Times New Roman" w:hAnsi="Times New Roman"/>
          <w:sz w:val="18"/>
          <w:szCs w:val="18"/>
          <w:color w:val="auto"/>
        </w:rPr>
        <w:t>As of June 29, 2022, the estimated net losses included in AOCI related to the Company’s cash flow hedge that will be reclassified into earnings in the next 12 months is $0.1 million, based on current LIBOR interest rates.</w:t>
      </w:r>
    </w:p>
    <w:p>
      <w:pPr>
        <w:spacing w:after="0" w:line="162" w:lineRule="exact"/>
        <w:rPr>
          <w:sz w:val="20"/>
          <w:szCs w:val="20"/>
          <w:color w:val="auto"/>
        </w:rPr>
      </w:pPr>
    </w:p>
    <w:p>
      <w:pPr>
        <w:ind w:left="60" w:right="420"/>
        <w:spacing w:after="0" w:line="282" w:lineRule="auto"/>
        <w:rPr>
          <w:sz w:val="20"/>
          <w:szCs w:val="20"/>
          <w:color w:val="auto"/>
        </w:rPr>
      </w:pPr>
      <w:r>
        <w:rPr>
          <w:rFonts w:ascii="Times New Roman" w:cs="Times New Roman" w:eastAsia="Times New Roman" w:hAnsi="Times New Roman"/>
          <w:sz w:val="18"/>
          <w:szCs w:val="18"/>
          <w:color w:val="auto"/>
        </w:rPr>
        <w:t>The following table shows the financial statement line item and amount of the Company’s cash flow hedge accounting on the condensed consolidated balance sheets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4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29, 2022</w:t>
            </w:r>
          </w:p>
        </w:tc>
        <w:tc>
          <w:tcPr>
            <w:tcW w:w="3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December 29, 2021</w:t>
            </w:r>
          </w:p>
        </w:tc>
        <w:tc>
          <w:tcPr>
            <w:tcW w:w="0" w:type="dxa"/>
            <w:vAlign w:val="bottom"/>
          </w:tcPr>
          <w:p>
            <w:pPr>
              <w:spacing w:after="0"/>
              <w:rPr>
                <w:sz w:val="1"/>
                <w:szCs w:val="1"/>
                <w:color w:val="auto"/>
              </w:rPr>
            </w:pPr>
          </w:p>
        </w:tc>
      </w:tr>
      <w:tr>
        <w:trPr>
          <w:trHeight w:val="142"/>
        </w:trPr>
        <w:tc>
          <w:tcPr>
            <w:tcW w:w="5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Other assets - Interest rate swap</w:t>
            </w:r>
          </w:p>
        </w:tc>
        <w:tc>
          <w:tcPr>
            <w:tcW w:w="100" w:type="dxa"/>
            <w:vAlign w:val="bottom"/>
          </w:tcPr>
          <w:p>
            <w:pPr>
              <w:spacing w:after="0"/>
              <w:rPr>
                <w:sz w:val="12"/>
                <w:szCs w:val="12"/>
                <w:color w:val="auto"/>
              </w:rPr>
            </w:pPr>
          </w:p>
        </w:tc>
        <w:tc>
          <w:tcPr>
            <w:tcW w:w="8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Notional</w:t>
            </w:r>
          </w:p>
        </w:tc>
        <w:tc>
          <w:tcPr>
            <w:tcW w:w="7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Notional</w:t>
            </w:r>
          </w:p>
        </w:tc>
        <w:tc>
          <w:tcPr>
            <w:tcW w:w="7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09"/>
        </w:trPr>
        <w:tc>
          <w:tcPr>
            <w:tcW w:w="542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60" w:type="dxa"/>
            <w:vAlign w:val="bottom"/>
          </w:tcPr>
          <w:p>
            <w:pPr>
              <w:spacing w:after="0"/>
              <w:rPr>
                <w:sz w:val="18"/>
                <w:szCs w:val="18"/>
                <w:color w:val="auto"/>
              </w:rPr>
            </w:pPr>
          </w:p>
        </w:tc>
        <w:tc>
          <w:tcPr>
            <w:tcW w:w="380" w:type="dxa"/>
            <w:vAlign w:val="bottom"/>
            <w:tcBorders>
              <w:top w:val="single" w:sz="8" w:color="auto"/>
            </w:tcBorders>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 - Interest rate swap</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5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effect of the Company’s cash flow hedge accounting on the condensed consolidated statements of income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8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40" w:type="dxa"/>
            <w:vAlign w:val="bottom"/>
          </w:tcPr>
          <w:p>
            <w:pPr>
              <w:spacing w:after="0"/>
              <w:rPr>
                <w:sz w:val="15"/>
                <w:szCs w:val="15"/>
                <w:color w:val="auto"/>
              </w:rPr>
            </w:pPr>
          </w:p>
        </w:tc>
        <w:tc>
          <w:tcPr>
            <w:tcW w:w="1780" w:type="dxa"/>
            <w:vAlign w:val="bottom"/>
            <w:gridSpan w:val="4"/>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142"/>
        </w:trPr>
        <w:tc>
          <w:tcPr>
            <w:tcW w:w="4920" w:type="dxa"/>
            <w:vAlign w:val="bottom"/>
          </w:tcPr>
          <w:p>
            <w:pPr>
              <w:spacing w:after="0"/>
              <w:rPr>
                <w:sz w:val="12"/>
                <w:szCs w:val="12"/>
                <w:color w:val="auto"/>
              </w:rPr>
            </w:pPr>
          </w:p>
        </w:tc>
        <w:tc>
          <w:tcPr>
            <w:tcW w:w="1020" w:type="dxa"/>
            <w:vAlign w:val="bottom"/>
            <w:tcBorders>
              <w:top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June 29, 2022</w:t>
            </w:r>
          </w:p>
        </w:tc>
        <w:tc>
          <w:tcPr>
            <w:tcW w:w="880" w:type="dxa"/>
            <w:vAlign w:val="bottom"/>
            <w:tcBorders>
              <w:top w:val="single" w:sz="8" w:color="auto"/>
            </w:tcBorders>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June 30, 2021</w:t>
            </w:r>
          </w:p>
        </w:tc>
        <w:tc>
          <w:tcPr>
            <w:tcW w:w="160" w:type="dxa"/>
            <w:vAlign w:val="bottom"/>
          </w:tcPr>
          <w:p>
            <w:pPr>
              <w:spacing w:after="0"/>
              <w:rPr>
                <w:sz w:val="12"/>
                <w:szCs w:val="12"/>
                <w:color w:val="auto"/>
              </w:rPr>
            </w:pPr>
          </w:p>
        </w:tc>
        <w:tc>
          <w:tcPr>
            <w:tcW w:w="1040" w:type="dxa"/>
            <w:vAlign w:val="bottom"/>
            <w:tcBorders>
              <w:top w:val="single" w:sz="8" w:color="auto"/>
            </w:tcBorders>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June 29, 2022</w:t>
            </w:r>
          </w:p>
        </w:tc>
        <w:tc>
          <w:tcPr>
            <w:tcW w:w="880" w:type="dxa"/>
            <w:vAlign w:val="bottom"/>
            <w:tcBorders>
              <w:top w:val="single" w:sz="8" w:color="auto"/>
            </w:tcBorders>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June 30, 2021</w:t>
            </w:r>
          </w:p>
        </w:tc>
      </w:tr>
      <w:tr>
        <w:trPr>
          <w:trHeight w:val="210"/>
        </w:trPr>
        <w:tc>
          <w:tcPr>
            <w:tcW w:w="4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on hedged portion of debt</w:t>
            </w: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16"/>
        </w:trPr>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 on interest rate swap</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10"/>
        </w:trPr>
        <w:tc>
          <w:tcPr>
            <w:tcW w:w="49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 on debt and derivatives, net</w:t>
            </w: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r>
      <w:tr>
        <w:trPr>
          <w:trHeight w:val="20"/>
        </w:trPr>
        <w:tc>
          <w:tcPr>
            <w:tcW w:w="4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6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effect of the Company’s cash flow hedge accounting on AOCI for the thirteen and twenty-six weeks ended June 29, 2022 and June 30, 2021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9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3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20" w:type="dxa"/>
            <w:vAlign w:val="bottom"/>
            <w:gridSpan w:val="4"/>
          </w:tcPr>
          <w:p>
            <w:pPr>
              <w:jc w:val="right"/>
              <w:ind w:right="90"/>
              <w:spacing w:after="0" w:line="118" w:lineRule="exact"/>
              <w:rPr>
                <w:sz w:val="20"/>
                <w:szCs w:val="20"/>
                <w:color w:val="auto"/>
              </w:rPr>
            </w:pPr>
            <w:r>
              <w:rPr>
                <w:rFonts w:ascii="Times New Roman" w:cs="Times New Roman" w:eastAsia="Times New Roman" w:hAnsi="Times New Roman"/>
                <w:sz w:val="13"/>
                <w:szCs w:val="13"/>
                <w:b w:val="1"/>
                <w:bCs w:val="1"/>
                <w:color w:val="auto"/>
              </w:rPr>
              <w:t>Loss Reclassified from</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4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Gain Recognized in OCI</w:t>
            </w:r>
          </w:p>
        </w:tc>
        <w:tc>
          <w:tcPr>
            <w:tcW w:w="140" w:type="dxa"/>
            <w:vAlign w:val="bottom"/>
          </w:tcPr>
          <w:p>
            <w:pPr>
              <w:spacing w:after="0"/>
              <w:rPr>
                <w:sz w:val="10"/>
                <w:szCs w:val="10"/>
                <w:color w:val="auto"/>
              </w:rPr>
            </w:pPr>
          </w:p>
        </w:tc>
        <w:tc>
          <w:tcPr>
            <w:tcW w:w="1880" w:type="dxa"/>
            <w:vAlign w:val="bottom"/>
            <w:gridSpan w:val="4"/>
          </w:tcPr>
          <w:p>
            <w:pPr>
              <w:jc w:val="center"/>
              <w:ind w:right="59"/>
              <w:spacing w:after="0" w:line="118" w:lineRule="exact"/>
              <w:rPr>
                <w:sz w:val="20"/>
                <w:szCs w:val="20"/>
                <w:color w:val="auto"/>
              </w:rPr>
            </w:pPr>
            <w:r>
              <w:rPr>
                <w:rFonts w:ascii="Times New Roman" w:cs="Times New Roman" w:eastAsia="Times New Roman" w:hAnsi="Times New Roman"/>
                <w:sz w:val="13"/>
                <w:szCs w:val="13"/>
                <w:b w:val="1"/>
                <w:bCs w:val="1"/>
                <w:color w:val="auto"/>
              </w:rPr>
              <w:t>Loss Reclassified from</w:t>
            </w:r>
          </w:p>
        </w:tc>
        <w:tc>
          <w:tcPr>
            <w:tcW w:w="0" w:type="dxa"/>
            <w:vAlign w:val="bottom"/>
          </w:tcPr>
          <w:p>
            <w:pPr>
              <w:spacing w:after="0"/>
              <w:rPr>
                <w:sz w:val="1"/>
                <w:szCs w:val="1"/>
                <w:color w:val="auto"/>
              </w:rPr>
            </w:pPr>
          </w:p>
        </w:tc>
      </w:tr>
      <w:tr>
        <w:trPr>
          <w:trHeight w:val="173"/>
        </w:trPr>
        <w:tc>
          <w:tcPr>
            <w:tcW w:w="920" w:type="dxa"/>
            <w:vAlign w:val="bottom"/>
          </w:tcPr>
          <w:p>
            <w:pPr>
              <w:spacing w:after="0"/>
              <w:rPr>
                <w:sz w:val="15"/>
                <w:szCs w:val="15"/>
                <w:color w:val="auto"/>
              </w:rPr>
            </w:pPr>
          </w:p>
        </w:tc>
        <w:tc>
          <w:tcPr>
            <w:tcW w:w="4100" w:type="dxa"/>
            <w:vAlign w:val="bottom"/>
            <w:gridSpan w:val="10"/>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Net Gain (Loss) Recognized in OCI AOCI into Interest expense</w:t>
            </w:r>
          </w:p>
        </w:tc>
        <w:tc>
          <w:tcPr>
            <w:tcW w:w="100" w:type="dxa"/>
            <w:vAlign w:val="bottom"/>
          </w:tcPr>
          <w:p>
            <w:pPr>
              <w:spacing w:after="0"/>
              <w:rPr>
                <w:sz w:val="15"/>
                <w:szCs w:val="15"/>
                <w:color w:val="auto"/>
              </w:rPr>
            </w:pPr>
          </w:p>
        </w:tc>
        <w:tc>
          <w:tcPr>
            <w:tcW w:w="2040" w:type="dxa"/>
            <w:vAlign w:val="bottom"/>
            <w:gridSpan w:val="5"/>
            <w:vMerge w:val="continue"/>
          </w:tcPr>
          <w:p>
            <w:pPr>
              <w:spacing w:after="0"/>
              <w:rPr>
                <w:sz w:val="15"/>
                <w:szCs w:val="15"/>
                <w:color w:val="auto"/>
              </w:rPr>
            </w:pPr>
          </w:p>
        </w:tc>
        <w:tc>
          <w:tcPr>
            <w:tcW w:w="140" w:type="dxa"/>
            <w:vAlign w:val="bottom"/>
          </w:tcPr>
          <w:p>
            <w:pPr>
              <w:spacing w:after="0"/>
              <w:rPr>
                <w:sz w:val="15"/>
                <w:szCs w:val="15"/>
                <w:color w:val="auto"/>
              </w:rPr>
            </w:pPr>
          </w:p>
        </w:tc>
        <w:tc>
          <w:tcPr>
            <w:tcW w:w="1880" w:type="dxa"/>
            <w:vAlign w:val="bottom"/>
            <w:gridSpan w:val="4"/>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AOCI into Interest expense</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June 29, 2022</w:t>
            </w:r>
          </w:p>
        </w:tc>
        <w:tc>
          <w:tcPr>
            <w:tcW w:w="100" w:type="dxa"/>
            <w:vAlign w:val="bottom"/>
            <w:tcBorders>
              <w:top w:val="single" w:sz="8" w:color="auto"/>
            </w:tcBorders>
          </w:tcPr>
          <w:p>
            <w:pPr>
              <w:spacing w:after="0"/>
              <w:rPr>
                <w:sz w:val="12"/>
                <w:szCs w:val="12"/>
                <w:color w:val="auto"/>
              </w:rPr>
            </w:pPr>
          </w:p>
        </w:tc>
        <w:tc>
          <w:tcPr>
            <w:tcW w:w="1860" w:type="dxa"/>
            <w:vAlign w:val="bottom"/>
            <w:tcBorders>
              <w:top w:val="single" w:sz="8" w:color="auto"/>
            </w:tcBorders>
            <w:gridSpan w:val="3"/>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June 30, 2021  June 29, 2022</w:t>
            </w:r>
          </w:p>
        </w:tc>
        <w:tc>
          <w:tcPr>
            <w:tcW w:w="84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June 30, 2021</w:t>
            </w:r>
          </w:p>
        </w:tc>
        <w:tc>
          <w:tcPr>
            <w:tcW w:w="160" w:type="dxa"/>
            <w:vAlign w:val="bottom"/>
          </w:tcPr>
          <w:p>
            <w:pPr>
              <w:spacing w:after="0"/>
              <w:rPr>
                <w:sz w:val="12"/>
                <w:szCs w:val="12"/>
                <w:color w:val="auto"/>
              </w:rPr>
            </w:pPr>
          </w:p>
        </w:tc>
        <w:tc>
          <w:tcPr>
            <w:tcW w:w="980" w:type="dxa"/>
            <w:vAlign w:val="bottom"/>
            <w:tcBorders>
              <w:top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June 29, 2022</w:t>
            </w: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June 30, 2021</w:t>
            </w:r>
          </w:p>
        </w:tc>
        <w:tc>
          <w:tcPr>
            <w:tcW w:w="140" w:type="dxa"/>
            <w:vAlign w:val="bottom"/>
          </w:tcPr>
          <w:p>
            <w:pPr>
              <w:spacing w:after="0"/>
              <w:rPr>
                <w:sz w:val="12"/>
                <w:szCs w:val="12"/>
                <w:color w:val="auto"/>
              </w:rPr>
            </w:pPr>
          </w:p>
        </w:tc>
        <w:tc>
          <w:tcPr>
            <w:tcW w:w="980" w:type="dxa"/>
            <w:vAlign w:val="bottom"/>
            <w:tcBorders>
              <w:top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June 29, 2022</w:t>
            </w: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June 30, 2021</w:t>
            </w:r>
          </w:p>
        </w:tc>
        <w:tc>
          <w:tcPr>
            <w:tcW w:w="0" w:type="dxa"/>
            <w:vAlign w:val="bottom"/>
          </w:tcPr>
          <w:p>
            <w:pPr>
              <w:spacing w:after="0"/>
              <w:rPr>
                <w:sz w:val="1"/>
                <w:szCs w:val="1"/>
                <w:color w:val="auto"/>
              </w:rPr>
            </w:pPr>
          </w:p>
        </w:tc>
      </w:tr>
      <w:tr>
        <w:trPr>
          <w:trHeight w:val="178"/>
        </w:trPr>
        <w:tc>
          <w:tcPr>
            <w:tcW w:w="920" w:type="dxa"/>
            <w:vAlign w:val="bottom"/>
            <w:tcBorders>
              <w:top w:val="single" w:sz="8" w:color="CCEEFF"/>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Interest</w:t>
            </w:r>
          </w:p>
        </w:tc>
        <w:tc>
          <w:tcPr>
            <w:tcW w:w="10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rate swap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440"/>
        <w:spacing w:after="0" w:line="282" w:lineRule="auto"/>
        <w:rPr>
          <w:sz w:val="20"/>
          <w:szCs w:val="20"/>
          <w:color w:val="auto"/>
        </w:rPr>
      </w:pPr>
      <w:r>
        <w:rPr>
          <w:rFonts w:ascii="Times New Roman" w:cs="Times New Roman" w:eastAsia="Times New Roman" w:hAnsi="Times New Roman"/>
          <w:sz w:val="18"/>
          <w:szCs w:val="18"/>
          <w:color w:val="auto"/>
        </w:rPr>
        <w:t>See Note 1, “Basis of Presentation and Summary of Significant Accounting Policies” for information about the fair value of the Company’s derivative asset.</w:t>
      </w:r>
    </w:p>
    <w:p>
      <w:pPr>
        <w:spacing w:after="0" w:line="200" w:lineRule="exact"/>
        <w:rPr>
          <w:sz w:val="20"/>
          <w:szCs w:val="20"/>
          <w:color w:val="auto"/>
        </w:rPr>
      </w:pPr>
    </w:p>
    <w:p>
      <w:pPr>
        <w:spacing w:after="0" w:line="394"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220"/>
          </w:cols>
          <w:pgMar w:left="1440" w:top="513" w:right="1239"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OTHER ACCRUED EXPENSES AND CURRENT LIABILITIES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accrued expenses and current liabilities consist of the following (in thousands):</w:t>
      </w:r>
    </w:p>
    <w:p>
      <w:pPr>
        <w:spacing w:after="0" w:line="200" w:lineRule="exact"/>
        <w:rPr>
          <w:sz w:val="20"/>
          <w:szCs w:val="20"/>
          <w:color w:val="auto"/>
        </w:rPr>
      </w:pPr>
    </w:p>
    <w:p>
      <w:pPr>
        <w:spacing w:after="0" w:line="248"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66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June 29, 2022</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December 29, 2021</w:t>
            </w:r>
          </w:p>
        </w:tc>
        <w:tc>
          <w:tcPr>
            <w:tcW w:w="0" w:type="dxa"/>
            <w:vAlign w:val="bottom"/>
          </w:tcPr>
          <w:p>
            <w:pPr>
              <w:spacing w:after="0"/>
              <w:rPr>
                <w:sz w:val="1"/>
                <w:szCs w:val="1"/>
                <w:color w:val="auto"/>
              </w:rPr>
            </w:pPr>
          </w:p>
        </w:tc>
      </w:tr>
      <w:tr>
        <w:trPr>
          <w:trHeight w:val="209"/>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sales and property taxes</w:t>
            </w:r>
          </w:p>
        </w:tc>
        <w:tc>
          <w:tcPr>
            <w:tcW w:w="8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Gift card liability</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4,622</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Loyalty rewards program liability</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Accrued advertising</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3,635</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legal settlements and professional fees</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Deferred franchise and development fees</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Employer social security tax deferral</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3,470</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4,718</w:t>
            </w:r>
          </w:p>
        </w:tc>
        <w:tc>
          <w:tcPr>
            <w:tcW w:w="0" w:type="dxa"/>
            <w:vAlign w:val="bottom"/>
          </w:tcPr>
          <w:p>
            <w:pPr>
              <w:spacing w:after="0"/>
              <w:rPr>
                <w:sz w:val="1"/>
                <w:szCs w:val="1"/>
                <w:color w:val="auto"/>
              </w:rPr>
            </w:pPr>
          </w:p>
        </w:tc>
      </w:tr>
      <w:tr>
        <w:trPr>
          <w:trHeight w:val="210"/>
        </w:trPr>
        <w:tc>
          <w:tcPr>
            <w:tcW w:w="5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accrued expenses and current liabilities</w:t>
            </w:r>
          </w:p>
        </w:tc>
        <w:tc>
          <w:tcPr>
            <w:tcW w:w="8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19,020</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19,796</w:t>
            </w: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OTHER NONCURRENT LIABILITIES</w:t>
            </w:r>
          </w:p>
        </w:tc>
        <w:tc>
          <w:tcPr>
            <w:tcW w:w="8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66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 consist of the following (in thousands):</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4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June 29, 2022    December 29, 2021</w:t>
            </w:r>
          </w:p>
        </w:tc>
        <w:tc>
          <w:tcPr>
            <w:tcW w:w="0" w:type="dxa"/>
            <w:vAlign w:val="bottom"/>
          </w:tcPr>
          <w:p>
            <w:pPr>
              <w:spacing w:after="0"/>
              <w:rPr>
                <w:sz w:val="1"/>
                <w:szCs w:val="1"/>
                <w:color w:val="auto"/>
              </w:rPr>
            </w:pPr>
          </w:p>
        </w:tc>
      </w:tr>
      <w:tr>
        <w:trPr>
          <w:trHeight w:val="209"/>
        </w:trPr>
        <w:tc>
          <w:tcPr>
            <w:tcW w:w="5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franchise and development fees</w:t>
            </w:r>
          </w:p>
        </w:tc>
        <w:tc>
          <w:tcPr>
            <w:tcW w:w="900" w:type="dxa"/>
            <w:vAlign w:val="bottom"/>
            <w:tcBorders>
              <w:top w:val="single" w:sz="8" w:color="CCEEFF"/>
            </w:tcBorders>
            <w:gridSpan w:val="2"/>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5,789</w:t>
            </w: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5,691</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liability</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Employer social security tax deferral</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0" w:type="dxa"/>
            <w:vAlign w:val="bottom"/>
          </w:tcPr>
          <w:p>
            <w:pPr>
              <w:spacing w:after="0"/>
              <w:rPr>
                <w:sz w:val="1"/>
                <w:szCs w:val="1"/>
                <w:color w:val="auto"/>
              </w:rPr>
            </w:pPr>
          </w:p>
        </w:tc>
      </w:tr>
      <w:tr>
        <w:trPr>
          <w:trHeight w:val="216"/>
        </w:trPr>
        <w:tc>
          <w:tcPr>
            <w:tcW w:w="5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0"/>
        </w:trPr>
        <w:tc>
          <w:tcPr>
            <w:tcW w:w="5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noncurrent liabilities</w:t>
            </w:r>
          </w:p>
        </w:tc>
        <w:tc>
          <w:tcPr>
            <w:tcW w:w="900" w:type="dxa"/>
            <w:vAlign w:val="bottom"/>
            <w:tcBorders>
              <w:bottom w:val="single" w:sz="8" w:color="CCEEFF"/>
            </w:tcBorders>
            <w:gridSpan w:val="2"/>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5,898</w:t>
            </w:r>
          </w:p>
        </w:tc>
        <w:tc>
          <w:tcPr>
            <w:tcW w:w="1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8,653</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COMMITMENTS AND CONTINGENCIES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On or about November 5, 2015, a purported Holdings shareholder filed a derivative complaint on behalf of Holdings in the Court of Chancery of the State of Delaware against certain Holdings officers, directors and Trimaran Pollo Partners, L.L.C., under the caption Armen Galustyan v. Sather, et al. (Case No. 11676-VCL). The derivative complaint alleges that these defendants breached their fiduciary duties to Holdings and were unjustly enriched when they sold shares of Holdings at artificially inflated prices due to alleged misrepresentations and omissions regarding EPL’s comparable store sales in the second quarter of 2015. The Holdings shareholder’s requested remedies include an award of compensatory damages to Holdings, as well as a court order to improve corporate governance by putting forward for stockholder vote certain resolutions for amendments to Holdings’ Bylaws or Certificate of Incorporation. The Holdings shareholder voluntarily dismissed the action on October 7, 2020. A second purported Holdings shareholder filed a derivative complaint on or about September 23, 2016, under the caption Diep v. Sather, CA 12760-VCL in the Delaware Court of Chancery. The Diep action is also purportedly brought on behalf of Holdings, names the same defendants and asserts substantially the same claims on substantially the same alleged facts as does Galustyan. Defendants moved to stay or dismiss the Diep action.</w:t>
      </w:r>
    </w:p>
    <w:p>
      <w:pPr>
        <w:spacing w:after="0" w:line="190" w:lineRule="exact"/>
        <w:rPr>
          <w:sz w:val="20"/>
          <w:szCs w:val="20"/>
          <w:color w:val="auto"/>
        </w:rPr>
      </w:pPr>
    </w:p>
    <w:p>
      <w:pPr>
        <w:ind w:left="60" w:right="199"/>
        <w:spacing w:after="0" w:line="256" w:lineRule="auto"/>
        <w:rPr>
          <w:sz w:val="20"/>
          <w:szCs w:val="20"/>
          <w:color w:val="auto"/>
        </w:rPr>
      </w:pPr>
      <w:r>
        <w:rPr>
          <w:rFonts w:ascii="Times New Roman" w:cs="Times New Roman" w:eastAsia="Times New Roman" w:hAnsi="Times New Roman"/>
          <w:sz w:val="18"/>
          <w:szCs w:val="18"/>
          <w:color w:val="auto"/>
        </w:rPr>
        <w:t>On March 17, 2017, the Delaware court granted in part, and denied in part, the motion to stay the Diep action. The court denied defendants’ motion to dismiss the complaint for failure to state a claim. On January 17, 2018, the court entered an order granting the parties’ stipulation staying all proceedings in the Diep action for five months or until the completion of an investigation of the allegations in the action by a special litigation committee of the Holdings board of directors (the “SLC”). On September 25, 2020, after concluding its investigation, the SLC filed a motion to dismiss the Diep action and filed its investigative report under seal as an exhibit to the motion to dismiss.</w:t>
      </w:r>
    </w:p>
    <w:p>
      <w:pPr>
        <w:spacing w:after="0" w:line="187"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On May 21, 2021, while the SLC’s motion to dismiss the Diep action was pending, the Company filed a notice of proposed partial settlement of the Diep action with respect to defendants Kay Bogeajis, Laurance Roberts, Stephen J. Sather, Edward J. Valle, Douglas K. Ammerman, and Samuel N. Borgese (collectively, the “Settling Defendants”). Defendant Trimaran Pollo Partners, LLC (“Trimaran”) was not a party to the settlement. The court approved the settlement of $625,000, less Plaintiffs’ fees of $156,250, on September 10, 2021, and dismissed all claims brought, or</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899"/>
        <w:spacing w:after="0" w:line="266" w:lineRule="auto"/>
        <w:rPr>
          <w:sz w:val="20"/>
          <w:szCs w:val="20"/>
          <w:color w:val="auto"/>
        </w:rPr>
      </w:pPr>
      <w:r>
        <w:rPr>
          <w:rFonts w:ascii="Times New Roman" w:cs="Times New Roman" w:eastAsia="Times New Roman" w:hAnsi="Times New Roman"/>
          <w:sz w:val="18"/>
          <w:szCs w:val="18"/>
          <w:color w:val="auto"/>
        </w:rPr>
        <w:t>that could have been brought, against Settling Defendants. In connection with this settlement, the Company received $469,000 in insurance proceeds, which was recorded within general and administrative expenses in the Company’s statement of income for the year ended December 29, 2021.</w:t>
      </w:r>
    </w:p>
    <w:p>
      <w:pPr>
        <w:spacing w:after="0" w:line="176"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On July 30, 2021, the court granted the SLC’s motion to dismiss with respect to the claims asserted against remaining defendant Trimaran. On October 4, 2021, Plaintiffs filed a notice of appeal of the court’s granting of the motion to dismiss against defendant Trimaran. Plaintiff filed its opening brief on December 6, 2021. SLC filed its answering brief on December 20, 2021 and the public version of the brief was filed on January 7, 2022. Plaintiffs filed the reply brief on January 4, 2022. The hearing on the appeal took place on March 30, 2022. On June 28, 2022, the court’s granting of the motion to dismiss against Trimaran was affirmed.</w:t>
      </w:r>
    </w:p>
    <w:p>
      <w:pPr>
        <w:spacing w:after="0" w:line="187"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The Company is also involved in various other claims such as wage and hour and other legal actions that arise in the ordinary course of business. The outcomes of these actions are not predictable but the Company does not believe that the ultimate resolution of these other actions will have a material adverse effect on its financial position, results of operations, liquidity, or capital resources. A significant increase in the number of claims, or an increase in amounts owing under successful claims, could materially and adversely affect its business, condensed consolidated financial condition, results of operations, and cash flows.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Purchasing Commitments</w:t>
      </w:r>
    </w:p>
    <w:p>
      <w:pPr>
        <w:spacing w:after="0" w:line="229" w:lineRule="exact"/>
        <w:rPr>
          <w:sz w:val="20"/>
          <w:szCs w:val="20"/>
          <w:color w:val="auto"/>
        </w:rPr>
      </w:pPr>
    </w:p>
    <w:p>
      <w:pPr>
        <w:ind w:left="60" w:right="259"/>
        <w:spacing w:after="0" w:line="258" w:lineRule="auto"/>
        <w:rPr>
          <w:sz w:val="20"/>
          <w:szCs w:val="20"/>
          <w:color w:val="auto"/>
        </w:rPr>
      </w:pPr>
      <w:r>
        <w:rPr>
          <w:rFonts w:ascii="Times New Roman" w:cs="Times New Roman" w:eastAsia="Times New Roman" w:hAnsi="Times New Roman"/>
          <w:sz w:val="18"/>
          <w:szCs w:val="18"/>
          <w:color w:val="auto"/>
        </w:rPr>
        <w:t>The Company has long-term beverage supply agreements with certain major beverage vendors. Pursuant to the terms of these arrangements, marketing rebates are provided to the Company and its franchisees from the beverage vendors based upon the dollar volume of purchases for system-wide restaurants which will vary according to their demand for beverage syrup and fluctuations in the market rates for beverage syrup. These contracts have terms extending through the end of 2024.</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At June 29, 2022, the Company’s total estimated commitment to purchase chicken was $26.0 million.</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Contingent Lease Obligations</w:t>
      </w:r>
    </w:p>
    <w:p>
      <w:pPr>
        <w:spacing w:after="0" w:line="22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As a result of assigning the Company’s interest in obligations under real estate leases in connection with the sale of company-operated restaurants to some of the Company’s franchisees, the Company is contingently liable on four lease agreements. These leases have various terms, the latest of which expires in 2036. As of June 29, 2022, the potential amount of undiscounted payments the Company could be required to make in the event of non-payment by the primary lessee was $2.5 million. The present value of these potential payments discounted at the Company’s estimated pre-tax cost of debt at June 29, 2022 was $2.1 million. The Company’s franchisees are primarily liable on the leases. The Company has cross-default provisions with these franchisees that would put them in default of their franchise agreements in the event of non-payment under the leases. The Company believes that these cross-default provisions reduce the risk that payments will be required to be made under these leases.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9" w:lineRule="exact"/>
        <w:rPr>
          <w:sz w:val="20"/>
          <w:szCs w:val="20"/>
          <w:color w:val="auto"/>
        </w:rPr>
      </w:pPr>
    </w:p>
    <w:p>
      <w:pPr>
        <w:ind w:left="60" w:right="539"/>
        <w:spacing w:after="0" w:line="266" w:lineRule="auto"/>
        <w:rPr>
          <w:sz w:val="20"/>
          <w:szCs w:val="20"/>
          <w:color w:val="auto"/>
        </w:rPr>
      </w:pPr>
      <w:r>
        <w:rPr>
          <w:rFonts w:ascii="Times New Roman" w:cs="Times New Roman" w:eastAsia="Times New Roman" w:hAnsi="Times New Roman"/>
          <w:sz w:val="18"/>
          <w:szCs w:val="18"/>
          <w:color w:val="auto"/>
        </w:rPr>
        <w:t>As of June 29, 2022, the Company had employment agreements with three of the officers of the Company. These agreements provide for minimum salary levels, possible annual adjustments for cost-of-living changes, and incentive bonuses that are payable under certain business conditions.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29"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The Company has entered into indemnification agreements with each of its current directors and officers. These agreements require the Company to indemnify these individuals to the fullest extent permitted under Delaware law against liabilities that may arise by reason of their service to the Company and to advance expenses incurred as a result of any proceeding against them as to which they could be indemnified. The Company also intends to enter into indemnification agreements with future directors and officers.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EARNINGS PER SHARE</w:t>
      </w:r>
    </w:p>
    <w:p>
      <w:pPr>
        <w:spacing w:after="0" w:line="229" w:lineRule="exact"/>
        <w:rPr>
          <w:sz w:val="20"/>
          <w:szCs w:val="20"/>
          <w:color w:val="auto"/>
        </w:rPr>
      </w:pPr>
    </w:p>
    <w:p>
      <w:pPr>
        <w:ind w:left="60" w:right="240"/>
        <w:spacing w:after="0" w:line="261" w:lineRule="auto"/>
        <w:rPr>
          <w:sz w:val="20"/>
          <w:szCs w:val="20"/>
          <w:color w:val="auto"/>
        </w:rPr>
      </w:pPr>
      <w:r>
        <w:rPr>
          <w:rFonts w:ascii="Times New Roman" w:cs="Times New Roman" w:eastAsia="Times New Roman" w:hAnsi="Times New Roman"/>
          <w:sz w:val="18"/>
          <w:szCs w:val="18"/>
          <w:color w:val="auto"/>
        </w:rPr>
        <w:t>Basic earnings per share (“EPS”) is calculated using the weighted-average number of shares of common stock outstanding during the thirteen and twenty-six weeks ended June 29, 2022 and June 30, 2021. Diluted EPS is calculated using the weighted-average number of shares of common stock outstanding and potentially dilutive during the period, using the treasury stock method.</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Below are basic and diluted EPS data for the periods indicated (in thousands except for share and per share data):</w:t>
      </w:r>
    </w:p>
    <w:p>
      <w:pPr>
        <w:spacing w:after="0" w:line="38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00" w:type="dxa"/>
            <w:vAlign w:val="bottom"/>
            <w:gridSpan w:val="5"/>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0" w:type="dxa"/>
            <w:vAlign w:val="bottom"/>
            <w:gridSpan w:val="8"/>
          </w:tcPr>
          <w:p>
            <w:pPr>
              <w:ind w:left="18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142"/>
        </w:trPr>
        <w:tc>
          <w:tcPr>
            <w:tcW w:w="45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3"/>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June 29, 2022</w:t>
            </w: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June 30, 2021</w:t>
            </w:r>
          </w:p>
        </w:tc>
        <w:tc>
          <w:tcPr>
            <w:tcW w:w="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5"/>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June 29, 2022</w:t>
            </w: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June 30, 2021</w:t>
            </w:r>
          </w:p>
        </w:tc>
        <w:tc>
          <w:tcPr>
            <w:tcW w:w="160" w:type="dxa"/>
            <w:vAlign w:val="bottom"/>
          </w:tcPr>
          <w:p>
            <w:pPr>
              <w:spacing w:after="0"/>
              <w:rPr>
                <w:sz w:val="12"/>
                <w:szCs w:val="12"/>
                <w:color w:val="auto"/>
              </w:rPr>
            </w:pPr>
          </w:p>
        </w:tc>
      </w:tr>
      <w:tr>
        <w:trPr>
          <w:trHeight w:val="209"/>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7,141</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8,818</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9,256</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12,782</w:t>
            </w:r>
          </w:p>
        </w:tc>
        <w:tc>
          <w:tcPr>
            <w:tcW w:w="160" w:type="dxa"/>
            <w:vAlign w:val="bottom"/>
            <w:tcBorders>
              <w:bottom w:val="single" w:sz="8" w:color="CCEEFF"/>
            </w:tcBorders>
          </w:tcPr>
          <w:p>
            <w:pPr>
              <w:spacing w:after="0"/>
              <w:rPr>
                <w:sz w:val="18"/>
                <w:szCs w:val="18"/>
                <w:color w:val="auto"/>
              </w:rPr>
            </w:pPr>
          </w:p>
        </w:tc>
      </w:tr>
      <w:tr>
        <w:trPr>
          <w:trHeight w:val="21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outstanding—basic</w:t>
            </w: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36,331,099</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35,927,781</w:t>
            </w:r>
          </w:p>
        </w:tc>
        <w:tc>
          <w:tcPr>
            <w:tcW w:w="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36,278,423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35,861,493</w:t>
            </w:r>
          </w:p>
        </w:tc>
        <w:tc>
          <w:tcPr>
            <w:tcW w:w="160" w:type="dxa"/>
            <w:vAlign w:val="bottom"/>
          </w:tcPr>
          <w:p>
            <w:pPr>
              <w:spacing w:after="0"/>
              <w:rPr>
                <w:sz w:val="18"/>
                <w:szCs w:val="18"/>
                <w:color w:val="auto"/>
              </w:rPr>
            </w:pPr>
          </w:p>
        </w:tc>
      </w:tr>
      <w:tr>
        <w:trPr>
          <w:trHeight w:val="216"/>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outstanding—diluted</w:t>
            </w: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36,473,960</w:t>
            </w:r>
          </w:p>
        </w:tc>
        <w:tc>
          <w:tcPr>
            <w:tcW w:w="1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36,416,686</w:t>
            </w: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36,478,808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36,423,394</w:t>
            </w:r>
          </w:p>
        </w:tc>
        <w:tc>
          <w:tcPr>
            <w:tcW w:w="160" w:type="dxa"/>
            <w:vAlign w:val="bottom"/>
            <w:shd w:val="clear" w:color="auto" w:fill="CCEEFF"/>
          </w:tcPr>
          <w:p>
            <w:pPr>
              <w:spacing w:after="0"/>
              <w:rPr>
                <w:sz w:val="18"/>
                <w:szCs w:val="18"/>
                <w:color w:val="auto"/>
              </w:rPr>
            </w:pPr>
          </w:p>
        </w:tc>
      </w:tr>
      <w:tr>
        <w:trPr>
          <w:trHeight w:val="21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0.36</w:t>
            </w:r>
          </w:p>
        </w:tc>
        <w:tc>
          <w:tcPr>
            <w:tcW w:w="160" w:type="dxa"/>
            <w:vAlign w:val="bottom"/>
          </w:tcPr>
          <w:p>
            <w:pPr>
              <w:spacing w:after="0"/>
              <w:rPr>
                <w:sz w:val="18"/>
                <w:szCs w:val="18"/>
                <w:color w:val="auto"/>
              </w:rPr>
            </w:pPr>
          </w:p>
        </w:tc>
      </w:tr>
      <w:tr>
        <w:trPr>
          <w:trHeight w:val="216"/>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share—diluted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0.35</w:t>
            </w:r>
          </w:p>
        </w:tc>
        <w:tc>
          <w:tcPr>
            <w:tcW w:w="160" w:type="dxa"/>
            <w:vAlign w:val="bottom"/>
            <w:shd w:val="clear" w:color="auto" w:fill="CCEEFF"/>
          </w:tcPr>
          <w:p>
            <w:pPr>
              <w:spacing w:after="0"/>
              <w:rPr>
                <w:sz w:val="18"/>
                <w:szCs w:val="18"/>
                <w:color w:val="auto"/>
              </w:rPr>
            </w:pPr>
          </w:p>
        </w:tc>
      </w:tr>
      <w:tr>
        <w:trPr>
          <w:trHeight w:val="178"/>
        </w:trPr>
        <w:tc>
          <w:tcPr>
            <w:tcW w:w="454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Anti-dilutive securities not considered in diluted EPS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34"/>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calculation</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952,517</w:t>
            </w:r>
          </w:p>
        </w:tc>
        <w:tc>
          <w:tcPr>
            <w:tcW w:w="1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138,117</w:t>
            </w: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597,201</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65,798</w:t>
            </w:r>
          </w:p>
        </w:tc>
        <w:tc>
          <w:tcPr>
            <w:tcW w:w="160" w:type="dxa"/>
            <w:vAlign w:val="bottom"/>
          </w:tcPr>
          <w:p>
            <w:pPr>
              <w:spacing w:after="0"/>
              <w:rPr>
                <w:sz w:val="20"/>
                <w:szCs w:val="20"/>
                <w:color w:val="auto"/>
              </w:rPr>
            </w:pPr>
          </w:p>
        </w:tc>
      </w:tr>
      <w:tr>
        <w:trPr>
          <w:trHeight w:val="426"/>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Below is a reconciliation of basic and diluted share counts: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526"/>
        </w:trPr>
        <w:tc>
          <w:tcPr>
            <w:tcW w:w="4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gridSpan w:val="5"/>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0" w:type="dxa"/>
            <w:vAlign w:val="bottom"/>
            <w:gridSpan w:val="8"/>
          </w:tcPr>
          <w:p>
            <w:pPr>
              <w:ind w:left="18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142"/>
        </w:trPr>
        <w:tc>
          <w:tcPr>
            <w:tcW w:w="4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June 29, 2022</w:t>
            </w: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June 30, 2021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Borders>
              <w:top w:val="single" w:sz="8" w:color="auto"/>
            </w:tcBorders>
            <w:gridSpan w:val="4"/>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June 29, 2022</w:t>
            </w:r>
          </w:p>
        </w:tc>
        <w:tc>
          <w:tcPr>
            <w:tcW w:w="88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June 30, 2021</w:t>
            </w:r>
          </w:p>
        </w:tc>
        <w:tc>
          <w:tcPr>
            <w:tcW w:w="300" w:type="dxa"/>
            <w:vAlign w:val="bottom"/>
            <w:gridSpan w:val="2"/>
          </w:tcPr>
          <w:p>
            <w:pPr>
              <w:spacing w:after="0"/>
              <w:rPr>
                <w:sz w:val="12"/>
                <w:szCs w:val="12"/>
                <w:color w:val="auto"/>
              </w:rPr>
            </w:pPr>
          </w:p>
        </w:tc>
      </w:tr>
      <w:tr>
        <w:trPr>
          <w:trHeight w:val="209"/>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outstanding—basic</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36,331,099</w:t>
            </w: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35,927,781</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36,278,423</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35,861,493</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effect of stock options and restricted shares</w:t>
            </w:r>
          </w:p>
        </w:tc>
        <w:tc>
          <w:tcPr>
            <w:tcW w:w="10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142,861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488,905</w:t>
            </w:r>
          </w:p>
        </w:tc>
        <w:tc>
          <w:tcPr>
            <w:tcW w:w="8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200,385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561,901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4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outstanding—diluted</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36,473,960</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36,416,686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36,478,808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36,423,394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4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RELATED PARTY TRANSACTIONS</w:t>
      </w:r>
    </w:p>
    <w:p>
      <w:pPr>
        <w:spacing w:after="0" w:line="229" w:lineRule="exact"/>
        <w:rPr>
          <w:sz w:val="20"/>
          <w:szCs w:val="20"/>
          <w:color w:val="auto"/>
        </w:rPr>
      </w:pPr>
    </w:p>
    <w:p>
      <w:pPr>
        <w:ind w:left="60" w:right="240"/>
        <w:spacing w:after="0" w:line="269" w:lineRule="auto"/>
        <w:rPr>
          <w:sz w:val="20"/>
          <w:szCs w:val="20"/>
          <w:color w:val="auto"/>
        </w:rPr>
      </w:pPr>
      <w:r>
        <w:rPr>
          <w:rFonts w:ascii="Times New Roman" w:cs="Times New Roman" w:eastAsia="Times New Roman" w:hAnsi="Times New Roman"/>
          <w:sz w:val="17"/>
          <w:szCs w:val="17"/>
          <w:color w:val="auto"/>
        </w:rPr>
        <w:t>Trimaran Pollo Partners, L.L.C. (“LLC”) owns approximately 45.3% of the Company’s outstanding common stock as of June 29, 2022. This large position means that LLC and its majority owners—predecessors and affiliates of, and certain funds managed by, Trimaran Capital Partners and Freeman Spogli &amp; Co. (collectively, “Trimaran” and “Freeman Spogli,” respectively)—possess significant influence when stockholders vote on matters such as election of directors, mergers, consolidations and acquisitions, the sale of all or substantially all of the Company’s assets, decisions affecting the Company’s capital structure, amendments to the Company’s amended and restated certificate of incorporation or amended and restated by-laws, and the Company’s winding up and dissolution. The Company’s amended and restated certificate of incorporation provides that (i) so long as LLC beneficially owns, directly or indirectly, more than 40% of the Company’s common stock, any member of the Board of Directors or the entire Board of Directors may be removed from office at any time with or without cause by the affirmative vote of a majority of the Company’s common stock, and (ii) prior to the date the LLC ceases to beneficially own, directly or indirectly, 40% or more of the Company’s common stock, stockholders representing at least 40% of the Company’s common stock may call a special meeting of the Company’s stockholders.</w:t>
      </w:r>
    </w:p>
    <w:p>
      <w:pPr>
        <w:spacing w:after="0" w:line="175" w:lineRule="exact"/>
        <w:rPr>
          <w:sz w:val="20"/>
          <w:szCs w:val="20"/>
          <w:color w:val="auto"/>
        </w:rPr>
      </w:pPr>
    </w:p>
    <w:p>
      <w:pPr>
        <w:ind w:left="60" w:right="4400" w:hanging="10"/>
        <w:spacing w:after="0" w:line="502" w:lineRule="auto"/>
        <w:tabs>
          <w:tab w:leader="none" w:pos="33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 Revenue Recognition</w:t>
      </w:r>
    </w:p>
    <w:p>
      <w:pPr>
        <w:ind w:left="60"/>
        <w:spacing w:after="0"/>
        <w:rPr>
          <w:sz w:val="20"/>
          <w:szCs w:val="20"/>
          <w:color w:val="auto"/>
        </w:rPr>
      </w:pPr>
      <w:r>
        <w:rPr>
          <w:rFonts w:ascii="Times New Roman" w:cs="Times New Roman" w:eastAsia="Times New Roman" w:hAnsi="Times New Roman"/>
          <w:sz w:val="18"/>
          <w:szCs w:val="18"/>
          <w:i w:val="1"/>
          <w:iCs w:val="1"/>
          <w:color w:val="auto"/>
        </w:rPr>
        <w:t>Nature of products and services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has two revenue streams, company-operated restaurant revenue and franchise related revenue.</w:t>
      </w:r>
    </w:p>
    <w:p>
      <w:pPr>
        <w:sectPr>
          <w:pgSz w:w="11900" w:h="16838" w:orient="portrait"/>
          <w:cols w:equalWidth="0" w:num="1">
            <w:col w:w="9100"/>
          </w:cols>
          <w:pgMar w:left="1440" w:top="513"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100"/>
          </w:cols>
          <w:pgMar w:left="1440" w:top="513" w:right="1359"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Company-operated restaurant revenue</w:t>
      </w:r>
    </w:p>
    <w:p>
      <w:pPr>
        <w:spacing w:after="0" w:line="227"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Revenues from the operation of company-operated restaurants are recognized as food and beverage products are delivered to customers and payment is tendered at the time of sale. The Company presents sales, net of sales-related taxes and promotional allowances.</w:t>
      </w:r>
    </w:p>
    <w:p>
      <w:pPr>
        <w:spacing w:after="0" w:line="176"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The Company offers a loyalty rewards program, which awards a customer points for dollars spent. Customers earn points for each dollar spent and 50 points can be redeemed for a $5 reward to be used for a future purchase. If a customer does not earn or use points within a one-year period, their account is deactivated and all points expire. Additionally, if a reward is not used within six months, it expires. When a customer is part of the rewards program, the obligation to provide future discounts related to points earned is considered a separate performance obligation, to which a portion of the transaction price is allocated. The performance obligation related to loyalty points is deemed to have been satisfied, and the amount deferred in the balance sheet is recognized as revenue, when the points are transferred to a reward and redeemed, the reward or points have expired, or the likelihood of redemption is remote. A portion of the transaction price is allocated to loyalty points, if necessary, on a pro-rata basis, based on stand-alone selling price, as determined by menu pricing and loyalty points terms. As of June 29, 2022 and December 29, 2021, the revenue allocated to loyalty points that have not been redeemed was $0.6 million and $0.7 million, respectively, which is reflected in the Company’s accompanying condensed consolidated balance sheets within other accrued expenses and current liabilities. The Company expects the loyalty points to be redeemed and recognized over a one-year period.</w:t>
      </w:r>
    </w:p>
    <w:p>
      <w:pPr>
        <w:spacing w:after="0" w:line="187"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The Company sells gift cards to its customers in the restaurants and through selected third parties. The gift cards sold to customers have no stated expiration dates and are subject to actual and/or potential escheatment rights in several of the jurisdictions in which the Company operates. Furthermore, due to these escheatment rights, the Company does not recognize breakage related to the sale of gift cards due to the immateriality of the amount remaining after escheatment. The Company recognizes income from gift cards when redeemed by the customer. Unredeemed gift card balances are deferred and recorded as other accrued expenses on the accompanying condensed consolidated balance sheets.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Franchise and franchise advertising revenue</w:t>
      </w:r>
    </w:p>
    <w:p>
      <w:pPr>
        <w:spacing w:after="0" w:line="227"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Franchise revenue consists of franchise royalties, initial franchise fees, license fees due from franchisees, IT support services, and rental income for subleases to franchisees. Franchise advertising revenue consists of advertising contributions received from franchisees. These revenue streams are made up of the following performance obligations:</w:t>
      </w:r>
    </w:p>
    <w:p>
      <w:pPr>
        <w:spacing w:after="0" w:line="176" w:lineRule="exact"/>
        <w:rPr>
          <w:sz w:val="20"/>
          <w:szCs w:val="20"/>
          <w:color w:val="auto"/>
        </w:rPr>
      </w:pPr>
    </w:p>
    <w:p>
      <w:pPr>
        <w:ind w:left="720" w:right="239" w:hanging="319"/>
        <w:spacing w:after="0" w:line="261"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Franchise license - inclusive of advertising services, development agreements, training, access to plans and help desk services.</w:t>
      </w: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Discounted renewal option.</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Hardware services.</w:t>
      </w:r>
    </w:p>
    <w:p>
      <w:pPr>
        <w:spacing w:after="0" w:line="207"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satisfies the performance obligation related to the franchise license over the term of the franchise agreement, which is typically 20 years. Payment for the franchise license consists of three components, a fixed-fee related to the franchise/development agreement, a sales-based royalty fee and a sales-based advertising fee. The fixed fee, as determined by the signed development and/or franchise agreement, is due at the time the development agreement is entered into, and/or when the franchise agreement is signed, and does not include a finance component.</w:t>
      </w:r>
    </w:p>
    <w:p>
      <w:pPr>
        <w:spacing w:after="0" w:line="183"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The sales-based royalty fee and sales-based advertising fee are considered variable consideration and will continue to be recognized as revenue as such sales are earned by the franchisees. Both sales-based fees qualify under the royalty constraint exception, and do not require an estimate of future transaction price. Additionally, the Company is utilizing the practical expedient available under ASC Topic 606, “Revenue from Contracts with Customers” (“Topic 606”) regarding disclosure of the aggregate amount of the transaction price allocated to the performance obligations that are unsatisfied for sales-based royalties.</w:t>
      </w:r>
    </w:p>
    <w:p>
      <w:pPr>
        <w:spacing w:after="0" w:line="187" w:lineRule="exact"/>
        <w:rPr>
          <w:sz w:val="20"/>
          <w:szCs w:val="20"/>
          <w:color w:val="auto"/>
        </w:rPr>
      </w:pPr>
    </w:p>
    <w:p>
      <w:pPr>
        <w:ind w:left="60" w:right="259"/>
        <w:spacing w:after="0" w:line="258" w:lineRule="auto"/>
        <w:rPr>
          <w:sz w:val="20"/>
          <w:szCs w:val="20"/>
          <w:color w:val="auto"/>
        </w:rPr>
      </w:pPr>
      <w:r>
        <w:rPr>
          <w:rFonts w:ascii="Times New Roman" w:cs="Times New Roman" w:eastAsia="Times New Roman" w:hAnsi="Times New Roman"/>
          <w:sz w:val="18"/>
          <w:szCs w:val="18"/>
          <w:color w:val="auto"/>
        </w:rPr>
        <w:t>In certain franchise agreements, the Company offers a discounted renewal to incentivize future renewals after the end of the initial franchise term. As this is considered a separate performance obligation, the Company allocates a portion of the initial franchise fee to this discounted renewal, on a pro-rata basis, assuming a 20-year renewal. This performance obligation is satisfied over the renewal term, typically 10 or 20 years, while payment is fixed and due at the time the renewal is signed.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The Company purchases hardware, such as scanners, printers, cash registers and tablets, from third party vendors, which it then sells to franchisees. As the Company is considered the principal in this relationship, payment for the hardware is considered revenue, and is received upon transfer of the goods from the Company to the franchisee. As of June 29, 2022, there were no performance obligations related to hardware services that were unsatisfied or partially satisfied.</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Disaggregated revenue</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the Company’s revenues disaggregated by revenue source and market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117"/>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ind w:right="75"/>
              <w:spacing w:after="0" w:line="118" w:lineRule="exact"/>
              <w:rPr>
                <w:sz w:val="20"/>
                <w:szCs w:val="20"/>
                <w:color w:val="auto"/>
              </w:rPr>
            </w:pPr>
            <w:r>
              <w:rPr>
                <w:rFonts w:ascii="Times New Roman" w:cs="Times New Roman" w:eastAsia="Times New Roman" w:hAnsi="Times New Roman"/>
                <w:sz w:val="13"/>
                <w:szCs w:val="13"/>
                <w:b w:val="1"/>
                <w:bCs w:val="1"/>
                <w:color w:val="auto"/>
              </w:rPr>
              <w:t>June 29,</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ind w:right="74"/>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right"/>
              <w:ind w:right="35"/>
              <w:spacing w:after="0" w:line="118" w:lineRule="exact"/>
              <w:rPr>
                <w:sz w:val="20"/>
                <w:szCs w:val="20"/>
                <w:color w:val="auto"/>
              </w:rPr>
            </w:pPr>
            <w:r>
              <w:rPr>
                <w:rFonts w:ascii="Times New Roman" w:cs="Times New Roman" w:eastAsia="Times New Roman" w:hAnsi="Times New Roman"/>
                <w:sz w:val="13"/>
                <w:szCs w:val="13"/>
                <w:b w:val="1"/>
                <w:bCs w:val="1"/>
                <w:color w:val="auto"/>
              </w:rPr>
              <w:t>June 29,</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r>
      <w:tr>
        <w:trPr>
          <w:trHeight w:val="173"/>
        </w:trPr>
        <w:tc>
          <w:tcPr>
            <w:tcW w:w="20" w:type="dxa"/>
            <w:vAlign w:val="bottom"/>
          </w:tcPr>
          <w:p>
            <w:pPr>
              <w:spacing w:after="0"/>
              <w:rPr>
                <w:sz w:val="15"/>
                <w:szCs w:val="15"/>
                <w:color w:val="auto"/>
              </w:rPr>
            </w:pPr>
          </w:p>
        </w:tc>
        <w:tc>
          <w:tcPr>
            <w:tcW w:w="2220" w:type="dxa"/>
            <w:vAlign w:val="bottom"/>
            <w:tcBorders>
              <w:bottom w:val="single" w:sz="8" w:color="CCEEFF"/>
            </w:tcBorders>
          </w:tcPr>
          <w:p>
            <w:pPr>
              <w:spacing w:after="0"/>
              <w:rPr>
                <w:sz w:val="15"/>
                <w:szCs w:val="15"/>
                <w:color w:val="auto"/>
              </w:rPr>
            </w:pPr>
          </w:p>
        </w:tc>
        <w:tc>
          <w:tcPr>
            <w:tcW w:w="1760" w:type="dxa"/>
            <w:vAlign w:val="bottom"/>
            <w:tcBorders>
              <w:bottom w:val="single" w:sz="8" w:color="CCEEFF"/>
            </w:tcBorders>
          </w:tcPr>
          <w:p>
            <w:pPr>
              <w:spacing w:after="0"/>
              <w:rPr>
                <w:sz w:val="15"/>
                <w:szCs w:val="15"/>
                <w:color w:val="auto"/>
              </w:rPr>
            </w:pPr>
          </w:p>
        </w:tc>
        <w:tc>
          <w:tcPr>
            <w:tcW w:w="1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CCEEFF"/>
            </w:tcBorders>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b w:val="1"/>
                <w:bCs w:val="1"/>
                <w:color w:val="auto"/>
              </w:rPr>
              <w:t>Core Market</w:t>
            </w:r>
            <w:r>
              <w:rPr>
                <w:rFonts w:ascii="Times New Roman" w:cs="Times New Roman" w:eastAsia="Times New Roman" w:hAnsi="Times New Roman"/>
                <w:sz w:val="24"/>
                <w:szCs w:val="24"/>
                <w:b w:val="1"/>
                <w:bCs w:val="1"/>
                <w:color w:val="auto"/>
                <w:vertAlign w:val="superscript"/>
              </w:rPr>
              <w:t>(1)</w:t>
            </w:r>
            <w:r>
              <w:rPr>
                <w:rFonts w:ascii="Times New Roman" w:cs="Times New Roman" w:eastAsia="Times New Roman" w:hAnsi="Times New Roman"/>
                <w:sz w:val="17"/>
                <w:szCs w:val="17"/>
                <w:b w:val="1"/>
                <w:bCs w:val="1"/>
                <w:color w:val="auto"/>
              </w:rPr>
              <w:t>:</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Company-operated restaurant revenue</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101,440</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99,429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191,066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186,652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Franchise revenue</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Franchise advertising fee revenue</w:t>
            </w:r>
          </w:p>
        </w:tc>
        <w:tc>
          <w:tcPr>
            <w:tcW w:w="1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3,474</w:t>
            </w: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3,084</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5,861</w:t>
            </w:r>
          </w:p>
        </w:tc>
        <w:tc>
          <w:tcPr>
            <w:tcW w:w="60" w:type="dxa"/>
            <w:vAlign w:val="bottom"/>
            <w:tcBorders>
              <w:bottom w:val="single" w:sz="8" w:color="CCEEFF"/>
            </w:tcBorders>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core market</w:t>
            </w:r>
          </w:p>
        </w:tc>
        <w:tc>
          <w:tcPr>
            <w:tcW w:w="1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109,622</w:t>
            </w:r>
          </w:p>
        </w:tc>
        <w:tc>
          <w:tcPr>
            <w:tcW w:w="2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106,599</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206,795</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200,286</w:t>
            </w:r>
          </w:p>
        </w:tc>
        <w:tc>
          <w:tcPr>
            <w:tcW w:w="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980" w:type="dxa"/>
            <w:vAlign w:val="bottom"/>
            <w:gridSpan w:val="2"/>
          </w:tcPr>
          <w:p>
            <w:pPr>
              <w:spacing w:after="0" w:line="210" w:lineRule="exact"/>
              <w:rPr>
                <w:sz w:val="20"/>
                <w:szCs w:val="20"/>
                <w:color w:val="auto"/>
              </w:rPr>
            </w:pPr>
            <w:r>
              <w:rPr>
                <w:rFonts w:ascii="Times New Roman" w:cs="Times New Roman" w:eastAsia="Times New Roman" w:hAnsi="Times New Roman"/>
                <w:sz w:val="17"/>
                <w:szCs w:val="17"/>
                <w:b w:val="1"/>
                <w:bCs w:val="1"/>
                <w:color w:val="auto"/>
              </w:rPr>
              <w:t>Non-Core Market</w:t>
            </w:r>
            <w:r>
              <w:rPr>
                <w:rFonts w:ascii="Times New Roman" w:cs="Times New Roman" w:eastAsia="Times New Roman" w:hAnsi="Times New Roman"/>
                <w:sz w:val="24"/>
                <w:szCs w:val="24"/>
                <w:b w:val="1"/>
                <w:bCs w:val="1"/>
                <w:color w:val="auto"/>
                <w:vertAlign w:val="superscript"/>
              </w:rPr>
              <w:t>(2)</w:t>
            </w:r>
            <w:r>
              <w:rPr>
                <w:rFonts w:ascii="Times New Roman" w:cs="Times New Roman" w:eastAsia="Times New Roman" w:hAnsi="Times New Roman"/>
                <w:sz w:val="17"/>
                <w:szCs w:val="17"/>
                <w:b w:val="1"/>
                <w:bCs w:val="1"/>
                <w:color w:val="auto"/>
              </w:rPr>
              <w:t>:</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Company-operated restaurant revenue</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Franchise revenue</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Franchise advertising fee revenue</w:t>
            </w:r>
          </w:p>
        </w:tc>
        <w:tc>
          <w:tcPr>
            <w:tcW w:w="1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w:t>
            </w:r>
          </w:p>
        </w:tc>
        <w:tc>
          <w:tcPr>
            <w:tcW w:w="1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3,541</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7,757</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6,713</w:t>
            </w:r>
          </w:p>
        </w:tc>
        <w:tc>
          <w:tcPr>
            <w:tcW w:w="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9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non-core market</w:t>
            </w:r>
          </w:p>
        </w:tc>
        <w:tc>
          <w:tcPr>
            <w:tcW w:w="1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14,489</w:t>
            </w:r>
          </w:p>
        </w:tc>
        <w:tc>
          <w:tcPr>
            <w:tcW w:w="2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15,386</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27,364</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29,420</w:t>
            </w:r>
          </w:p>
        </w:tc>
        <w:tc>
          <w:tcPr>
            <w:tcW w:w="60" w:type="dxa"/>
            <w:vAlign w:val="bottom"/>
            <w:tcBorders>
              <w:bottom w:val="single" w:sz="8" w:color="CCEEFF"/>
            </w:tcBorders>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124,111</w:t>
            </w:r>
          </w:p>
        </w:tc>
        <w:tc>
          <w:tcPr>
            <w:tcW w:w="2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121,985</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234,159</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229,706</w:t>
            </w:r>
          </w:p>
        </w:tc>
        <w:tc>
          <w:tcPr>
            <w:tcW w:w="6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17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r>
    </w:tbl>
    <w:p>
      <w:pPr>
        <w:spacing w:after="0" w:line="63" w:lineRule="exact"/>
        <w:rPr>
          <w:sz w:val="20"/>
          <w:szCs w:val="20"/>
          <w:color w:val="auto"/>
        </w:rPr>
      </w:pPr>
    </w:p>
    <w:p>
      <w:pPr>
        <w:ind w:left="380" w:right="599" w:hanging="330"/>
        <w:spacing w:after="0" w:line="208" w:lineRule="auto"/>
        <w:tabs>
          <w:tab w:leader="none" w:pos="380" w:val="left"/>
        </w:tabs>
        <w:numPr>
          <w:ilvl w:val="0"/>
          <w:numId w:val="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Core Market includes markets with existing company-operated restaurants at the time of the Company’s IPO on July 28, 2014.</w:t>
      </w:r>
    </w:p>
    <w:p>
      <w:pPr>
        <w:spacing w:after="0" w:line="1" w:lineRule="exact"/>
        <w:rPr>
          <w:rFonts w:ascii="Times New Roman" w:cs="Times New Roman" w:eastAsia="Times New Roman" w:hAnsi="Times New Roman"/>
          <w:sz w:val="27"/>
          <w:szCs w:val="27"/>
          <w:color w:val="auto"/>
          <w:vertAlign w:val="superscript"/>
        </w:rPr>
      </w:pPr>
    </w:p>
    <w:p>
      <w:pPr>
        <w:ind w:left="380" w:hanging="330"/>
        <w:spacing w:after="0" w:line="180" w:lineRule="auto"/>
        <w:tabs>
          <w:tab w:leader="none" w:pos="380" w:val="left"/>
        </w:tabs>
        <w:numPr>
          <w:ilvl w:val="0"/>
          <w:numId w:val="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Non-Core Market includes markets entered into by the Company subsequent to the IPO date.</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the Company’s revenues disaggregated by geographic market:</w:t>
      </w:r>
    </w:p>
    <w:p>
      <w:pPr>
        <w:spacing w:after="0" w:line="313"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2180" w:type="dxa"/>
            <w:vAlign w:val="bottom"/>
            <w:gridSpan w:val="4"/>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160" w:type="dxa"/>
            <w:vAlign w:val="bottom"/>
            <w:gridSpan w:val="4"/>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142"/>
        </w:trPr>
        <w:tc>
          <w:tcPr>
            <w:tcW w:w="4620" w:type="dxa"/>
            <w:vAlign w:val="bottom"/>
          </w:tcPr>
          <w:p>
            <w:pPr>
              <w:spacing w:after="0"/>
              <w:rPr>
                <w:sz w:val="12"/>
                <w:szCs w:val="12"/>
                <w:color w:val="auto"/>
              </w:rPr>
            </w:pPr>
          </w:p>
        </w:tc>
        <w:tc>
          <w:tcPr>
            <w:tcW w:w="1120" w:type="dxa"/>
            <w:vAlign w:val="bottom"/>
            <w:tcBorders>
              <w:top w:val="single" w:sz="8" w:color="auto"/>
            </w:tcBorders>
            <w:gridSpan w:val="2"/>
          </w:tcPr>
          <w:p>
            <w:pPr>
              <w:jc w:val="right"/>
              <w:ind w:right="190"/>
              <w:spacing w:after="0" w:line="142" w:lineRule="exact"/>
              <w:rPr>
                <w:sz w:val="20"/>
                <w:szCs w:val="20"/>
                <w:color w:val="auto"/>
              </w:rPr>
            </w:pPr>
            <w:r>
              <w:rPr>
                <w:rFonts w:ascii="Times New Roman" w:cs="Times New Roman" w:eastAsia="Times New Roman" w:hAnsi="Times New Roman"/>
                <w:sz w:val="14"/>
                <w:szCs w:val="14"/>
                <w:b w:val="1"/>
                <w:bCs w:val="1"/>
                <w:color w:val="auto"/>
              </w:rPr>
              <w:t>June 29, 2022</w:t>
            </w:r>
          </w:p>
        </w:tc>
        <w:tc>
          <w:tcPr>
            <w:tcW w:w="8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June 30, 2021</w:t>
            </w:r>
          </w:p>
        </w:tc>
        <w:tc>
          <w:tcPr>
            <w:tcW w:w="220" w:type="dxa"/>
            <w:vAlign w:val="bottom"/>
          </w:tcPr>
          <w:p>
            <w:pPr>
              <w:spacing w:after="0"/>
              <w:rPr>
                <w:sz w:val="12"/>
                <w:szCs w:val="12"/>
                <w:color w:val="auto"/>
              </w:rPr>
            </w:pPr>
          </w:p>
        </w:tc>
        <w:tc>
          <w:tcPr>
            <w:tcW w:w="1120" w:type="dxa"/>
            <w:vAlign w:val="bottom"/>
            <w:tcBorders>
              <w:top w:val="single" w:sz="8" w:color="auto"/>
            </w:tcBorders>
            <w:gridSpan w:val="2"/>
          </w:tcPr>
          <w:p>
            <w:pPr>
              <w:jc w:val="right"/>
              <w:ind w:right="190"/>
              <w:spacing w:after="0" w:line="142" w:lineRule="exact"/>
              <w:rPr>
                <w:sz w:val="20"/>
                <w:szCs w:val="20"/>
                <w:color w:val="auto"/>
              </w:rPr>
            </w:pPr>
            <w:r>
              <w:rPr>
                <w:rFonts w:ascii="Times New Roman" w:cs="Times New Roman" w:eastAsia="Times New Roman" w:hAnsi="Times New Roman"/>
                <w:sz w:val="14"/>
                <w:szCs w:val="14"/>
                <w:b w:val="1"/>
                <w:bCs w:val="1"/>
                <w:color w:val="auto"/>
              </w:rPr>
              <w:t>June 29, 2022</w:t>
            </w:r>
          </w:p>
        </w:tc>
        <w:tc>
          <w:tcPr>
            <w:tcW w:w="8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June 30, 2021</w:t>
            </w:r>
          </w:p>
        </w:tc>
        <w:tc>
          <w:tcPr>
            <w:tcW w:w="180" w:type="dxa"/>
            <w:vAlign w:val="bottom"/>
          </w:tcPr>
          <w:p>
            <w:pPr>
              <w:spacing w:after="0"/>
              <w:rPr>
                <w:sz w:val="12"/>
                <w:szCs w:val="12"/>
                <w:color w:val="auto"/>
              </w:rPr>
            </w:pPr>
          </w:p>
        </w:tc>
      </w:tr>
      <w:tr>
        <w:trPr>
          <w:trHeight w:val="209"/>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Greater Los Angeles area market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Other markets</w:t>
            </w:r>
          </w:p>
        </w:tc>
        <w:tc>
          <w:tcPr>
            <w:tcW w:w="11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29.1 %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29.4 %</w:t>
            </w:r>
          </w:p>
        </w:tc>
        <w:tc>
          <w:tcPr>
            <w:tcW w:w="11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29.1 %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29.6 %</w:t>
            </w:r>
          </w:p>
        </w:tc>
      </w:tr>
      <w:tr>
        <w:trPr>
          <w:trHeight w:val="209"/>
        </w:trPr>
        <w:tc>
          <w:tcPr>
            <w:tcW w:w="462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r>
      <w:tr>
        <w:trPr>
          <w:trHeight w:val="20"/>
        </w:trPr>
        <w:tc>
          <w:tcPr>
            <w:tcW w:w="46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227"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the change in the franchise contract liability balances during the twenty-six weeks ended June 29, 2022 and June 30, 2021 (in thousands)</w:t>
      </w:r>
      <w:r>
        <w:rPr>
          <w:rFonts w:ascii="Times New Roman" w:cs="Times New Roman" w:eastAsia="Times New Roman" w:hAnsi="Times New Roman"/>
          <w:sz w:val="18"/>
          <w:szCs w:val="18"/>
          <w:b w:val="1"/>
          <w:bCs w:val="1"/>
          <w:color w:val="auto"/>
        </w:rPr>
        <w:t>:</w:t>
      </w:r>
    </w:p>
    <w:p>
      <w:pPr>
        <w:spacing w:after="0" w:line="19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29, 2021</w:t>
            </w:r>
          </w:p>
        </w:tc>
        <w:tc>
          <w:tcPr>
            <w:tcW w:w="2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Revenue recognized - beginning balance</w:t>
            </w:r>
          </w:p>
        </w:tc>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Additional contract liability</w:t>
            </w:r>
          </w:p>
        </w:tc>
        <w:tc>
          <w:tcPr>
            <w:tcW w:w="2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250"/>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June 29, 2022</w:t>
            </w:r>
          </w:p>
        </w:tc>
        <w:tc>
          <w:tcPr>
            <w:tcW w:w="23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6,440</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320" w:type="dxa"/>
            <w:vAlign w:val="bottom"/>
            <w:tcBorders>
              <w:top w:val="single" w:sz="8" w:color="CCEEFF"/>
            </w:tcBorders>
            <w:shd w:val="clear" w:color="auto" w:fill="CCEEFF"/>
          </w:tcPr>
          <w:p>
            <w:pPr>
              <w:spacing w:after="0"/>
              <w:rPr>
                <w:sz w:val="17"/>
                <w:szCs w:val="17"/>
                <w:color w:val="auto"/>
              </w:rPr>
            </w:pPr>
          </w:p>
        </w:tc>
        <w:tc>
          <w:tcPr>
            <w:tcW w:w="2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30, 2020</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Revenue recognized - beginning balance</w:t>
            </w:r>
          </w:p>
        </w:tc>
        <w:tc>
          <w:tcPr>
            <w:tcW w:w="2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Additional contract liability</w:t>
            </w:r>
          </w:p>
        </w:tc>
        <w:tc>
          <w:tcPr>
            <w:tcW w:w="23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June 30, 2021</w:t>
            </w:r>
          </w:p>
        </w:tc>
        <w:tc>
          <w:tcPr>
            <w:tcW w:w="2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The Company’s franchise contract liability includes development fees, initial franchise and license fees, franchise renewal fees, lease subsidies and royalty discounts and is included within other accrued expenses and current liabilities and other noncurrent liabilities within the accompanying condensed consolidated balance sheets. The Company receives area development fees from franchisees when they execute multi-unit area development agreements. Initial franchise and license fees, or franchise renewal fees, are received from franchisees upon the execution of, or renewal of, a franchise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agreement. Revenue is recognized from these agreements as the underlying performance obligation is satisfied, which is over the term of the agreement.</w:t>
      </w:r>
    </w:p>
    <w:p>
      <w:pPr>
        <w:spacing w:after="0" w:line="162"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estimated revenue to be recognized in future periods related to performance obligations under the applicable contracts that are unsatisfied as of June 29, 2022 (in thousands):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Franchise revenues:</w:t>
      </w:r>
    </w:p>
    <w:p>
      <w:pPr>
        <w:spacing w:after="0" w:line="12"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766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2022</w:t>
            </w: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16"/>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2023</w:t>
            </w: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r>
      <w:tr>
        <w:trPr>
          <w:trHeight w:val="216"/>
        </w:trPr>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2024</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r>
      <w:tr>
        <w:trPr>
          <w:trHeight w:val="216"/>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2025</w:t>
            </w: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r>
      <w:tr>
        <w:trPr>
          <w:trHeight w:val="216"/>
        </w:trPr>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2026</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r>
      <w:tr>
        <w:trPr>
          <w:trHeight w:val="216"/>
        </w:trPr>
        <w:tc>
          <w:tcPr>
            <w:tcW w:w="76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Thereafter</w:t>
            </w: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4,098</w:t>
            </w:r>
          </w:p>
        </w:tc>
      </w:tr>
      <w:tr>
        <w:trPr>
          <w:trHeight w:val="209"/>
        </w:trPr>
        <w:tc>
          <w:tcPr>
            <w:tcW w:w="76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6,440</w:t>
            </w:r>
          </w:p>
        </w:tc>
      </w:tr>
      <w:tr>
        <w:trPr>
          <w:trHeight w:val="20"/>
        </w:trPr>
        <w:tc>
          <w:tcPr>
            <w:tcW w:w="76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Changes in the loyalty rewards program liability included in deferred revenue within other accrued expenses and current liabilities on the condensed consolidated balance sheets were as follows (in thousands):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June 29,</w:t>
            </w:r>
          </w:p>
        </w:tc>
        <w:tc>
          <w:tcPr>
            <w:tcW w:w="140" w:type="dxa"/>
            <w:vAlign w:val="bottom"/>
          </w:tcPr>
          <w:p>
            <w:pPr>
              <w:spacing w:after="0"/>
              <w:rPr>
                <w:sz w:val="16"/>
                <w:szCs w:val="16"/>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29,</w:t>
            </w:r>
          </w:p>
        </w:tc>
      </w:tr>
      <w:tr>
        <w:trPr>
          <w:trHeight w:val="199"/>
        </w:trPr>
        <w:tc>
          <w:tcPr>
            <w:tcW w:w="62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7"/>
                <w:szCs w:val="17"/>
                <w:color w:val="auto"/>
              </w:rPr>
            </w:pPr>
          </w:p>
        </w:tc>
      </w:tr>
      <w:tr>
        <w:trPr>
          <w:trHeight w:val="21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Loyalty rewards liability, beginning balance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60" w:type="dxa"/>
            <w:vAlign w:val="bottom"/>
            <w:shd w:val="clear" w:color="auto" w:fill="CCEEFF"/>
          </w:tcPr>
          <w:p>
            <w:pPr>
              <w:spacing w:after="0"/>
              <w:rPr>
                <w:sz w:val="18"/>
                <w:szCs w:val="18"/>
                <w:color w:val="auto"/>
              </w:rPr>
            </w:pPr>
          </w:p>
        </w:tc>
      </w:tr>
      <w:tr>
        <w:trPr>
          <w:trHeight w:val="216"/>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deferred</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160" w:type="dxa"/>
            <w:vAlign w:val="bottom"/>
          </w:tcPr>
          <w:p>
            <w:pPr>
              <w:spacing w:after="0"/>
              <w:rPr>
                <w:sz w:val="18"/>
                <w:szCs w:val="18"/>
                <w:color w:val="auto"/>
              </w:rPr>
            </w:pPr>
          </w:p>
        </w:tc>
      </w:tr>
      <w:tr>
        <w:trPr>
          <w:trHeight w:val="21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(1,456)</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(2,890)</w:t>
            </w:r>
          </w:p>
        </w:tc>
      </w:tr>
      <w:tr>
        <w:trPr>
          <w:trHeight w:val="21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Loyalty rewards liability, ending balance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564</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687</w:t>
            </w:r>
          </w:p>
        </w:tc>
        <w:tc>
          <w:tcPr>
            <w:tcW w:w="160" w:type="dxa"/>
            <w:vAlign w:val="bottom"/>
          </w:tcPr>
          <w:p>
            <w:pPr>
              <w:spacing w:after="0"/>
              <w:rPr>
                <w:sz w:val="18"/>
                <w:szCs w:val="18"/>
                <w:color w:val="auto"/>
              </w:rPr>
            </w:pPr>
          </w:p>
        </w:tc>
      </w:tr>
      <w:tr>
        <w:trPr>
          <w:trHeight w:val="20"/>
        </w:trPr>
        <w:tc>
          <w:tcPr>
            <w:tcW w:w="6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The Company expects all loyalty points revenue related to performance obligations unsatisfied as of June 29, 2022 to be recognized within one year.</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Gift Cards</w:t>
      </w:r>
    </w:p>
    <w:p>
      <w:pPr>
        <w:spacing w:after="0" w:line="227" w:lineRule="exact"/>
        <w:rPr>
          <w:sz w:val="20"/>
          <w:szCs w:val="20"/>
          <w:color w:val="auto"/>
        </w:rPr>
      </w:pPr>
    </w:p>
    <w:p>
      <w:pPr>
        <w:ind w:left="60" w:right="459"/>
        <w:spacing w:after="0" w:line="282" w:lineRule="auto"/>
        <w:rPr>
          <w:sz w:val="20"/>
          <w:szCs w:val="20"/>
          <w:color w:val="auto"/>
        </w:rPr>
      </w:pPr>
      <w:r>
        <w:rPr>
          <w:rFonts w:ascii="Times New Roman" w:cs="Times New Roman" w:eastAsia="Times New Roman" w:hAnsi="Times New Roman"/>
          <w:sz w:val="18"/>
          <w:szCs w:val="18"/>
          <w:color w:val="auto"/>
        </w:rPr>
        <w:t>The gift card liability included in other accrued expenses and current liabilities on the condensed consolidated balance sheets was as follows (in thousands):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June 29,</w:t>
            </w:r>
          </w:p>
        </w:tc>
        <w:tc>
          <w:tcPr>
            <w:tcW w:w="160" w:type="dxa"/>
            <w:vAlign w:val="bottom"/>
          </w:tcPr>
          <w:p>
            <w:pPr>
              <w:spacing w:after="0"/>
              <w:rPr>
                <w:sz w:val="16"/>
                <w:szCs w:val="16"/>
                <w:color w:val="auto"/>
              </w:rPr>
            </w:pPr>
          </w:p>
        </w:tc>
        <w:tc>
          <w:tcPr>
            <w:tcW w:w="112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December 29,</w:t>
            </w:r>
          </w:p>
        </w:tc>
      </w:tr>
      <w:tr>
        <w:trPr>
          <w:trHeight w:val="199"/>
        </w:trPr>
        <w:tc>
          <w:tcPr>
            <w:tcW w:w="62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Gift card liability</w:t>
            </w: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4,133</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4,622</w:t>
            </w:r>
          </w:p>
        </w:tc>
      </w:tr>
      <w:tr>
        <w:trPr>
          <w:trHeight w:val="20"/>
        </w:trPr>
        <w:tc>
          <w:tcPr>
            <w:tcW w:w="6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119"/>
        <w:spacing w:after="0" w:line="282" w:lineRule="auto"/>
        <w:rPr>
          <w:sz w:val="20"/>
          <w:szCs w:val="20"/>
          <w:color w:val="auto"/>
        </w:rPr>
      </w:pPr>
      <w:r>
        <w:rPr>
          <w:rFonts w:ascii="Times New Roman" w:cs="Times New Roman" w:eastAsia="Times New Roman" w:hAnsi="Times New Roman"/>
          <w:sz w:val="18"/>
          <w:szCs w:val="18"/>
          <w:color w:val="auto"/>
        </w:rPr>
        <w:t>Revenue recognized from the redemption of gift cards that was included in other accrued expenses and current liabilities at the beginning of the year was as follows (in thousands):</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4"/>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210"/>
        </w:trPr>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June 29, 2022</w:t>
            </w:r>
          </w:p>
        </w:tc>
        <w:tc>
          <w:tcPr>
            <w:tcW w:w="1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100" w:type="dxa"/>
            <w:vAlign w:val="bottom"/>
          </w:tcPr>
          <w:p>
            <w:pPr>
              <w:spacing w:after="0"/>
              <w:rPr>
                <w:sz w:val="18"/>
                <w:szCs w:val="18"/>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June 29, 2022</w:t>
            </w:r>
          </w:p>
        </w:tc>
        <w:tc>
          <w:tcPr>
            <w:tcW w:w="10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0" w:type="dxa"/>
            <w:vAlign w:val="bottom"/>
          </w:tcPr>
          <w:p>
            <w:pPr>
              <w:spacing w:after="0"/>
              <w:rPr>
                <w:sz w:val="1"/>
                <w:szCs w:val="1"/>
                <w:color w:val="auto"/>
              </w:rPr>
            </w:pPr>
          </w:p>
        </w:tc>
      </w:tr>
      <w:tr>
        <w:trPr>
          <w:trHeight w:val="196"/>
        </w:trPr>
        <w:tc>
          <w:tcPr>
            <w:tcW w:w="41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418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w w:val="99"/>
              </w:rPr>
              <w:t>Revenue recognized from gift card liability balance at the</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6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8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2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0" w:type="dxa"/>
            <w:vAlign w:val="bottom"/>
          </w:tcPr>
          <w:p>
            <w:pPr>
              <w:spacing w:after="0"/>
              <w:rPr>
                <w:sz w:val="1"/>
                <w:szCs w:val="1"/>
                <w:color w:val="auto"/>
              </w:rPr>
            </w:pPr>
          </w:p>
        </w:tc>
      </w:tr>
      <w:tr>
        <w:trPr>
          <w:trHeight w:val="221"/>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the year</w:t>
            </w:r>
          </w:p>
        </w:tc>
        <w:tc>
          <w:tcPr>
            <w:tcW w:w="10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vMerge w:val="continue"/>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vMerge w:val="continue"/>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Contract Costs</w:t>
      </w:r>
    </w:p>
    <w:p>
      <w:pPr>
        <w:spacing w:after="0" w:line="227"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The Company does not currently incur costs to obtain or fulfill a contract that would be considered contract assets under Topic 606.</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LEASES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Nature of leases</w:t>
      </w:r>
    </w:p>
    <w:p>
      <w:pPr>
        <w:spacing w:after="0" w:line="227"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The Company’s operations utilize property, facilities, equipment and vehicles leased from others. Additionally, the Company has various contracts with vendors that have been determined to contain an embedded lease in accordance with Topic 842.</w:t>
      </w:r>
    </w:p>
    <w:p>
      <w:pPr>
        <w:spacing w:after="0" w:line="176" w:lineRule="exact"/>
        <w:rPr>
          <w:sz w:val="20"/>
          <w:szCs w:val="20"/>
          <w:color w:val="auto"/>
        </w:rPr>
      </w:pPr>
    </w:p>
    <w:p>
      <w:pPr>
        <w:ind w:left="60" w:right="419"/>
        <w:spacing w:after="0" w:line="282" w:lineRule="auto"/>
        <w:rPr>
          <w:sz w:val="20"/>
          <w:szCs w:val="20"/>
          <w:color w:val="auto"/>
        </w:rPr>
      </w:pPr>
      <w:r>
        <w:rPr>
          <w:rFonts w:ascii="Times New Roman" w:cs="Times New Roman" w:eastAsia="Times New Roman" w:hAnsi="Times New Roman"/>
          <w:sz w:val="18"/>
          <w:szCs w:val="18"/>
          <w:color w:val="auto"/>
        </w:rPr>
        <w:t>As of June 29, 2022, the Company had three leases that it had entered into, but had not yet commenced. The Company does not have control of the property until lease commencement.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Building and facility leases</w:t>
      </w:r>
    </w:p>
    <w:p>
      <w:pPr>
        <w:spacing w:after="0" w:line="229" w:lineRule="exact"/>
        <w:rPr>
          <w:sz w:val="20"/>
          <w:szCs w:val="20"/>
          <w:color w:val="auto"/>
        </w:rPr>
      </w:pPr>
    </w:p>
    <w:p>
      <w:pPr>
        <w:ind w:left="60" w:right="479"/>
        <w:spacing w:after="0" w:line="282" w:lineRule="auto"/>
        <w:rPr>
          <w:sz w:val="20"/>
          <w:szCs w:val="20"/>
          <w:color w:val="auto"/>
        </w:rPr>
      </w:pPr>
      <w:r>
        <w:rPr>
          <w:rFonts w:ascii="Times New Roman" w:cs="Times New Roman" w:eastAsia="Times New Roman" w:hAnsi="Times New Roman"/>
          <w:sz w:val="18"/>
          <w:szCs w:val="18"/>
          <w:color w:val="auto"/>
        </w:rPr>
        <w:t>The majority of the Company’s building and facilities leases are classified as operating leases; however, the Company currently has one facility and ten equipment leases that are classified as finance leases.</w:t>
      </w:r>
    </w:p>
    <w:p>
      <w:pPr>
        <w:spacing w:after="0" w:line="162"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Restaurants are operated under lease arrangements that generally provide for a fixed base rent and, in some instances, contingent rent based on a percentage of gross operating profit or net revenues in excess of a defined amount. Additionally, a number of the Company’s leases have payments that increase at pre-determined dates based on the change in the consumer price index. For all leases, the Company also reimburses the landlord for non-lease components, or items that are not considered components of a contract, such as CAM, property tax and insurance costs. While the Company determined not to separate lease and non-lease components, these payments are based on actual costs, making them variable consideration and excluding them from the calculations of the ROU asset and lease liability.</w:t>
      </w:r>
    </w:p>
    <w:p>
      <w:pPr>
        <w:spacing w:after="0" w:line="189"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The initial terms of land and restaurant building leases are generally 20 years, exclusive of options to renew. These leases typically have four 5-year renewal options, which have generally been excluded in the calculation of the ROU asset and lease liability, as they are not considered reasonably certain to be exercised, unless (1) the renewal had already occurred as of the time of adoption of Topic 842, or (2) there have been significant leasehold improvements that have a useful life that extend past the original lease term. Furthermore, there are no residual value guarantees and no restrictions imposed by the lease.</w:t>
      </w:r>
    </w:p>
    <w:p>
      <w:pPr>
        <w:spacing w:after="0" w:line="187" w:lineRule="exact"/>
        <w:rPr>
          <w:sz w:val="20"/>
          <w:szCs w:val="20"/>
          <w:color w:val="auto"/>
        </w:rPr>
      </w:pPr>
    </w:p>
    <w:p>
      <w:pPr>
        <w:ind w:left="60" w:right="159"/>
        <w:spacing w:after="0" w:line="252" w:lineRule="auto"/>
        <w:rPr>
          <w:sz w:val="20"/>
          <w:szCs w:val="20"/>
          <w:color w:val="auto"/>
        </w:rPr>
      </w:pPr>
      <w:r>
        <w:rPr>
          <w:rFonts w:ascii="Times New Roman" w:cs="Times New Roman" w:eastAsia="Times New Roman" w:hAnsi="Times New Roman"/>
          <w:sz w:val="18"/>
          <w:szCs w:val="18"/>
          <w:color w:val="auto"/>
        </w:rPr>
        <w:t>During the thirteen and twenty-six weeks ended June 29, 2022, the Company reassessed the lease terms on nine and thirteen restaurants, respectively, due to certain triggering events, such as the addition of significant leasehold improvements with useful lives that extend past the current lease expiration, the decision to terminate a lease, or the decision to renew. As a result of the reassessment, an additional $6.0 million and $8.5 million of ROU asset and lease liabilities for the thirteen and twenty-six weeks ended June 29, 2022, respectively, were recognized and will be amortized over the new lease term. During the thirteen and twenty-six weeks ended June 30, 2021, the Company reassessed the lease terms on five and twelve restaurants, respectively, due to certain triggering events, such as the addition of significant leasehold improvements with useful lives that extend past the current lease expiration, the decision to terminate a lease, or the decision to renew. This reassessment resulted in an additional $6.5 million and $11.2 million of ROU asset and lease liabilities for the thirteen and twenty-six weeks ended June 30, 2021, respectively, which were recognized and will be amortized over the new lease term. The reassessments had an impact on the original lease classification of one property during the thirteen weeks ended June 29, 2022 which represented $0.7 million of the $6.0 million total additional ROU asset and lease liabilities for the period. Additionally, as the Company adopted all practical expedients available under Topic 842, no reallocation between lease and non-lease components was necessary.</w:t>
      </w:r>
    </w:p>
    <w:p>
      <w:pPr>
        <w:spacing w:after="0" w:line="197" w:lineRule="exact"/>
        <w:rPr>
          <w:sz w:val="20"/>
          <w:szCs w:val="20"/>
          <w:color w:val="auto"/>
        </w:rPr>
      </w:pPr>
    </w:p>
    <w:p>
      <w:pPr>
        <w:ind w:left="60" w:right="99"/>
        <w:spacing w:after="0" w:line="281" w:lineRule="auto"/>
        <w:rPr>
          <w:sz w:val="20"/>
          <w:szCs w:val="20"/>
          <w:color w:val="auto"/>
        </w:rPr>
      </w:pPr>
      <w:r>
        <w:rPr>
          <w:rFonts w:ascii="Times New Roman" w:cs="Times New Roman" w:eastAsia="Times New Roman" w:hAnsi="Times New Roman"/>
          <w:sz w:val="17"/>
          <w:szCs w:val="17"/>
          <w:color w:val="auto"/>
        </w:rPr>
        <w:t>The Company also subleases facilities to certain franchisees and other non-related parties which are also considered operating leases. Sublease income also includes contingent rental income based on net revenues. The vast majority of these leases have rights to extend terms via fixed rental increases. However, none of these leases have early termination rights, the right to purchase the premises or any residual value guarantees. The Company does not have any related party leases.</w:t>
      </w:r>
    </w:p>
    <w:p>
      <w:pPr>
        <w:spacing w:after="0" w:line="164"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During the twenty-six weeks ended June 29, 2022, the Company did not record any non-cash impairment charges. The Company recorded a $0.4 million non-cash impairment charge for the twenty-six weeks ended June 30, 2021 related to one restaurant closed in Texas in 2019 and one restaurant in California. See Note 1, “Basis of Presentation and Summary of Significant Accounting Policies – Impairment of Long-Lived Assets and ROU Assets” for additional information.</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Equipment</w:t>
      </w:r>
    </w:p>
    <w:p>
      <w:pPr>
        <w:spacing w:after="0" w:line="229" w:lineRule="exact"/>
        <w:rPr>
          <w:sz w:val="20"/>
          <w:szCs w:val="20"/>
          <w:color w:val="auto"/>
        </w:rPr>
      </w:pPr>
    </w:p>
    <w:p>
      <w:pPr>
        <w:jc w:val="both"/>
        <w:ind w:left="60" w:right="139"/>
        <w:spacing w:after="0" w:line="266" w:lineRule="auto"/>
        <w:rPr>
          <w:sz w:val="20"/>
          <w:szCs w:val="20"/>
          <w:color w:val="auto"/>
        </w:rPr>
      </w:pPr>
      <w:r>
        <w:rPr>
          <w:rFonts w:ascii="Times New Roman" w:cs="Times New Roman" w:eastAsia="Times New Roman" w:hAnsi="Times New Roman"/>
          <w:sz w:val="18"/>
          <w:szCs w:val="18"/>
          <w:color w:val="auto"/>
        </w:rPr>
        <w:t>Leases of equipment primarily consist of restaurant equipment, copiers and vehicles. These leases are fixed payments with no variable component. Additionally, no optional renewal periods have been included in the calculation of the ROU asset, there are no residual value guarantees and no restrictions imposed.</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Significant Assumptions and Judgments</w:t>
      </w:r>
    </w:p>
    <w:p>
      <w:pPr>
        <w:spacing w:after="0" w:line="227" w:lineRule="exact"/>
        <w:rPr>
          <w:sz w:val="20"/>
          <w:szCs w:val="20"/>
          <w:color w:val="auto"/>
        </w:rPr>
      </w:pPr>
    </w:p>
    <w:p>
      <w:pPr>
        <w:ind w:left="60" w:right="879"/>
        <w:spacing w:after="0" w:line="282" w:lineRule="auto"/>
        <w:rPr>
          <w:sz w:val="20"/>
          <w:szCs w:val="20"/>
          <w:color w:val="auto"/>
        </w:rPr>
      </w:pPr>
      <w:r>
        <w:rPr>
          <w:rFonts w:ascii="Times New Roman" w:cs="Times New Roman" w:eastAsia="Times New Roman" w:hAnsi="Times New Roman"/>
          <w:sz w:val="18"/>
          <w:szCs w:val="18"/>
          <w:color w:val="auto"/>
        </w:rPr>
        <w:t>In applying the requirements of Topic 842, the Company made significant assumptions and judgments related to determination of whether a contract contains a lease and the discount rate used for the lease.</w:t>
      </w:r>
    </w:p>
    <w:p>
      <w:pPr>
        <w:spacing w:after="0" w:line="162"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In determining if any of the Company’s contracts contain a lease, the Company made assumptions and judgments related to its ability to direct the use of any assets stated in the contract and the likelihood of renewing any short-term contracts for a period extending past twelve months.</w:t>
      </w:r>
    </w:p>
    <w:p>
      <w:pPr>
        <w:spacing w:after="0" w:line="176"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The Company also made significant assumptions and judgments in determining an appropriate discount rate for property leases. These included using a consistent discount rate for a portfolio of leases entered into at varying dates, using the full 20-year term of the lease, excluding any options, and using the total minimum lease payments. The Company utilizes a third-party valuation firm in determining the discount rate, based on the above assumptions. For all other leases, the Company uses the discount rate implicit in the lease, or the Company’s incremental borrowing rate.</w:t>
      </w:r>
    </w:p>
    <w:p>
      <w:pPr>
        <w:spacing w:after="0" w:line="183" w:lineRule="exact"/>
        <w:rPr>
          <w:sz w:val="20"/>
          <w:szCs w:val="20"/>
          <w:color w:val="auto"/>
        </w:rPr>
      </w:pPr>
    </w:p>
    <w:p>
      <w:pPr>
        <w:ind w:left="60" w:right="659"/>
        <w:spacing w:after="0" w:line="266" w:lineRule="auto"/>
        <w:rPr>
          <w:sz w:val="20"/>
          <w:szCs w:val="20"/>
          <w:color w:val="auto"/>
        </w:rPr>
      </w:pPr>
      <w:r>
        <w:rPr>
          <w:rFonts w:ascii="Times New Roman" w:cs="Times New Roman" w:eastAsia="Times New Roman" w:hAnsi="Times New Roman"/>
          <w:sz w:val="18"/>
          <w:szCs w:val="18"/>
          <w:color w:val="auto"/>
        </w:rPr>
        <w:t>As the Company has adopted the practical expedient not to separate lease and non-lease components, no significant assumptions or judgments were necessary in allocating consideration between these components, for all classes of underlying assets.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the Company’s total lease cost, disaggregated by underlying asset (in thousands):</w:t>
      </w:r>
    </w:p>
    <w:p>
      <w:pPr>
        <w:spacing w:after="0" w:line="31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June 29, 2022</w:t>
            </w: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6"/>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June 30, 2021</w:t>
            </w: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gridSpan w:val="3"/>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Property</w:t>
            </w:r>
          </w:p>
        </w:tc>
        <w:tc>
          <w:tcPr>
            <w:tcW w:w="120" w:type="dxa"/>
            <w:vAlign w:val="bottom"/>
          </w:tcPr>
          <w:p>
            <w:pPr>
              <w:spacing w:after="0"/>
              <w:rPr>
                <w:sz w:val="10"/>
                <w:szCs w:val="10"/>
                <w:color w:val="auto"/>
              </w:rPr>
            </w:pPr>
          </w:p>
        </w:tc>
        <w:tc>
          <w:tcPr>
            <w:tcW w:w="860" w:type="dxa"/>
            <w:vAlign w:val="bottom"/>
            <w:gridSpan w:val="3"/>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Equipment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Property</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gridSpan w:val="4"/>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Equipment</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8"/>
                <w:szCs w:val="18"/>
                <w:color w:val="auto"/>
              </w:rPr>
            </w:pP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6,018</w:t>
            </w: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6,401</w:t>
            </w: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69"/>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June 29, 2022</w:t>
            </w: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120" w:type="dxa"/>
            <w:vAlign w:val="bottom"/>
          </w:tcPr>
          <w:p>
            <w:pPr>
              <w:spacing w:after="0"/>
              <w:rPr>
                <w:sz w:val="19"/>
                <w:szCs w:val="19"/>
                <w:color w:val="auto"/>
              </w:rPr>
            </w:pPr>
          </w:p>
        </w:tc>
        <w:tc>
          <w:tcPr>
            <w:tcW w:w="8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5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19"/>
                <w:szCs w:val="19"/>
                <w:color w:val="auto"/>
              </w:rPr>
            </w:pP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9"/>
                <w:szCs w:val="19"/>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(2,257)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(1,594)</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12,057</w:t>
            </w:r>
          </w:p>
        </w:tc>
        <w:tc>
          <w:tcPr>
            <w:tcW w:w="200" w:type="dxa"/>
            <w:vAlign w:val="bottom"/>
          </w:tcPr>
          <w:p>
            <w:pPr>
              <w:spacing w:after="0"/>
              <w:rPr>
                <w:sz w:val="18"/>
                <w:szCs w:val="18"/>
                <w:color w:val="auto"/>
              </w:rPr>
            </w:pPr>
          </w:p>
        </w:tc>
        <w:tc>
          <w:tcPr>
            <w:tcW w:w="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8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40" w:right="138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total lease cost on the condensed consolidated statements of income (in thousands):</w:t>
      </w:r>
    </w:p>
    <w:p>
      <w:pPr>
        <w:spacing w:after="0" w:line="169" w:lineRule="exact"/>
        <w:rPr>
          <w:sz w:val="20"/>
          <w:szCs w:val="20"/>
          <w:color w:val="auto"/>
        </w:rPr>
      </w:pPr>
    </w:p>
    <w:tbl>
      <w:tblPr>
        <w:tblLayout w:type="fixed"/>
        <w:tblInd w:w="820" w:type="dxa"/>
        <w:tblCellMar>
          <w:top w:w="0" w:type="dxa"/>
          <w:left w:w="0" w:type="dxa"/>
          <w:bottom w:w="0" w:type="dxa"/>
          <w:right w:w="0" w:type="dxa"/>
        </w:tblCellMar>
      </w:tblPr>
      <w:tr>
        <w:trPr>
          <w:trHeight w:val="173"/>
        </w:trPr>
        <w:tc>
          <w:tcPr>
            <w:tcW w:w="4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80" w:type="dxa"/>
            <w:vAlign w:val="bottom"/>
          </w:tcPr>
          <w:p>
            <w:pPr>
              <w:spacing w:after="0"/>
              <w:rPr>
                <w:sz w:val="15"/>
                <w:szCs w:val="15"/>
                <w:color w:val="auto"/>
              </w:rPr>
            </w:pPr>
          </w:p>
        </w:tc>
        <w:tc>
          <w:tcPr>
            <w:tcW w:w="2080" w:type="dxa"/>
            <w:vAlign w:val="bottom"/>
            <w:gridSpan w:val="4"/>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142"/>
        </w:trPr>
        <w:tc>
          <w:tcPr>
            <w:tcW w:w="4480" w:type="dxa"/>
            <w:vAlign w:val="bottom"/>
          </w:tcPr>
          <w:p>
            <w:pPr>
              <w:spacing w:after="0"/>
              <w:rPr>
                <w:sz w:val="12"/>
                <w:szCs w:val="12"/>
                <w:color w:val="auto"/>
              </w:rPr>
            </w:pPr>
          </w:p>
        </w:tc>
        <w:tc>
          <w:tcPr>
            <w:tcW w:w="1060" w:type="dxa"/>
            <w:vAlign w:val="bottom"/>
            <w:tcBorders>
              <w:top w:val="single" w:sz="8" w:color="auto"/>
            </w:tcBorders>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June 29, 2022</w:t>
            </w:r>
          </w:p>
        </w:tc>
        <w:tc>
          <w:tcPr>
            <w:tcW w:w="10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June 30, 2021</w:t>
            </w:r>
          </w:p>
        </w:tc>
        <w:tc>
          <w:tcPr>
            <w:tcW w:w="2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June 29, 2022</w:t>
            </w: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June 30, 2021</w:t>
            </w:r>
          </w:p>
        </w:tc>
      </w:tr>
      <w:tr>
        <w:trPr>
          <w:trHeight w:val="209"/>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cost – Occupancy and other operating expenses</w:t>
            </w:r>
          </w:p>
        </w:tc>
        <w:tc>
          <w:tcPr>
            <w:tcW w:w="20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5,912</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6,149</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11,742</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12,380</w:t>
            </w:r>
          </w:p>
        </w:tc>
      </w:tr>
      <w:tr>
        <w:trPr>
          <w:trHeight w:val="216"/>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cost – General &amp; administrative</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16"/>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cost – Depreciation and amortization</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cost – Interest expense</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cost – Closed-store reserve</w:t>
            </w: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0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2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6,068</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6,401</w:t>
            </w:r>
          </w:p>
        </w:tc>
        <w:tc>
          <w:tcPr>
            <w:tcW w:w="2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12,057</w:t>
            </w: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12,932</w:t>
            </w:r>
          </w:p>
        </w:tc>
      </w:tr>
    </w:tbl>
    <w:p>
      <w:pPr>
        <w:spacing w:after="0" w:line="198" w:lineRule="exact"/>
        <w:rPr>
          <w:sz w:val="20"/>
          <w:szCs w:val="20"/>
          <w:color w:val="auto"/>
        </w:rPr>
      </w:pPr>
    </w:p>
    <w:p>
      <w:pPr>
        <w:ind w:left="840" w:right="840"/>
        <w:spacing w:after="0" w:line="282" w:lineRule="auto"/>
        <w:rPr>
          <w:sz w:val="20"/>
          <w:szCs w:val="20"/>
          <w:color w:val="auto"/>
        </w:rPr>
      </w:pPr>
      <w:r>
        <w:rPr>
          <w:rFonts w:ascii="Times New Roman" w:cs="Times New Roman" w:eastAsia="Times New Roman" w:hAnsi="Times New Roman"/>
          <w:sz w:val="18"/>
          <w:szCs w:val="18"/>
          <w:color w:val="auto"/>
        </w:rPr>
        <w:t>During the thirteen and twenty-six weeks ended June 29, 2022 and June 30, 2021, the Company had the following cash and non-cash activities associated with its leases (dollars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80" w:type="dxa"/>
            <w:vAlign w:val="bottom"/>
          </w:tcPr>
          <w:p>
            <w:pPr>
              <w:spacing w:after="0"/>
              <w:rPr>
                <w:sz w:val="15"/>
                <w:szCs w:val="15"/>
                <w:color w:val="auto"/>
              </w:rPr>
            </w:pPr>
          </w:p>
        </w:tc>
        <w:tc>
          <w:tcPr>
            <w:tcW w:w="2580" w:type="dxa"/>
            <w:vAlign w:val="bottom"/>
            <w:tcBorders>
              <w:bottom w:val="single" w:sz="8" w:color="auto"/>
            </w:tcBorders>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Twenty-Six Weeks Ended June 29, 2022</w:t>
            </w: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7"/>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Twenty-Six Weeks Ended June 30, 2021</w:t>
            </w:r>
          </w:p>
        </w:tc>
        <w:tc>
          <w:tcPr>
            <w:tcW w:w="0" w:type="dxa"/>
            <w:vAlign w:val="bottom"/>
          </w:tcPr>
          <w:p>
            <w:pPr>
              <w:spacing w:after="0"/>
              <w:rPr>
                <w:sz w:val="1"/>
                <w:szCs w:val="1"/>
                <w:color w:val="auto"/>
              </w:rPr>
            </w:pPr>
          </w:p>
        </w:tc>
      </w:tr>
      <w:tr>
        <w:trPr>
          <w:trHeight w:val="117"/>
        </w:trPr>
        <w:tc>
          <w:tcPr>
            <w:tcW w:w="5280" w:type="dxa"/>
            <w:vAlign w:val="bottom"/>
          </w:tcPr>
          <w:p>
            <w:pPr>
              <w:spacing w:after="0"/>
              <w:rPr>
                <w:sz w:val="10"/>
                <w:szCs w:val="10"/>
                <w:color w:val="auto"/>
              </w:rPr>
            </w:pPr>
          </w:p>
        </w:tc>
        <w:tc>
          <w:tcPr>
            <w:tcW w:w="940" w:type="dxa"/>
            <w:vAlign w:val="bottom"/>
            <w:gridSpan w:val="3"/>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Property</w:t>
            </w:r>
          </w:p>
        </w:tc>
        <w:tc>
          <w:tcPr>
            <w:tcW w:w="94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Equipment</w:t>
            </w:r>
          </w:p>
        </w:tc>
        <w:tc>
          <w:tcPr>
            <w:tcW w:w="120" w:type="dxa"/>
            <w:vAlign w:val="bottom"/>
          </w:tcPr>
          <w:p>
            <w:pPr>
              <w:spacing w:after="0"/>
              <w:rPr>
                <w:sz w:val="10"/>
                <w:szCs w:val="10"/>
                <w:color w:val="auto"/>
              </w:rPr>
            </w:pPr>
          </w:p>
        </w:tc>
        <w:tc>
          <w:tcPr>
            <w:tcW w:w="6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0"/>
                <w:szCs w:val="10"/>
                <w:color w:val="auto"/>
              </w:rPr>
            </w:pPr>
          </w:p>
        </w:tc>
        <w:tc>
          <w:tcPr>
            <w:tcW w:w="880" w:type="dxa"/>
            <w:vAlign w:val="bottom"/>
            <w:gridSpan w:val="2"/>
          </w:tcPr>
          <w:p>
            <w:pPr>
              <w:jc w:val="right"/>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Property</w:t>
            </w:r>
          </w:p>
        </w:tc>
        <w:tc>
          <w:tcPr>
            <w:tcW w:w="96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Equipment</w:t>
            </w:r>
          </w:p>
        </w:tc>
        <w:tc>
          <w:tcPr>
            <w:tcW w:w="160" w:type="dxa"/>
            <w:vAlign w:val="bottom"/>
          </w:tcPr>
          <w:p>
            <w:pPr>
              <w:spacing w:after="0"/>
              <w:rPr>
                <w:sz w:val="10"/>
                <w:szCs w:val="10"/>
                <w:color w:val="auto"/>
              </w:rPr>
            </w:pPr>
          </w:p>
        </w:tc>
        <w:tc>
          <w:tcPr>
            <w:tcW w:w="60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20" w:type="dxa"/>
            <w:vAlign w:val="bottom"/>
          </w:tcPr>
          <w:p>
            <w:pPr>
              <w:spacing w:after="0"/>
              <w:rPr>
                <w:sz w:val="15"/>
                <w:szCs w:val="15"/>
                <w:color w:val="auto"/>
              </w:rPr>
            </w:pPr>
          </w:p>
        </w:tc>
        <w:tc>
          <w:tcPr>
            <w:tcW w:w="8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2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40" w:type="dxa"/>
            <w:vAlign w:val="bottom"/>
          </w:tcPr>
          <w:p>
            <w:pPr>
              <w:spacing w:after="0"/>
              <w:rPr>
                <w:sz w:val="15"/>
                <w:szCs w:val="15"/>
                <w:color w:val="auto"/>
              </w:rPr>
            </w:pPr>
          </w:p>
        </w:tc>
        <w:tc>
          <w:tcPr>
            <w:tcW w:w="8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28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w:t>
            </w: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cash flows used for operating leases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13,543</w:t>
            </w:r>
          </w:p>
        </w:tc>
        <w:tc>
          <w:tcPr>
            <w:tcW w:w="24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14,038</w:t>
            </w: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12,357</w:t>
            </w:r>
          </w:p>
        </w:tc>
        <w:tc>
          <w:tcPr>
            <w:tcW w:w="24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12,932</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Financing cash flows used for finance leases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ROU assets obtained in exchange for lease liabilities:</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lease ROU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11,260</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ROU assets obtained in exchange for lease liabilities:</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Finance lease ROU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198"/>
        </w:trPr>
        <w:tc>
          <w:tcPr>
            <w:tcW w:w="5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Derecognition of ROU assets due to terminations, impairment or</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modifications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(4,513)</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(4,552)</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Weighted-average remaining years in lease term—finance leases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Weighted-average remaining years in lease term—operating leases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Weighted-average discount rate—finance leases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2.57 %</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1.53 %</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2.75 %</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1.57 %</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Weighted-average discount rate—operating leases</w:t>
            </w:r>
          </w:p>
        </w:tc>
        <w:tc>
          <w:tcPr>
            <w:tcW w:w="12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4.47 %</w:t>
            </w:r>
          </w:p>
        </w:tc>
        <w:tc>
          <w:tcPr>
            <w:tcW w:w="12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3.82 %</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4.42 %</w:t>
            </w:r>
          </w:p>
        </w:tc>
        <w:tc>
          <w:tcPr>
            <w:tcW w:w="14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3.92 %</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Information regarding the Company’s minimum future lease obligations as of June 29, 2022 is as follows (in thousands):</w:t>
      </w:r>
    </w:p>
    <w:p>
      <w:pPr>
        <w:spacing w:after="0" w:line="232" w:lineRule="exact"/>
        <w:rPr>
          <w:sz w:val="20"/>
          <w:szCs w:val="20"/>
          <w:color w:val="auto"/>
        </w:rPr>
      </w:pPr>
    </w:p>
    <w:tbl>
      <w:tblPr>
        <w:tblLayout w:type="fixed"/>
        <w:tblInd w:w="820" w:type="dxa"/>
        <w:tblCellMar>
          <w:top w:w="0" w:type="dxa"/>
          <w:left w:w="0" w:type="dxa"/>
          <w:bottom w:w="0" w:type="dxa"/>
          <w:right w:w="0" w:type="dxa"/>
        </w:tblCellMar>
      </w:tblPr>
      <w:tr>
        <w:trPr>
          <w:trHeight w:val="173"/>
        </w:trPr>
        <w:tc>
          <w:tcPr>
            <w:tcW w:w="5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100" w:type="dxa"/>
            <w:vAlign w:val="bottom"/>
          </w:tcPr>
          <w:p>
            <w:pPr>
              <w:spacing w:after="0"/>
              <w:rPr>
                <w:sz w:val="15"/>
                <w:szCs w:val="15"/>
                <w:color w:val="auto"/>
              </w:rPr>
            </w:pPr>
          </w:p>
        </w:tc>
        <w:tc>
          <w:tcPr>
            <w:tcW w:w="1760" w:type="dxa"/>
            <w:vAlign w:val="bottom"/>
            <w:gridSpan w:val="4"/>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0" w:type="dxa"/>
            <w:vAlign w:val="bottom"/>
          </w:tcPr>
          <w:p>
            <w:pPr>
              <w:spacing w:after="0"/>
              <w:rPr>
                <w:sz w:val="1"/>
                <w:szCs w:val="1"/>
                <w:color w:val="auto"/>
              </w:rPr>
            </w:pPr>
          </w:p>
        </w:tc>
      </w:tr>
      <w:tr>
        <w:trPr>
          <w:trHeight w:val="117"/>
        </w:trPr>
        <w:tc>
          <w:tcPr>
            <w:tcW w:w="5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ind w:right="15"/>
              <w:spacing w:after="0" w:line="118" w:lineRule="exact"/>
              <w:rPr>
                <w:sz w:val="20"/>
                <w:szCs w:val="20"/>
                <w:color w:val="auto"/>
              </w:rPr>
            </w:pPr>
            <w:r>
              <w:rPr>
                <w:rFonts w:ascii="Times New Roman" w:cs="Times New Roman" w:eastAsia="Times New Roman" w:hAnsi="Times New Roman"/>
                <w:sz w:val="13"/>
                <w:szCs w:val="13"/>
                <w:b w:val="1"/>
                <w:bCs w:val="1"/>
                <w:color w:val="auto"/>
              </w:rPr>
              <w:t>Minimum</w:t>
            </w: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Minimum</w:t>
            </w: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center"/>
              <w:ind w:right="16"/>
              <w:spacing w:after="0" w:line="118" w:lineRule="exact"/>
              <w:rPr>
                <w:sz w:val="20"/>
                <w:szCs w:val="20"/>
                <w:color w:val="auto"/>
              </w:rPr>
            </w:pPr>
            <w:r>
              <w:rPr>
                <w:rFonts w:ascii="Times New Roman" w:cs="Times New Roman" w:eastAsia="Times New Roman" w:hAnsi="Times New Roman"/>
                <w:sz w:val="13"/>
                <w:szCs w:val="13"/>
                <w:b w:val="1"/>
                <w:bCs w:val="1"/>
                <w:color w:val="auto"/>
              </w:rPr>
              <w:t>Minimum</w:t>
            </w:r>
          </w:p>
        </w:tc>
        <w:tc>
          <w:tcPr>
            <w:tcW w:w="0" w:type="dxa"/>
            <w:vAlign w:val="bottom"/>
          </w:tcPr>
          <w:p>
            <w:pPr>
              <w:spacing w:after="0"/>
              <w:rPr>
                <w:sz w:val="1"/>
                <w:szCs w:val="1"/>
                <w:color w:val="auto"/>
              </w:rPr>
            </w:pPr>
          </w:p>
        </w:tc>
      </w:tr>
      <w:tr>
        <w:trPr>
          <w:trHeight w:val="149"/>
        </w:trPr>
        <w:tc>
          <w:tcPr>
            <w:tcW w:w="6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Years Ending</w:t>
            </w:r>
          </w:p>
        </w:tc>
        <w:tc>
          <w:tcPr>
            <w:tcW w:w="10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Lease</w:t>
            </w:r>
          </w:p>
        </w:tc>
        <w:tc>
          <w:tcPr>
            <w:tcW w:w="10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Lease</w:t>
            </w:r>
          </w:p>
        </w:tc>
        <w:tc>
          <w:tcPr>
            <w:tcW w:w="100" w:type="dxa"/>
            <w:vAlign w:val="bottom"/>
          </w:tcPr>
          <w:p>
            <w:pPr>
              <w:spacing w:after="0"/>
              <w:rPr>
                <w:sz w:val="12"/>
                <w:szCs w:val="12"/>
                <w:color w:val="auto"/>
              </w:rPr>
            </w:pPr>
          </w:p>
        </w:tc>
        <w:tc>
          <w:tcPr>
            <w:tcW w:w="740" w:type="dxa"/>
            <w:vAlign w:val="bottom"/>
          </w:tcPr>
          <w:p>
            <w:pPr>
              <w:jc w:val="center"/>
              <w:ind w:right="16"/>
              <w:spacing w:after="0" w:line="149" w:lineRule="exact"/>
              <w:rPr>
                <w:sz w:val="20"/>
                <w:szCs w:val="20"/>
                <w:color w:val="auto"/>
              </w:rPr>
            </w:pPr>
            <w:r>
              <w:rPr>
                <w:rFonts w:ascii="Times New Roman" w:cs="Times New Roman" w:eastAsia="Times New Roman" w:hAnsi="Times New Roman"/>
                <w:sz w:val="14"/>
                <w:szCs w:val="14"/>
                <w:b w:val="1"/>
                <w:bCs w:val="1"/>
                <w:color w:val="auto"/>
                <w:w w:val="99"/>
              </w:rPr>
              <w:t>Sublease</w:t>
            </w:r>
          </w:p>
        </w:tc>
        <w:tc>
          <w:tcPr>
            <w:tcW w:w="0" w:type="dxa"/>
            <w:vAlign w:val="bottom"/>
          </w:tcPr>
          <w:p>
            <w:pPr>
              <w:spacing w:after="0"/>
              <w:rPr>
                <w:sz w:val="1"/>
                <w:szCs w:val="1"/>
                <w:color w:val="auto"/>
              </w:rPr>
            </w:pPr>
          </w:p>
        </w:tc>
      </w:tr>
      <w:tr>
        <w:trPr>
          <w:trHeight w:val="173"/>
        </w:trPr>
        <w:tc>
          <w:tcPr>
            <w:tcW w:w="60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100" w:type="dxa"/>
            <w:vAlign w:val="bottom"/>
          </w:tcPr>
          <w:p>
            <w:pPr>
              <w:spacing w:after="0"/>
              <w:rPr>
                <w:sz w:val="15"/>
                <w:szCs w:val="15"/>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100" w:type="dxa"/>
            <w:vAlign w:val="bottom"/>
          </w:tcPr>
          <w:p>
            <w:pPr>
              <w:spacing w:after="0"/>
              <w:rPr>
                <w:sz w:val="15"/>
                <w:szCs w:val="15"/>
                <w:color w:val="auto"/>
              </w:rPr>
            </w:pPr>
          </w:p>
        </w:tc>
        <w:tc>
          <w:tcPr>
            <w:tcW w:w="74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0" w:type="dxa"/>
            <w:vAlign w:val="bottom"/>
          </w:tcPr>
          <w:p>
            <w:pPr>
              <w:spacing w:after="0"/>
              <w:rPr>
                <w:sz w:val="1"/>
                <w:szCs w:val="1"/>
                <w:color w:val="auto"/>
              </w:rPr>
            </w:pPr>
          </w:p>
        </w:tc>
      </w:tr>
      <w:tr>
        <w:trPr>
          <w:trHeight w:val="210"/>
        </w:trPr>
        <w:tc>
          <w:tcPr>
            <w:tcW w:w="5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28, 2022</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0" w:type="dxa"/>
            <w:vAlign w:val="bottom"/>
          </w:tcPr>
          <w:p>
            <w:pPr>
              <w:spacing w:after="0"/>
              <w:rPr>
                <w:sz w:val="1"/>
                <w:szCs w:val="1"/>
                <w:color w:val="auto"/>
              </w:rPr>
            </w:pPr>
          </w:p>
        </w:tc>
      </w:tr>
      <w:tr>
        <w:trPr>
          <w:trHeight w:val="216"/>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27, 2023</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27,654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3,698</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25, 2024</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w:t>
            </w:r>
          </w:p>
        </w:tc>
        <w:tc>
          <w:tcPr>
            <w:tcW w:w="0" w:type="dxa"/>
            <w:vAlign w:val="bottom"/>
          </w:tcPr>
          <w:p>
            <w:pPr>
              <w:spacing w:after="0"/>
              <w:rPr>
                <w:sz w:val="1"/>
                <w:szCs w:val="1"/>
                <w:color w:val="auto"/>
              </w:rPr>
            </w:pPr>
          </w:p>
        </w:tc>
      </w:tr>
      <w:tr>
        <w:trPr>
          <w:trHeight w:val="216"/>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3,115</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30, 2026</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w:t>
            </w:r>
          </w:p>
        </w:tc>
        <w:tc>
          <w:tcPr>
            <w:tcW w:w="0" w:type="dxa"/>
            <w:vAlign w:val="bottom"/>
          </w:tcPr>
          <w:p>
            <w:pPr>
              <w:spacing w:after="0"/>
              <w:rPr>
                <w:sz w:val="1"/>
                <w:szCs w:val="1"/>
                <w:color w:val="auto"/>
              </w:rPr>
            </w:pPr>
          </w:p>
        </w:tc>
      </w:tr>
      <w:tr>
        <w:trPr>
          <w:trHeight w:val="216"/>
        </w:trPr>
        <w:tc>
          <w:tcPr>
            <w:tcW w:w="6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133,169</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23,165</w:t>
            </w:r>
          </w:p>
        </w:tc>
        <w:tc>
          <w:tcPr>
            <w:tcW w:w="0" w:type="dxa"/>
            <w:vAlign w:val="bottom"/>
          </w:tcPr>
          <w:p>
            <w:pPr>
              <w:spacing w:after="0"/>
              <w:rPr>
                <w:sz w:val="1"/>
                <w:szCs w:val="1"/>
                <w:color w:val="auto"/>
              </w:rPr>
            </w:pPr>
          </w:p>
        </w:tc>
      </w:tr>
      <w:tr>
        <w:trPr>
          <w:trHeight w:val="209"/>
        </w:trPr>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244,185</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38,146</w:t>
            </w: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Less: imputed interest (1.53% - 4.47%)</w:t>
            </w: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40" w:type="dxa"/>
            <w:vAlign w:val="bottom"/>
            <w:tcBorders>
              <w:bottom w:val="single" w:sz="8" w:color="CCEEFF"/>
            </w:tcBorders>
            <w:gridSpan w:val="2"/>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(432)</w:t>
            </w:r>
          </w:p>
        </w:tc>
        <w:tc>
          <w:tcPr>
            <w:tcW w:w="18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(53,677)</w:t>
            </w:r>
          </w:p>
        </w:tc>
        <w:tc>
          <w:tcPr>
            <w:tcW w:w="18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obligations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190,508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(20,154)</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portion</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170,354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560"/>
          </w:cols>
          <w:pgMar w:left="660" w:top="513" w:right="679" w:bottom="1440" w:gutter="0" w:footer="0" w:header="0"/>
        </w:sectPr>
      </w:pP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10560"/>
          </w:cols>
          <w:pgMar w:left="660" w:top="513" w:right="679"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Short-Term Leases</w:t>
      </w:r>
    </w:p>
    <w:p>
      <w:pPr>
        <w:spacing w:after="0" w:line="227" w:lineRule="exact"/>
        <w:rPr>
          <w:sz w:val="20"/>
          <w:szCs w:val="20"/>
          <w:color w:val="auto"/>
        </w:rPr>
      </w:pPr>
    </w:p>
    <w:p>
      <w:pPr>
        <w:ind w:left="60" w:right="259"/>
        <w:spacing w:after="0" w:line="261" w:lineRule="auto"/>
        <w:rPr>
          <w:sz w:val="20"/>
          <w:szCs w:val="20"/>
          <w:color w:val="auto"/>
        </w:rPr>
      </w:pPr>
      <w:r>
        <w:rPr>
          <w:rFonts w:ascii="Times New Roman" w:cs="Times New Roman" w:eastAsia="Times New Roman" w:hAnsi="Times New Roman"/>
          <w:sz w:val="18"/>
          <w:szCs w:val="18"/>
          <w:color w:val="auto"/>
        </w:rPr>
        <w:t>The Company has multiple short-term leases, which have terms of less than 12 months, and thus were excluded from the recognition requirements of Topic 842. The Company has recognized these lease payments in its condensed consolidated statements of income on a straight-line basis over the lease term and variable lease payments in the period in which the obligation for those payments was incurred.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Lessor</w:t>
      </w:r>
    </w:p>
    <w:p>
      <w:pPr>
        <w:spacing w:after="0" w:line="229" w:lineRule="exact"/>
        <w:rPr>
          <w:sz w:val="20"/>
          <w:szCs w:val="20"/>
          <w:color w:val="auto"/>
        </w:rPr>
      </w:pPr>
    </w:p>
    <w:p>
      <w:pPr>
        <w:ind w:left="60" w:right="279"/>
        <w:spacing w:after="0" w:line="261" w:lineRule="auto"/>
        <w:rPr>
          <w:sz w:val="20"/>
          <w:szCs w:val="20"/>
          <w:color w:val="auto"/>
        </w:rPr>
      </w:pPr>
      <w:r>
        <w:rPr>
          <w:rFonts w:ascii="Times New Roman" w:cs="Times New Roman" w:eastAsia="Times New Roman" w:hAnsi="Times New Roman"/>
          <w:sz w:val="18"/>
          <w:szCs w:val="18"/>
          <w:color w:val="auto"/>
        </w:rPr>
        <w:t>The Company is a lessor for certain property, facilities and equipment owned by the Company and leased to others, principally franchisees, under non-cancelable leases with initial terms ranging from three to 20 years. These lease agreements generally provide for a fixed base rent and, in some instances, contingent rent based on a percentage of gross operating profit or net revenues. All leases are considered operating leases.</w:t>
      </w:r>
    </w:p>
    <w:p>
      <w:pPr>
        <w:spacing w:after="0" w:line="180"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For the leases in which the Company is the lessor, there are options to extend the lease. However, there are no terms and conditions to terminate the lease, no right to purchase premises and no residual value guarantees. Additionally, there are no related party leases.</w:t>
      </w:r>
    </w:p>
    <w:p>
      <w:pPr>
        <w:spacing w:after="0" w:line="176" w:lineRule="exact"/>
        <w:rPr>
          <w:sz w:val="20"/>
          <w:szCs w:val="20"/>
          <w:color w:val="auto"/>
        </w:rPr>
      </w:pPr>
    </w:p>
    <w:p>
      <w:pPr>
        <w:jc w:val="both"/>
        <w:ind w:left="60" w:right="159"/>
        <w:spacing w:after="0" w:line="266" w:lineRule="auto"/>
        <w:rPr>
          <w:sz w:val="20"/>
          <w:szCs w:val="20"/>
          <w:color w:val="auto"/>
        </w:rPr>
      </w:pPr>
      <w:r>
        <w:rPr>
          <w:rFonts w:ascii="Times New Roman" w:cs="Times New Roman" w:eastAsia="Times New Roman" w:hAnsi="Times New Roman"/>
          <w:sz w:val="18"/>
          <w:szCs w:val="18"/>
          <w:color w:val="auto"/>
        </w:rPr>
        <w:t>The Company received $0.1 million of lease income from company-owned locations for each of the thirteen weeks ended June 29, 2022 and June 30, 2021. The Company received $0.2 million of lease income from company-owned locations for each of the twenty-six weeks ended June 29, 2022 and June 30, 2021.</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w:t>
      </w:r>
    </w:p>
    <w:p>
      <w:pPr>
        <w:spacing w:after="0" w:line="229"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This report contains forward-looking statements that are subject to risks and uncertainties. All statements other than statements of historical fact included in this report are forward-looking statements. Forward-looking statements discuss our current expectations and projections relating to our financial condition, results of operations, plans, objectives, future performance and business. You can identify forward-looking statements because they do not relate strictly to historical or current facts. These statements may include words such as “aim,” “anticipate,” “believe,” “estimate,” “expect,” “forecast,” “outlook,” “potential,” “project,” “projection,” “plan,” “intend,” “seek,” “may,” “could,” “would,” “will,” “should,” “can,” “can have,” “likely,” the negatives thereof and other words and terms of similar meaning in connection with any discussion of the timing or nature of future operating or financial performance or other events. They appear in a number of places throughout this report and include statements regarding our intentions, beliefs or current expectations concerning, among other things, our results of operations, financial condition, liquidity, prospects, growth, strategies and the industry in which we operate. All forward-looking statements are subject to risks and uncertainties that could cause actual results to differ materially from those that we expected.</w:t>
      </w:r>
    </w:p>
    <w:p>
      <w:pPr>
        <w:spacing w:after="0" w:line="190"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While we believe that our assumptions are reasonable, we caution that it is very difficult to predict the impact of known factors, and it is impossible for us to anticipate all factors that could affect our actual results. All forward-looking statements are expressly qualified in their entirety by these cautionary statements. You should evaluate all forward-looking statements made in this report in the context of the factors that could cause outcomes to differ materially from our expectations. These factors include, but are not limited to:</w:t>
      </w:r>
    </w:p>
    <w:p>
      <w:pPr>
        <w:spacing w:after="0" w:line="183" w:lineRule="exact"/>
        <w:rPr>
          <w:sz w:val="20"/>
          <w:szCs w:val="20"/>
          <w:color w:val="auto"/>
        </w:rPr>
      </w:pPr>
    </w:p>
    <w:p>
      <w:pPr>
        <w:ind w:left="720" w:right="139" w:hanging="319"/>
        <w:spacing w:after="0" w:line="257"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the COVID-19 pandemic on our company, our employees, our customers, our partners, our industry and the economy as a whole, as well as our franchisees’ ability to maintain operations in their individual restaurants;</w:t>
      </w:r>
    </w:p>
    <w:p>
      <w:pPr>
        <w:spacing w:after="0" w:line="1" w:lineRule="exact"/>
        <w:rPr>
          <w:rFonts w:ascii="Times New Roman" w:cs="Times New Roman" w:eastAsia="Times New Roman" w:hAnsi="Times New Roman"/>
          <w:sz w:val="18"/>
          <w:szCs w:val="18"/>
          <w:color w:val="auto"/>
        </w:rPr>
      </w:pPr>
    </w:p>
    <w:p>
      <w:pPr>
        <w:ind w:left="720" w:right="659" w:hanging="319"/>
        <w:spacing w:after="0" w:line="250"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open new restaurants in new and existing markets, including difficulty in finding sites and in negotiating acceptable leases;</w:t>
      </w: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successfully with other quick-service and fast casual restaurants;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vulnerability to changes in consumer preferences and political and economic conditions;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develop and retain employees;</w:t>
      </w:r>
    </w:p>
    <w:p>
      <w:pPr>
        <w:spacing w:after="0" w:line="9" w:lineRule="exact"/>
        <w:rPr>
          <w:rFonts w:ascii="Times New Roman" w:cs="Times New Roman" w:eastAsia="Times New Roman" w:hAnsi="Times New Roman"/>
          <w:sz w:val="18"/>
          <w:szCs w:val="18"/>
          <w:color w:val="auto"/>
        </w:rPr>
      </w:pPr>
    </w:p>
    <w:p>
      <w:pPr>
        <w:ind w:left="720" w:right="859" w:hanging="319"/>
        <w:spacing w:after="0" w:line="250"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vulnerability to conditions in the greater Los Angeles area and to natural disasters given the geographic concentration and real estate intensive nature of our business;</w:t>
      </w:r>
    </w:p>
    <w:p>
      <w:pPr>
        <w:ind w:left="720" w:right="299" w:hanging="319"/>
        <w:spacing w:after="0" w:line="260"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continue to incur significant impairment of certain of our assets, in particular in our new markets;</w:t>
      </w:r>
    </w:p>
    <w:p>
      <w:pPr>
        <w:sectPr>
          <w:pgSz w:w="11900" w:h="16838" w:orient="portrait"/>
          <w:cols w:equalWidth="0" w:num="1">
            <w:col w:w="9019"/>
          </w:cols>
          <w:pgMar w:left="1440" w:top="513" w:right="1440" w:bottom="1440" w:gutter="0" w:footer="0" w:header="0"/>
        </w:sect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food and supply costs, especially for chicken;</w:t>
      </w:r>
    </w:p>
    <w:p>
      <w:pPr>
        <w:spacing w:after="0" w:line="27" w:lineRule="exact"/>
        <w:rPr>
          <w:rFonts w:ascii="Times New Roman" w:cs="Times New Roman" w:eastAsia="Times New Roman" w:hAnsi="Times New Roman"/>
          <w:sz w:val="18"/>
          <w:szCs w:val="18"/>
          <w:color w:val="auto"/>
        </w:rPr>
      </w:pPr>
    </w:p>
    <w:p>
      <w:pPr>
        <w:ind w:left="720" w:right="99" w:hanging="319"/>
        <w:spacing w:after="0" w:line="250"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media and negative publicity, whether or not valid, and our ability to respond to and effectively manage the accelerated impact of social media;</w:t>
      </w: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expand our digital business, delivery orders and catering;</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concerns about food safety and quality and about food-borne illness, particularly avian flu;</w:t>
      </w:r>
    </w:p>
    <w:p>
      <w:pPr>
        <w:spacing w:after="0" w:line="9" w:lineRule="exact"/>
        <w:rPr>
          <w:rFonts w:ascii="Times New Roman" w:cs="Times New Roman" w:eastAsia="Times New Roman" w:hAnsi="Times New Roman"/>
          <w:sz w:val="18"/>
          <w:szCs w:val="18"/>
          <w:color w:val="auto"/>
        </w:rPr>
      </w:pPr>
    </w:p>
    <w:p>
      <w:pPr>
        <w:ind w:left="720" w:right="399" w:hanging="319"/>
        <w:spacing w:after="0" w:line="250"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frequent and timely deliveries of food and supplies and our dependence on a single supplier to distribute substantially all of our products to our restaurants;</w:t>
      </w: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our level of indebtedness;</w:t>
      </w:r>
    </w:p>
    <w:p>
      <w:pPr>
        <w:spacing w:after="0" w:line="9" w:lineRule="exact"/>
        <w:rPr>
          <w:rFonts w:ascii="Times New Roman" w:cs="Times New Roman" w:eastAsia="Times New Roman" w:hAnsi="Times New Roman"/>
          <w:sz w:val="18"/>
          <w:szCs w:val="18"/>
          <w:color w:val="auto"/>
        </w:rPr>
      </w:pPr>
    </w:p>
    <w:p>
      <w:pPr>
        <w:ind w:left="720" w:right="659" w:hanging="319"/>
        <w:spacing w:after="0" w:line="250"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the success of our marketing programs, new menu items, advertising campaigns and restaurant designs and remodels;</w:t>
      </w:r>
    </w:p>
    <w:p>
      <w:pPr>
        <w:ind w:left="720" w:right="459" w:hanging="319"/>
        <w:spacing w:after="0" w:line="250"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our franchisees, who may incur financial hardships, lose access to credit, close restaurants, or declare bankruptcy, and our limited control over our franchisees and potential liability for their acts;</w:t>
      </w: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exposure to unexpected costs and losses from our self-insurance programs;</w:t>
      </w:r>
    </w:p>
    <w:p>
      <w:pPr>
        <w:spacing w:after="0" w:line="9" w:lineRule="exact"/>
        <w:rPr>
          <w:rFonts w:ascii="Times New Roman" w:cs="Times New Roman" w:eastAsia="Times New Roman" w:hAnsi="Times New Roman"/>
          <w:sz w:val="18"/>
          <w:szCs w:val="18"/>
          <w:color w:val="auto"/>
        </w:rPr>
      </w:pPr>
    </w:p>
    <w:p>
      <w:pPr>
        <w:ind w:left="720" w:right="99" w:hanging="319"/>
        <w:spacing w:after="0" w:line="250"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obligations under long-term and non-cancelable leases, and our ability to renew leases at the end of their terms;</w:t>
      </w: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failure of our information technology system or any breach of our network security;</w:t>
      </w:r>
    </w:p>
    <w:p>
      <w:pPr>
        <w:spacing w:after="0" w:line="9" w:lineRule="exact"/>
        <w:rPr>
          <w:rFonts w:ascii="Times New Roman" w:cs="Times New Roman" w:eastAsia="Times New Roman" w:hAnsi="Times New Roman"/>
          <w:sz w:val="18"/>
          <w:szCs w:val="18"/>
          <w:color w:val="auto"/>
        </w:rPr>
      </w:pPr>
    </w:p>
    <w:p>
      <w:pPr>
        <w:ind w:left="720" w:right="199" w:hanging="319"/>
        <w:spacing w:after="0" w:line="250"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security breaches of confidential customer data or personal information in connection with our electronic process of credit and debit card transactions;</w:t>
      </w: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enforce and maintain our trademarks and protect our other proprietary intellectual property;</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government regulation and litigation, including employment and labor laws; and</w:t>
      </w:r>
    </w:p>
    <w:p>
      <w:pPr>
        <w:spacing w:after="0" w:line="9" w:lineRule="exact"/>
        <w:rPr>
          <w:rFonts w:ascii="Times New Roman" w:cs="Times New Roman" w:eastAsia="Times New Roman" w:hAnsi="Times New Roman"/>
          <w:sz w:val="18"/>
          <w:szCs w:val="18"/>
          <w:color w:val="auto"/>
        </w:rPr>
      </w:pPr>
    </w:p>
    <w:p>
      <w:pPr>
        <w:ind w:left="720" w:right="279" w:hanging="319"/>
        <w:spacing w:after="0" w:line="255"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risks set forth in our filings with the SEC from time to time, including under Item 1A, Risk Factors in our annual report on Form 10-K for the year ended December 29, 2021, which filings are available online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we anticipate or affect us or our operations in the ways that we expect. The forward-looking statements included in this report are made only as of the date hereof. We undertake no obligation to publicly update or revise any forward-looking statement as a result of new information, future events or otherwise, except as required by law. If we do update one or more forward-looking statements, no inference should be made that we will make additional updates with respect to those or other forward-looking statements. We qualify all of our forward-looking statements by these cautionary statements.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right="179"/>
        <w:spacing w:after="0" w:line="253" w:lineRule="auto"/>
        <w:rPr>
          <w:sz w:val="20"/>
          <w:szCs w:val="20"/>
          <w:color w:val="auto"/>
        </w:rPr>
      </w:pPr>
      <w:r>
        <w:rPr>
          <w:rFonts w:ascii="Times New Roman" w:cs="Times New Roman" w:eastAsia="Times New Roman" w:hAnsi="Times New Roman"/>
          <w:sz w:val="18"/>
          <w:szCs w:val="18"/>
          <w:color w:val="auto"/>
        </w:rPr>
        <w:t>El Pollo Loco is a differentiated and growing restaurant concept that specializes in fire-grilling citrus-marinated chicken and operates in the limited service restaurant (“LSR”) segment. We strive to offer food that integrates the culinary traditions of Mexico with the healthier lifestyle of Los Angeles, a combination that we call “LA-Mex.” Our distinctive menu features our signature product--citrus-marinated fire-grilled chicken--and a variety of Mexican and LA-inspired entrees that we create from our chicken. We serve individual and family-sized chicken meals, a variety of Mexican and LA-inspired entrees, and sides, and, throughout the year, on a limited-time basis, additional proteins like shrimp. Our entrees include favorites such as our Chicken Avocado Burrito, Pollo Fit entrees, chicken tostada salads, and Pollo Bowls. Our famous Creamy Cilantro dressings and salsas are prepared fresh daily, allowing our customers to create their favorite flavor profiles to enhance their culinary experience. Our distinctive menu with better for you and more affordable alternatives appeals to consumers across a wide variety of socio-economic backgrounds and drives our balanced composition of sales throughout the day (our “day-part mix”), including at lunch and dinner.</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Market Trends and Uncertainties</w:t>
      </w:r>
    </w:p>
    <w:p>
      <w:pPr>
        <w:spacing w:after="0" w:line="229"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We may face future business disruption and related risks resulting from the ongoing outbreak of COVID-19 or from another pandemic, epidemic or infectious disease outbreak, or from broader macroeconomic trends, any of which could have a significant impact on our business. During the thirteen and twenty-six weeks ended June 29, 2022, we incurred $0.3 million and $2.6 million, respectively, in COVID-19 related expenses, primarily due to leaves of absence and overtime pay. During the thirteen and twenty-six weeks ended June 30, 2021, we incurred $0.2 million and $3.0 million, respectively, in COVID-19 related expenses, primarily due to leaves of absence and overtime pay. In addition, while all of our restaurants had dining rooms open as of June 29, 2022, we continue to experience staffing challenges, including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higher wage inflation, overtime costs and other labor related costs, which resulted in reduced operating hours and service channels at some of our restaurants during the thirteen and twenty-six weeks ended June 29, 2022. Further, we continue to experience inflationary pressures and supply chain disruptions, which resulted in increased commodity prices and impacted our business and results of operations during the thirteen and twenty-six weeks ended June 29, 2022. We expect these pressures to continue during the rest of fiscal 2022.</w:t>
      </w:r>
    </w:p>
    <w:p>
      <w:pPr>
        <w:spacing w:after="0" w:line="183"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Due to the fluidity of the COVID-19 pandemic and current macroeconomic environment, we cannot determine the ultimate impact on our condensed consolidated financial condition, liquidity, and future results of operations, and therefore any prediction as to the ultimate materiality of the adverse impact on our condensed consolidated financial condition, liquidity, and future results of operations is uncertain.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jc w:val="both"/>
        <w:ind w:left="60" w:right="159"/>
        <w:spacing w:after="0" w:line="253" w:lineRule="auto"/>
        <w:rPr>
          <w:sz w:val="20"/>
          <w:szCs w:val="20"/>
          <w:color w:val="auto"/>
        </w:rPr>
      </w:pPr>
      <w:r>
        <w:rPr>
          <w:rFonts w:ascii="Times New Roman" w:cs="Times New Roman" w:eastAsia="Times New Roman" w:hAnsi="Times New Roman"/>
          <w:sz w:val="18"/>
          <w:szCs w:val="18"/>
          <w:color w:val="auto"/>
        </w:rPr>
        <w:t>On July 27, 2022, the 2018 Revolver (as defined below) was refinanced pursuant to a credit agreement (the “2022 Credit Agreement”) among El Pollo Loco, Inc., as borrower, us and EPL Intermediate, Inc., as guarantors, the lenders and other parties party thereto and Bank of America, N.A., as administrative agent, swingline lender and L/C issuer, which provides for a $150.0 million five-year senior secured revolving facility (the “2022 Revolver”). In connection with the refinancing, the 2018 Credit Agreement (as defined below) was terminated. On July 29, 2022, we made a $20.0 million payment to the 2022 Revolver and the outstanding balance as of August 4, 2022 was $20.0 million.</w:t>
      </w:r>
    </w:p>
    <w:p>
      <w:pPr>
        <w:spacing w:after="0" w:line="5" w:lineRule="exact"/>
        <w:rPr>
          <w:sz w:val="20"/>
          <w:szCs w:val="20"/>
          <w:color w:val="auto"/>
        </w:rPr>
      </w:pPr>
    </w:p>
    <w:p>
      <w:pPr>
        <w:ind w:left="60" w:right="259"/>
        <w:spacing w:after="0" w:line="260" w:lineRule="auto"/>
        <w:rPr>
          <w:sz w:val="20"/>
          <w:szCs w:val="20"/>
          <w:color w:val="auto"/>
        </w:rPr>
      </w:pPr>
      <w:r>
        <w:rPr>
          <w:rFonts w:ascii="Times New Roman" w:cs="Times New Roman" w:eastAsia="Times New Roman" w:hAnsi="Times New Roman"/>
          <w:sz w:val="18"/>
          <w:szCs w:val="18"/>
          <w:color w:val="auto"/>
        </w:rPr>
        <w:t>See Note 1, “Basis of Presentation and Summary of Significant Accounting Policies – Subsequent Events” for additional information.</w:t>
      </w:r>
    </w:p>
    <w:p>
      <w:pPr>
        <w:spacing w:after="0" w:line="181"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color w:val="auto"/>
        </w:rPr>
        <w:t>In connection with our entry into the 2022 Credit Agreement, we terminated the interest rate swap previously used to hedge interest rate risk. In settlement of this swap, we received approximately $0.6 million. The remaining amount in AOCI related to the hedging relationship will be reclassified into earnings when the hedged forecasted transaction is reported in earnings.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Growth Strategies and Outlook</w:t>
      </w:r>
    </w:p>
    <w:p>
      <w:pPr>
        <w:spacing w:after="0" w:line="229"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As of June 29, 2022, we had 481 locations in six states. In fiscal 2021, we opened two new company-operated restaurants, one in Nevada and one in California, and our franchisees opened two new restaurants, one in Texas and one in Louisiana. For the twenty-six weeks ended June 29, 2022, one new company-operated restaurant was opened in Nevada and three new franchised restaurants were opened in California. We plan to continue to expand our business, drive restaurant sales growth, and enhance our competitive positioning, by executing the following strategies:</w:t>
      </w:r>
    </w:p>
    <w:p>
      <w:pPr>
        <w:spacing w:after="0" w:line="183" w:lineRule="exact"/>
        <w:rPr>
          <w:sz w:val="20"/>
          <w:szCs w:val="20"/>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 people-first culture;</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differentiate the brand;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simplify operations;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new restaurant development.</w:t>
      </w:r>
    </w:p>
    <w:p>
      <w:pPr>
        <w:spacing w:after="0" w:line="225"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To increase comparable restaurant sales, we plan to increase customer frequency, attract new customers, and improve per-person spend. The success of these growth plans is not guaranteed.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Highlights and Trends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Comparable Restaurant Sales</w:t>
      </w:r>
    </w:p>
    <w:p>
      <w:pPr>
        <w:spacing w:after="0" w:line="229"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For the thirteen and twenty-six weeks ended June 29, 2022, system-wide comparable restaurant sales increased by 7.5% and 7.6%, respectively, from the comparable period in the prior year. For company-operated restaurants, comparable restaurant sales for the thirteen and twenty-six weeks ended June 29, 2022 increased by 2.9% and 2.6%, respectively. For company-operated restaurants, the quarter’s change in comparable restaurant sales consisted of an approximately 8.0% increase in average check size and a decrease in transactions of 4.7% and the year-to-date change in comparable restaurant sales consisted of a 4.1% decrease in transactions and a 7.0% increase in average check size. For franchised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59"/>
        <w:spacing w:after="0" w:line="266" w:lineRule="auto"/>
        <w:rPr>
          <w:sz w:val="20"/>
          <w:szCs w:val="20"/>
          <w:color w:val="auto"/>
        </w:rPr>
      </w:pPr>
      <w:r>
        <w:rPr>
          <w:rFonts w:ascii="Times New Roman" w:cs="Times New Roman" w:eastAsia="Times New Roman" w:hAnsi="Times New Roman"/>
          <w:sz w:val="18"/>
          <w:szCs w:val="18"/>
          <w:color w:val="auto"/>
        </w:rPr>
        <w:t>restaurants, comparable restaurant sales increased 10.6% and 11.0% for the thirteen and twenty-six weeks ended June 29, 2022, respectively. Refer to Comparable Restaurant Sales definition in “Key Performance Indicators” section below.</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Restaurant Development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restaurant counts at the beginning and end of each of the last three fiscal years and the twenty-six weeks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June 29, 2022, were as follows:</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020" w:type="dxa"/>
            <w:vAlign w:val="bottom"/>
          </w:tcPr>
          <w:p>
            <w:pPr>
              <w:spacing w:after="0"/>
              <w:rPr>
                <w:sz w:val="15"/>
                <w:szCs w:val="15"/>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166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480" w:type="dxa"/>
            <w:vAlign w:val="bottom"/>
          </w:tcPr>
          <w:p>
            <w:pPr>
              <w:spacing w:after="0"/>
              <w:rPr>
                <w:sz w:val="15"/>
                <w:szCs w:val="15"/>
                <w:color w:val="auto"/>
              </w:rPr>
            </w:pPr>
          </w:p>
        </w:tc>
      </w:tr>
      <w:tr>
        <w:trPr>
          <w:trHeight w:val="142"/>
        </w:trPr>
        <w:tc>
          <w:tcPr>
            <w:tcW w:w="5020" w:type="dxa"/>
            <w:vAlign w:val="bottom"/>
            <w:tcBorders>
              <w:bottom w:val="single" w:sz="8" w:color="CCEEFF"/>
            </w:tcBorders>
          </w:tcPr>
          <w:p>
            <w:pPr>
              <w:spacing w:after="0"/>
              <w:rPr>
                <w:sz w:val="12"/>
                <w:szCs w:val="12"/>
                <w:color w:val="auto"/>
              </w:rPr>
            </w:pPr>
          </w:p>
        </w:tc>
        <w:tc>
          <w:tcPr>
            <w:tcW w:w="160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June 29, 2022</w:t>
            </w:r>
          </w:p>
        </w:tc>
        <w:tc>
          <w:tcPr>
            <w:tcW w:w="14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r>
      <w:tr>
        <w:trPr>
          <w:trHeight w:val="209"/>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Company-operated restaurant activity:</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Openings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Restaurant sale to franchisee</w:t>
            </w:r>
          </w:p>
        </w:tc>
        <w:tc>
          <w:tcPr>
            <w:tcW w:w="1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8"/>
                <w:szCs w:val="18"/>
                <w:color w:val="auto"/>
              </w:rPr>
            </w:pPr>
          </w:p>
        </w:tc>
        <w:tc>
          <w:tcPr>
            <w:tcW w:w="9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Closures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0"/>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Restaurants at end of period</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4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4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Franchised restaurant activity:</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Openings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Restaurant sale to franchisee</w:t>
            </w:r>
          </w:p>
        </w:tc>
        <w:tc>
          <w:tcPr>
            <w:tcW w:w="1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8"/>
                <w:szCs w:val="18"/>
                <w:color w:val="auto"/>
              </w:rPr>
            </w:pPr>
          </w:p>
        </w:tc>
        <w:tc>
          <w:tcPr>
            <w:tcW w:w="9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Closures</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Restaurants at end of period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System-wide restaurant activity:</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Openings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5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Closures</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0"/>
        </w:trPr>
        <w:tc>
          <w:tcPr>
            <w:tcW w:w="5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Restaurants at end of period</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r>
      <w:tr>
        <w:trPr>
          <w:trHeight w:val="20"/>
        </w:trPr>
        <w:tc>
          <w:tcPr>
            <w:tcW w:w="50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Restaurant Remodeling</w:t>
      </w:r>
    </w:p>
    <w:p>
      <w:pPr>
        <w:spacing w:after="0" w:line="229"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 xml:space="preserve">In 2020, we finalized a new restaurant design that we believe will clearly differentiate and communicate our brand, both on the exterior and interior. We believe that our remodels using this new design will result in higher restaurant revenue and a strengthened brand. As of June 29, 2022 we have completed 12 company-operated restaurant remodels and three franchise remodels using the new asset design. In fiscal 2022, we plan to continue our standard practices for remodels, which includes completing a total of 10-15 company and 20-30 franchise remodels using the new design. </w:t>
      </w:r>
      <w:r>
        <w:rPr>
          <w:rFonts w:ascii="Times New Roman" w:cs="Times New Roman" w:eastAsia="Times New Roman" w:hAnsi="Times New Roman"/>
          <w:sz w:val="18"/>
          <w:szCs w:val="18"/>
          <w:color w:val="212529"/>
        </w:rPr>
        <w:t>The cost of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restaurant remodels varies depending on the scope of the work required, but on average the investment is $0.3 million to $0.4 million per restaurant.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Loco Rewards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Loco Rewards loyalty program offers rewards that incentivize customers to visit our restaurants more often</w:t>
      </w:r>
    </w:p>
    <w:p>
      <w:pPr>
        <w:spacing w:after="0" w:line="27" w:lineRule="exact"/>
        <w:rPr>
          <w:sz w:val="20"/>
          <w:szCs w:val="20"/>
          <w:color w:val="auto"/>
        </w:rPr>
      </w:pPr>
    </w:p>
    <w:p>
      <w:pPr>
        <w:ind w:left="60" w:right="199"/>
        <w:spacing w:after="0" w:line="251" w:lineRule="auto"/>
        <w:rPr>
          <w:sz w:val="20"/>
          <w:szCs w:val="20"/>
          <w:color w:val="auto"/>
        </w:rPr>
      </w:pPr>
      <w:r>
        <w:rPr>
          <w:rFonts w:ascii="Times New Roman" w:cs="Times New Roman" w:eastAsia="Times New Roman" w:hAnsi="Times New Roman"/>
          <w:sz w:val="18"/>
          <w:szCs w:val="18"/>
          <w:color w:val="auto"/>
        </w:rPr>
        <w:t>each month. Customers earn points for each dollar spent and 50 points can be redeemed for a $5 reward to be used for a future purchase. If a customer does not earn or use points within a one-year period, their account is deactivated and all points expire. Additionally, if a reward is not used within six months, it expires. When a customer is part of the rewards program, the obligation to provide future discounts related to points earned is considered a separate performance obligation, to which a portion of the transaction price is allocated. The performance obligation related to loyalty points is deemed to have been satisfied, and the amount deferred in the balance sheet is recognized as revenue, when the points are transferred to a reward and redeemed, the reward or points have expired, or the likelihood of redemption is remote. A portion of the transaction price is allocated to loyalty points on a pro-rata basis, based on stand-alone selling price, as determined by menu pricing and loyalty point’s terms.</w:t>
      </w:r>
    </w:p>
    <w:p>
      <w:pPr>
        <w:spacing w:after="0" w:line="193"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In addition, customers can earn additional points and free entrées for a variety of engagement activities. As points are available for redemption past the quarter earned, a portion of the revenue associated with the earned points will be deferred until redemption or expiration. As of June 29, 2022 and December 29, 2021, the revenue allocated to loyalty points that had not been redeemed was $0.6 million and $0.7 million, respectively, which is reflected in our</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accompanying condensed consolidated balance sheets within other accrued expenses and current liabilities. We had over 3.0 million loyalty program members as of June 29, 2022.</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229"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The preparation of our condensed consolidated financial statements in accordance with U.S. generally accepted accounting principles (“GAAP”) requires us to make estimates and judgments that affect our reported amounts of assets, liabilities, revenue, and expenses, and related disclosures of contingent assets and liabilities. We base our estimates on historical experience and on various other assumptions that we believe to be reasonable under current circumstances in making judgments about the carrying value of assets and liabilities that are not readily available from other sources. We evaluate our estimates on an on-going basis. Actual results may differ from these estimates under different assumptions or conditions.</w:t>
      </w:r>
    </w:p>
    <w:p>
      <w:pPr>
        <w:spacing w:after="0" w:line="189"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Accounting policies are an integral part of our condensed consolidated financial statements. A thorough understanding of these accounting policies is essential when reviewing our reported results of operations and our financial position. Management believes that our critical accounting policies and estimates involve the most difficult management judgments, due to the sensitivity of the methods and assumptions used. For a summary of our critical accounting policies and a discussion of our use of estimates, see “Critical Accounting Policies and Use of Estimates” in Item 7, “Management’s Discussion and Analysis of Financial Condition and Results of Operations” in our annual report on Form 10-K for the year ended December 29, 2021.</w:t>
      </w:r>
    </w:p>
    <w:p>
      <w:pPr>
        <w:spacing w:after="0" w:line="189" w:lineRule="exact"/>
        <w:rPr>
          <w:sz w:val="20"/>
          <w:szCs w:val="20"/>
          <w:color w:val="auto"/>
        </w:rPr>
      </w:pPr>
    </w:p>
    <w:p>
      <w:pPr>
        <w:ind w:left="60" w:right="45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or uses of estimates since our annual report on Form 10-K for the year ended December 29, 2021.</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left="60" w:right="919"/>
        <w:spacing w:after="0" w:line="282" w:lineRule="auto"/>
        <w:rPr>
          <w:sz w:val="20"/>
          <w:szCs w:val="20"/>
          <w:color w:val="auto"/>
        </w:rPr>
      </w:pPr>
      <w:r>
        <w:rPr>
          <w:rFonts w:ascii="Times New Roman" w:cs="Times New Roman" w:eastAsia="Times New Roman" w:hAnsi="Times New Roman"/>
          <w:sz w:val="18"/>
          <w:szCs w:val="18"/>
          <w:color w:val="auto"/>
        </w:rPr>
        <w:t>Recent accounting pronouncements are described in Note 1, “Basis of Presentation and Summary of Significant Accounting Policies” in the Notes to Condensed Consolidated Financial Statements above.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Key Financial Definitions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Our revenue is derived from three primary sources: company-operated restaurant revenue, franchise revenue, which is comprised primarily of franchise royalties and, to a lesser extent, franchise fees and sublease rental income, and franchise advertising fee revenue. See Note 10, “Revenue from Contracts with Customers” in the Notes to Condensed Consolidated Financial Statements above for further details regarding our revenue recognition policy.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Food and Paper Costs</w:t>
      </w:r>
    </w:p>
    <w:p>
      <w:pPr>
        <w:spacing w:after="0" w:line="229"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Food and paper costs include the direct costs associated with food, beverage and packaging of our menu items. The components of food and paper costs are variable in nature, change with sales volume, are impacted by menu mix, and are subject to increases or decreases in commodity costs. We expect food and paper costs, particularly those items not subject to purchasing commitments, to increase in the short-term due to current inflationary pressures.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Labor and Related Expenses</w:t>
      </w:r>
    </w:p>
    <w:p>
      <w:pPr>
        <w:spacing w:after="0" w:line="229"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color w:val="auto"/>
        </w:rPr>
        <w:t>Labor and related expenses include wages, payroll taxes, workers’ compensation expense, benefits, and bonuses paid to our restaurant management teams. Like other expense items, we expect labor costs to grow proportionately as our restaurant revenue grows. Factors that influence labor costs include minimum wage and payroll tax legislation, overtime, the frequency and severity of workers’ compensation claims, health care costs, and the performance of our restaurants.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Occupancy Costs and Other Operating Expenses</w:t>
      </w:r>
    </w:p>
    <w:p>
      <w:pPr>
        <w:spacing w:after="0" w:line="229"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Occupancy costs include rent, common area maintenance (“CAM”), and real estate taxes. Other restaurant operating expenses include the costs of utilities, advertising, credit card processing fees, restaurant supplies, repairs and maintenance, and other restaurant operating costs.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are comprised of expenses associated with corporate and administrative functions that support the development and operations of our restaurants, including compensation and benefits, travel expenses, stock compensation costs, legal and professional fees, and other related corporate costs. Also included are pre-opening costs, and expenses above the restaurant level, including salaries for field management, such as area and regional managers, and franchise field operational support.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Franchise Expenses</w:t>
      </w:r>
    </w:p>
    <w:p>
      <w:pPr>
        <w:spacing w:after="0" w:line="229" w:lineRule="exact"/>
        <w:rPr>
          <w:sz w:val="20"/>
          <w:szCs w:val="20"/>
          <w:color w:val="auto"/>
        </w:rPr>
      </w:pPr>
    </w:p>
    <w:p>
      <w:pPr>
        <w:ind w:left="60" w:right="399"/>
        <w:spacing w:after="0" w:line="266" w:lineRule="auto"/>
        <w:rPr>
          <w:sz w:val="20"/>
          <w:szCs w:val="20"/>
          <w:color w:val="auto"/>
        </w:rPr>
      </w:pPr>
      <w:r>
        <w:rPr>
          <w:rFonts w:ascii="Times New Roman" w:cs="Times New Roman" w:eastAsia="Times New Roman" w:hAnsi="Times New Roman"/>
          <w:sz w:val="18"/>
          <w:szCs w:val="18"/>
          <w:color w:val="auto"/>
        </w:rPr>
        <w:t>Franchise expenses are primarily comprised of rent expenses incurred on properties leased by us and then sublet to franchisees, expenses incurred in support of franchisee information technology systems, and the franchisee’s portion of advertising expenses.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29" w:lineRule="exact"/>
        <w:rPr>
          <w:sz w:val="20"/>
          <w:szCs w:val="20"/>
          <w:color w:val="auto"/>
        </w:rPr>
      </w:pPr>
    </w:p>
    <w:p>
      <w:pPr>
        <w:ind w:left="60" w:right="599"/>
        <w:spacing w:after="0" w:line="282" w:lineRule="auto"/>
        <w:rPr>
          <w:sz w:val="20"/>
          <w:szCs w:val="20"/>
          <w:color w:val="auto"/>
        </w:rPr>
      </w:pPr>
      <w:r>
        <w:rPr>
          <w:rFonts w:ascii="Times New Roman" w:cs="Times New Roman" w:eastAsia="Times New Roman" w:hAnsi="Times New Roman"/>
          <w:sz w:val="18"/>
          <w:szCs w:val="18"/>
          <w:color w:val="auto"/>
        </w:rPr>
        <w:t>Depreciation and amortization primarily consists of the depreciation of property and equipment, including leasehold improvements and equipment.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Loss on Disposal of Assets</w:t>
      </w:r>
    </w:p>
    <w:p>
      <w:pPr>
        <w:spacing w:after="0" w:line="229" w:lineRule="exact"/>
        <w:rPr>
          <w:sz w:val="20"/>
          <w:szCs w:val="20"/>
          <w:color w:val="auto"/>
        </w:rPr>
      </w:pPr>
    </w:p>
    <w:p>
      <w:pPr>
        <w:ind w:left="60" w:right="479"/>
        <w:spacing w:after="0" w:line="282" w:lineRule="auto"/>
        <w:rPr>
          <w:sz w:val="20"/>
          <w:szCs w:val="20"/>
          <w:color w:val="auto"/>
        </w:rPr>
      </w:pPr>
      <w:r>
        <w:rPr>
          <w:rFonts w:ascii="Times New Roman" w:cs="Times New Roman" w:eastAsia="Times New Roman" w:hAnsi="Times New Roman"/>
          <w:sz w:val="18"/>
          <w:szCs w:val="18"/>
          <w:color w:val="auto"/>
        </w:rPr>
        <w:t>Loss on disposal of assets includes the loss on disposal of assets related to retirements and replacement or write-off of leasehold improvements or equipment.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Impairment and Closed-Store Reserves</w:t>
      </w:r>
    </w:p>
    <w:p>
      <w:pPr>
        <w:spacing w:after="0" w:line="229" w:lineRule="exact"/>
        <w:rPr>
          <w:sz w:val="20"/>
          <w:szCs w:val="20"/>
          <w:color w:val="auto"/>
        </w:rPr>
      </w:pPr>
    </w:p>
    <w:p>
      <w:pPr>
        <w:ind w:left="60" w:right="79"/>
        <w:spacing w:after="0" w:line="270" w:lineRule="auto"/>
        <w:rPr>
          <w:sz w:val="20"/>
          <w:szCs w:val="20"/>
          <w:color w:val="auto"/>
        </w:rPr>
      </w:pPr>
      <w:r>
        <w:rPr>
          <w:rFonts w:ascii="Times New Roman" w:cs="Times New Roman" w:eastAsia="Times New Roman" w:hAnsi="Times New Roman"/>
          <w:sz w:val="17"/>
          <w:szCs w:val="17"/>
          <w:color w:val="auto"/>
        </w:rPr>
        <w:t>We review long-lived assets such as property, equipment, and intangibles on a unit-by-unit basis for impairment when events or circumstances indicate the carrying value of the assets may not be recoverable. We determine if there is impairment at the restaurant level by comparing undiscounted future cash flows from the related long-lived assets to their respective carrying values and record an impairment charge when appropriate. In determining future cash flows, significant estimates are made by us with respect to future operating results of each restaurant over its remaining lease term, including sales trends, labor rates, commodity costs and other operating cost assumptions. If assets are determined to be impaired, the impairment charge is measured by calculating the amount by which the asset’s carrying amount exceeds its fair value. This process of assessing fair values requires the use of estimates and assumptions, including our ability to sell or reuse the related assets and market conditions, which are subject to a high degree of judgment. If these assumptions change in the future, we may be required to record impairment charges for these assets and these charges could be material.</w:t>
      </w:r>
    </w:p>
    <w:p>
      <w:pPr>
        <w:spacing w:after="0" w:line="177"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When we close a restaurant, we will evaluate the right of use (“ROU”) asset for impairment, based on anticipated sublease recoveries. The remaining value of the ROU asset is amortized on a straight-line basis, with the expense recognized in closed-store reserve expense, in addition to property tax and CAM charges for closed restaurants.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29"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Interest expense, net, consists primarily of interest on our outstanding debt. Debt issuance costs are amortized at cost over the life of the related debt.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Provision for income taxes consists of federal and state taxes on our income.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Comparison of Results of Operations</w:t>
      </w:r>
    </w:p>
    <w:p>
      <w:pPr>
        <w:spacing w:after="0" w:line="229" w:lineRule="exact"/>
        <w:rPr>
          <w:sz w:val="20"/>
          <w:szCs w:val="20"/>
          <w:color w:val="auto"/>
        </w:rPr>
      </w:pPr>
    </w:p>
    <w:p>
      <w:pPr>
        <w:jc w:val="both"/>
        <w:ind w:left="60" w:right="179"/>
        <w:spacing w:after="0" w:line="266" w:lineRule="auto"/>
        <w:rPr>
          <w:sz w:val="20"/>
          <w:szCs w:val="20"/>
          <w:color w:val="auto"/>
        </w:rPr>
      </w:pPr>
      <w:r>
        <w:rPr>
          <w:rFonts w:ascii="Times New Roman" w:cs="Times New Roman" w:eastAsia="Times New Roman" w:hAnsi="Times New Roman"/>
          <w:sz w:val="18"/>
          <w:szCs w:val="18"/>
          <w:color w:val="auto"/>
        </w:rPr>
        <w:t>Our operating results for the thirteen weeks ended June 29, 2022 and June 30, 2021 and expressed as percentages of total revenue, with the exception of cost of operations and company restaurant expenses, which are expressed as percentages of company-operated restaurant revenue, are compared in the tables below.</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580" w:type="dxa"/>
            <w:vAlign w:val="bottom"/>
            <w:gridSpan w:val="4"/>
          </w:tcPr>
          <w:p>
            <w:pPr>
              <w:jc w:val="right"/>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June 29, 2022</w:t>
            </w:r>
          </w:p>
        </w:tc>
        <w:tc>
          <w:tcPr>
            <w:tcW w:w="1580" w:type="dxa"/>
            <w:vAlign w:val="bottom"/>
            <w:gridSpan w:val="4"/>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June 30, 2021</w:t>
            </w:r>
          </w:p>
        </w:tc>
        <w:tc>
          <w:tcPr>
            <w:tcW w:w="142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Increase / (Decrease)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Income Data</w:t>
            </w:r>
          </w:p>
        </w:tc>
        <w:tc>
          <w:tcPr>
            <w:tcW w:w="7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($,000)</w:t>
            </w: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($,000)</w:t>
            </w: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($,000)</w:t>
            </w: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320" w:type="dxa"/>
            <w:vAlign w:val="bottom"/>
            <w:gridSpan w:val="2"/>
            <w:vMerge w:val="continue"/>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Company-operated restaurant revenue</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$ 106,454</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$ 106,970</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(516)</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Franchise revenue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10,064</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8,389</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advertising fee revenue</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7,593</w:t>
            </w:r>
          </w:p>
        </w:tc>
        <w:tc>
          <w:tcPr>
            <w:tcW w:w="1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6,626</w:t>
            </w:r>
          </w:p>
        </w:tc>
        <w:tc>
          <w:tcPr>
            <w:tcW w:w="1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6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124,111</w:t>
            </w:r>
          </w:p>
        </w:tc>
        <w:tc>
          <w:tcPr>
            <w:tcW w:w="1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121,985</w:t>
            </w:r>
          </w:p>
        </w:tc>
        <w:tc>
          <w:tcPr>
            <w:tcW w:w="1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2,126</w:t>
            </w: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operations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Food and paper costs (1)</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31,691</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27,882</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3,809</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Labor and related expenses (1)</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33,015</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31,526</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Occupancy and other operating expenses (1)</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25,832</w:t>
            </w:r>
          </w:p>
        </w:tc>
        <w:tc>
          <w:tcPr>
            <w:tcW w:w="1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6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25,336</w:t>
            </w:r>
          </w:p>
        </w:tc>
        <w:tc>
          <w:tcPr>
            <w:tcW w:w="1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6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6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Company restaurant expenses (1)</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90,538</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85.1</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84,744</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79.3</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5,794</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9,679</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10,523</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expenses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9,557</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8,161</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on assets held for sale</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(1,524)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and closed-store reserves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(112)</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113,682</w:t>
            </w:r>
          </w:p>
        </w:tc>
        <w:tc>
          <w:tcPr>
            <w:tcW w:w="14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91.6</w:t>
            </w:r>
          </w:p>
        </w:tc>
        <w:tc>
          <w:tcPr>
            <w:tcW w:w="16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109,314</w:t>
            </w:r>
          </w:p>
        </w:tc>
        <w:tc>
          <w:tcPr>
            <w:tcW w:w="14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89.6</w:t>
            </w:r>
          </w:p>
        </w:tc>
        <w:tc>
          <w:tcPr>
            <w:tcW w:w="16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4,368</w:t>
            </w:r>
          </w:p>
        </w:tc>
        <w:tc>
          <w:tcPr>
            <w:tcW w:w="16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10,429</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12,671</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(2,242)</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receivable agreement (income) expense</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(186)</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(213)</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provision for income taxes</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10,196</w:t>
            </w:r>
          </w:p>
        </w:tc>
        <w:tc>
          <w:tcPr>
            <w:tcW w:w="14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w:t>
            </w:r>
          </w:p>
        </w:tc>
        <w:tc>
          <w:tcPr>
            <w:tcW w:w="16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12,211</w:t>
            </w:r>
          </w:p>
        </w:tc>
        <w:tc>
          <w:tcPr>
            <w:tcW w:w="14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16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16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3,393</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(338)</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7,141</w:t>
            </w:r>
          </w:p>
        </w:tc>
        <w:tc>
          <w:tcPr>
            <w:tcW w:w="14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8,818</w:t>
            </w:r>
          </w:p>
        </w:tc>
        <w:tc>
          <w:tcPr>
            <w:tcW w:w="14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c>
          <w:tcPr>
            <w:tcW w:w="16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 (1,677)</w:t>
            </w:r>
          </w:p>
        </w:tc>
        <w:tc>
          <w:tcPr>
            <w:tcW w:w="16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(19.0)</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20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80" w:right="819" w:hanging="330"/>
        <w:spacing w:after="0" w:line="282" w:lineRule="auto"/>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Percentages for line items relating to cost of operations and company restaurant expenses are calculated with company-operated restaurant revenue as the denominator. All other percentages use total revenue.</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9"/>
        <w:spacing w:after="0" w:line="266" w:lineRule="auto"/>
        <w:rPr>
          <w:sz w:val="20"/>
          <w:szCs w:val="20"/>
          <w:color w:val="auto"/>
        </w:rPr>
      </w:pPr>
      <w:r>
        <w:rPr>
          <w:rFonts w:ascii="Times New Roman" w:cs="Times New Roman" w:eastAsia="Times New Roman" w:hAnsi="Times New Roman"/>
          <w:sz w:val="18"/>
          <w:szCs w:val="18"/>
          <w:color w:val="auto"/>
        </w:rPr>
        <w:t>Our operating results for the twenty-six weeks ended June 29, 2022 and June 30, 2021 and expressed as percentages of total revenue, with the exception of cost of operations and company restaurant expenses, which are expressed as a percentage of company-operated restaurant revenue, are compared below.</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7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460" w:type="dxa"/>
            <w:vAlign w:val="bottom"/>
            <w:gridSpan w:val="4"/>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June 29, 2022</w:t>
            </w:r>
          </w:p>
        </w:tc>
        <w:tc>
          <w:tcPr>
            <w:tcW w:w="120" w:type="dxa"/>
            <w:vAlign w:val="bottom"/>
          </w:tcPr>
          <w:p>
            <w:pPr>
              <w:spacing w:after="0"/>
              <w:rPr>
                <w:sz w:val="12"/>
                <w:szCs w:val="12"/>
                <w:color w:val="auto"/>
              </w:rPr>
            </w:pPr>
          </w:p>
        </w:tc>
        <w:tc>
          <w:tcPr>
            <w:tcW w:w="1580" w:type="dxa"/>
            <w:vAlign w:val="bottom"/>
            <w:gridSpan w:val="4"/>
          </w:tcPr>
          <w:p>
            <w:pPr>
              <w:jc w:val="right"/>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June 30, 2021</w:t>
            </w:r>
          </w:p>
        </w:tc>
        <w:tc>
          <w:tcPr>
            <w:tcW w:w="138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Increase / (Decrease)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Income Data</w:t>
            </w:r>
          </w:p>
        </w:tc>
        <w:tc>
          <w:tcPr>
            <w:tcW w:w="80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($,000)</w:t>
            </w: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($,000)</w:t>
            </w: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($,000)</w:t>
            </w: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360" w:type="dxa"/>
            <w:vAlign w:val="bottom"/>
            <w:gridSpan w:val="2"/>
            <w:vMerge w:val="continue"/>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Company-operated restaurant revenue</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$ 200,411</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$ 201,131</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(720)</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Franchise revenue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19,319</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16,001</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3,318</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advertising fee revenue</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14,429</w:t>
            </w:r>
          </w:p>
        </w:tc>
        <w:tc>
          <w:tcPr>
            <w:tcW w:w="1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12,574</w:t>
            </w:r>
          </w:p>
        </w:tc>
        <w:tc>
          <w:tcPr>
            <w:tcW w:w="1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14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234,159</w:t>
            </w:r>
          </w:p>
        </w:tc>
        <w:tc>
          <w:tcPr>
            <w:tcW w:w="1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229,706</w:t>
            </w:r>
          </w:p>
        </w:tc>
        <w:tc>
          <w:tcPr>
            <w:tcW w:w="1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4,453</w:t>
            </w: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operations</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Food and paper costs (1)</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59,423</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52,273</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7,150</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Labor and related expenses (1)</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65,687</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62,258</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3,429</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Occupancy and other operating expenses (1)</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49,677</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49,180</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Company restaurant expenses (1)</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174,787</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87.2</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163,711</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81.5</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11,076</w:t>
            </w: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19,633</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20,997</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(1,364)</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expenses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18,288</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15,912</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7,215</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7,855</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on assets held for sale</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(1,524)</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and closed-store reserves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(545)</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220,410</w:t>
            </w:r>
          </w:p>
        </w:tc>
        <w:tc>
          <w:tcPr>
            <w:tcW w:w="14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211,034</w:t>
            </w:r>
          </w:p>
        </w:tc>
        <w:tc>
          <w:tcPr>
            <w:tcW w:w="14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91.9</w:t>
            </w:r>
          </w:p>
        </w:tc>
        <w:tc>
          <w:tcPr>
            <w:tcW w:w="14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9,376</w:t>
            </w:r>
          </w:p>
        </w:tc>
        <w:tc>
          <w:tcPr>
            <w:tcW w:w="140" w:type="dxa"/>
            <w:vAlign w:val="bottom"/>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13,749</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18,672</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(4,923)</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(101)</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receivable agreement income</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(316)</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10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(266)</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provision for income taxes</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13,216</w:t>
            </w:r>
          </w:p>
        </w:tc>
        <w:tc>
          <w:tcPr>
            <w:tcW w:w="14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17,772</w:t>
            </w:r>
          </w:p>
        </w:tc>
        <w:tc>
          <w:tcPr>
            <w:tcW w:w="14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14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(4,556)</w:t>
            </w:r>
          </w:p>
        </w:tc>
        <w:tc>
          <w:tcPr>
            <w:tcW w:w="140" w:type="dxa"/>
            <w:vAlign w:val="bottom"/>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3,960</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4,990</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(1,030)</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9,256</w:t>
            </w:r>
          </w:p>
        </w:tc>
        <w:tc>
          <w:tcPr>
            <w:tcW w:w="14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12,782</w:t>
            </w:r>
          </w:p>
        </w:tc>
        <w:tc>
          <w:tcPr>
            <w:tcW w:w="14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14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(3,526)</w:t>
            </w:r>
          </w:p>
        </w:tc>
        <w:tc>
          <w:tcPr>
            <w:tcW w:w="14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(27.6)</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2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80" w:right="819" w:hanging="330"/>
        <w:spacing w:after="0" w:line="282"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Percentages for line items relating to cost of operations and company restaurant expenses are calculated with company-operated restaurant revenue as the denominator. All other percentages use total revenue.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Company-Operated Restaurant Revenue</w:t>
      </w:r>
    </w:p>
    <w:p>
      <w:pPr>
        <w:spacing w:after="0" w:line="229"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For the quarter, company-operated restaurant revenue decreased $0.5 million, or 0.5%, from the comparable period in the prior year. The decrease in company-operated restaurant sales was primarily due to a $2.7 million decrease in revenue from the eight company-operated restaurants sold by the Company to an existing franchisee and a $1.0 million decrease in revenue from the closure of three restaurants during or subsequent to the second quarter of 2021.</w:t>
      </w:r>
    </w:p>
    <w:p>
      <w:pPr>
        <w:spacing w:after="0" w:line="180"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This restaurant sales decrease was partially offset by an increase in company-operated comparable restaurant revenue of $2.9 million, or 2.9%. The company-operated comparable restaurant sales increase consisted of an approximately 8.0% increase in average check size due to increases in menu prices, partially offset by a 4.7% decrease in transactions. In addition, company-operated restaurant revenue was favorably impacted by $0.3 million of additional sales from restaurants opened during or after the second quarter of 2021.</w:t>
      </w:r>
    </w:p>
    <w:p>
      <w:pPr>
        <w:spacing w:after="0" w:line="183"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Year-to-date, company-operated restaurant revenue decreased $0.7 million, or 0.4%, from the comparable period in the prior year. The decrease in company-operated restaurant sales was primarily due to a $5.3 million decrease in revenue from the eight company-operated restaurants sold by the Company to an existing franchisee and a $1.5 million decrease in revenue from the closure of three restaurants, in each case, during or subsequent to the second quarter of 2021. In addition, company-operated restaurant revenue was negatively impacted by a $0.3 million decrease in revenue recognized for our loyalty points program.</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This restaurant sales decrease was partially offset by an increase in company-operated comparable restaurant revenue of $5.0 million, or 2.6%. The company-operated comparable restaurant sales increase consisted of an approximately 7.0% increase in average check size due to increases in menu prices, partially offset by a 4.1% decrease in transactions. In addition, company-operated restaurant revenue was favorably impacted by $1.0 million of additional sales from restaurants opened during or after the second quarter of 2021 and a $0.4 million increase in revenue from restaurants that were temporarily closed due to the COVID-19 pandemic during or subsequent to the second quarter of 2021.</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Franchise Revenue</w:t>
      </w:r>
    </w:p>
    <w:p>
      <w:pPr>
        <w:spacing w:after="0" w:line="229"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For the quarter, franchise revenue increased $1.7 million, or 20.0%, from the comparable period in the prior year. This increase was primarily due to a franchise comparable restaurant sales increase of 10.6% and the opening of five restaurants and eight company-operated restaurants sold by the Company to an existing franchisee, in each case, during or subsequent to the second quarter of 2021. This franchise revenue increase was partially offset by the closure of three franchise locations during or subsequent to the second quarter of 2021.</w:t>
      </w:r>
    </w:p>
    <w:p>
      <w:pPr>
        <w:spacing w:after="0" w:line="183"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Year-to-date, franchise revenue increased $3.3 million, or 20.7%, from the comparable period in the prior year. This increase was primarily due to a franchise comparable restaurant sales increase of 11.0% and the opening of five restaurants during or subsequent to the second quarter of 2021. This franchise revenue increase was partially offset by the closure of three franchise locations during or subsequent to the second quarter of 2021.</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Franchise Advertising Fee Revenue</w:t>
      </w:r>
    </w:p>
    <w:p>
      <w:pPr>
        <w:spacing w:after="0" w:line="229"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For the quarter, franchise advertising fee revenue increased $1.0 million, or 14.6%, from the comparable period in the prior year. Year-to-date, franchise advertising fee revenue increased $1.9 million, or 14.8%, from the comparable period in the prior year. As advertising fee revenue is a percentage of franchisees’ revenue, the quarter-to-date fluctuations were due to the increases and decreases noted in franchise revenue above.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Food and Paper Costs</w:t>
      </w:r>
    </w:p>
    <w:p>
      <w:pPr>
        <w:spacing w:after="0" w:line="229"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For the quarter, food and paper costs increased $3.8 million, or 13.7%, from the comparable period in the prior year, primarily due to a $3.5 million increase in food costs and a $0.3 million increase in paper costs. Year-to-date, food and paper costs increased $7.2 million, or 13.7%, from the comparable period in the prior year, due to a $1.1 million increase in paper costs and a $6.1 million increase in food costs. The increase in food and paper costs for the quarter and year-to-date periods resulted primarily from commodity inflation, partially offset by lower transactions. For the quarter, food and paper costs as a percentage of company-operated restaurant revenue were 29.8%, up from 26.1% in the comparable period of the prior year. Year-to-date, food and paper costs as a percentage of company-operated restaurant revenue were 29.7%, up from 26.0% in the comparable period of the prior year. The percentage increase for both the quarter and year-to-date period was primarily due to commodity inflation and an investment in new elevated packaging, partially offset by an increase in pricing.</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Labor and Related Expenses</w:t>
      </w:r>
    </w:p>
    <w:p>
      <w:pPr>
        <w:spacing w:after="0" w:line="229"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For the quarter, labor and related expenses increased $1.5 million, or 4.7%, from the comparable period in the prior year. The increase for the quarter was primarily due to a $2.5 million increase primarily related to minimum wage increases in California during fiscal 2022 and other labor wage increases as a result of competitive pressures, a $0.2 million increase from restaurants opened during or after the second quarter of the prior year and a $0.7 million increase in other labor related expenses primarily related to overtime, payroll taxes and training. The increase in labor and related expenses for the quarter was partially offset by a $1.1 million reduction in labor related to the eight locations sold to an existing franchisee during the prior year and a $0.8 million decrease related to the 4.7% decrease in year-over-year transactions.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Year-to-date, labor and related expenses increased $3.4 million, or 5.5%, from the comparable period in the prior year. The increase for the year-to-date period was due to a $4.1 million increase related to higher minimum wage increases in California during fiscal 2022 and other labor wage increases as a result of competitive pressures, a $0.8 million increase in overtime, $0.5 million in higher payroll taxes, a $0.3 million increase from restaurants opened during or after the second quarter of the prior year and a $1.1 million increase in other labor related expenses primarily related to training. The increase in labor and related expenses for the year-to-date period was partially offset by a $2.0 million reduction in labor related to the eight locations sold to an existing franchisee during the prior year and a $1.4 million decrease related to the 4.1% decrease in year-over-year transactions.</w:t>
      </w:r>
    </w:p>
    <w:p>
      <w:pPr>
        <w:spacing w:after="0" w:line="192"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For the quarter, labor and related expenses as a percentage of company-operated restaurant revenue were 31.0%, up from 29.5% in the comparable period in the prior year due to the cost increases highlighted above, partially offset by the higher prices. Year-to-date labor and related expenses as a percentage of company-operated restaurant revenue were 32.8%, up from 31.0% in the comparable period in the prior year. The year-to-date percentage was impacted by the cost increases highlighted above, partially offset by an increase in pricing.</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Occupancy and Other Operating Expenses</w:t>
      </w:r>
    </w:p>
    <w:p>
      <w:pPr>
        <w:spacing w:after="0" w:line="229"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For the quarter, occupancy and other operating expenses increased $0.5 million, or 2.0%, from the comparable period in the prior year. The increase was primarily due to a $0.6 million increase in utilities, a $0.2 million increase in market place delivery fees and a $0.2 million increase in other operating expenses. The increase in occupancy and other operating expenses was partially offset by a $0.4 million decrease in occupancy costs and a $0.1 million decrease in operating supplies.</w:t>
      </w:r>
    </w:p>
    <w:p>
      <w:pPr>
        <w:spacing w:after="0" w:line="183"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Year-to-date, occupancy and other operating expenses increased $0.5 million, or 1.0%, from the comparable period in the prior year. The increase was primarily due to a $0.9 million increase in utilities and a $0.4 million increase in market place delivery fees. The increase in occupancy and other operating expenses was partially offset by a $0.5 million decrease in occupancy costs and a $0.3 million decrease in operating supplies.</w:t>
      </w:r>
    </w:p>
    <w:p>
      <w:pPr>
        <w:spacing w:after="0" w:line="180"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For the quarter, occupancy and other operating expenses as a percentage of company-operated restaurant revenue were 24.3%, up from 23.7% in the comparable period. Year-to-date, occupancy and other operating expenses as a percentage of company-operated restaurant revenue were 24.7%, up from 24.5% in the comparable period of the prior year. Both the quarter and year-to-date increases resulted from cost increases highlighted above.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left="60" w:right="319"/>
        <w:spacing w:after="0" w:line="261" w:lineRule="auto"/>
        <w:rPr>
          <w:sz w:val="20"/>
          <w:szCs w:val="20"/>
          <w:color w:val="auto"/>
        </w:rPr>
      </w:pPr>
      <w:r>
        <w:rPr>
          <w:rFonts w:ascii="Times New Roman" w:cs="Times New Roman" w:eastAsia="Times New Roman" w:hAnsi="Times New Roman"/>
          <w:sz w:val="18"/>
          <w:szCs w:val="18"/>
          <w:color w:val="auto"/>
        </w:rPr>
        <w:t>For the quarter, general and administrative expenses decreased $0.8 million, or 8.0%, from the comparable period in the prior year. The decrease for the quarter was due to a $0.4 million decrease in labor related costs, primarily related to a decrease in estimated management bonus expense, a $0.3 million decrease in legal and professional expenses and a $0.1 million decrease in other general and administrative expenses.</w:t>
      </w:r>
    </w:p>
    <w:p>
      <w:pPr>
        <w:spacing w:after="0" w:line="180" w:lineRule="exact"/>
        <w:rPr>
          <w:sz w:val="20"/>
          <w:szCs w:val="20"/>
          <w:color w:val="auto"/>
        </w:rPr>
      </w:pPr>
    </w:p>
    <w:p>
      <w:pPr>
        <w:ind w:left="60" w:right="239"/>
        <w:spacing w:after="0" w:line="256" w:lineRule="auto"/>
        <w:rPr>
          <w:sz w:val="20"/>
          <w:szCs w:val="20"/>
          <w:color w:val="auto"/>
        </w:rPr>
      </w:pPr>
      <w:r>
        <w:rPr>
          <w:rFonts w:ascii="Times New Roman" w:cs="Times New Roman" w:eastAsia="Times New Roman" w:hAnsi="Times New Roman"/>
          <w:sz w:val="18"/>
          <w:szCs w:val="18"/>
          <w:color w:val="auto"/>
        </w:rPr>
        <w:t>Year-to-date, general and administrative expenses decreased $1.4 million, or 6.5%, from the comparable period in the prior year. The decrease for the year-to-date period was due primarily to a $0.8 million decrease in labor related costs, primarily related to a decrease in estimated management bonus expense, a $0.6 million decrease in legal and professional expenses, a $0.3 million decrease in temporary office staff and recruiting costs and a $0.1 million decrease in stock compensation expenses. This decrease was partially offset by a $0.4 million increase in other general and administrative expenses.</w:t>
      </w:r>
    </w:p>
    <w:p>
      <w:pPr>
        <w:spacing w:after="0" w:line="187"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For the quarter, general and administrative expenses as a percentage of total revenue were 7.8%, down from 8.6% in the comparable period of the prior year. Year-to-date, general and administrative expenses as a percentage of total revenue were 8.4%, down from 9.1% in the comparable period of the prior year. The percentage decrease for the quarterly and year-to-date periods is primarily due to the cost increases discussed above.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Impairment and Closed-Store Reserves</w:t>
      </w:r>
    </w:p>
    <w:p>
      <w:pPr>
        <w:spacing w:after="0" w:line="229" w:lineRule="exact"/>
        <w:rPr>
          <w:sz w:val="20"/>
          <w:szCs w:val="20"/>
          <w:color w:val="auto"/>
        </w:rPr>
      </w:pPr>
    </w:p>
    <w:p>
      <w:pPr>
        <w:jc w:val="both"/>
        <w:ind w:left="60" w:right="179"/>
        <w:spacing w:after="0" w:line="266" w:lineRule="auto"/>
        <w:rPr>
          <w:sz w:val="20"/>
          <w:szCs w:val="20"/>
          <w:color w:val="auto"/>
        </w:rPr>
      </w:pPr>
      <w:r>
        <w:rPr>
          <w:rFonts w:ascii="Times New Roman" w:cs="Times New Roman" w:eastAsia="Times New Roman" w:hAnsi="Times New Roman"/>
          <w:sz w:val="18"/>
          <w:szCs w:val="18"/>
          <w:color w:val="auto"/>
        </w:rPr>
        <w:t>During the thirteen and twenty-six weeks ended June 29, 2022, we recorded non-cash impairment charges of $0.2 million and $0.3 million, respectively, primarily related to the long-lived assets of one restaurant in California. During the thirteen and twenty-six weeks ended June 30, 2021, we recorded non-cash impairment charges of $0.4 million and</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$0.7 million, respectively, primarily related to the carrying value of the ROU assets of one restaurant in Texas closed in 2019, the ROU assets of one restaurant in California, and the long-lived assets of three restaurants in California. Given the inherent uncertainty in projecting results for newer restaurants in newer markets we are monitoring the recoverability of the carrying value of the assets of several restaurants on an ongoing basis. For these restaurants, if expected performance is not realized, an impairment charge may be recognized in future periods, and such charge could be material.</w:t>
      </w:r>
    </w:p>
    <w:p>
      <w:pPr>
        <w:spacing w:after="0" w:line="183"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When a restaurant is closed, we will evaluate the ROU asset for impairment, based on anticipated sublease recoveries. The remaining value of the ROU asset is amortized on a straight-line basis, with the expense recognized in closed-store reserve expense. Additionally, any property tax and CAM payments relating to closed restaurants are included within closed-store expense. During the thirteen and twenty-six weeks ended June 29, 2022, we recognized less than $0.1 million and $0.1 million, respectively, of closed-store reserve expense related to the amortization of ROU assets, property taxes and CAM payments for our closed locations. During the thirteen and twenty-six weeks ended June 30, 2021, we recognized less than $0.1 million and $0.2 million, respectively, of closed-store reserve expense, primarily related to the amortization of ROU assets, property taxes and CAM payments for our closed locations.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29" w:lineRule="exact"/>
        <w:rPr>
          <w:sz w:val="20"/>
          <w:szCs w:val="20"/>
          <w:color w:val="auto"/>
        </w:rPr>
      </w:pPr>
    </w:p>
    <w:p>
      <w:pPr>
        <w:ind w:left="60" w:right="419"/>
        <w:spacing w:after="0" w:line="261" w:lineRule="auto"/>
        <w:rPr>
          <w:sz w:val="20"/>
          <w:szCs w:val="20"/>
          <w:color w:val="auto"/>
        </w:rPr>
      </w:pPr>
      <w:r>
        <w:rPr>
          <w:rFonts w:ascii="Times New Roman" w:cs="Times New Roman" w:eastAsia="Times New Roman" w:hAnsi="Times New Roman"/>
          <w:sz w:val="18"/>
          <w:szCs w:val="18"/>
          <w:color w:val="auto"/>
        </w:rPr>
        <w:t>For the quarter, interest expense, net, was consistent with the comparable period in the prior year. For the year-to-date period, interest expense, net, decreased $0.1 million from the comparable period in the prior year. The year-to-date decrease was primarily related to lower interest rates and lower outstanding balances on our 2018 Revolver (as defined below).</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 Receivable Agreement</w:t>
      </w:r>
    </w:p>
    <w:p>
      <w:pPr>
        <w:spacing w:after="0" w:line="229" w:lineRule="exact"/>
        <w:rPr>
          <w:sz w:val="20"/>
          <w:szCs w:val="20"/>
          <w:color w:val="auto"/>
        </w:rPr>
      </w:pPr>
    </w:p>
    <w:p>
      <w:pPr>
        <w:ind w:left="60" w:right="139"/>
        <w:spacing w:after="0" w:line="257" w:lineRule="auto"/>
        <w:rPr>
          <w:sz w:val="20"/>
          <w:szCs w:val="20"/>
          <w:color w:val="auto"/>
        </w:rPr>
      </w:pPr>
      <w:r>
        <w:rPr>
          <w:rFonts w:ascii="Times New Roman" w:cs="Times New Roman" w:eastAsia="Times New Roman" w:hAnsi="Times New Roman"/>
          <w:sz w:val="18"/>
          <w:szCs w:val="18"/>
          <w:color w:val="auto"/>
        </w:rPr>
        <w:t>On July 30, 2014, we entered into the income tax receivable agreement (the “TRA”). The TRA calls for us to pay to our pre-IPO stockholders 85% of the savings in cash that we realize in our taxes as a result of utilizing our net operating losses (“NOLs”) and other tax attributes attributable to preceding periods. For the thirteen and twenty-six weeks ended</w:t>
      </w:r>
    </w:p>
    <w:p>
      <w:pPr>
        <w:spacing w:after="0" w:line="1"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June 29, 2022, we recorded income tax receivable agreement income of $0.2 million and $0.3 million, respectively, and for the thirteen and twenty-six weeks ended June 30, 2021 we recorded income tax receivable agreement expense of less than $0.1 million and income tax receivable agreement income of less than $0.1 million, respectively.</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For the quarter ended June 29, 2022, we recorded an income tax provision of $3.1 million, reflecting an estimated effective tax rate of 30.0%. For the quarter ended June 30, 2021, we recorded an income tax provision of $3.4 million, reflecting an estimated effective tax rate of approximately 27.8%. For the year-to-date period ended June 29, 2022, we recorded an income tax provision of $4.0 million, reflecting an estimated effective tax rate of approximately 30.0%. For the year-to-date ended June 30, 2021, we recorded an income tax provision of $5.0 million, reflecting an estimated effective tax rate of approximately 28.1%.</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difference between the 21.0% statutory rate and our effective tax rate of 30.0% for the year-to-date ended</w:t>
      </w:r>
    </w:p>
    <w:p>
      <w:pPr>
        <w:spacing w:after="0" w:line="27" w:lineRule="exact"/>
        <w:rPr>
          <w:sz w:val="20"/>
          <w:szCs w:val="20"/>
          <w:color w:val="auto"/>
        </w:rPr>
      </w:pPr>
    </w:p>
    <w:p>
      <w:pPr>
        <w:ind w:left="60" w:right="499"/>
        <w:spacing w:after="0" w:line="290" w:lineRule="auto"/>
        <w:rPr>
          <w:sz w:val="20"/>
          <w:szCs w:val="20"/>
          <w:color w:val="auto"/>
        </w:rPr>
      </w:pPr>
      <w:r>
        <w:rPr>
          <w:rFonts w:ascii="Times New Roman" w:cs="Times New Roman" w:eastAsia="Times New Roman" w:hAnsi="Times New Roman"/>
          <w:sz w:val="17"/>
          <w:szCs w:val="17"/>
          <w:color w:val="auto"/>
        </w:rPr>
        <w:t>June 29, 2022 is primarily a result of state taxes, the change in valuation allowance against certain state credits, a tax shortfall related to non-deductible executive compensation, partially offset by a Work Opportunity Tax Credit benefit.</w:t>
      </w:r>
    </w:p>
    <w:p>
      <w:pPr>
        <w:spacing w:after="0" w:line="1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229" w:lineRule="exact"/>
        <w:rPr>
          <w:sz w:val="20"/>
          <w:szCs w:val="20"/>
          <w:color w:val="auto"/>
        </w:rPr>
      </w:pPr>
    </w:p>
    <w:p>
      <w:pPr>
        <w:jc w:val="both"/>
        <w:ind w:left="60" w:right="659"/>
        <w:spacing w:after="0" w:line="266" w:lineRule="auto"/>
        <w:rPr>
          <w:sz w:val="20"/>
          <w:szCs w:val="20"/>
          <w:color w:val="auto"/>
        </w:rPr>
      </w:pPr>
      <w:r>
        <w:rPr>
          <w:rFonts w:ascii="Times New Roman" w:cs="Times New Roman" w:eastAsia="Times New Roman" w:hAnsi="Times New Roman"/>
          <w:sz w:val="18"/>
          <w:szCs w:val="18"/>
          <w:color w:val="auto"/>
        </w:rPr>
        <w:t>To evaluate the performance of our business, we utilize a variety of financial and performance measures. These key measures include company-operated restaurant revenue, system-wide sales, comparable restaurant sales, restaurant contribution, restaurant contribution margin, new restaurant openings, EBITDA, and Adjusted EBITDA.</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System-Wide Sales</w:t>
      </w:r>
    </w:p>
    <w:p>
      <w:pPr>
        <w:spacing w:after="0" w:line="229" w:lineRule="exact"/>
        <w:rPr>
          <w:sz w:val="20"/>
          <w:szCs w:val="20"/>
          <w:color w:val="auto"/>
        </w:rPr>
      </w:pPr>
    </w:p>
    <w:p>
      <w:pPr>
        <w:ind w:left="60" w:right="499"/>
        <w:spacing w:after="0" w:line="261" w:lineRule="auto"/>
        <w:rPr>
          <w:sz w:val="20"/>
          <w:szCs w:val="20"/>
          <w:color w:val="auto"/>
        </w:rPr>
      </w:pPr>
      <w:r>
        <w:rPr>
          <w:rFonts w:ascii="Times New Roman" w:cs="Times New Roman" w:eastAsia="Times New Roman" w:hAnsi="Times New Roman"/>
          <w:sz w:val="18"/>
          <w:szCs w:val="18"/>
          <w:color w:val="auto"/>
        </w:rPr>
        <w:t>System-wide sales are neither required by, nor presented in accordance with GAAP. System-wide sales are the sum of company-operated restaurant revenue and sales from franchised restaurants. Our total revenue in our condensed consolidated statements of income is limited to company-operated restaurant revenue and franchise revenue from our franchisees. Accordingly, system-wide sales should not be considered in isolation or as a substitute for our results as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reported under GAAP. Management believes that system-wide sales are an important figure for investors, because they are widely used in the restaurant industry, including by our management, to evaluate brand scale and market penetration.</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reconciles system-wide sales to company-operated restaurant revenue and total revenue:</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 amounts in thousands)</w:t>
            </w:r>
          </w:p>
        </w:tc>
        <w:tc>
          <w:tcPr>
            <w:tcW w:w="140" w:type="dxa"/>
            <w:vAlign w:val="bottom"/>
          </w:tcPr>
          <w:p>
            <w:pPr>
              <w:spacing w:after="0"/>
              <w:rPr>
                <w:sz w:val="15"/>
                <w:szCs w:val="15"/>
                <w:color w:val="auto"/>
              </w:rPr>
            </w:pPr>
          </w:p>
        </w:tc>
        <w:tc>
          <w:tcPr>
            <w:tcW w:w="176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40" w:type="dxa"/>
            <w:vAlign w:val="bottom"/>
          </w:tcPr>
          <w:p>
            <w:pPr>
              <w:spacing w:after="0"/>
              <w:rPr>
                <w:sz w:val="15"/>
                <w:szCs w:val="15"/>
                <w:color w:val="auto"/>
              </w:rPr>
            </w:pPr>
          </w:p>
        </w:tc>
        <w:tc>
          <w:tcPr>
            <w:tcW w:w="180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142"/>
        </w:trPr>
        <w:tc>
          <w:tcPr>
            <w:tcW w:w="5080" w:type="dxa"/>
            <w:vAlign w:val="bottom"/>
            <w:gridSpan w:val="2"/>
            <w:vMerge w:val="continue"/>
          </w:tcPr>
          <w:p>
            <w:pPr>
              <w:spacing w:after="0"/>
              <w:rPr>
                <w:sz w:val="12"/>
                <w:szCs w:val="12"/>
                <w:color w:val="auto"/>
              </w:rPr>
            </w:pPr>
          </w:p>
        </w:tc>
        <w:tc>
          <w:tcPr>
            <w:tcW w:w="94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June 29, 2022</w:t>
            </w:r>
          </w:p>
        </w:tc>
        <w:tc>
          <w:tcPr>
            <w:tcW w:w="960" w:type="dxa"/>
            <w:vAlign w:val="bottom"/>
            <w:tcBorders>
              <w:top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June 30, 2021</w:t>
            </w:r>
          </w:p>
        </w:tc>
        <w:tc>
          <w:tcPr>
            <w:tcW w:w="96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June 29, 2022</w:t>
            </w: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June 30, 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Company-operated restaurant revenue</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106,454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106,970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200,411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Franchise revenue</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advertising fee revenue</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6,626</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14,429</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121,985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234,159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revenue</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(10,064)</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(8,389)</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(19,319)</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Franchise advertising fee revenue</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(7,593)</w:t>
            </w: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(6,626)</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(14,429)</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from franchised restaurants</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169,032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148,130</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321,609</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System-wide sales</w:t>
            </w: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275,486</w:t>
            </w:r>
          </w:p>
        </w:tc>
        <w:tc>
          <w:tcPr>
            <w:tcW w:w="100" w:type="dxa"/>
            <w:vAlign w:val="bottom"/>
          </w:tcPr>
          <w:p>
            <w:pPr>
              <w:spacing w:after="0"/>
              <w:rPr>
                <w:sz w:val="18"/>
                <w:szCs w:val="18"/>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255,100</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522,020</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482,226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Company-Operated Restaurant Revenue</w:t>
      </w:r>
    </w:p>
    <w:p>
      <w:pPr>
        <w:spacing w:after="0" w:line="229" w:lineRule="exact"/>
        <w:rPr>
          <w:sz w:val="20"/>
          <w:szCs w:val="20"/>
          <w:color w:val="auto"/>
        </w:rPr>
      </w:pPr>
    </w:p>
    <w:p>
      <w:pPr>
        <w:jc w:val="both"/>
        <w:ind w:left="60" w:right="499"/>
        <w:spacing w:after="0" w:line="261" w:lineRule="auto"/>
        <w:rPr>
          <w:sz w:val="20"/>
          <w:szCs w:val="20"/>
          <w:color w:val="auto"/>
        </w:rPr>
      </w:pPr>
      <w:r>
        <w:rPr>
          <w:rFonts w:ascii="Times New Roman" w:cs="Times New Roman" w:eastAsia="Times New Roman" w:hAnsi="Times New Roman"/>
          <w:sz w:val="18"/>
          <w:szCs w:val="18"/>
          <w:color w:val="auto"/>
        </w:rPr>
        <w:t>Company-operated restaurant revenue consists of sales of food and beverages in company-operated restaurants net of promotional allowances, employee meals, and other discounts. Company-operated restaurant revenue in any period is directly influenced by the number of operating weeks in such period, the number of open restaurants, and comparable restaurant sales.</w:t>
      </w:r>
    </w:p>
    <w:p>
      <w:pPr>
        <w:spacing w:after="0" w:line="180"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Seasonal factors and the timing of holidays cause our revenue to fluctuate from quarter to quarter. Our revenue per restaurant is typically lower in the first and fourth quarters due to reduced January and December traffic and higher in the second and third quarters. As a result of seasonality, our quarterly and annual results of operations and key performance indicators such as company-operated restaurant revenue and comparable restaurant sales may fluctuate.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Comparable Restaurant Sales</w:t>
      </w:r>
    </w:p>
    <w:p>
      <w:pPr>
        <w:spacing w:after="0" w:line="229" w:lineRule="exact"/>
        <w:rPr>
          <w:sz w:val="20"/>
          <w:szCs w:val="20"/>
          <w:color w:val="auto"/>
        </w:rPr>
      </w:pPr>
    </w:p>
    <w:p>
      <w:pPr>
        <w:ind w:left="60" w:right="179"/>
        <w:spacing w:after="0" w:line="270" w:lineRule="auto"/>
        <w:rPr>
          <w:sz w:val="20"/>
          <w:szCs w:val="20"/>
          <w:color w:val="auto"/>
        </w:rPr>
      </w:pPr>
      <w:r>
        <w:rPr>
          <w:rFonts w:ascii="Times New Roman" w:cs="Times New Roman" w:eastAsia="Times New Roman" w:hAnsi="Times New Roman"/>
          <w:sz w:val="17"/>
          <w:szCs w:val="17"/>
          <w:color w:val="auto"/>
        </w:rPr>
        <w:t>Comparable restaurant sales reflect year-over-year sales changes for comparable company-operated, franchised, and system-wide restaurants. A restaurant enters our comparable restaurant base the first full week after it has operated for fifteen months. Comparable restaurant sales exclude restaurants closed during the applicable period. At June 29, 2022 and June 30, 2021, there were 465 and 465 comparable restaurants, 183 and 191 company-operated restaurants and 282 and</w:t>
      </w:r>
    </w:p>
    <w:p>
      <w:pPr>
        <w:spacing w:after="0" w:line="3" w:lineRule="exact"/>
        <w:rPr>
          <w:sz w:val="20"/>
          <w:szCs w:val="20"/>
          <w:color w:val="auto"/>
        </w:rPr>
      </w:pPr>
    </w:p>
    <w:p>
      <w:pPr>
        <w:ind w:left="60" w:right="79"/>
        <w:spacing w:after="0" w:line="260" w:lineRule="auto"/>
        <w:rPr>
          <w:sz w:val="20"/>
          <w:szCs w:val="20"/>
          <w:color w:val="auto"/>
        </w:rPr>
      </w:pPr>
      <w:r>
        <w:rPr>
          <w:rFonts w:ascii="Times New Roman" w:cs="Times New Roman" w:eastAsia="Times New Roman" w:hAnsi="Times New Roman"/>
          <w:sz w:val="18"/>
          <w:szCs w:val="18"/>
          <w:color w:val="auto"/>
        </w:rPr>
        <w:t>274 franchised restaurants, respectively. Comparable restaurant sales indicate the performance of existing restaurants, since new restaurants are excluded.</w:t>
      </w:r>
    </w:p>
    <w:p>
      <w:pPr>
        <w:spacing w:after="0" w:line="181"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Comparable restaurant sales growth can be generated by an increase in the number of meals sold and/or by increases in the average check amount, resulting from a shift in menu mix and/or higher prices resulting from new products or price increases.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Restaurant Contribution and Restaurant Contribution Margin</w:t>
      </w:r>
    </w:p>
    <w:p>
      <w:pPr>
        <w:spacing w:after="0" w:line="229"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Restaurant contribution and restaurant contribution margin are neither required by, nor presented in accordance with, GAAP. Restaurant contribution is defined as company-operated restaurant revenue less company restaurant expenses which includes food and paper cost, labor and related expenses and occupancy and other operating expenses, where applicable. Restaurant contribution excludes certain costs, such as general and administrative expenses, depreciation and amortization, impairment and closed-store reserve and other costs that are considered normal operating costs and, accordingly, restaurant contribution is not indicative of overall Company results and does not accrue directly to the benefit of stockholders because of the exclusion of certain corporate-level expenses. Restaurant contribution margin is defined as restaurant contribution as a percentage of net company-operated restaurant revenue.</w:t>
      </w:r>
    </w:p>
    <w:p>
      <w:pPr>
        <w:spacing w:after="0" w:line="192" w:lineRule="exact"/>
        <w:rPr>
          <w:sz w:val="20"/>
          <w:szCs w:val="20"/>
          <w:color w:val="auto"/>
        </w:rPr>
      </w:pPr>
    </w:p>
    <w:p>
      <w:pPr>
        <w:ind w:left="60" w:right="239"/>
        <w:spacing w:after="0" w:line="277" w:lineRule="auto"/>
        <w:rPr>
          <w:sz w:val="20"/>
          <w:szCs w:val="20"/>
          <w:color w:val="auto"/>
        </w:rPr>
      </w:pPr>
      <w:r>
        <w:rPr>
          <w:rFonts w:ascii="Times New Roman" w:cs="Times New Roman" w:eastAsia="Times New Roman" w:hAnsi="Times New Roman"/>
          <w:sz w:val="17"/>
          <w:szCs w:val="17"/>
          <w:color w:val="auto"/>
        </w:rPr>
        <w:t>Restaurant contribution and restaurant contribution margin are supplemental measures of operating performance of our restaurants, and our calculations thereof may not be comparable to those reported by other companies. Restaurant contribution and restaurant contribution margin have limitations as analytical tools, and you should not consider them in isolation, or superior to, or as substitutes for the analysis of our results as reported under GAAP. Management uses restaurant contribution and restaurant contribution margin as key metrics to evaluate the profitability of incremental sales</w:t>
      </w:r>
    </w:p>
    <w:p>
      <w:pPr>
        <w:sectPr>
          <w:pgSz w:w="11900" w:h="16838" w:orient="portrait"/>
          <w:cols w:equalWidth="0" w:num="1">
            <w:col w:w="9019"/>
          </w:cols>
          <w:pgMar w:left="1440" w:top="513" w:right="1440" w:bottom="1440" w:gutter="0" w:footer="0" w:header="0"/>
        </w:sectPr>
      </w:pPr>
    </w:p>
    <w:p>
      <w:pPr>
        <w:spacing w:after="0" w:line="3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20"/>
        <w:spacing w:after="0" w:line="256" w:lineRule="auto"/>
        <w:rPr>
          <w:sz w:val="20"/>
          <w:szCs w:val="20"/>
          <w:color w:val="auto"/>
        </w:rPr>
      </w:pPr>
      <w:r>
        <w:rPr>
          <w:rFonts w:ascii="Times New Roman" w:cs="Times New Roman" w:eastAsia="Times New Roman" w:hAnsi="Times New Roman"/>
          <w:sz w:val="18"/>
          <w:szCs w:val="18"/>
          <w:color w:val="auto"/>
        </w:rPr>
        <w:t>at our restaurants, to evaluate our restaurant performance across periods, and to evaluate our restaurant financial performance compared with our competitors. Management believes that restaurant contribution and restaurant contribution margin are important tools for investors, because they are widely-used metrics within the restaurant industry to evaluate restaurant-level productivity, efficiency, and performance. Restaurant contribution and restaurant contribution margin may also assist investors in evaluating our business and performance relative to industry peers and provide greater transparency with respect to our financial condition and results of operations.</w:t>
      </w:r>
    </w:p>
    <w:p>
      <w:pPr>
        <w:spacing w:after="0" w:line="187" w:lineRule="exact"/>
        <w:rPr>
          <w:sz w:val="20"/>
          <w:szCs w:val="20"/>
          <w:color w:val="auto"/>
        </w:rPr>
      </w:pPr>
    </w:p>
    <w:p>
      <w:pPr>
        <w:ind w:left="60" w:right="300"/>
        <w:spacing w:after="0" w:line="282" w:lineRule="auto"/>
        <w:rPr>
          <w:sz w:val="20"/>
          <w:szCs w:val="20"/>
          <w:color w:val="auto"/>
        </w:rPr>
      </w:pPr>
      <w:r>
        <w:rPr>
          <w:rFonts w:ascii="Times New Roman" w:cs="Times New Roman" w:eastAsia="Times New Roman" w:hAnsi="Times New Roman"/>
          <w:sz w:val="18"/>
          <w:szCs w:val="18"/>
          <w:color w:val="auto"/>
        </w:rPr>
        <w:t>A reconciliation of restaurant contribution and restaurant contribution margin to company-operated restaurant revenue is provided below:</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 amounts in thousands)</w:t>
            </w:r>
          </w:p>
        </w:tc>
        <w:tc>
          <w:tcPr>
            <w:tcW w:w="140" w:type="dxa"/>
            <w:vAlign w:val="bottom"/>
          </w:tcPr>
          <w:p>
            <w:pPr>
              <w:spacing w:after="0"/>
              <w:rPr>
                <w:sz w:val="15"/>
                <w:szCs w:val="15"/>
                <w:color w:val="auto"/>
              </w:rPr>
            </w:pPr>
          </w:p>
        </w:tc>
        <w:tc>
          <w:tcPr>
            <w:tcW w:w="204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40" w:type="dxa"/>
            <w:vAlign w:val="bottom"/>
          </w:tcPr>
          <w:p>
            <w:pPr>
              <w:spacing w:after="0"/>
              <w:rPr>
                <w:sz w:val="15"/>
                <w:szCs w:val="15"/>
                <w:color w:val="auto"/>
              </w:rPr>
            </w:pPr>
          </w:p>
        </w:tc>
        <w:tc>
          <w:tcPr>
            <w:tcW w:w="222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142"/>
        </w:trPr>
        <w:tc>
          <w:tcPr>
            <w:tcW w:w="4440" w:type="dxa"/>
            <w:vAlign w:val="bottom"/>
            <w:gridSpan w:val="2"/>
            <w:vMerge w:val="continue"/>
          </w:tcPr>
          <w:p>
            <w:pPr>
              <w:spacing w:after="0"/>
              <w:rPr>
                <w:sz w:val="12"/>
                <w:szCs w:val="12"/>
                <w:color w:val="auto"/>
              </w:rPr>
            </w:pPr>
          </w:p>
        </w:tc>
        <w:tc>
          <w:tcPr>
            <w:tcW w:w="110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June 29, 2022</w:t>
            </w:r>
          </w:p>
        </w:tc>
        <w:tc>
          <w:tcPr>
            <w:tcW w:w="84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June 30, 2021</w:t>
            </w:r>
          </w:p>
        </w:tc>
        <w:tc>
          <w:tcPr>
            <w:tcW w:w="240" w:type="dxa"/>
            <w:vAlign w:val="bottom"/>
          </w:tcPr>
          <w:p>
            <w:pPr>
              <w:spacing w:after="0"/>
              <w:rPr>
                <w:sz w:val="12"/>
                <w:szCs w:val="12"/>
                <w:color w:val="auto"/>
              </w:rPr>
            </w:pPr>
          </w:p>
        </w:tc>
        <w:tc>
          <w:tcPr>
            <w:tcW w:w="1100" w:type="dxa"/>
            <w:vAlign w:val="bottom"/>
            <w:tcBorders>
              <w:top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June 29, 2022</w:t>
            </w:r>
          </w:p>
        </w:tc>
        <w:tc>
          <w:tcPr>
            <w:tcW w:w="86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June 30, 2021</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2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Restaurant contribution:</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10,429</w:t>
            </w:r>
          </w:p>
        </w:tc>
        <w:tc>
          <w:tcPr>
            <w:tcW w:w="2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12,671</w:t>
            </w:r>
          </w:p>
        </w:tc>
        <w:tc>
          <w:tcPr>
            <w:tcW w:w="2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13,749</w:t>
            </w:r>
          </w:p>
        </w:tc>
        <w:tc>
          <w:tcPr>
            <w:tcW w:w="2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18,672</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(less):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20,997</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Franchise expenses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15,912</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7,855</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Loss on assets held for sale</w:t>
            </w:r>
          </w:p>
        </w:tc>
        <w:tc>
          <w:tcPr>
            <w:tcW w:w="14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Franchise revenue</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(10,064)</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(8,389)</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(19,319)</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(16,001)</w:t>
            </w:r>
          </w:p>
        </w:tc>
        <w:tc>
          <w:tcPr>
            <w:tcW w:w="0" w:type="dxa"/>
            <w:vAlign w:val="bottom"/>
          </w:tcPr>
          <w:p>
            <w:pPr>
              <w:spacing w:after="0"/>
              <w:rPr>
                <w:sz w:val="1"/>
                <w:szCs w:val="1"/>
                <w:color w:val="auto"/>
              </w:rPr>
            </w:pPr>
          </w:p>
        </w:tc>
      </w:tr>
      <w:tr>
        <w:trPr>
          <w:trHeight w:val="216"/>
        </w:trPr>
        <w:tc>
          <w:tcPr>
            <w:tcW w:w="4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Franchise advertising fee revenue</w:t>
            </w:r>
          </w:p>
        </w:tc>
        <w:tc>
          <w:tcPr>
            <w:tcW w:w="14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(7,593)</w:t>
            </w:r>
          </w:p>
        </w:tc>
        <w:tc>
          <w:tcPr>
            <w:tcW w:w="1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(6,626)</w:t>
            </w:r>
          </w:p>
        </w:tc>
        <w:tc>
          <w:tcPr>
            <w:tcW w:w="14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(14,429)</w:t>
            </w:r>
          </w:p>
        </w:tc>
        <w:tc>
          <w:tcPr>
            <w:tcW w:w="16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(12,574)</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Impairment and closed-store reserves</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Restaurant contribution</w:t>
            </w: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15,916</w:t>
            </w:r>
          </w:p>
        </w:tc>
        <w:tc>
          <w:tcPr>
            <w:tcW w:w="2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22,226</w:t>
            </w:r>
          </w:p>
        </w:tc>
        <w:tc>
          <w:tcPr>
            <w:tcW w:w="2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25,624</w:t>
            </w:r>
          </w:p>
        </w:tc>
        <w:tc>
          <w:tcPr>
            <w:tcW w:w="2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37,420</w:t>
            </w:r>
          </w:p>
        </w:tc>
        <w:tc>
          <w:tcPr>
            <w:tcW w:w="4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Company-operated restaurant revenue:</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124,111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121,985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234,159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229,706</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Franchise revenue</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(10,064)</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(8,389)</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(19,319)</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(16,001)</w:t>
            </w:r>
          </w:p>
        </w:tc>
        <w:tc>
          <w:tcPr>
            <w:tcW w:w="0" w:type="dxa"/>
            <w:vAlign w:val="bottom"/>
          </w:tcPr>
          <w:p>
            <w:pPr>
              <w:spacing w:after="0"/>
              <w:rPr>
                <w:sz w:val="1"/>
                <w:szCs w:val="1"/>
                <w:color w:val="auto"/>
              </w:rPr>
            </w:pPr>
          </w:p>
        </w:tc>
      </w:tr>
      <w:tr>
        <w:trPr>
          <w:trHeight w:val="216"/>
        </w:trPr>
        <w:tc>
          <w:tcPr>
            <w:tcW w:w="4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Franchise advertising fee revenue</w:t>
            </w:r>
          </w:p>
        </w:tc>
        <w:tc>
          <w:tcPr>
            <w:tcW w:w="14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(7,593)</w:t>
            </w:r>
          </w:p>
        </w:tc>
        <w:tc>
          <w:tcPr>
            <w:tcW w:w="1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(6,626)</w:t>
            </w:r>
          </w:p>
        </w:tc>
        <w:tc>
          <w:tcPr>
            <w:tcW w:w="14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(14,429)</w:t>
            </w:r>
          </w:p>
        </w:tc>
        <w:tc>
          <w:tcPr>
            <w:tcW w:w="16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(12,574)</w:t>
            </w:r>
          </w:p>
        </w:tc>
        <w:tc>
          <w:tcPr>
            <w:tcW w:w="0" w:type="dxa"/>
            <w:vAlign w:val="bottom"/>
          </w:tcPr>
          <w:p>
            <w:pPr>
              <w:spacing w:after="0"/>
              <w:rPr>
                <w:sz w:val="1"/>
                <w:szCs w:val="1"/>
                <w:color w:val="auto"/>
              </w:rPr>
            </w:pPr>
          </w:p>
        </w:tc>
      </w:tr>
      <w:tr>
        <w:trPr>
          <w:trHeight w:val="210"/>
        </w:trPr>
        <w:tc>
          <w:tcPr>
            <w:tcW w:w="44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Company-operated restaurant revenue</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106,454</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106,970</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200,411</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201,131</w:t>
            </w: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Restaurant contribution margin (%)</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15.0 %</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20.8 %</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12.8 %</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18.6 %</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New Restaurant Openings</w:t>
      </w:r>
    </w:p>
    <w:p>
      <w:pPr>
        <w:spacing w:after="0" w:line="229" w:lineRule="exact"/>
        <w:rPr>
          <w:sz w:val="20"/>
          <w:szCs w:val="20"/>
          <w:color w:val="auto"/>
        </w:rPr>
      </w:pPr>
    </w:p>
    <w:p>
      <w:pPr>
        <w:ind w:left="60" w:right="80"/>
        <w:spacing w:after="0" w:line="254" w:lineRule="auto"/>
        <w:rPr>
          <w:sz w:val="20"/>
          <w:szCs w:val="20"/>
          <w:color w:val="auto"/>
        </w:rPr>
      </w:pPr>
      <w:r>
        <w:rPr>
          <w:rFonts w:ascii="Times New Roman" w:cs="Times New Roman" w:eastAsia="Times New Roman" w:hAnsi="Times New Roman"/>
          <w:sz w:val="18"/>
          <w:szCs w:val="18"/>
          <w:color w:val="auto"/>
        </w:rPr>
        <w:t>The number of restaurant openings reflects the number of new restaurants opened by us and our franchisees during a particular reporting period. Before a new restaurant opens, we and our franchisees incur pre-opening costs, as described below. New restaurants often open with an initial start-up period of higher than normal sales volumes, which subsequently decrease to stabilized levels. New restaurants typically experience normal inefficiencies in the form of higher food and paper, labor, and other direct operating expenses and, as a result, restaurant contribution margins are generally lower during the start-up period of operation. The average start-up period after which our new restaurants’ revenue and expenses normalize is approximately fourteen weeks. When we enter new markets, we may be exposed to start-up times and restaurant contribution margins that are longer and lower than reflected in our average historical experience.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EBITDA and Adjusted EBITDA</w:t>
      </w:r>
    </w:p>
    <w:p>
      <w:pPr>
        <w:spacing w:after="0" w:line="229" w:lineRule="exact"/>
        <w:rPr>
          <w:sz w:val="20"/>
          <w:szCs w:val="20"/>
          <w:color w:val="auto"/>
        </w:rPr>
      </w:pPr>
    </w:p>
    <w:p>
      <w:pPr>
        <w:ind w:left="60" w:right="260"/>
        <w:spacing w:after="0" w:line="261" w:lineRule="auto"/>
        <w:rPr>
          <w:sz w:val="20"/>
          <w:szCs w:val="20"/>
          <w:color w:val="auto"/>
        </w:rPr>
      </w:pPr>
      <w:r>
        <w:rPr>
          <w:rFonts w:ascii="Times New Roman" w:cs="Times New Roman" w:eastAsia="Times New Roman" w:hAnsi="Times New Roman"/>
          <w:sz w:val="18"/>
          <w:szCs w:val="18"/>
          <w:color w:val="auto"/>
        </w:rPr>
        <w:t>EBITDA represents net income before interest expense, provision for income taxes, depreciation, and amortization. Adjusted EBITDA represents net income before interest expense, provision for income taxes, depreciation, amortization, and other items that we do not consider representative of our on-going operating performance, as identified in the reconciliation table below.</w:t>
      </w:r>
    </w:p>
    <w:p>
      <w:pPr>
        <w:spacing w:after="0" w:line="180" w:lineRule="exact"/>
        <w:rPr>
          <w:sz w:val="20"/>
          <w:szCs w:val="20"/>
          <w:color w:val="auto"/>
        </w:rPr>
      </w:pPr>
    </w:p>
    <w:p>
      <w:pPr>
        <w:ind w:left="60" w:right="180"/>
        <w:spacing w:after="0" w:line="266" w:lineRule="auto"/>
        <w:rPr>
          <w:sz w:val="20"/>
          <w:szCs w:val="20"/>
          <w:color w:val="auto"/>
        </w:rPr>
      </w:pPr>
      <w:r>
        <w:rPr>
          <w:rFonts w:ascii="Times New Roman" w:cs="Times New Roman" w:eastAsia="Times New Roman" w:hAnsi="Times New Roman"/>
          <w:sz w:val="18"/>
          <w:szCs w:val="18"/>
          <w:color w:val="auto"/>
        </w:rPr>
        <w:t>EBITDA and Adjusted EBITDA as presented in this report are supplemental measures of our performance that are neither required by, nor presented in accordance with, GAAP. EBITDA and Adjusted EBITDA are not measurements of our financial performance under GAAP and should not be considered as alternatives to net income, operating income, or</w:t>
      </w:r>
    </w:p>
    <w:p>
      <w:pPr>
        <w:sectPr>
          <w:pgSz w:w="11900" w:h="16838" w:orient="portrait"/>
          <w:cols w:equalWidth="0" w:num="1">
            <w:col w:w="9020"/>
          </w:cols>
          <w:pgMar w:left="1440" w:top="513" w:right="1439" w:bottom="1440" w:gutter="0" w:footer="0" w:header="0"/>
        </w:sectPr>
      </w:pP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20"/>
          </w:cols>
          <w:pgMar w:left="1440" w:top="513" w:right="1439"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any other performance measures derived in accordance with GAAP, or as alternatives to cash flow from operating activities as a measure of our liquidity. In addition, in evaluating EBITDA and Adjusted EBITDA, you should be aware that in the future we will incur expenses or charges such as those added back to calculate EBITDA and Adjusted EBITDA. Our presentation of EBITDA and Adjusted EBITDA should not be construed as an inference that our future results will be unaffected by unusual or nonrecurring items.</w:t>
      </w:r>
    </w:p>
    <w:p>
      <w:pPr>
        <w:spacing w:after="0" w:line="183"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EBITDA and Adjusted EBITDA have limitations as analytical tools, and you should not consider them in isolation, or as substitutes for analysis of our results as reported under GAAP. Some of these limitations are (i) they do not reflect our cash expenditures, or future requirements for capital expenditures or contractual commitments, (ii) they do not reflect changes in, or cash requirements for, our working capital needs, (iii) they do not reflect the significant interest expense, or the cash requirements necessary to service interest or principal payments, on our debt, (iv) although depreciation and amortization are non-cash charges, the assets being depreciated and amortized will often have to be replaced in the future, and EBITDA and Adjusted EBITDA do not reflect any cash requirements for such replacements, (v) they do not adjust for all non-cash income or expense items that are reflected in our statements of cash flows, (vi) they do not reflect the impact of earnings or charges resulting from matters we consider not to be indicative of our on-going operations, and (vii) other companies in our industry may calculate these measures differently than we do, limiting their usefulness as comparative measures.</w:t>
      </w:r>
    </w:p>
    <w:p>
      <w:pPr>
        <w:spacing w:after="0" w:line="194" w:lineRule="exact"/>
        <w:rPr>
          <w:sz w:val="20"/>
          <w:szCs w:val="20"/>
          <w:color w:val="auto"/>
        </w:rPr>
      </w:pPr>
    </w:p>
    <w:p>
      <w:pPr>
        <w:jc w:val="both"/>
        <w:ind w:left="60" w:right="239"/>
        <w:spacing w:after="0" w:line="266" w:lineRule="auto"/>
        <w:rPr>
          <w:sz w:val="20"/>
          <w:szCs w:val="20"/>
          <w:color w:val="auto"/>
        </w:rPr>
      </w:pPr>
      <w:r>
        <w:rPr>
          <w:rFonts w:ascii="Times New Roman" w:cs="Times New Roman" w:eastAsia="Times New Roman" w:hAnsi="Times New Roman"/>
          <w:sz w:val="18"/>
          <w:szCs w:val="18"/>
          <w:color w:val="auto"/>
        </w:rPr>
        <w:t>We compensate for these limitations by providing specific information regarding the GAAP amounts excluded from such non-GAAP financial measures. We further compensate for the limitations in our use of non-GAAP financial measures by presenting comparable GAAP measures more prominently.</w:t>
      </w:r>
    </w:p>
    <w:p>
      <w:pPr>
        <w:spacing w:after="0" w:line="176"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We believe that EBITDA and Adjusted EBITDA facilitate operating performance comparisons from period to period by isolating the effects of some items that vary from period to period without any correlation to core operating performance or that vary widely among similar companies. These potential differences may be caused by variations in capital structures (affecting interest expense), tax positions (such as the impact on periods or companies of changes in effective tax rates or NOLs) and the age and book depreciation of facilities and equipment (affecting relative depreciation expense). We also present EBITDA and Adjusted EBITDA because (i) we believe that these measures are frequently used by securities analysts, investors and other interested parties to evaluate companies in our industry, (ii) we believe that investors will find these measures useful in assessing our ability to service or incur indebtedness, and (iii) we use EBITDA and Adjusted EBITDA internally for a number of benchmarks, including to compare our performance to that of our competitors.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sets forth reconciliations of our net income to our EBITDA and Adjusted EBITDA:</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gridSpan w:val="4"/>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142"/>
        </w:trPr>
        <w:tc>
          <w:tcPr>
            <w:tcW w:w="47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June 29, 2022</w:t>
            </w: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June 30, 2021</w:t>
            </w:r>
          </w:p>
        </w:tc>
        <w:tc>
          <w:tcPr>
            <w:tcW w:w="140" w:type="dxa"/>
            <w:vAlign w:val="bottom"/>
          </w:tcPr>
          <w:p>
            <w:pPr>
              <w:spacing w:after="0"/>
              <w:rPr>
                <w:sz w:val="12"/>
                <w:szCs w:val="12"/>
                <w:color w:val="auto"/>
              </w:rPr>
            </w:pPr>
          </w:p>
        </w:tc>
        <w:tc>
          <w:tcPr>
            <w:tcW w:w="98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June 29, 2022</w:t>
            </w:r>
          </w:p>
        </w:tc>
        <w:tc>
          <w:tcPr>
            <w:tcW w:w="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June 30, 2021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7,141</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8,818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9,256</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12,782</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Non-GAAP adjustments: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14,233</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16,561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21,280</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26,577</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 (a)</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disposal of assets (b)</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assets held for sale (c)</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 and closed-store reserves (d)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receivable agreement expense (income) (e)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class action legal expense (f)</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Pre-opening costs (g)</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15,366</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19,926</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23,850</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31,835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2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80" w:hanging="330"/>
        <w:spacing w:after="0"/>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non-cash, stock-based compensation.</w:t>
      </w:r>
    </w:p>
    <w:p>
      <w:pPr>
        <w:spacing w:after="0" w:line="27" w:lineRule="exact"/>
        <w:rPr>
          <w:rFonts w:ascii="Times New Roman" w:cs="Times New Roman" w:eastAsia="Times New Roman" w:hAnsi="Times New Roman"/>
          <w:sz w:val="18"/>
          <w:szCs w:val="18"/>
          <w:color w:val="auto"/>
        </w:rPr>
      </w:pPr>
    </w:p>
    <w:p>
      <w:pPr>
        <w:ind w:left="380" w:right="159" w:hanging="330"/>
        <w:spacing w:after="0" w:line="250" w:lineRule="auto"/>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disposal of assets includes the loss on disposal of assets related to retirements and replacement or write-off of leasehold improvements or equipment.</w:t>
      </w:r>
    </w:p>
    <w:p>
      <w:pPr>
        <w:ind w:left="380" w:right="239" w:hanging="330"/>
        <w:spacing w:after="0" w:line="260" w:lineRule="auto"/>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thirteen and twenty-six weeks ended June 30, 2021, we agreed in principle to sell eight restaurants within Sacramento area to an existing franchisee. The related net assets were reclassified to assets held for sale and</w:t>
      </w:r>
    </w:p>
    <w:p>
      <w:pPr>
        <w:sectPr>
          <w:pgSz w:w="11900" w:h="16838" w:orient="portrait"/>
          <w:cols w:equalWidth="0" w:num="1">
            <w:col w:w="9019"/>
          </w:cols>
          <w:pgMar w:left="1440" w:top="513" w:right="1440" w:bottom="1440" w:gutter="0" w:footer="0" w:header="0"/>
        </w:sect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right="559"/>
        <w:spacing w:after="0" w:line="261" w:lineRule="auto"/>
        <w:rPr>
          <w:sz w:val="20"/>
          <w:szCs w:val="20"/>
          <w:color w:val="auto"/>
        </w:rPr>
      </w:pPr>
      <w:r>
        <w:rPr>
          <w:rFonts w:ascii="Times New Roman" w:cs="Times New Roman" w:eastAsia="Times New Roman" w:hAnsi="Times New Roman"/>
          <w:sz w:val="18"/>
          <w:szCs w:val="18"/>
          <w:color w:val="auto"/>
        </w:rPr>
        <w:t>remeasured at their fair value less costs to sell, which resulted in a loss on held for sale assets of $1.5 million for the thirteen and twenty-six weeks ended June 30, 2021.</w:t>
      </w:r>
    </w:p>
    <w:p>
      <w:pPr>
        <w:ind w:left="380" w:right="339" w:hanging="330"/>
        <w:spacing w:after="0" w:line="250"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costs related to impairment of long-lived and ROU assets and closing restaurants. During the thirteen and twenty-six weeks ended June 29, 2022, we recorded non-cash impairment charges of $0.2 million and $0.3 million, respectively, primarily related to the long-lived assets of one restaurant in California.</w:t>
      </w:r>
    </w:p>
    <w:p>
      <w:pPr>
        <w:spacing w:after="0" w:line="1" w:lineRule="exact"/>
        <w:rPr>
          <w:rFonts w:ascii="Times New Roman" w:cs="Times New Roman" w:eastAsia="Times New Roman" w:hAnsi="Times New Roman"/>
          <w:sz w:val="18"/>
          <w:szCs w:val="18"/>
          <w:color w:val="auto"/>
        </w:rPr>
      </w:pPr>
    </w:p>
    <w:p>
      <w:pPr>
        <w:ind w:left="380" w:right="23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thirteen and twenty-six weeks ended June 30, 2021, we recorded non-cash impairment charges of $0.4 million and $0.7 million, respectively, primarily related to the carrying value of the ROU assets of one restaurant in Texas closed in 2019, the ROU assets of one restaurant in California, and the long-lived assets of three restaurants in California.</w:t>
      </w:r>
    </w:p>
    <w:p>
      <w:pPr>
        <w:spacing w:after="0" w:line="1" w:lineRule="exact"/>
        <w:rPr>
          <w:rFonts w:ascii="Times New Roman" w:cs="Times New Roman" w:eastAsia="Times New Roman" w:hAnsi="Times New Roman"/>
          <w:sz w:val="18"/>
          <w:szCs w:val="18"/>
          <w:color w:val="auto"/>
        </w:rPr>
      </w:pPr>
    </w:p>
    <w:p>
      <w:pPr>
        <w:ind w:left="380" w:right="13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thirteen and twenty-six weeks ended June 29, 2022, we recognized less than $0.1 million and $0.1 million, respectively, of closed-store reserve expense related to the amortization of ROU assets, property taxes and CAM payments for our closed locations. During the thirteen and twenty-six weeks ended June 30, 2021, we recognized less than $0.1 million and $0.2 million, respectively, of closed-store reserve expense, primarily related to the amortization of ROU assets, property taxes and CAM payments for our closed locations.</w:t>
      </w:r>
    </w:p>
    <w:p>
      <w:pPr>
        <w:spacing w:after="0" w:line="1" w:lineRule="exact"/>
        <w:rPr>
          <w:rFonts w:ascii="Times New Roman" w:cs="Times New Roman" w:eastAsia="Times New Roman" w:hAnsi="Times New Roman"/>
          <w:sz w:val="18"/>
          <w:szCs w:val="18"/>
          <w:color w:val="auto"/>
        </w:rPr>
      </w:pPr>
    </w:p>
    <w:p>
      <w:pPr>
        <w:ind w:left="380" w:right="119" w:hanging="330"/>
        <w:spacing w:after="0" w:line="250"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30, 2014, we entered into the TRA. This agreement calls for us to pay to our pre-IPO stockholders 85% of the savings in cash that we realize in our taxes as a result of utilizing our NOLs and other tax attributes attributable to preceding periods. For the thirteen and twenty-six weeks ended June 29, 2022 and June 30, 2021, income tax receivable agreement expense (income) consisted of the amortization of interest expense and changes in estimates for actual tax returns filed, related to our total expected TRA payments.</w:t>
      </w:r>
    </w:p>
    <w:p>
      <w:pPr>
        <w:spacing w:after="0" w:line="1"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costs related to the defense of securities lawsuits.</w:t>
      </w:r>
    </w:p>
    <w:p>
      <w:pPr>
        <w:spacing w:after="0" w:line="9" w:lineRule="exact"/>
        <w:rPr>
          <w:rFonts w:ascii="Times New Roman" w:cs="Times New Roman" w:eastAsia="Times New Roman" w:hAnsi="Times New Roman"/>
          <w:sz w:val="18"/>
          <w:szCs w:val="18"/>
          <w:color w:val="auto"/>
        </w:rPr>
      </w:pPr>
    </w:p>
    <w:p>
      <w:pPr>
        <w:ind w:left="380" w:right="99" w:hanging="330"/>
        <w:spacing w:after="0" w:line="253"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Pre-opening costs are a component of general and administrative expenses, and consist of costs directly associated with the opening of new restaurants and incurred prior to opening, including management labor costs, staff labor costs during training, food and supplies used during training, marketing costs, and other related pre-opening costs. These are generally incurred over the three to five months prior to opening. Pre-opening costs also include occupancy costs incurred between the date of possession and the opening date for a restaurant.</w:t>
      </w:r>
    </w:p>
    <w:p>
      <w:pPr>
        <w:spacing w:after="0" w:line="3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60" w:right="99"/>
        <w:spacing w:after="0" w:line="272" w:lineRule="auto"/>
        <w:rPr>
          <w:sz w:val="20"/>
          <w:szCs w:val="20"/>
          <w:color w:val="auto"/>
        </w:rPr>
      </w:pPr>
      <w:r>
        <w:rPr>
          <w:rFonts w:ascii="Times New Roman" w:cs="Times New Roman" w:eastAsia="Times New Roman" w:hAnsi="Times New Roman"/>
          <w:sz w:val="17"/>
          <w:szCs w:val="17"/>
          <w:color w:val="auto"/>
        </w:rPr>
        <w:t>Our primary sources of liquidity and capital resources have been cash provided from operations, cash and cash equivalents, and our revolving credit facility. Our primary requirements for liquidity and capital are new restaurants, existing restaurant capital investments (remodels and maintenance), legal defense costs, lease obligations, interest payments on our debt, working capital and general corporate needs. Our working capital requirements are not significant, since our customers pay for their purchases in cash or by payment card (credit or debit) at the time of sale. Thus, we are able to sell many of our inventory items before we have to pay our suppliers. Our restaurants do not require significant inventories or receivables. We believe that these sources of liquidity and capital are sufficient to finance our continued operations, including planned capital expenditures, for at least the next 12 months from the issuance of the condensed consolidated financial statements.</w:t>
      </w:r>
    </w:p>
    <w:p>
      <w:pPr>
        <w:spacing w:after="0" w:line="3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summary cash flow information for the periods indicated (in thousands):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80" w:type="dxa"/>
            <w:vAlign w:val="bottom"/>
          </w:tcPr>
          <w:p>
            <w:pPr>
              <w:spacing w:after="0"/>
              <w:rPr>
                <w:sz w:val="15"/>
                <w:szCs w:val="15"/>
                <w:color w:val="auto"/>
              </w:rPr>
            </w:pPr>
          </w:p>
        </w:tc>
        <w:tc>
          <w:tcPr>
            <w:tcW w:w="250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142"/>
        </w:trPr>
        <w:tc>
          <w:tcPr>
            <w:tcW w:w="6320" w:type="dxa"/>
            <w:vAlign w:val="bottom"/>
            <w:gridSpan w:val="2"/>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June 29, 2022</w:t>
            </w: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June 30, 2021</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Operating activities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11,820</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Investing activities</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(8,831)</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(4,272)</w:t>
            </w:r>
          </w:p>
        </w:tc>
        <w:tc>
          <w:tcPr>
            <w:tcW w:w="0" w:type="dxa"/>
            <w:vAlign w:val="bottom"/>
          </w:tcPr>
          <w:p>
            <w:pPr>
              <w:spacing w:after="0"/>
              <w:rPr>
                <w:sz w:val="1"/>
                <w:szCs w:val="1"/>
                <w:color w:val="auto"/>
              </w:rPr>
            </w:pPr>
          </w:p>
        </w:tc>
      </w:tr>
      <w:tr>
        <w:trPr>
          <w:trHeight w:val="216"/>
        </w:trPr>
        <w:tc>
          <w:tcPr>
            <w:tcW w:w="6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Financing activities</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(22,947)</w:t>
            </w:r>
          </w:p>
        </w:tc>
        <w:tc>
          <w:tcPr>
            <w:tcW w:w="0" w:type="dxa"/>
            <w:vAlign w:val="bottom"/>
          </w:tcPr>
          <w:p>
            <w:pPr>
              <w:spacing w:after="0"/>
              <w:rPr>
                <w:sz w:val="1"/>
                <w:szCs w:val="1"/>
                <w:color w:val="auto"/>
              </w:rPr>
            </w:pPr>
          </w:p>
        </w:tc>
      </w:tr>
      <w:tr>
        <w:trPr>
          <w:trHeight w:val="209"/>
        </w:trPr>
        <w:tc>
          <w:tcPr>
            <w:tcW w:w="63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left="60" w:right="179"/>
        <w:spacing w:after="0" w:line="266" w:lineRule="auto"/>
        <w:rPr>
          <w:sz w:val="20"/>
          <w:szCs w:val="20"/>
          <w:color w:val="auto"/>
        </w:rPr>
      </w:pPr>
      <w:r>
        <w:rPr>
          <w:rFonts w:ascii="Times New Roman" w:cs="Times New Roman" w:eastAsia="Times New Roman" w:hAnsi="Times New Roman"/>
          <w:sz w:val="18"/>
          <w:szCs w:val="18"/>
          <w:color w:val="auto"/>
        </w:rPr>
        <w:t>For the twenty-six weeks ended June 29, 2022, net cash from operating activities changed by approximately $14.8 million from the comparable period of the prior year. This change was due to unfavorable working capital fluctuations and lower profitability compared to the same period in the prior year.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For the twenty-six weeks ended June 29, 2022, net cash used in investing activities changed by $4.6 million from the comparable period of the prior year. This change was due primarily to the Company receiving a deposit of $4.6 million on sale of eight restaurants within the Sacramento area during the twenty-six weeks ended June 30, 2021.</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For the twenty-six weeks ended June 29, 2022, net cash from financing activities changed by $24.2 million from the comparable period of the prior year. This change was due primarily to a $1.6 million cash inflow increase related to option exercises during the twenty-six weeks ended June 29, 2022, compared to a $22.8 million cash outflow related to the pay downs on the 2018 Revolver during the twenty-six weeks ended June 30, 2021.</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Debt and Other Obligations</w:t>
      </w:r>
    </w:p>
    <w:p>
      <w:pPr>
        <w:spacing w:after="0" w:line="229" w:lineRule="exact"/>
        <w:rPr>
          <w:sz w:val="20"/>
          <w:szCs w:val="20"/>
          <w:color w:val="auto"/>
        </w:rPr>
      </w:pPr>
    </w:p>
    <w:p>
      <w:pPr>
        <w:ind w:left="60" w:right="259"/>
        <w:spacing w:after="0" w:line="254" w:lineRule="auto"/>
        <w:rPr>
          <w:sz w:val="20"/>
          <w:szCs w:val="20"/>
          <w:color w:val="auto"/>
        </w:rPr>
      </w:pPr>
      <w:r>
        <w:rPr>
          <w:rFonts w:ascii="Times New Roman" w:cs="Times New Roman" w:eastAsia="Times New Roman" w:hAnsi="Times New Roman"/>
          <w:sz w:val="18"/>
          <w:szCs w:val="18"/>
          <w:color w:val="auto"/>
        </w:rPr>
        <w:t>The Company, as a guarantor, is a party to a credit agreement (the “2018 Credit Agreement”) among EPL, as borrower, Intermediate, as a guarantor, Bank of America, N.A., as administrative agent, swingline lender, and letter of credit issuer, the lenders party thereto, and the other parties thereto, which provides for a $150.0 million five-year senior secured revolving credit facility (the “2018 Revolver”). The 2018 Revolver, which is available pursuant to the 2018 Credit Agreement, includes a sub limit of $15.0 million for letters of credit and a sub limit of $15.0 million for swingline loans. The 2018 Revolver and 2018 Credit Agreement will mature on July 13, 2023. The obligations under the 2018 Credit Agreement and related loan documents are guaranteed by Holdings and Intermediate. The obligations of Holdings, EPL and Intermediate under the 2018 Credit Agreement and related loan documents are secured by a first priority lien on substantially all of their respective assets.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Under the 2018 Revolver, Holdings may not make certain payments such as cash dividends, except that it may, inter alia,</w:t>
      </w:r>
    </w:p>
    <w:p>
      <w:pPr>
        <w:spacing w:after="0" w:line="27" w:lineRule="exact"/>
        <w:rPr>
          <w:sz w:val="20"/>
          <w:szCs w:val="20"/>
          <w:color w:val="auto"/>
        </w:rPr>
      </w:pPr>
    </w:p>
    <w:p>
      <w:pPr>
        <w:ind w:left="60" w:right="79" w:hanging="10"/>
        <w:spacing w:after="0" w:line="265" w:lineRule="auto"/>
        <w:tabs>
          <w:tab w:leader="none" w:pos="27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 up to $1.0 million per year to repurchase or redeem qualified equity interests of Holdings held by our past or present officers, directors, or employees (or their estates) upon death, disability, or termination of employment, (ii) pay under its TRA, and (iii) so long as no default or event of default has occurred and is continuing, (a) make non-cash repurchases of equity interests in connection with the exercise of stock options by directors, officers and management, provided that those equity interests represent a portion of the consideration of the exercise price of those stock options, (b) pay up to $0.5 million in any 12 month consecutive period to redeem, repurchase or otherwise acquire equity interests of any subsidiary that is not a wholly-owned subsidiary from any holder of equity interest in such subsidiary, (c) pay up to $2.5 million</w:t>
      </w:r>
    </w:p>
    <w:p>
      <w:pPr>
        <w:spacing w:after="0" w:line="1" w:lineRule="exact"/>
        <w:rPr>
          <w:rFonts w:ascii="Times New Roman" w:cs="Times New Roman" w:eastAsia="Times New Roman" w:hAnsi="Times New Roman"/>
          <w:sz w:val="17"/>
          <w:szCs w:val="17"/>
          <w:color w:val="auto"/>
        </w:rPr>
      </w:pPr>
    </w:p>
    <w:p>
      <w:pPr>
        <w:ind w:left="60" w:right="199"/>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 year pursuant to stock option plans, employment agreements, or incentive plans, (d) make up to $5.0 million in other restricted payments per year, and (e) make other restricted payments, subject to its compliance, on a pro forma basis, with</w:t>
      </w:r>
    </w:p>
    <w:p>
      <w:pPr>
        <w:ind w:left="60" w:right="299" w:hanging="10"/>
        <w:spacing w:after="0" w:line="260" w:lineRule="auto"/>
        <w:tabs>
          <w:tab w:leader="none" w:pos="3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lease-adjusted consolidated leverage ratio not to exceed 4.25 times and (y) the financial covenants applicable to the 2018 Revolver.</w:t>
      </w:r>
    </w:p>
    <w:p>
      <w:pPr>
        <w:spacing w:after="0" w:line="181" w:lineRule="exact"/>
        <w:rPr>
          <w:sz w:val="20"/>
          <w:szCs w:val="20"/>
          <w:color w:val="auto"/>
        </w:rPr>
      </w:pPr>
    </w:p>
    <w:p>
      <w:pPr>
        <w:ind w:left="60" w:right="179"/>
        <w:spacing w:after="0" w:line="254" w:lineRule="auto"/>
        <w:rPr>
          <w:sz w:val="20"/>
          <w:szCs w:val="20"/>
          <w:color w:val="auto"/>
        </w:rPr>
      </w:pPr>
      <w:r>
        <w:rPr>
          <w:rFonts w:ascii="Times New Roman" w:cs="Times New Roman" w:eastAsia="Times New Roman" w:hAnsi="Times New Roman"/>
          <w:sz w:val="18"/>
          <w:szCs w:val="18"/>
          <w:color w:val="auto"/>
        </w:rPr>
        <w:t>Borrowings under the 2018 Credit Agreement (other than any swingline loans) bear interest, at the borrower’s option, at rates based upon either LIBOR or a base rate, plus, for each rate, a margin determined in accordance with a lease-adjusted consolidated leverage ratio-based pricing grid. The base rate is calculated as the highest of (a) the federal funds rate plus 0.50%, (b) the published Bank of America prime rate, or (c) LIBOR plus 1.00%. For LIBOR loans, the margin is in the range of 1.25% to 2.25%, and for base rate loans the margin is in a range of 0.25% to 1.25%. Borrowings under the 2018 Revolver may be repaid and reborrowed. The interest rate range was 1.70% to 2.87% and 1.35% to 2.87% for the thirteen and twenty-six weeks ended June 29, 2022, respectively, and 1.35% to 1.36% and 1.35% to 1.65% for the thirteen and twenty-six weeks ended June 30, 2021, respectively.</w:t>
      </w:r>
    </w:p>
    <w:p>
      <w:pPr>
        <w:spacing w:after="0" w:line="192"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The 2018 Credit Agreement contains certain financial covenants. We were in compliance with the financial covenants as of June 29, 2022.</w:t>
      </w:r>
    </w:p>
    <w:p>
      <w:pPr>
        <w:spacing w:after="0" w:line="162" w:lineRule="exact"/>
        <w:rPr>
          <w:sz w:val="20"/>
          <w:szCs w:val="20"/>
          <w:color w:val="auto"/>
        </w:rPr>
      </w:pPr>
    </w:p>
    <w:p>
      <w:pPr>
        <w:ind w:left="60" w:right="559"/>
        <w:spacing w:after="0" w:line="312" w:lineRule="auto"/>
        <w:rPr>
          <w:sz w:val="20"/>
          <w:szCs w:val="20"/>
          <w:color w:val="auto"/>
        </w:rPr>
      </w:pPr>
      <w:r>
        <w:rPr>
          <w:rFonts w:ascii="Times New Roman" w:cs="Times New Roman" w:eastAsia="Times New Roman" w:hAnsi="Times New Roman"/>
          <w:sz w:val="17"/>
          <w:szCs w:val="17"/>
          <w:color w:val="auto"/>
        </w:rPr>
        <w:t>At June 29, 2022, $10.0 million of letters of credit and $40.0 million of borrowings were outstanding under the 2018 Revolver. There were $100.0 million remaining borrowings available under the 2018 Revolver at June 29, 2022.</w:t>
      </w:r>
    </w:p>
    <w:p>
      <w:pPr>
        <w:spacing w:after="0" w:line="140"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During the year ended December 25, 2019, we entered into an interest rate swap with a notional amount of $40.0 million, related to the outstanding borrowings under our 2018 Revolver. The interest rate swap was designated as a cash flow hedge and effectively converted a portion of our outstanding borrowings to a fixed rate of 1.31%, plus the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applicable margin spread, which was 1.5% for the twenty-six weeks ended June 29, 2022. The interest rate swap matures in June 2023.</w:t>
      </w:r>
    </w:p>
    <w:p>
      <w:pPr>
        <w:spacing w:after="0" w:line="162"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Subsequent to June 29, 2022, we refinanced the 2018 Revolver and entered into the 2022 Credit Agreement. On July 29, 2022, we made a $20.0 million payment to the 2022 Revolver and the outstanding balance as of August 4, 2022 was $20.0 million. See “Recent Developments” above and Note 1, “Basis of Presentation and Summary of Significant Accounting Policies – Subsequent Events” for additional information.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229"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Our material cash requirements as of June 29, 2022 have not changed materially since those disclosed under “Material Cash Requirements” in Part II, Item 7 of our annual report on Form 10-K for the year ended December 29, 2021. Our material cash requirements relate mostly to future (i) debt payments, including expected interest expense, calculated based on current interest rates, (ii) restaurant operating lease payments, (iii) income tax receivable agreement payments, (iv) purchasing commitments for chicken, (v) restaurant finance lease payments, and (vi) capital expenditures.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ind w:left="60" w:right="139"/>
        <w:spacing w:after="0" w:line="274" w:lineRule="auto"/>
        <w:rPr>
          <w:sz w:val="20"/>
          <w:szCs w:val="20"/>
          <w:color w:val="auto"/>
        </w:rPr>
      </w:pPr>
      <w:r>
        <w:rPr>
          <w:rFonts w:ascii="Times New Roman" w:cs="Times New Roman" w:eastAsia="Times New Roman" w:hAnsi="Times New Roman"/>
          <w:sz w:val="17"/>
          <w:szCs w:val="17"/>
          <w:color w:val="auto"/>
        </w:rPr>
        <w:t>We are exposed to market risk from changes in interest rates on our debt, which bears interest, at USD LIBOR plus a margin between 1.25% and 2.25%. As of June 29, 2022, we had outstanding borrowings of $40.0 million under our 2018 Revolver, $10.0 million of letters of credit in support of our insurance programs, and the applicable margin on outstanding borrowings under 2018 Revolver was 1.5%. After giving effect to the $40.0 million of interest rate swaps described below, we effectively did not have any long-term debt subject to variations in interest rates as of June 29, 2022 and as such, a one percent increase in the variable rate of interest would not result in a material increase in annual interest expense.</w:t>
      </w:r>
    </w:p>
    <w:p>
      <w:pPr>
        <w:spacing w:after="0" w:line="173"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On July 27, 2022, we refinanced the 2018 Revolver and entered into the 2022 Credit Agreement, which provides for a $150 million five-year senior secured revolving facility. In connection with the refinancing, the 2018 Credit Agreement was terminated. On July 29, 2022, we made a $20.0 million payment to the 2022 Revolver and the outstanding balance as of August 4, 2022 was $20.0 million. Borrowings under the 2022 Credit Agreement (other than any swingline loans) bear interest, at the borrowers’ option, at rates based upon either the secured overnight financing rate (“SOFR”) or a base rate, plus, for each rate, a margin determined in accordance with a lease-adjusted consolidated leverage ratio-based pricing grid. For more information regarding the 2022 Credit Agreement, see Note 1, “Basis of Presentation and Summary of Significant Accounting Policies – Subsequent Events.” If future rates based upon SOFR are higher than LIBOR rates as currently determined or if our lenders have increased costs due to changes in LIBOR, we may experience potential increases in interest rates on our variable rate debt, which could adversely impact our interest expense, results of operations and cash flows.</w:t>
      </w:r>
    </w:p>
    <w:p>
      <w:pPr>
        <w:spacing w:after="0" w:line="192"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We manage our interest rate risk through normal operating and financing activities and, when determined appropriate, through the use of derivative financial instruments. To balance our portfolio, we entered into an interest rate swap during the year ended December 25, 2019 with a notional amount of $40.0 million, related to the then-outstanding borrowings under our 2018 Revolver. The interest rate swap was designated as a cash flow hedge and effectively converted a portion of our outstanding borrowings to a fixed rate of 1.31%, plus applicable margin, which was 1.5% for the twenty-six weeks ended June 29, 2022. The interest rate swap matures in June 2023.</w:t>
      </w:r>
    </w:p>
    <w:p>
      <w:pPr>
        <w:spacing w:after="0" w:line="187"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Subsequent to the quarter-end, in connection with our entry into the 2022 Credit Agreement, we terminated the interest rate swap previously used to hedge interest rate risk. In settlement of this swap, we received approximately $0.6 million. The remaining amount in AOCI related to the hedging relationship will be reclassified into earnings when the hedged forecasted transaction is reported in earnings.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Inflation has an impact on food, paper, construction, utility, labor and benefits, general and administrative, and other costs, all of which can materially impact our operations. In general, we have been able to substantially offset cost increases resulting from inflation by increasing menu prices, managing menu mix, improving productivity, or making other adjustments. We may not be able to offset cost increases in the future. In addition, we have a substantial number of hourly employees who are paid wage rates at or based on the applicable federal, state, or local minimum wage, and increases in the minimum wage will increase our labor costs.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229"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We are exposed to market price fluctuation in food product prices. Given the historical volatility of certain of our food product prices, including chicken, other proteins, grains, produce, dairy products, and cooking oil, these fluctuations can materially impact our food and beverage costs. While our purchasing commitments partially mitigate the risk of such fluctuations, there is no assurance that supply and demand factors such as disease or inclement weather will not cause the prices of the commodities used in our restaurant operations to fluctuate. In periods when the prices of commodities drop, we may pay higher prices under our purchasing commitments. In rapidly fluctuating commodities markets, it may prove difficult for us to adjust our menu prices in accordance with input price fluctuations. Therefore, to the extent that we do not pass along cost increases to our customers, our results of operations may be adversely affected. At this time, we do not use financial instruments to hedge our commodity risk.</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in Rules 13a-15(e) of the Securities Exchange Act of 1934, as amended (the “Exchange Act”) that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87" w:lineRule="exact"/>
        <w:rPr>
          <w:sz w:val="20"/>
          <w:szCs w:val="20"/>
          <w:color w:val="auto"/>
        </w:rPr>
      </w:pPr>
    </w:p>
    <w:p>
      <w:pPr>
        <w:ind w:left="60" w:right="159"/>
        <w:spacing w:after="0" w:line="281" w:lineRule="auto"/>
        <w:rPr>
          <w:sz w:val="20"/>
          <w:szCs w:val="20"/>
          <w:color w:val="auto"/>
        </w:rPr>
      </w:pPr>
      <w:r>
        <w:rPr>
          <w:rFonts w:ascii="Times New Roman" w:cs="Times New Roman" w:eastAsia="Times New Roman" w:hAnsi="Times New Roman"/>
          <w:sz w:val="17"/>
          <w:szCs w:val="17"/>
          <w:color w:val="auto"/>
        </w:rPr>
        <w:t>Our disclosure controls and procedures are based on assumptions about the likelihood of future events, and even effective disclosure controls and procedures can only provide reasonable assurance of achieving their objectives. Because of their inherent limitations, we cannot guarantee that our disclosure controls and procedures will succeed in achieving their stated objectives in all cases, that they will be complied with in all cases, or that they will prevent or detect all misstatements.</w:t>
      </w:r>
    </w:p>
    <w:p>
      <w:pPr>
        <w:spacing w:after="0" w:line="164"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Our management has evaluated, with the participation of our Chief Executive Officer and Chief Financial Officer, the effectiveness of our disclosure controls and procedures, as of the end of the period covered by this report. Based on this evaluation, our Chief Executive Officer and Chief Financial Officer concluded that our disclosure controls and procedures were effective, at the reasonable assurance level, as of June 29, 2022.</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left="60" w:right="539"/>
        <w:spacing w:after="0" w:line="282" w:lineRule="auto"/>
        <w:rPr>
          <w:sz w:val="20"/>
          <w:szCs w:val="20"/>
          <w:color w:val="auto"/>
        </w:rPr>
      </w:pPr>
      <w:r>
        <w:rPr>
          <w:rFonts w:ascii="Times New Roman" w:cs="Times New Roman" w:eastAsia="Times New Roman" w:hAnsi="Times New Roman"/>
          <w:sz w:val="18"/>
          <w:szCs w:val="18"/>
          <w:color w:val="auto"/>
        </w:rPr>
        <w:t>No changes in our internal control over financial reporting occurred during the quarter ended June 29,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7" w:lineRule="exact"/>
        <w:rPr>
          <w:sz w:val="20"/>
          <w:szCs w:val="20"/>
          <w:color w:val="auto"/>
        </w:rPr>
      </w:pPr>
    </w:p>
    <w:p>
      <w:pPr>
        <w:jc w:val="both"/>
        <w:ind w:left="60" w:right="279"/>
        <w:spacing w:after="0" w:line="266" w:lineRule="auto"/>
        <w:rPr>
          <w:sz w:val="20"/>
          <w:szCs w:val="20"/>
          <w:color w:val="auto"/>
        </w:rPr>
      </w:pPr>
      <w:r>
        <w:rPr>
          <w:rFonts w:ascii="Times New Roman" w:cs="Times New Roman" w:eastAsia="Times New Roman" w:hAnsi="Times New Roman"/>
          <w:sz w:val="18"/>
          <w:szCs w:val="18"/>
          <w:color w:val="auto"/>
        </w:rPr>
        <w:t>For information regarding material legal proceedings, see Note 7, “Commitments and Contingencies—Legal Matters” in the “Notes to Condensed Consolidated Financial Statements” above, which information is incorporated by reference into this Item 1.</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60" w:right="47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risk factors previously disclosed in our annual report on Form 10-K for the year ended December 29, 2021 filed with the SEC on March 11, 2022.</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color w:val="auto"/>
        </w:rPr>
        <w:t>During the thirteen weeks ended June 29, 2022, the Company acquired shares of its common stock held by its employees to satisfy tax withholding obligations in connection with the vesting of previously issued restricted stock. The number of shares of common stock acquired and the average price paid per share for each month in the second quarter ended June 29, 2022 are as shown in the table below.</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5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80" w:type="dxa"/>
            <w:vAlign w:val="bottom"/>
          </w:tcPr>
          <w:p>
            <w:pPr>
              <w:spacing w:after="0"/>
              <w:rPr>
                <w:sz w:val="13"/>
                <w:szCs w:val="13"/>
                <w:color w:val="auto"/>
              </w:rPr>
            </w:pPr>
          </w:p>
        </w:tc>
        <w:tc>
          <w:tcPr>
            <w:tcW w:w="150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0" w:type="dxa"/>
            <w:vAlign w:val="bottom"/>
          </w:tcPr>
          <w:p>
            <w:pPr>
              <w:spacing w:after="0"/>
              <w:rPr>
                <w:sz w:val="1"/>
                <w:szCs w:val="1"/>
                <w:color w:val="auto"/>
              </w:rPr>
            </w:pPr>
          </w:p>
        </w:tc>
      </w:tr>
      <w:tr>
        <w:trPr>
          <w:trHeight w:val="173"/>
        </w:trPr>
        <w:tc>
          <w:tcPr>
            <w:tcW w:w="37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80" w:type="dxa"/>
            <w:vAlign w:val="bottom"/>
          </w:tcPr>
          <w:p>
            <w:pPr>
              <w:spacing w:after="0"/>
              <w:rPr>
                <w:sz w:val="15"/>
                <w:szCs w:val="15"/>
                <w:color w:val="auto"/>
              </w:rPr>
            </w:pPr>
          </w:p>
        </w:tc>
        <w:tc>
          <w:tcPr>
            <w:tcW w:w="15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0" w:type="dxa"/>
            <w:vAlign w:val="bottom"/>
          </w:tcPr>
          <w:p>
            <w:pPr>
              <w:spacing w:after="0"/>
              <w:rPr>
                <w:sz w:val="1"/>
                <w:szCs w:val="1"/>
                <w:color w:val="auto"/>
              </w:rPr>
            </w:pPr>
          </w:p>
        </w:tc>
      </w:tr>
      <w:tr>
        <w:trPr>
          <w:trHeight w:val="210"/>
        </w:trPr>
        <w:tc>
          <w:tcPr>
            <w:tcW w:w="3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2022 to April 27, 2022</w:t>
            </w:r>
          </w:p>
        </w:tc>
        <w:tc>
          <w:tcPr>
            <w:tcW w:w="19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28, 2022 to May 25, 2022</w:t>
            </w:r>
          </w:p>
        </w:tc>
        <w:tc>
          <w:tcPr>
            <w:tcW w:w="3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20,317</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26, 2022 to June 29, 2022</w:t>
            </w:r>
          </w:p>
        </w:tc>
        <w:tc>
          <w:tcPr>
            <w:tcW w:w="19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94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20,317</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tc>
        <w:tc>
          <w:tcPr>
            <w:tcW w:w="19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3720" w:type="dxa"/>
            <w:vAlign w:val="bottom"/>
            <w:vMerge w:val="continue"/>
          </w:tcPr>
          <w:p>
            <w:pPr>
              <w:spacing w:after="0"/>
              <w:rPr>
                <w:sz w:val="24"/>
                <w:szCs w:val="24"/>
                <w:color w:val="auto"/>
              </w:rPr>
            </w:pPr>
          </w:p>
        </w:tc>
        <w:tc>
          <w:tcPr>
            <w:tcW w:w="19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None.</w:t>
            </w:r>
          </w:p>
        </w:tc>
        <w:tc>
          <w:tcPr>
            <w:tcW w:w="19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tc>
        <w:tc>
          <w:tcPr>
            <w:tcW w:w="19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None.</w:t>
            </w:r>
          </w:p>
        </w:tc>
        <w:tc>
          <w:tcPr>
            <w:tcW w:w="19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5. Other Information.</w:t>
            </w:r>
          </w:p>
        </w:tc>
        <w:tc>
          <w:tcPr>
            <w:tcW w:w="19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None.</w:t>
            </w:r>
          </w:p>
        </w:tc>
        <w:tc>
          <w:tcPr>
            <w:tcW w:w="19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0"/>
        </w:trPr>
        <w:tc>
          <w:tcPr>
            <w:tcW w:w="3720" w:type="dxa"/>
            <w:vAlign w:val="bottom"/>
          </w:tcPr>
          <w:p>
            <w:pPr>
              <w:spacing w:after="0"/>
              <w:rPr>
                <w:sz w:val="24"/>
                <w:szCs w:val="24"/>
                <w:color w:val="auto"/>
              </w:rPr>
            </w:pPr>
          </w:p>
        </w:tc>
        <w:tc>
          <w:tcPr>
            <w:tcW w:w="194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rPr>
              <w:t>46</w:t>
            </w: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7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5"/>
          </w:tcPr>
          <w:p>
            <w:pPr>
              <w:jc w:val="center"/>
              <w:ind w:right="740"/>
              <w:spacing w:after="0"/>
              <w:rPr>
                <w:sz w:val="20"/>
                <w:szCs w:val="20"/>
                <w:color w:val="auto"/>
              </w:rPr>
            </w:pPr>
            <w:r>
              <w:rPr>
                <w:rFonts w:ascii="Times New Roman" w:cs="Times New Roman" w:eastAsia="Times New Roman" w:hAnsi="Times New Roman"/>
                <w:sz w:val="14"/>
                <w:szCs w:val="14"/>
                <w:color w:val="auto"/>
                <w:w w:val="97"/>
              </w:rPr>
              <w:t>Filed</w:t>
            </w:r>
          </w:p>
        </w:tc>
        <w:tc>
          <w:tcPr>
            <w:tcW w:w="240" w:type="dxa"/>
            <w:vAlign w:val="bottom"/>
          </w:tcPr>
          <w:p>
            <w:pPr>
              <w:spacing w:after="0"/>
              <w:rPr>
                <w:sz w:val="13"/>
                <w:szCs w:val="13"/>
                <w:color w:val="auto"/>
              </w:rPr>
            </w:pPr>
          </w:p>
        </w:tc>
        <w:tc>
          <w:tcPr>
            <w:tcW w:w="7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Period</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color w:val="auto"/>
              </w:rPr>
              <w:t>SEC File</w:t>
            </w:r>
          </w:p>
        </w:tc>
        <w:tc>
          <w:tcPr>
            <w:tcW w:w="0" w:type="dxa"/>
            <w:vAlign w:val="bottom"/>
          </w:tcPr>
          <w:p>
            <w:pPr>
              <w:spacing w:after="0"/>
              <w:rPr>
                <w:sz w:val="1"/>
                <w:szCs w:val="1"/>
                <w:color w:val="auto"/>
              </w:rPr>
            </w:pPr>
          </w:p>
        </w:tc>
      </w:tr>
      <w:tr>
        <w:trPr>
          <w:trHeight w:val="128"/>
        </w:trPr>
        <w:tc>
          <w:tcPr>
            <w:tcW w:w="48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Number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0" w:type="dxa"/>
            <w:vAlign w:val="bottom"/>
            <w:gridSpan w:val="20"/>
          </w:tcPr>
          <w:p>
            <w:pPr>
              <w:ind w:left="40"/>
              <w:spacing w:after="0" w:line="129" w:lineRule="exact"/>
              <w:rPr>
                <w:sz w:val="20"/>
                <w:szCs w:val="20"/>
                <w:color w:val="auto"/>
              </w:rPr>
            </w:pPr>
            <w:r>
              <w:rPr>
                <w:rFonts w:ascii="Times New Roman" w:cs="Times New Roman" w:eastAsia="Times New Roman" w:hAnsi="Times New Roman"/>
                <w:sz w:val="14"/>
                <w:szCs w:val="14"/>
                <w:color w:val="auto"/>
              </w:rPr>
              <w:t>Description</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75"/>
              </w:rPr>
              <w:t>Herewith</w:t>
            </w:r>
          </w:p>
        </w:tc>
        <w:tc>
          <w:tcPr>
            <w:tcW w:w="120" w:type="dxa"/>
            <w:vAlign w:val="bottom"/>
          </w:tcPr>
          <w:p>
            <w:pPr>
              <w:spacing w:after="0"/>
              <w:rPr>
                <w:sz w:val="11"/>
                <w:szCs w:val="11"/>
                <w:color w:val="auto"/>
              </w:rPr>
            </w:pPr>
          </w:p>
        </w:tc>
        <w:tc>
          <w:tcPr>
            <w:tcW w:w="620" w:type="dxa"/>
            <w:vAlign w:val="bottom"/>
            <w:gridSpan w:val="3"/>
          </w:tcPr>
          <w:p>
            <w:pPr>
              <w:ind w:left="200"/>
              <w:spacing w:after="0" w:line="129" w:lineRule="exact"/>
              <w:rPr>
                <w:sz w:val="20"/>
                <w:szCs w:val="20"/>
                <w:color w:val="auto"/>
              </w:rPr>
            </w:pPr>
            <w:r>
              <w:rPr>
                <w:rFonts w:ascii="Times New Roman" w:cs="Times New Roman" w:eastAsia="Times New Roman" w:hAnsi="Times New Roman"/>
                <w:sz w:val="14"/>
                <w:szCs w:val="14"/>
                <w:color w:val="auto"/>
              </w:rPr>
              <w:t>Form</w:t>
            </w:r>
          </w:p>
        </w:tc>
        <w:tc>
          <w:tcPr>
            <w:tcW w:w="240" w:type="dxa"/>
            <w:vAlign w:val="bottom"/>
          </w:tcPr>
          <w:p>
            <w:pPr>
              <w:spacing w:after="0"/>
              <w:rPr>
                <w:sz w:val="11"/>
                <w:szCs w:val="11"/>
                <w:color w:val="auto"/>
              </w:rPr>
            </w:pPr>
          </w:p>
        </w:tc>
        <w:tc>
          <w:tcPr>
            <w:tcW w:w="38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color w:val="auto"/>
              </w:rPr>
              <w:t>Ended</w:t>
            </w:r>
          </w:p>
        </w:tc>
        <w:tc>
          <w:tcPr>
            <w:tcW w:w="320" w:type="dxa"/>
            <w:vAlign w:val="bottom"/>
          </w:tcPr>
          <w:p>
            <w:pPr>
              <w:spacing w:after="0"/>
              <w:rPr>
                <w:sz w:val="11"/>
                <w:szCs w:val="11"/>
                <w:color w:val="auto"/>
              </w:rPr>
            </w:pPr>
          </w:p>
        </w:tc>
        <w:tc>
          <w:tcPr>
            <w:tcW w:w="52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color w:val="auto"/>
              </w:rPr>
              <w:t>Exhibit</w:t>
            </w:r>
          </w:p>
        </w:tc>
        <w:tc>
          <w:tcPr>
            <w:tcW w:w="920" w:type="dxa"/>
            <w:vAlign w:val="bottom"/>
            <w:gridSpan w:val="3"/>
          </w:tcPr>
          <w:p>
            <w:pPr>
              <w:jc w:val="right"/>
              <w:ind w:right="160"/>
              <w:spacing w:after="0" w:line="129" w:lineRule="exact"/>
              <w:rPr>
                <w:sz w:val="20"/>
                <w:szCs w:val="20"/>
                <w:color w:val="auto"/>
              </w:rPr>
            </w:pPr>
            <w:r>
              <w:rPr>
                <w:rFonts w:ascii="Times New Roman" w:cs="Times New Roman" w:eastAsia="Times New Roman" w:hAnsi="Times New Roman"/>
                <w:sz w:val="14"/>
                <w:szCs w:val="14"/>
                <w:color w:val="auto"/>
              </w:rPr>
              <w:t>Filing Date</w:t>
            </w:r>
          </w:p>
        </w:tc>
        <w:tc>
          <w:tcPr>
            <w:tcW w:w="220" w:type="dxa"/>
            <w:vAlign w:val="bottom"/>
          </w:tcPr>
          <w:p>
            <w:pPr>
              <w:spacing w:after="0"/>
              <w:rPr>
                <w:sz w:val="11"/>
                <w:szCs w:val="11"/>
                <w:color w:val="auto"/>
              </w:rPr>
            </w:pPr>
          </w:p>
        </w:tc>
        <w:tc>
          <w:tcPr>
            <w:tcW w:w="520" w:type="dxa"/>
            <w:vAlign w:val="bottom"/>
            <w:tcBorders>
              <w:top w:val="single" w:sz="8" w:color="auto"/>
            </w:tcBorders>
            <w:gridSpan w:val="3"/>
          </w:tcPr>
          <w:p>
            <w:pPr>
              <w:jc w:val="center"/>
              <w:spacing w:after="0" w:line="129" w:lineRule="exact"/>
              <w:rPr>
                <w:sz w:val="20"/>
                <w:szCs w:val="20"/>
                <w:color w:val="auto"/>
              </w:rPr>
            </w:pPr>
            <w:r>
              <w:rPr>
                <w:rFonts w:ascii="Times New Roman" w:cs="Times New Roman" w:eastAsia="Times New Roman" w:hAnsi="Times New Roman"/>
                <w:sz w:val="14"/>
                <w:szCs w:val="14"/>
                <w:color w:val="auto"/>
              </w:rPr>
              <w:t>Number</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340" w:type="dxa"/>
            <w:vAlign w:val="bottom"/>
          </w:tcPr>
          <w:p>
            <w:pPr>
              <w:spacing w:after="0"/>
              <w:rPr>
                <w:sz w:val="24"/>
                <w:szCs w:val="24"/>
                <w:color w:val="auto"/>
              </w:rPr>
            </w:pPr>
          </w:p>
        </w:tc>
        <w:tc>
          <w:tcPr>
            <w:tcW w:w="268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62">
              <w:r>
                <w:rPr>
                  <w:rFonts w:ascii="Times New Roman" w:cs="Times New Roman" w:eastAsia="Times New Roman" w:hAnsi="Times New Roman"/>
                  <w:sz w:val="18"/>
                  <w:szCs w:val="18"/>
                  <w:color w:val="0000EE"/>
                  <w:w w:val="99"/>
                </w:rPr>
                <w:t>Amended and Restated Certificate of</w:t>
              </w:r>
            </w:hyperlink>
          </w:p>
        </w:tc>
        <w:tc>
          <w:tcPr>
            <w:tcW w:w="880" w:type="dxa"/>
            <w:vAlign w:val="bottom"/>
            <w:gridSpan w:val="16"/>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3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62">
              <w:r>
                <w:rPr>
                  <w:rFonts w:ascii="Times New Roman" w:cs="Times New Roman" w:eastAsia="Times New Roman" w:hAnsi="Times New Roman"/>
                  <w:sz w:val="18"/>
                  <w:szCs w:val="18"/>
                  <w:color w:val="0000EE"/>
                  <w:w w:val="99"/>
                </w:rPr>
                <w:t>Incorporation of El Pollo Loco Holdings, Inc.</w:t>
              </w:r>
            </w:hyperlink>
          </w:p>
        </w:tc>
        <w:tc>
          <w:tcPr>
            <w:tcW w:w="260" w:type="dxa"/>
            <w:vAlign w:val="bottom"/>
            <w:gridSpan w:val="8"/>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3"/>
          </w:tcPr>
          <w:p>
            <w:pPr>
              <w:jc w:val="center"/>
              <w:ind w:left="36"/>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940" w:type="dxa"/>
            <w:vAlign w:val="bottom"/>
            <w:gridSpan w:val="3"/>
          </w:tcPr>
          <w:p>
            <w:pPr>
              <w:jc w:val="center"/>
              <w:ind w:right="60"/>
              <w:spacing w:after="0" w:line="196" w:lineRule="exact"/>
              <w:rPr>
                <w:sz w:val="20"/>
                <w:szCs w:val="20"/>
                <w:color w:val="auto"/>
              </w:rPr>
            </w:pPr>
            <w:r>
              <w:rPr>
                <w:rFonts w:ascii="Times New Roman" w:cs="Times New Roman" w:eastAsia="Times New Roman" w:hAnsi="Times New Roman"/>
                <w:sz w:val="18"/>
                <w:szCs w:val="18"/>
                <w:color w:val="auto"/>
                <w:w w:val="98"/>
              </w:rPr>
              <w:t>6/25/2014</w:t>
            </w:r>
          </w:p>
        </w:tc>
        <w:tc>
          <w:tcPr>
            <w:tcW w:w="4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7"/>
                <w:szCs w:val="17"/>
                <w:color w:val="auto"/>
              </w:rPr>
            </w:pPr>
          </w:p>
        </w:tc>
        <w:tc>
          <w:tcPr>
            <w:tcW w:w="920" w:type="dxa"/>
            <w:vAlign w:val="bottom"/>
            <w:gridSpan w:val="3"/>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9/5/2014</w:t>
            </w:r>
          </w:p>
        </w:tc>
        <w:tc>
          <w:tcPr>
            <w:tcW w:w="900" w:type="dxa"/>
            <w:vAlign w:val="bottom"/>
            <w:gridSpan w:val="5"/>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001-36556</w:t>
            </w:r>
          </w:p>
        </w:tc>
        <w:tc>
          <w:tcPr>
            <w:tcW w:w="0" w:type="dxa"/>
            <w:vAlign w:val="bottom"/>
          </w:tcPr>
          <w:p>
            <w:pPr>
              <w:spacing w:after="0"/>
              <w:rPr>
                <w:sz w:val="1"/>
                <w:szCs w:val="1"/>
                <w:color w:val="auto"/>
              </w:rPr>
            </w:pPr>
          </w:p>
        </w:tc>
      </w:tr>
      <w:tr>
        <w:trPr>
          <w:trHeight w:val="412"/>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340" w:type="dxa"/>
            <w:vAlign w:val="bottom"/>
          </w:tcPr>
          <w:p>
            <w:pPr>
              <w:spacing w:after="0"/>
              <w:rPr>
                <w:sz w:val="24"/>
                <w:szCs w:val="24"/>
                <w:color w:val="auto"/>
              </w:rPr>
            </w:pPr>
          </w:p>
        </w:tc>
        <w:tc>
          <w:tcPr>
            <w:tcW w:w="32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63">
              <w:r>
                <w:rPr>
                  <w:rFonts w:ascii="Times New Roman" w:cs="Times New Roman" w:eastAsia="Times New Roman" w:hAnsi="Times New Roman"/>
                  <w:sz w:val="18"/>
                  <w:szCs w:val="18"/>
                  <w:color w:val="0000EE"/>
                  <w:w w:val="99"/>
                </w:rPr>
                <w:t>Amended and Restated By-Laws of El Pollo</w:t>
              </w:r>
            </w:hyperlink>
          </w:p>
        </w:tc>
        <w:tc>
          <w:tcPr>
            <w:tcW w:w="340" w:type="dxa"/>
            <w:vAlign w:val="bottom"/>
            <w:gridSpan w:val="11"/>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560" w:type="dxa"/>
            <w:vAlign w:val="bottom"/>
            <w:gridSpan w:val="22"/>
          </w:tcPr>
          <w:p>
            <w:pPr>
              <w:spacing w:after="0" w:line="19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Loco Holdings, Inc.</w:t>
              </w:r>
            </w:hyperlink>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3"/>
          </w:tcPr>
          <w:p>
            <w:pPr>
              <w:jc w:val="center"/>
              <w:ind w:left="36"/>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940" w:type="dxa"/>
            <w:vAlign w:val="bottom"/>
            <w:gridSpan w:val="3"/>
          </w:tcPr>
          <w:p>
            <w:pPr>
              <w:jc w:val="center"/>
              <w:ind w:right="60"/>
              <w:spacing w:after="0" w:line="196" w:lineRule="exact"/>
              <w:rPr>
                <w:sz w:val="20"/>
                <w:szCs w:val="20"/>
                <w:color w:val="auto"/>
              </w:rPr>
            </w:pPr>
            <w:r>
              <w:rPr>
                <w:rFonts w:ascii="Times New Roman" w:cs="Times New Roman" w:eastAsia="Times New Roman" w:hAnsi="Times New Roman"/>
                <w:sz w:val="18"/>
                <w:szCs w:val="18"/>
                <w:color w:val="auto"/>
                <w:w w:val="98"/>
              </w:rPr>
              <w:t>6/25/2014</w:t>
            </w:r>
          </w:p>
        </w:tc>
        <w:tc>
          <w:tcPr>
            <w:tcW w:w="4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17"/>
                <w:szCs w:val="17"/>
                <w:color w:val="auto"/>
              </w:rPr>
            </w:pPr>
          </w:p>
        </w:tc>
        <w:tc>
          <w:tcPr>
            <w:tcW w:w="920" w:type="dxa"/>
            <w:vAlign w:val="bottom"/>
            <w:gridSpan w:val="3"/>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9/5/2014</w:t>
            </w:r>
          </w:p>
        </w:tc>
        <w:tc>
          <w:tcPr>
            <w:tcW w:w="900" w:type="dxa"/>
            <w:vAlign w:val="bottom"/>
            <w:gridSpan w:val="5"/>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001-36556</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340" w:type="dxa"/>
            <w:vAlign w:val="bottom"/>
          </w:tcPr>
          <w:p>
            <w:pPr>
              <w:spacing w:after="0"/>
              <w:rPr>
                <w:sz w:val="24"/>
                <w:szCs w:val="24"/>
                <w:color w:val="auto"/>
              </w:rPr>
            </w:pPr>
          </w:p>
        </w:tc>
        <w:tc>
          <w:tcPr>
            <w:tcW w:w="320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64">
              <w:r>
                <w:rPr>
                  <w:rFonts w:ascii="Times New Roman" w:cs="Times New Roman" w:eastAsia="Times New Roman" w:hAnsi="Times New Roman"/>
                  <w:sz w:val="18"/>
                  <w:szCs w:val="18"/>
                  <w:color w:val="0000EE"/>
                  <w:w w:val="99"/>
                </w:rPr>
                <w:t>Severance and Separation Agreement, dated</w:t>
              </w:r>
            </w:hyperlink>
          </w:p>
        </w:tc>
        <w:tc>
          <w:tcPr>
            <w:tcW w:w="360" w:type="dxa"/>
            <w:vAlign w:val="bottom"/>
            <w:gridSpan w:val="12"/>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50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64">
              <w:r>
                <w:rPr>
                  <w:rFonts w:ascii="Times New Roman" w:cs="Times New Roman" w:eastAsia="Times New Roman" w:hAnsi="Times New Roman"/>
                  <w:sz w:val="18"/>
                  <w:szCs w:val="18"/>
                  <w:color w:val="0000EE"/>
                  <w:w w:val="99"/>
                </w:rPr>
                <w:t>June 15, 2022, between El Pollo Loco Holdings,</w:t>
              </w:r>
            </w:hyperlink>
          </w:p>
        </w:tc>
        <w:tc>
          <w:tcPr>
            <w:tcW w:w="6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64">
              <w:r>
                <w:rPr>
                  <w:rFonts w:ascii="Times New Roman" w:cs="Times New Roman" w:eastAsia="Times New Roman" w:hAnsi="Times New Roman"/>
                  <w:sz w:val="18"/>
                  <w:szCs w:val="18"/>
                  <w:color w:val="0000EE"/>
                  <w:w w:val="99"/>
                </w:rPr>
                <w:t>Inc. and Miguel Lozano</w:t>
              </w:r>
            </w:hyperlink>
          </w:p>
        </w:tc>
        <w:tc>
          <w:tcPr>
            <w:tcW w:w="1820" w:type="dxa"/>
            <w:vAlign w:val="bottom"/>
            <w:gridSpan w:val="18"/>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gridSpan w:val="2"/>
          </w:tcPr>
          <w:p>
            <w:pPr>
              <w:jc w:val="center"/>
              <w:ind w:right="40"/>
              <w:spacing w:after="0" w:line="196" w:lineRule="exact"/>
              <w:rPr>
                <w:sz w:val="20"/>
                <w:szCs w:val="20"/>
                <w:color w:val="auto"/>
              </w:rPr>
            </w:pPr>
            <w:r>
              <w:rPr>
                <w:rFonts w:ascii="Times New Roman" w:cs="Times New Roman" w:eastAsia="Times New Roman" w:hAnsi="Times New Roman"/>
                <w:sz w:val="18"/>
                <w:szCs w:val="18"/>
                <w:color w:val="auto"/>
                <w:w w:val="92"/>
              </w:rPr>
              <w:t>8-K</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7"/>
                <w:szCs w:val="17"/>
                <w:color w:val="auto"/>
              </w:rPr>
            </w:pPr>
          </w:p>
        </w:tc>
        <w:tc>
          <w:tcPr>
            <w:tcW w:w="92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auto"/>
              </w:rPr>
              <w:t>6/21/2022</w:t>
            </w:r>
          </w:p>
        </w:tc>
        <w:tc>
          <w:tcPr>
            <w:tcW w:w="900" w:type="dxa"/>
            <w:vAlign w:val="bottom"/>
            <w:gridSpan w:val="5"/>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001-36556</w:t>
            </w:r>
          </w:p>
        </w:tc>
        <w:tc>
          <w:tcPr>
            <w:tcW w:w="0" w:type="dxa"/>
            <w:vAlign w:val="bottom"/>
          </w:tcPr>
          <w:p>
            <w:pPr>
              <w:spacing w:after="0"/>
              <w:rPr>
                <w:sz w:val="1"/>
                <w:szCs w:val="1"/>
                <w:color w:val="auto"/>
              </w:rPr>
            </w:pPr>
          </w:p>
        </w:tc>
      </w:tr>
      <w:tr>
        <w:trPr>
          <w:trHeight w:val="452"/>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340" w:type="dxa"/>
            <w:vAlign w:val="bottom"/>
          </w:tcPr>
          <w:p>
            <w:pPr>
              <w:spacing w:after="0"/>
              <w:rPr>
                <w:sz w:val="24"/>
                <w:szCs w:val="24"/>
                <w:color w:val="auto"/>
              </w:rPr>
            </w:pPr>
          </w:p>
        </w:tc>
        <w:tc>
          <w:tcPr>
            <w:tcW w:w="336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65">
              <w:r>
                <w:rPr>
                  <w:rFonts w:ascii="Times New Roman" w:cs="Times New Roman" w:eastAsia="Times New Roman" w:hAnsi="Times New Roman"/>
                  <w:sz w:val="18"/>
                  <w:szCs w:val="18"/>
                  <w:color w:val="0000EE"/>
                  <w:w w:val="99"/>
                </w:rPr>
                <w:t>Employment Agreement, dated June 28, 2022,</w:t>
              </w:r>
            </w:hyperlink>
          </w:p>
        </w:tc>
        <w:tc>
          <w:tcPr>
            <w:tcW w:w="200" w:type="dxa"/>
            <w:vAlign w:val="bottom"/>
            <w:gridSpan w:val="6"/>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65">
              <w:r>
                <w:rPr>
                  <w:rFonts w:ascii="Times New Roman" w:cs="Times New Roman" w:eastAsia="Times New Roman" w:hAnsi="Times New Roman"/>
                  <w:sz w:val="18"/>
                  <w:szCs w:val="18"/>
                  <w:color w:val="0000EE"/>
                  <w:w w:val="99"/>
                </w:rPr>
                <w:t>between El Pollo Loco Holdings, Inc. and Ira</w:t>
              </w:r>
            </w:hyperlink>
          </w:p>
        </w:tc>
        <w:tc>
          <w:tcPr>
            <w:tcW w:w="280" w:type="dxa"/>
            <w:vAlign w:val="bottom"/>
            <w:gridSpan w:val="9"/>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Borders>
              <w:bottom w:val="single" w:sz="8" w:color="0000EE"/>
            </w:tcBorders>
          </w:tcPr>
          <w:p>
            <w:pPr>
              <w:spacing w:after="0" w:line="182" w:lineRule="exact"/>
              <w:rPr>
                <w:rFonts w:ascii="Times New Roman" w:cs="Times New Roman" w:eastAsia="Times New Roman" w:hAnsi="Times New Roman"/>
                <w:sz w:val="18"/>
                <w:szCs w:val="18"/>
                <w:color w:val="0000EE"/>
                <w:w w:val="96"/>
              </w:rPr>
            </w:pPr>
            <w:hyperlink r:id="rId65">
              <w:r>
                <w:rPr>
                  <w:rFonts w:ascii="Times New Roman" w:cs="Times New Roman" w:eastAsia="Times New Roman" w:hAnsi="Times New Roman"/>
                  <w:sz w:val="18"/>
                  <w:szCs w:val="18"/>
                  <w:color w:val="0000EE"/>
                  <w:w w:val="96"/>
                </w:rPr>
                <w:t>Fils</w:t>
              </w:r>
            </w:hyperlink>
          </w:p>
        </w:tc>
        <w:tc>
          <w:tcPr>
            <w:tcW w:w="1080" w:type="dxa"/>
            <w:vAlign w:val="bottom"/>
          </w:tcPr>
          <w:p>
            <w:pPr>
              <w:spacing w:after="0"/>
              <w:rPr>
                <w:sz w:val="17"/>
                <w:szCs w:val="17"/>
                <w:color w:val="auto"/>
              </w:rPr>
            </w:pPr>
          </w:p>
        </w:tc>
        <w:tc>
          <w:tcPr>
            <w:tcW w:w="1740" w:type="dxa"/>
            <w:vAlign w:val="bottom"/>
            <w:gridSpan w:val="5"/>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gridSpan w:val="3"/>
          </w:tcPr>
          <w:p>
            <w:pPr>
              <w:spacing w:after="0"/>
              <w:rPr>
                <w:sz w:val="17"/>
                <w:szCs w:val="17"/>
                <w:color w:val="auto"/>
              </w:rPr>
            </w:pPr>
          </w:p>
        </w:tc>
        <w:tc>
          <w:tcPr>
            <w:tcW w:w="10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8"/>
                <w:szCs w:val="18"/>
                <w:color w:val="auto"/>
                <w:w w:val="92"/>
              </w:rPr>
              <w:t>8-K</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7"/>
                <w:szCs w:val="17"/>
                <w:color w:val="auto"/>
              </w:rPr>
            </w:pPr>
          </w:p>
        </w:tc>
        <w:tc>
          <w:tcPr>
            <w:tcW w:w="9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7/1/2022</w:t>
            </w:r>
          </w:p>
        </w:tc>
        <w:tc>
          <w:tcPr>
            <w:tcW w:w="900" w:type="dxa"/>
            <w:vAlign w:val="bottom"/>
            <w:gridSpan w:val="5"/>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001-36556</w:t>
            </w:r>
          </w:p>
        </w:tc>
        <w:tc>
          <w:tcPr>
            <w:tcW w:w="0" w:type="dxa"/>
            <w:vAlign w:val="bottom"/>
          </w:tcPr>
          <w:p>
            <w:pPr>
              <w:spacing w:after="0"/>
              <w:rPr>
                <w:sz w:val="1"/>
                <w:szCs w:val="1"/>
                <w:color w:val="auto"/>
              </w:rPr>
            </w:pPr>
          </w:p>
        </w:tc>
      </w:tr>
      <w:tr>
        <w:trPr>
          <w:trHeight w:val="61"/>
        </w:trPr>
        <w:tc>
          <w:tcPr>
            <w:tcW w:w="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10.3</w:t>
            </w:r>
          </w:p>
        </w:tc>
        <w:tc>
          <w:tcPr>
            <w:tcW w:w="340" w:type="dxa"/>
            <w:vAlign w:val="bottom"/>
          </w:tcPr>
          <w:p>
            <w:pPr>
              <w:spacing w:after="0"/>
              <w:rPr>
                <w:sz w:val="5"/>
                <w:szCs w:val="5"/>
                <w:color w:val="auto"/>
              </w:rPr>
            </w:pPr>
          </w:p>
        </w:tc>
        <w:tc>
          <w:tcPr>
            <w:tcW w:w="3240" w:type="dxa"/>
            <w:vAlign w:val="bottom"/>
            <w:gridSpan w:val="12"/>
            <w:vMerge w:val="restart"/>
          </w:tcPr>
          <w:p>
            <w:pPr>
              <w:spacing w:after="0"/>
              <w:rPr>
                <w:rFonts w:ascii="Times New Roman" w:cs="Times New Roman" w:eastAsia="Times New Roman" w:hAnsi="Times New Roman"/>
                <w:sz w:val="18"/>
                <w:szCs w:val="18"/>
                <w:color w:val="0000EE"/>
                <w:w w:val="99"/>
              </w:rPr>
            </w:pPr>
            <w:hyperlink r:id="rId66">
              <w:r>
                <w:rPr>
                  <w:rFonts w:ascii="Times New Roman" w:cs="Times New Roman" w:eastAsia="Times New Roman" w:hAnsi="Times New Roman"/>
                  <w:sz w:val="18"/>
                  <w:szCs w:val="18"/>
                  <w:color w:val="0000EE"/>
                  <w:w w:val="99"/>
                </w:rPr>
                <w:t>Credit Agreement, dated as of July 27, 2022,</w:t>
              </w:r>
            </w:hyperlink>
          </w:p>
        </w:tc>
        <w:tc>
          <w:tcPr>
            <w:tcW w:w="320" w:type="dxa"/>
            <w:vAlign w:val="bottom"/>
            <w:gridSpan w:val="10"/>
            <w:vMerge w:val="restart"/>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gridSpan w:val="3"/>
            <w:vMerge w:val="continue"/>
          </w:tcPr>
          <w:p>
            <w:pPr>
              <w:spacing w:after="0"/>
              <w:rPr>
                <w:sz w:val="5"/>
                <w:szCs w:val="5"/>
                <w:color w:val="auto"/>
              </w:rPr>
            </w:pPr>
          </w:p>
        </w:tc>
        <w:tc>
          <w:tcPr>
            <w:tcW w:w="9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97"/>
        </w:trPr>
        <w:tc>
          <w:tcPr>
            <w:tcW w:w="4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3240" w:type="dxa"/>
            <w:vAlign w:val="bottom"/>
            <w:tcBorders>
              <w:bottom w:val="single" w:sz="8" w:color="0000EE"/>
            </w:tcBorders>
            <w:gridSpan w:val="12"/>
            <w:vMerge w:val="continue"/>
          </w:tcPr>
          <w:p>
            <w:pPr>
              <w:spacing w:after="0"/>
              <w:rPr>
                <w:sz w:val="24"/>
                <w:szCs w:val="24"/>
                <w:color w:val="auto"/>
              </w:rPr>
            </w:pPr>
          </w:p>
        </w:tc>
        <w:tc>
          <w:tcPr>
            <w:tcW w:w="320" w:type="dxa"/>
            <w:vAlign w:val="bottom"/>
            <w:gridSpan w:val="10"/>
            <w:vMerge w:val="continue"/>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1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66">
              <w:r>
                <w:rPr>
                  <w:rFonts w:ascii="Times New Roman" w:cs="Times New Roman" w:eastAsia="Times New Roman" w:hAnsi="Times New Roman"/>
                  <w:sz w:val="18"/>
                  <w:szCs w:val="18"/>
                  <w:color w:val="0000EE"/>
                  <w:w w:val="99"/>
                </w:rPr>
                <w:t>among El Pollo Loco, Inc., as borrower, El</w:t>
              </w:r>
            </w:hyperlink>
          </w:p>
        </w:tc>
        <w:tc>
          <w:tcPr>
            <w:tcW w:w="460" w:type="dxa"/>
            <w:vAlign w:val="bottom"/>
            <w:gridSpan w:val="15"/>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560" w:type="dxa"/>
            <w:vAlign w:val="bottom"/>
            <w:gridSpan w:val="22"/>
          </w:tcPr>
          <w:p>
            <w:pPr>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Pollo Loco Holdings, Inc., as guarantor, the</w:t>
              </w:r>
            </w:hyperlink>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780" w:type="dxa"/>
            <w:vAlign w:val="bottom"/>
            <w:gridSpan w:val="6"/>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66">
              <w:r>
                <w:rPr>
                  <w:rFonts w:ascii="Times New Roman" w:cs="Times New Roman" w:eastAsia="Times New Roman" w:hAnsi="Times New Roman"/>
                  <w:sz w:val="18"/>
                  <w:szCs w:val="18"/>
                  <w:color w:val="0000EE"/>
                  <w:w w:val="99"/>
                </w:rPr>
                <w:t>other guarantors party thereto, the lenders party</w:t>
              </w:r>
            </w:hyperlink>
          </w:p>
        </w:tc>
        <w:tc>
          <w:tcPr>
            <w:tcW w:w="120" w:type="dxa"/>
            <w:vAlign w:val="bottom"/>
            <w:gridSpan w:val="3"/>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560" w:type="dxa"/>
            <w:vAlign w:val="bottom"/>
            <w:gridSpan w:val="22"/>
          </w:tcPr>
          <w:p>
            <w:pPr>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thereto and Bank of America, as administrative</w:t>
              </w:r>
            </w:hyperlink>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820" w:type="dxa"/>
            <w:vAlign w:val="bottom"/>
            <w:gridSpan w:val="7"/>
            <w:shd w:val="clear" w:color="auto" w:fill="0000EE"/>
          </w:tcPr>
          <w:p>
            <w:pPr>
              <w:spacing w:after="0" w:line="20" w:lineRule="exact"/>
              <w:rPr>
                <w:sz w:val="1"/>
                <w:szCs w:val="1"/>
                <w:color w:val="auto"/>
              </w:rPr>
            </w:pPr>
          </w:p>
        </w:tc>
        <w:tc>
          <w:tcPr>
            <w:tcW w:w="16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52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66">
              <w:r>
                <w:rPr>
                  <w:rFonts w:ascii="Times New Roman" w:cs="Times New Roman" w:eastAsia="Times New Roman" w:hAnsi="Times New Roman"/>
                  <w:sz w:val="18"/>
                  <w:szCs w:val="18"/>
                  <w:color w:val="0000EE"/>
                  <w:w w:val="99"/>
                </w:rPr>
                <w:t>agent, swingline lender and letter of credit issuer</w:t>
              </w:r>
            </w:hyperlink>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gridSpan w:val="2"/>
          </w:tcPr>
          <w:p>
            <w:pPr>
              <w:jc w:val="center"/>
              <w:ind w:right="40"/>
              <w:spacing w:after="0" w:line="196" w:lineRule="exact"/>
              <w:rPr>
                <w:sz w:val="20"/>
                <w:szCs w:val="20"/>
                <w:color w:val="auto"/>
              </w:rPr>
            </w:pPr>
            <w:r>
              <w:rPr>
                <w:rFonts w:ascii="Times New Roman" w:cs="Times New Roman" w:eastAsia="Times New Roman" w:hAnsi="Times New Roman"/>
                <w:sz w:val="18"/>
                <w:szCs w:val="18"/>
                <w:color w:val="auto"/>
                <w:w w:val="92"/>
              </w:rPr>
              <w:t>8-K</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7"/>
                <w:szCs w:val="17"/>
                <w:color w:val="auto"/>
              </w:rPr>
            </w:pPr>
          </w:p>
        </w:tc>
        <w:tc>
          <w:tcPr>
            <w:tcW w:w="92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8/2/2022</w:t>
            </w:r>
          </w:p>
        </w:tc>
        <w:tc>
          <w:tcPr>
            <w:tcW w:w="900" w:type="dxa"/>
            <w:vAlign w:val="bottom"/>
            <w:gridSpan w:val="5"/>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001-36556</w:t>
            </w:r>
          </w:p>
        </w:tc>
        <w:tc>
          <w:tcPr>
            <w:tcW w:w="0" w:type="dxa"/>
            <w:vAlign w:val="bottom"/>
          </w:tcPr>
          <w:p>
            <w:pPr>
              <w:spacing w:after="0"/>
              <w:rPr>
                <w:sz w:val="1"/>
                <w:szCs w:val="1"/>
                <w:color w:val="auto"/>
              </w:rPr>
            </w:pPr>
          </w:p>
        </w:tc>
      </w:tr>
      <w:tr>
        <w:trPr>
          <w:trHeight w:val="412"/>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340" w:type="dxa"/>
            <w:vAlign w:val="bottom"/>
          </w:tcPr>
          <w:p>
            <w:pPr>
              <w:spacing w:after="0"/>
              <w:rPr>
                <w:sz w:val="24"/>
                <w:szCs w:val="24"/>
                <w:color w:val="auto"/>
              </w:rPr>
            </w:pPr>
          </w:p>
        </w:tc>
        <w:tc>
          <w:tcPr>
            <w:tcW w:w="334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Certification of Chief Executive Officer under</w:t>
            </w:r>
          </w:p>
        </w:tc>
        <w:tc>
          <w:tcPr>
            <w:tcW w:w="220" w:type="dxa"/>
            <w:vAlign w:val="bottom"/>
            <w:gridSpan w:val="7"/>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5"/>
          </w:tcPr>
          <w:p>
            <w:pPr>
              <w:jc w:val="center"/>
              <w:ind w:right="740"/>
              <w:spacing w:after="0"/>
              <w:rPr>
                <w:sz w:val="20"/>
                <w:szCs w:val="20"/>
                <w:color w:val="auto"/>
              </w:rPr>
            </w:pPr>
            <w:r>
              <w:rPr>
                <w:rFonts w:ascii="Times New Roman" w:cs="Times New Roman" w:eastAsia="Times New Roman" w:hAnsi="Times New Roman"/>
                <w:sz w:val="18"/>
                <w:szCs w:val="18"/>
                <w:color w:val="auto"/>
                <w:w w:val="91"/>
              </w:rPr>
              <w:t>X</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5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section 302 of the Sarbanes–Oxley Act of 2002</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340" w:type="dxa"/>
            <w:vAlign w:val="bottom"/>
          </w:tcPr>
          <w:p>
            <w:pPr>
              <w:spacing w:after="0"/>
              <w:rPr>
                <w:sz w:val="24"/>
                <w:szCs w:val="24"/>
                <w:color w:val="auto"/>
              </w:rPr>
            </w:pPr>
          </w:p>
        </w:tc>
        <w:tc>
          <w:tcPr>
            <w:tcW w:w="3400" w:type="dxa"/>
            <w:vAlign w:val="bottom"/>
            <w:tcBorders>
              <w:top w:val="single" w:sz="8" w:color="0000EE"/>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under</w:t>
            </w:r>
          </w:p>
        </w:tc>
        <w:tc>
          <w:tcPr>
            <w:tcW w:w="20" w:type="dxa"/>
            <w:vAlign w:val="bottom"/>
            <w:tcBorders>
              <w:top w:val="single" w:sz="8" w:color="0000EE"/>
            </w:tcBorders>
          </w:tcPr>
          <w:p>
            <w:pPr>
              <w:spacing w:after="0"/>
              <w:rPr>
                <w:sz w:val="24"/>
                <w:szCs w:val="24"/>
                <w:color w:val="auto"/>
              </w:rPr>
            </w:pPr>
          </w:p>
        </w:tc>
        <w:tc>
          <w:tcPr>
            <w:tcW w:w="140" w:type="dxa"/>
            <w:vAlign w:val="bottom"/>
            <w:gridSpan w:val="4"/>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5"/>
          </w:tcPr>
          <w:p>
            <w:pPr>
              <w:jc w:val="center"/>
              <w:ind w:right="740"/>
              <w:spacing w:after="0"/>
              <w:rPr>
                <w:sz w:val="20"/>
                <w:szCs w:val="20"/>
                <w:color w:val="auto"/>
              </w:rPr>
            </w:pPr>
            <w:r>
              <w:rPr>
                <w:rFonts w:ascii="Times New Roman" w:cs="Times New Roman" w:eastAsia="Times New Roman" w:hAnsi="Times New Roman"/>
                <w:sz w:val="18"/>
                <w:szCs w:val="18"/>
                <w:color w:val="auto"/>
                <w:w w:val="91"/>
              </w:rPr>
              <w:t>X</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5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section 302 of the Sarbanes–Oxley Act of 2002</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340" w:type="dxa"/>
            <w:vAlign w:val="bottom"/>
          </w:tcPr>
          <w:p>
            <w:pPr>
              <w:spacing w:after="0"/>
              <w:rPr>
                <w:sz w:val="24"/>
                <w:szCs w:val="24"/>
                <w:color w:val="auto"/>
              </w:rPr>
            </w:pPr>
          </w:p>
        </w:tc>
        <w:tc>
          <w:tcPr>
            <w:tcW w:w="3420" w:type="dxa"/>
            <w:vAlign w:val="bottom"/>
            <w:tcBorders>
              <w:top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and</w:t>
            </w:r>
          </w:p>
        </w:tc>
        <w:tc>
          <w:tcPr>
            <w:tcW w:w="140" w:type="dxa"/>
            <w:vAlign w:val="bottom"/>
            <w:gridSpan w:val="4"/>
          </w:tcPr>
          <w:p>
            <w:pPr>
              <w:spacing w:after="0"/>
              <w:rPr>
                <w:sz w:val="24"/>
                <w:szCs w:val="24"/>
                <w:color w:val="auto"/>
              </w:rPr>
            </w:pPr>
          </w:p>
        </w:tc>
        <w:tc>
          <w:tcPr>
            <w:tcW w:w="46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820" w:type="dxa"/>
            <w:vAlign w:val="bottom"/>
            <w:gridSpan w:val="7"/>
            <w:shd w:val="clear" w:color="auto" w:fill="0000EE"/>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5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Chief Financial Officer under 18 U.S.C. section</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4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1350, adopted by section 906 of the Sarbanes–</w:t>
            </w:r>
          </w:p>
        </w:tc>
        <w:tc>
          <w:tcPr>
            <w:tcW w:w="120" w:type="dxa"/>
            <w:vAlign w:val="bottom"/>
            <w:gridSpan w:val="3"/>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Oxley Act of 2002</w:t>
            </w:r>
          </w:p>
        </w:tc>
        <w:tc>
          <w:tcPr>
            <w:tcW w:w="2000" w:type="dxa"/>
            <w:vAlign w:val="bottom"/>
            <w:tcBorders>
              <w:top w:val="single" w:sz="8" w:color="0000EE"/>
            </w:tcBorders>
            <w:gridSpan w:val="14"/>
          </w:tcPr>
          <w:p>
            <w:pPr>
              <w:spacing w:after="0"/>
              <w:rPr>
                <w:sz w:val="17"/>
                <w:szCs w:val="17"/>
                <w:color w:val="auto"/>
              </w:rPr>
            </w:pPr>
          </w:p>
        </w:tc>
        <w:tc>
          <w:tcPr>
            <w:tcW w:w="200" w:type="dxa"/>
            <w:vAlign w:val="bottom"/>
            <w:gridSpan w:val="6"/>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356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5"/>
          </w:tcPr>
          <w:p>
            <w:pPr>
              <w:jc w:val="center"/>
              <w:ind w:right="740"/>
              <w:spacing w:after="0"/>
              <w:rPr>
                <w:sz w:val="20"/>
                <w:szCs w:val="20"/>
                <w:color w:val="auto"/>
              </w:rPr>
            </w:pPr>
            <w:r>
              <w:rPr>
                <w:rFonts w:ascii="Times New Roman" w:cs="Times New Roman" w:eastAsia="Times New Roman" w:hAnsi="Times New Roman"/>
                <w:sz w:val="18"/>
                <w:szCs w:val="18"/>
                <w:color w:val="auto"/>
                <w:w w:val="91"/>
              </w:rPr>
              <w:t>X</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56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document does not appear in the Interactive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56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Data File because its XBRL tags are embedded</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6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356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5"/>
          </w:tcPr>
          <w:p>
            <w:pPr>
              <w:jc w:val="center"/>
              <w:ind w:right="740"/>
              <w:spacing w:after="0"/>
              <w:rPr>
                <w:sz w:val="20"/>
                <w:szCs w:val="20"/>
                <w:color w:val="auto"/>
              </w:rPr>
            </w:pPr>
            <w:r>
              <w:rPr>
                <w:rFonts w:ascii="Times New Roman" w:cs="Times New Roman" w:eastAsia="Times New Roman" w:hAnsi="Times New Roman"/>
                <w:sz w:val="18"/>
                <w:szCs w:val="18"/>
                <w:color w:val="auto"/>
                <w:w w:val="91"/>
              </w:rPr>
              <w:t>X</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356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XBRL Taxonomy Extension Calculation</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5"/>
          </w:tcPr>
          <w:p>
            <w:pPr>
              <w:jc w:val="center"/>
              <w:ind w:right="740"/>
              <w:spacing w:after="0"/>
              <w:rPr>
                <w:sz w:val="20"/>
                <w:szCs w:val="20"/>
                <w:color w:val="auto"/>
              </w:rPr>
            </w:pPr>
            <w:r>
              <w:rPr>
                <w:rFonts w:ascii="Times New Roman" w:cs="Times New Roman" w:eastAsia="Times New Roman" w:hAnsi="Times New Roman"/>
                <w:sz w:val="18"/>
                <w:szCs w:val="18"/>
                <w:color w:val="auto"/>
                <w:w w:val="91"/>
              </w:rPr>
              <w:t>X</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6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356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XBRL Taxonomy Extension Definition</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5"/>
          </w:tcPr>
          <w:p>
            <w:pPr>
              <w:jc w:val="center"/>
              <w:ind w:right="740"/>
              <w:spacing w:after="0"/>
              <w:rPr>
                <w:sz w:val="20"/>
                <w:szCs w:val="20"/>
                <w:color w:val="auto"/>
              </w:rPr>
            </w:pPr>
            <w:r>
              <w:rPr>
                <w:rFonts w:ascii="Times New Roman" w:cs="Times New Roman" w:eastAsia="Times New Roman" w:hAnsi="Times New Roman"/>
                <w:sz w:val="18"/>
                <w:szCs w:val="18"/>
                <w:color w:val="auto"/>
                <w:w w:val="91"/>
              </w:rPr>
              <w:t>X</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6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356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XBRL Taxonomy Extension Label Linkbase</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5"/>
          </w:tcPr>
          <w:p>
            <w:pPr>
              <w:jc w:val="center"/>
              <w:ind w:right="740"/>
              <w:spacing w:after="0"/>
              <w:rPr>
                <w:sz w:val="20"/>
                <w:szCs w:val="20"/>
                <w:color w:val="auto"/>
              </w:rPr>
            </w:pPr>
            <w:r>
              <w:rPr>
                <w:rFonts w:ascii="Times New Roman" w:cs="Times New Roman" w:eastAsia="Times New Roman" w:hAnsi="Times New Roman"/>
                <w:sz w:val="18"/>
                <w:szCs w:val="18"/>
                <w:color w:val="auto"/>
                <w:w w:val="91"/>
              </w:rPr>
              <w:t>X</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6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Document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3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XBRL Taxonomy Extension Presentation</w:t>
            </w:r>
          </w:p>
        </w:tc>
        <w:tc>
          <w:tcPr>
            <w:tcW w:w="32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76"/>
              </w:rPr>
              <w:t>X</w:t>
            </w:r>
          </w:p>
        </w:tc>
      </w:tr>
      <w:tr>
        <w:trPr>
          <w:trHeight w:val="234"/>
        </w:trPr>
        <w:tc>
          <w:tcPr>
            <w:tcW w:w="740" w:type="dxa"/>
            <w:vAlign w:val="bottom"/>
          </w:tcPr>
          <w:p>
            <w:pPr>
              <w:spacing w:after="0"/>
              <w:rPr>
                <w:sz w:val="20"/>
                <w:szCs w:val="20"/>
                <w:color w:val="auto"/>
              </w:rPr>
            </w:pPr>
          </w:p>
        </w:tc>
        <w:tc>
          <w:tcPr>
            <w:tcW w:w="3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Linkbase Document</w:t>
            </w:r>
          </w:p>
        </w:tc>
        <w:tc>
          <w:tcPr>
            <w:tcW w:w="320" w:type="dxa"/>
            <w:vAlign w:val="bottom"/>
          </w:tcPr>
          <w:p>
            <w:pPr>
              <w:spacing w:after="0"/>
              <w:rPr>
                <w:sz w:val="20"/>
                <w:szCs w:val="20"/>
                <w:color w:val="auto"/>
              </w:rPr>
            </w:pPr>
          </w:p>
        </w:tc>
      </w:tr>
      <w:tr>
        <w:trPr>
          <w:trHeight w:val="41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Cover Page Interactive Data File - the cover</w:t>
            </w:r>
          </w:p>
        </w:tc>
        <w:tc>
          <w:tcPr>
            <w:tcW w:w="32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76"/>
              </w:rPr>
              <w:t>X</w:t>
            </w:r>
          </w:p>
        </w:tc>
      </w:tr>
      <w:tr>
        <w:trPr>
          <w:trHeight w:val="216"/>
        </w:trPr>
        <w:tc>
          <w:tcPr>
            <w:tcW w:w="740" w:type="dxa"/>
            <w:vAlign w:val="bottom"/>
          </w:tcPr>
          <w:p>
            <w:pPr>
              <w:spacing w:after="0"/>
              <w:rPr>
                <w:sz w:val="18"/>
                <w:szCs w:val="18"/>
                <w:color w:val="auto"/>
              </w:rPr>
            </w:pPr>
          </w:p>
        </w:tc>
        <w:tc>
          <w:tcPr>
            <w:tcW w:w="3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page interactive data file does not appear in the</w:t>
            </w:r>
          </w:p>
        </w:tc>
        <w:tc>
          <w:tcPr>
            <w:tcW w:w="32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3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Interactive Data File because its XBRL tags are</w:t>
            </w:r>
          </w:p>
        </w:tc>
        <w:tc>
          <w:tcPr>
            <w:tcW w:w="320" w:type="dxa"/>
            <w:vAlign w:val="bottom"/>
          </w:tcPr>
          <w:p>
            <w:pPr>
              <w:spacing w:after="0"/>
              <w:rPr>
                <w:sz w:val="18"/>
                <w:szCs w:val="18"/>
                <w:color w:val="auto"/>
              </w:rPr>
            </w:pPr>
          </w:p>
        </w:tc>
      </w:tr>
      <w:tr>
        <w:trPr>
          <w:trHeight w:val="234"/>
        </w:trPr>
        <w:tc>
          <w:tcPr>
            <w:tcW w:w="740" w:type="dxa"/>
            <w:vAlign w:val="bottom"/>
          </w:tcPr>
          <w:p>
            <w:pPr>
              <w:spacing w:after="0"/>
              <w:rPr>
                <w:sz w:val="20"/>
                <w:szCs w:val="20"/>
                <w:color w:val="auto"/>
              </w:rPr>
            </w:pPr>
          </w:p>
        </w:tc>
        <w:tc>
          <w:tcPr>
            <w:tcW w:w="3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3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78" w:lineRule="exact"/>
        <w:rPr>
          <w:sz w:val="20"/>
          <w:szCs w:val="20"/>
          <w:color w:val="auto"/>
        </w:rPr>
      </w:pPr>
    </w:p>
    <w:p>
      <w:pPr>
        <w:ind w:left="380" w:right="159" w:hanging="330"/>
        <w:spacing w:after="0" w:line="261"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601(b)(32)(ii) of Regulation S-K (17 C.F.R. § 229.601(b)(32)(ii)), this certification is deemed furnished, not filed, for purposes of section 18 of the Exchange Act, nor is it otherwise subject to liability under that section. It will not be deemed to be incorporated by reference into any filing under the Securities Act or the Exchange Act, except if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El Pollo Loco Holdings, Inc.</w:t>
      </w:r>
    </w:p>
    <w:p>
      <w:pPr>
        <w:spacing w:after="0" w:line="63"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-127635</wp:posOffset>
            </wp:positionV>
            <wp:extent cx="27686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86" w:lineRule="exact"/>
        <w:rPr>
          <w:sz w:val="20"/>
          <w:szCs w:val="20"/>
          <w:color w:val="auto"/>
        </w:rPr>
      </w:pPr>
    </w:p>
    <w:p>
      <w:pPr>
        <w:ind w:left="100"/>
        <w:spacing w:after="0"/>
        <w:tabs>
          <w:tab w:leader="none" w:pos="4620" w:val="left"/>
        </w:tabs>
        <w:rPr>
          <w:sz w:val="20"/>
          <w:szCs w:val="20"/>
          <w:color w:val="auto"/>
        </w:rPr>
      </w:pPr>
      <w:r>
        <w:rPr>
          <w:rFonts w:ascii="Times New Roman" w:cs="Times New Roman" w:eastAsia="Times New Roman" w:hAnsi="Times New Roman"/>
          <w:sz w:val="18"/>
          <w:szCs w:val="18"/>
          <w:color w:val="auto"/>
        </w:rPr>
        <w:t>Date: August 5, 2022</w:t>
      </w:r>
      <w:r>
        <w:rPr>
          <w:sz w:val="20"/>
          <w:szCs w:val="20"/>
          <w:color w:val="auto"/>
        </w:rPr>
        <w:tab/>
      </w:r>
      <w:r>
        <w:rPr>
          <w:rFonts w:ascii="Times New Roman" w:cs="Times New Roman" w:eastAsia="Times New Roman" w:hAnsi="Times New Roman"/>
          <w:sz w:val="18"/>
          <w:szCs w:val="18"/>
          <w:color w:val="auto"/>
        </w:rPr>
        <w:t>/s/ Laurance Roberts</w:t>
      </w:r>
    </w:p>
    <w:p>
      <w:pPr>
        <w:spacing w:after="0" w:line="63"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Laurance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-127635</wp:posOffset>
            </wp:positionV>
            <wp:extent cx="27686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3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48"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i w:val="1"/>
          <w:iCs w:val="1"/>
          <w:color w:val="auto"/>
        </w:rPr>
        <w:t>(duly authorized officer)</w:t>
      </w:r>
    </w:p>
    <w:p>
      <w:pPr>
        <w:spacing w:after="0" w:line="295" w:lineRule="exact"/>
        <w:rPr>
          <w:sz w:val="20"/>
          <w:szCs w:val="20"/>
          <w:color w:val="auto"/>
        </w:rPr>
      </w:pPr>
    </w:p>
    <w:p>
      <w:pPr>
        <w:ind w:left="100"/>
        <w:spacing w:after="0"/>
        <w:tabs>
          <w:tab w:leader="none" w:pos="4620" w:val="left"/>
        </w:tabs>
        <w:rPr>
          <w:sz w:val="20"/>
          <w:szCs w:val="20"/>
          <w:color w:val="auto"/>
        </w:rPr>
      </w:pPr>
      <w:r>
        <w:rPr>
          <w:rFonts w:ascii="Times New Roman" w:cs="Times New Roman" w:eastAsia="Times New Roman" w:hAnsi="Times New Roman"/>
          <w:sz w:val="18"/>
          <w:szCs w:val="18"/>
          <w:color w:val="auto"/>
        </w:rPr>
        <w:t>Date: August 5, 2022</w:t>
      </w:r>
      <w:r>
        <w:rPr>
          <w:sz w:val="20"/>
          <w:szCs w:val="20"/>
          <w:color w:val="auto"/>
        </w:rPr>
        <w:tab/>
      </w:r>
      <w:r>
        <w:rPr>
          <w:rFonts w:ascii="Times New Roman" w:cs="Times New Roman" w:eastAsia="Times New Roman" w:hAnsi="Times New Roman"/>
          <w:sz w:val="18"/>
          <w:szCs w:val="18"/>
          <w:color w:val="auto"/>
        </w:rPr>
        <w:t>/s/ Ira Fils</w:t>
      </w:r>
    </w:p>
    <w:p>
      <w:pPr>
        <w:spacing w:after="0" w:line="63"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Ira Fils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-127635</wp:posOffset>
            </wp:positionV>
            <wp:extent cx="27686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3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48"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Laurance Roberts, certify that:</w:t>
      </w:r>
    </w:p>
    <w:p>
      <w:pPr>
        <w:spacing w:after="0" w:line="266" w:lineRule="exact"/>
        <w:rPr>
          <w:sz w:val="20"/>
          <w:szCs w:val="20"/>
          <w:color w:val="auto"/>
        </w:rPr>
      </w:pPr>
    </w:p>
    <w:p>
      <w:pPr>
        <w:ind w:left="180" w:hanging="174"/>
        <w:spacing w:after="0"/>
        <w:tabs>
          <w:tab w:leader="none" w:pos="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El Pollo Loco Holdings, Inc.;</w:t>
      </w:r>
    </w:p>
    <w:p>
      <w:pPr>
        <w:spacing w:after="0" w:line="265" w:lineRule="exact"/>
        <w:rPr>
          <w:rFonts w:ascii="Times New Roman" w:cs="Times New Roman" w:eastAsia="Times New Roman" w:hAnsi="Times New Roman"/>
          <w:sz w:val="18"/>
          <w:szCs w:val="18"/>
          <w:color w:val="auto"/>
        </w:rPr>
      </w:pPr>
    </w:p>
    <w:p>
      <w:pPr>
        <w:jc w:val="both"/>
        <w:ind w:right="340" w:firstLine="6"/>
        <w:spacing w:after="0" w:line="313" w:lineRule="auto"/>
        <w:tabs>
          <w:tab w:leader="none" w:pos="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60" w:firstLine="6"/>
        <w:spacing w:after="0" w:line="313" w:lineRule="auto"/>
        <w:tabs>
          <w:tab w:leader="none" w:pos="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Times New Roman" w:cs="Times New Roman" w:eastAsia="Times New Roman" w:hAnsi="Times New Roman"/>
          <w:sz w:val="18"/>
          <w:szCs w:val="18"/>
          <w:color w:val="auto"/>
        </w:rPr>
      </w:pPr>
    </w:p>
    <w:p>
      <w:pPr>
        <w:ind w:right="100" w:firstLine="6"/>
        <w:spacing w:after="0" w:line="313" w:lineRule="auto"/>
        <w:tabs>
          <w:tab w:leader="none" w:pos="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sz w:val="20"/>
          <w:szCs w:val="20"/>
          <w:color w:val="auto"/>
        </w:rPr>
      </w:pPr>
    </w:p>
    <w:p>
      <w:pPr>
        <w:jc w:val="both"/>
        <w:ind w:firstLine="6"/>
        <w:spacing w:after="0" w:line="313" w:lineRule="auto"/>
        <w:tabs>
          <w:tab w:leader="none" w:pos="24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right="60" w:firstLine="6"/>
        <w:spacing w:after="0" w:line="313" w:lineRule="auto"/>
        <w:tabs>
          <w:tab w:leader="none" w:pos="2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right="100" w:firstLine="6"/>
        <w:spacing w:after="0" w:line="313" w:lineRule="auto"/>
        <w:tabs>
          <w:tab w:leader="none" w:pos="24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right="340" w:firstLine="6"/>
        <w:spacing w:after="0" w:line="307" w:lineRule="auto"/>
        <w:tabs>
          <w:tab w:leader="none" w:pos="2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sz w:val="20"/>
          <w:szCs w:val="20"/>
          <w:color w:val="auto"/>
        </w:rPr>
      </w:pPr>
    </w:p>
    <w:p>
      <w:pPr>
        <w:ind w:right="500" w:firstLine="6"/>
        <w:spacing w:after="0" w:line="313" w:lineRule="auto"/>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sz w:val="20"/>
          <w:szCs w:val="20"/>
          <w:color w:val="auto"/>
        </w:rPr>
      </w:pPr>
    </w:p>
    <w:p>
      <w:pPr>
        <w:ind w:right="420" w:firstLine="6"/>
        <w:spacing w:after="0" w:line="321" w:lineRule="auto"/>
        <w:tabs>
          <w:tab w:leader="none" w:pos="24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0" w:lineRule="exact"/>
        <w:rPr>
          <w:rFonts w:ascii="Times New Roman" w:cs="Times New Roman" w:eastAsia="Times New Roman" w:hAnsi="Times New Roman"/>
          <w:sz w:val="18"/>
          <w:szCs w:val="18"/>
          <w:color w:val="auto"/>
        </w:rPr>
      </w:pPr>
    </w:p>
    <w:p>
      <w:pPr>
        <w:ind w:right="780" w:firstLine="6"/>
        <w:spacing w:after="0" w:line="329" w:lineRule="auto"/>
        <w:tabs>
          <w:tab w:leader="none" w:pos="2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5, 2022</w:t>
      </w: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Laurance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43180</wp:posOffset>
            </wp:positionV>
            <wp:extent cx="596646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Laurance Roberts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640080</wp:posOffset>
            </wp:positionV>
            <wp:extent cx="59664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5966460" cy="17145"/>
                    </a:xfrm>
                    <a:prstGeom prst="rect">
                      <a:avLst/>
                    </a:prstGeom>
                    <a:noFill/>
                  </pic:spPr>
                </pic:pic>
              </a:graphicData>
            </a:graphic>
          </wp:anchor>
        </w:drawing>
      </w:r>
    </w:p>
    <w:p>
      <w:pPr>
        <w:sectPr>
          <w:pgSz w:w="11900" w:h="16838" w:orient="portrait"/>
          <w:cols w:equalWidth="0" w:num="1">
            <w:col w:w="9400"/>
          </w:cols>
          <w:pgMar w:left="1240" w:top="401" w:right="125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Ira Fils, certify that:</w:t>
      </w:r>
    </w:p>
    <w:p>
      <w:pPr>
        <w:spacing w:after="0" w:line="266" w:lineRule="exact"/>
        <w:rPr>
          <w:sz w:val="20"/>
          <w:szCs w:val="20"/>
          <w:color w:val="auto"/>
        </w:rPr>
      </w:pPr>
    </w:p>
    <w:p>
      <w:pPr>
        <w:ind w:left="180" w:hanging="174"/>
        <w:spacing w:after="0"/>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El Pollo Loco Holdings, Inc.;</w:t>
      </w:r>
    </w:p>
    <w:p>
      <w:pPr>
        <w:spacing w:after="0" w:line="265" w:lineRule="exact"/>
        <w:rPr>
          <w:rFonts w:ascii="Times New Roman" w:cs="Times New Roman" w:eastAsia="Times New Roman" w:hAnsi="Times New Roman"/>
          <w:sz w:val="18"/>
          <w:szCs w:val="18"/>
          <w:color w:val="auto"/>
        </w:rPr>
      </w:pPr>
    </w:p>
    <w:p>
      <w:pPr>
        <w:jc w:val="both"/>
        <w:ind w:right="340" w:firstLine="6"/>
        <w:spacing w:after="0" w:line="313" w:lineRule="auto"/>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60" w:firstLine="6"/>
        <w:spacing w:after="0" w:line="313" w:lineRule="auto"/>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Times New Roman" w:cs="Times New Roman" w:eastAsia="Times New Roman" w:hAnsi="Times New Roman"/>
          <w:sz w:val="18"/>
          <w:szCs w:val="18"/>
          <w:color w:val="auto"/>
        </w:rPr>
      </w:pPr>
    </w:p>
    <w:p>
      <w:pPr>
        <w:ind w:right="100" w:firstLine="6"/>
        <w:spacing w:after="0" w:line="313" w:lineRule="auto"/>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sz w:val="20"/>
          <w:szCs w:val="20"/>
          <w:color w:val="auto"/>
        </w:rPr>
      </w:pPr>
    </w:p>
    <w:p>
      <w:pPr>
        <w:jc w:val="both"/>
        <w:ind w:firstLine="6"/>
        <w:spacing w:after="0" w:line="313" w:lineRule="auto"/>
        <w:tabs>
          <w:tab w:leader="none" w:pos="24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right="60" w:firstLine="6"/>
        <w:spacing w:after="0" w:line="313" w:lineRule="auto"/>
        <w:tabs>
          <w:tab w:leader="none" w:pos="2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right="100" w:firstLine="6"/>
        <w:spacing w:after="0" w:line="313" w:lineRule="auto"/>
        <w:tabs>
          <w:tab w:leader="none" w:pos="24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right="340" w:firstLine="6"/>
        <w:spacing w:after="0" w:line="307" w:lineRule="auto"/>
        <w:tabs>
          <w:tab w:leader="none" w:pos="2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sz w:val="20"/>
          <w:szCs w:val="20"/>
          <w:color w:val="auto"/>
        </w:rPr>
      </w:pPr>
    </w:p>
    <w:p>
      <w:pPr>
        <w:ind w:right="500" w:firstLine="6"/>
        <w:spacing w:after="0" w:line="313" w:lineRule="auto"/>
        <w:tabs>
          <w:tab w:leader="none" w:pos="1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sz w:val="20"/>
          <w:szCs w:val="20"/>
          <w:color w:val="auto"/>
        </w:rPr>
      </w:pPr>
    </w:p>
    <w:p>
      <w:pPr>
        <w:ind w:right="420" w:firstLine="6"/>
        <w:spacing w:after="0" w:line="321" w:lineRule="auto"/>
        <w:tabs>
          <w:tab w:leader="none" w:pos="24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0" w:lineRule="exact"/>
        <w:rPr>
          <w:rFonts w:ascii="Times New Roman" w:cs="Times New Roman" w:eastAsia="Times New Roman" w:hAnsi="Times New Roman"/>
          <w:sz w:val="18"/>
          <w:szCs w:val="18"/>
          <w:color w:val="auto"/>
        </w:rPr>
      </w:pPr>
    </w:p>
    <w:p>
      <w:pPr>
        <w:ind w:right="780" w:firstLine="6"/>
        <w:spacing w:after="0" w:line="329" w:lineRule="auto"/>
        <w:tabs>
          <w:tab w:leader="none" w:pos="2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5, 2022</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Ira Fils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26035</wp:posOffset>
            </wp:positionV>
            <wp:extent cx="59321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5932170" cy="8890"/>
                    </a:xfrm>
                    <a:prstGeom prst="rect">
                      <a:avLst/>
                    </a:prstGeom>
                    <a:noFill/>
                  </pic:spPr>
                </pic:pic>
              </a:graphicData>
            </a:graphic>
          </wp:anchor>
        </w:drawing>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Ira Fils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674370</wp:posOffset>
            </wp:positionV>
            <wp:extent cx="59664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5966460" cy="17145"/>
                    </a:xfrm>
                    <a:prstGeom prst="rect">
                      <a:avLst/>
                    </a:prstGeom>
                    <a:noFill/>
                  </pic:spPr>
                </pic:pic>
              </a:graphicData>
            </a:graphic>
          </wp:anchor>
        </w:drawing>
      </w:r>
    </w:p>
    <w:p>
      <w:pPr>
        <w:sectPr>
          <w:pgSz w:w="11900" w:h="16838" w:orient="portrait"/>
          <w:cols w:equalWidth="0" w:num="1">
            <w:col w:w="9400"/>
          </w:cols>
          <w:pgMar w:left="1240" w:top="401" w:right="125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66" w:lineRule="exact"/>
        <w:rPr>
          <w:sz w:val="20"/>
          <w:szCs w:val="20"/>
          <w:color w:val="auto"/>
        </w:rPr>
      </w:pPr>
    </w:p>
    <w:p>
      <w:pPr>
        <w:ind w:right="240"/>
        <w:spacing w:after="0" w:line="307" w:lineRule="auto"/>
        <w:rPr>
          <w:sz w:val="20"/>
          <w:szCs w:val="20"/>
          <w:color w:val="auto"/>
        </w:rPr>
      </w:pPr>
      <w:r>
        <w:rPr>
          <w:rFonts w:ascii="Times New Roman" w:cs="Times New Roman" w:eastAsia="Times New Roman" w:hAnsi="Times New Roman"/>
          <w:sz w:val="18"/>
          <w:szCs w:val="18"/>
          <w:color w:val="auto"/>
        </w:rPr>
        <w:t>Under 18 U.S.C. section 1350, adopted by section 906 of the Sarbanes-Oxley Act of 2002, in connection with the attached periodic report, the undersigned each certify that (i) the periodic report fully complies with the requirements of section 13(a) or 15(d) of the Securities Exchange Act of 1934 and (ii) the information contained in the periodic report fairly presents, in all material respects, the financial condition and results of operations of the issuer.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5, 2022</w:t>
      </w:r>
    </w:p>
    <w:p>
      <w:pPr>
        <w:spacing w:after="0" w:line="3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Laurance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17145</wp:posOffset>
            </wp:positionV>
            <wp:extent cx="59321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5932170" cy="8255"/>
                    </a:xfrm>
                    <a:prstGeom prst="rect">
                      <a:avLst/>
                    </a:prstGeom>
                    <a:noFill/>
                  </pic:spPr>
                </pic:pic>
              </a:graphicData>
            </a:graphic>
          </wp:anchor>
        </w:drawing>
      </w:r>
    </w:p>
    <w:p>
      <w:pPr>
        <w:spacing w:after="0" w:line="1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Laurance Roberts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Ira Fils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17145</wp:posOffset>
            </wp:positionV>
            <wp:extent cx="59321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5932170" cy="8890"/>
                    </a:xfrm>
                    <a:prstGeom prst="rect">
                      <a:avLst/>
                    </a:prstGeom>
                    <a:noFill/>
                  </pic:spPr>
                </pic:pic>
              </a:graphicData>
            </a:graphic>
          </wp:anchor>
        </w:drawing>
      </w:r>
    </w:p>
    <w:p>
      <w:pPr>
        <w:spacing w:after="0" w:line="1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Ira Fils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666115</wp:posOffset>
            </wp:positionV>
            <wp:extent cx="596646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sectPr>
      <w:pgSz w:w="11900" w:h="16838" w:orient="portrait"/>
      <w:cols w:equalWidth="0" w:num="1">
        <w:col w:w="9400"/>
      </w:cols>
      <w:pgMar w:left="1240" w:top="401" w:right="1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1)"/>
      <w:numFmt w:val="lowerRoman"/>
      <w:start w:val="1"/>
    </w:lvl>
  </w:abstractNum>
  <w:abstractNum w:abstractNumId="6">
    <w:nsid w:val="25E45D32"/>
    <w:multiLevelType w:val="hybridMultilevel"/>
    <w:lvl w:ilvl="0">
      <w:lvlJc w:val="left"/>
      <w:lvlText w:val="%1."/>
      <w:numFmt w:val="decimal"/>
      <w:start w:val="10"/>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1)"/>
      <w:numFmt w:val="lowerLetter"/>
      <w:start w:val="1"/>
    </w:lvl>
  </w:abstractNum>
  <w:abstractNum w:abstractNumId="15">
    <w:nsid w:val="333AB105"/>
    <w:multiLevelType w:val="hybridMultilevel"/>
    <w:lvl w:ilvl="0">
      <w:lvlJc w:val="left"/>
      <w:lvlText w:val="(%1)"/>
      <w:numFmt w:val="lowerLetter"/>
      <w:start w:val="4"/>
    </w:lvl>
  </w:abstractNum>
  <w:abstractNum w:abstractNumId="16">
    <w:nsid w:val="721DA317"/>
    <w:multiLevelType w:val="hybridMultilevel"/>
    <w:lvl w:ilvl="0">
      <w:lvlJc w:val="left"/>
      <w:lvlText w:val="(%1)"/>
      <w:numFmt w:val="lowerRoman"/>
      <w:start w:val="1"/>
    </w:lvl>
  </w:abstractNum>
  <w:abstractNum w:abstractNumId="17">
    <w:nsid w:val="2443A858"/>
    <w:multiLevelType w:val="hybridMultilevel"/>
    <w:lvl w:ilvl="0">
      <w:lvlJc w:val="left"/>
      <w:lvlText w:val="(%1)"/>
      <w:numFmt w:val="lowerRoman"/>
      <w:start w:val="10"/>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1."/>
      <w:numFmt w:val="decimal"/>
      <w:start w:val="1"/>
    </w:lvl>
  </w:abstractNum>
  <w:abstractNum w:abstractNumId="20">
    <w:nsid w:val="75A2A8D4"/>
    <w:multiLevelType w:val="hybridMultilevel"/>
    <w:lvl w:ilvl="0">
      <w:lvlJc w:val="left"/>
      <w:lvlText w:val="(%1)"/>
      <w:numFmt w:val="lowerLetter"/>
      <w:start w:val="1"/>
    </w:lvl>
  </w:abstractNum>
  <w:abstractNum w:abstractNumId="21">
    <w:nsid w:val="8EDBDAB"/>
    <w:multiLevelType w:val="hybridMultilevel"/>
    <w:lvl w:ilvl="0">
      <w:lvlJc w:val="left"/>
      <w:lvlText w:val="%1."/>
      <w:numFmt w:val="decimal"/>
      <w:start w:val="5"/>
    </w:lvl>
  </w:abstractNum>
  <w:abstractNum w:abstractNumId="22">
    <w:nsid w:val="79838CB2"/>
    <w:multiLevelType w:val="hybridMultilevel"/>
    <w:lvl w:ilvl="0">
      <w:lvlJc w:val="left"/>
      <w:lvlText w:val="(%1)"/>
      <w:numFmt w:val="lowerLetter"/>
      <w:start w:val="1"/>
    </w:lvl>
  </w:abstractNum>
  <w:abstractNum w:abstractNumId="23">
    <w:nsid w:val="4353D0CD"/>
    <w:multiLevelType w:val="hybridMultilevel"/>
    <w:lvl w:ilvl="0">
      <w:lvlJc w:val="left"/>
      <w:lvlText w:val="%1."/>
      <w:numFmt w:val="decimal"/>
      <w:start w:val="1"/>
    </w:lvl>
  </w:abstractNum>
  <w:abstractNum w:abstractNumId="24">
    <w:nsid w:val="B03E0C6"/>
    <w:multiLevelType w:val="hybridMultilevel"/>
    <w:lvl w:ilvl="0">
      <w:lvlJc w:val="left"/>
      <w:lvlText w:val="(%1)"/>
      <w:numFmt w:val="lowerLetter"/>
      <w:start w:val="1"/>
    </w:lvl>
  </w:abstractNum>
  <w:abstractNum w:abstractNumId="25">
    <w:nsid w:val="189A769B"/>
    <w:multiLevelType w:val="hybridMultilevel"/>
    <w:lvl w:ilvl="0">
      <w:lvlJc w:val="left"/>
      <w:lvlText w:val="%1."/>
      <w:numFmt w:val="decimal"/>
      <w:start w:val="5"/>
    </w:lvl>
  </w:abstractNum>
  <w:abstractNum w:abstractNumId="26">
    <w:nsid w:val="54E49EB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62" Type="http://schemas.openxmlformats.org/officeDocument/2006/relationships/hyperlink" Target="https://www.sec.gov/Archives/edgar/data/1606366/000119312514332367/d779664dex31.htm" TargetMode="External"/><Relationship Id="rId63" Type="http://schemas.openxmlformats.org/officeDocument/2006/relationships/hyperlink" Target="https://www.sec.gov/Archives/edgar/data/1606366/000119312514332367/d779664dex32.htm" TargetMode="External"/><Relationship Id="rId64" Type="http://schemas.openxmlformats.org/officeDocument/2006/relationships/hyperlink" Target="https://www.sec.gov/Archives/edgar/data/1606366/000160636622000042/loco-20220615ex1016f5c59.htm" TargetMode="External"/><Relationship Id="rId65" Type="http://schemas.openxmlformats.org/officeDocument/2006/relationships/hyperlink" Target="https://www.sec.gov/Archives/edgar/data/1606366/000160636622000044/loco-20220628ex10170ac6b.htm" TargetMode="External"/><Relationship Id="rId66" Type="http://schemas.openxmlformats.org/officeDocument/2006/relationships/hyperlink" Target="https://www.sec.gov/Archives/edgar/data/0001606366/000155837022011677/loco-20220802x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2022-08-05T13:01:44Z</dcterms:created>
  <dcterms:modified xsi:type="dcterms:W3CDTF">2022-08-05T13:01:44Z</dcterms:modified>
</cp:coreProperties>
</file>