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loco-20260701x10q.htm"/>
        <w:bookmarkStart w:id="1" w:name="ksloco2026070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6"/>
        </w:rPr>
      </w:pPr>
      <w:bookmarkStart w:id="2" w:name="_4bd1bdb1_9545_4513_9115_f2c17d36e198"/>
      <w:bookmarkEnd w:id="2"/>
      <w:r>
        <w:rPr>
          <w:rFonts w:ascii="Times New Roman;Times;serif" w:hAnsi="Times New Roman;Times;serif"/>
          <w:b/>
          <w:sz w:val="26"/>
        </w:rPr>
        <w:t>UNITED STATES</w:t>
      </w:r>
    </w:p>
    <w:p>
      <w:pPr>
        <w:pStyle w:val="TextBody"/>
        <w:bidi w:val="0"/>
        <w:spacing w:before="0" w:after="0"/>
        <w:ind w:left="0" w:right="0" w:hanging="0"/>
        <w:jc w:val="center"/>
        <w:rPr>
          <w:rFonts w:ascii="Times New Roman;Times;serif" w:hAnsi="Times New Roman;Times;serif"/>
          <w:b/>
          <w:sz w:val="26"/>
        </w:rPr>
      </w:pPr>
      <w:r>
        <w:rPr>
          <w:rFonts w:ascii="Times New Roman;Times;serif" w:hAnsi="Times New Roman;Times;serif"/>
          <w:b/>
          <w:sz w:val="26"/>
        </w:rPr>
        <w:t>SECURITIES AND EXCHANGE COMMISSION</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6"/>
        </w:rPr>
      </w:pPr>
      <w:r>
        <w:rPr>
          <w:rFonts w:ascii="Times New Roman;Times;serif" w:hAnsi="Times New Roman;Times;serif"/>
          <w:b/>
          <w:sz w:val="26"/>
        </w:rPr>
        <w:t>FORM 10-Q</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(Mark one)</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9MRvAN9SxUGFK9i6zhiKdA_1_1"/>
      <w:bookmarkStart w:id="4" w:name="_ef14052a_5c29_4ef4_8825_0f6a0c08e1c6"/>
      <w:bookmarkStart w:id="5" w:name="Tc_9MRvAN9SxUGFK9i6zhiKdA_1_1"/>
      <w:bookmarkStart w:id="6" w:name="_ef14052a_5c29_4ef4_8825_0f6a0c08e1c6"/>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July 1, 2026</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7" w:name="Tc_5UasmUPyWU-vtZAe6U4_DQ_1_1"/>
      <w:bookmarkStart w:id="8" w:name="_a400526e_2f46_49c8_9539_be94fc5aba59"/>
      <w:bookmarkStart w:id="9" w:name="Tc_5UasmUPyWU-vtZAe6U4_DQ_1_1"/>
      <w:bookmarkStart w:id="10" w:name="_a400526e_2f46_49c8_9539_be94fc5aba59"/>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60"/>
        <w:ind w:left="0" w:right="0" w:hanging="0"/>
        <w:jc w:val="center"/>
        <w:rPr>
          <w:rFonts w:ascii="Times New Roman;Times;serif" w:hAnsi="Times New Roman;Times;serif"/>
          <w:sz w:val="18"/>
        </w:rPr>
      </w:pPr>
      <w:r>
        <w:rPr>
          <w:rFonts w:ascii="Times New Roman;Times;serif" w:hAnsi="Times New Roman;Times;serif"/>
          <w:b/>
          <w:sz w:val="18"/>
        </w:rPr>
        <w:t xml:space="preserve">For the transition period from </w:t>
      </w:r>
      <w:r>
        <w:rPr>
          <w:rFonts w:ascii="Times New Roman;Times;serif" w:hAnsi="Times New Roman;Times;serif"/>
          <w:sz w:val="18"/>
        </w:rPr>
        <w:t xml:space="preserve">                     </w:t>
      </w:r>
      <w:r>
        <w:rPr>
          <w:rFonts w:ascii="Times New Roman;Times;serif" w:hAnsi="Times New Roman;Times;serif"/>
          <w:b/>
          <w:sz w:val="18"/>
        </w:rPr>
        <w:t xml:space="preserve">to </w:t>
      </w:r>
      <w:r>
        <w:rPr>
          <w:rFonts w:ascii="Times New Roman;Times;serif" w:hAnsi="Times New Roman;Times;serif"/>
          <w:sz w:val="18"/>
        </w:rPr>
        <w:t>                    </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001-36556</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EL POLLO LOCO HOLDINGS, INC.</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Normal"/>
        <w:bidi w:val="0"/>
        <w:spacing w:before="0" w:after="0"/>
        <w:jc w:val="left"/>
        <w:rPr>
          <w:sz w:val="4"/>
          <w:szCs w:val="4"/>
        </w:rPr>
      </w:pPr>
      <w:r>
        <w:rPr>
          <w:sz w:val="4"/>
          <w:szCs w:val="4"/>
        </w:rPr>
      </w:r>
      <w:bookmarkStart w:id="11" w:name="Tc_vTrgqKFTlEyOpbTxpKD46g_2_2"/>
      <w:bookmarkStart w:id="12" w:name="Tc_Sfbh1GbhWEGpiugEnsNxDw_2_0"/>
      <w:bookmarkStart w:id="13" w:name="_84d322b7_2ffc_414d_8ff1_aa534fb0db0b"/>
      <w:bookmarkStart w:id="14" w:name="Tc_vTrgqKFTlEyOpbTxpKD46g_2_2"/>
      <w:bookmarkStart w:id="15" w:name="Tc_Sfbh1GbhWEGpiugEnsNxDw_2_0"/>
      <w:bookmarkStart w:id="16" w:name="_84d322b7_2ffc_414d_8ff1_aa534fb0db0b"/>
      <w:bookmarkEnd w:id="14"/>
      <w:bookmarkEnd w:id="15"/>
      <w:bookmarkEnd w:id="16"/>
    </w:p>
    <w:tbl>
      <w:tblPr>
        <w:tblW w:w="6111" w:type="dxa"/>
        <w:jc w:val="left"/>
        <w:tblInd w:w="0" w:type="dxa"/>
        <w:tblLayout w:type="fixed"/>
        <w:tblCellMar>
          <w:top w:w="0" w:type="dxa"/>
          <w:left w:w="0" w:type="dxa"/>
          <w:bottom w:w="0" w:type="dxa"/>
          <w:right w:w="0" w:type="dxa"/>
        </w:tblCellMar>
      </w:tblPr>
      <w:tblGrid>
        <w:gridCol w:w="3751"/>
        <w:gridCol w:w="109"/>
        <w:gridCol w:w="2251"/>
      </w:tblGrid>
      <w:tr>
        <w:trPr/>
        <w:tc>
          <w:tcPr>
            <w:tcW w:w="37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51" w:type="dxa"/>
            <w:tcBorders/>
            <w:vAlign w:val="center"/>
          </w:tcPr>
          <w:p>
            <w:pPr>
              <w:pStyle w:val="TableContents"/>
              <w:bidi w:val="0"/>
              <w:spacing w:before="0" w:after="0"/>
              <w:ind w:left="0" w:right="0" w:hanging="0"/>
              <w:jc w:val="left"/>
              <w:rPr/>
            </w:pPr>
            <w:r>
              <w:rPr/>
              <w:t>​</w:t>
            </w:r>
          </w:p>
        </w:tc>
      </w:tr>
      <w:tr>
        <w:trPr/>
        <w:tc>
          <w:tcPr>
            <w:tcW w:w="375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109" w:type="dxa"/>
            <w:tcBorders/>
            <w:vAlign w:val="center"/>
          </w:tcPr>
          <w:p>
            <w:pPr>
              <w:pStyle w:val="TableContents"/>
              <w:bidi w:val="0"/>
              <w:spacing w:before="0" w:after="240"/>
              <w:ind w:left="0" w:right="0" w:hanging="0"/>
              <w:jc w:val="left"/>
              <w:rPr/>
            </w:pPr>
            <w:r>
              <w:rPr/>
              <w:t>​</w:t>
            </w:r>
          </w:p>
        </w:tc>
        <w:tc>
          <w:tcPr>
            <w:tcW w:w="225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20-3563182</w:t>
            </w:r>
          </w:p>
        </w:tc>
      </w:tr>
      <w:tr>
        <w:trPr/>
        <w:tc>
          <w:tcPr>
            <w:tcW w:w="37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(State or other jurisdiction of incorporation or organization)</w:t>
            </w:r>
          </w:p>
        </w:tc>
        <w:tc>
          <w:tcPr>
            <w:tcW w:w="109" w:type="dxa"/>
            <w:tcBorders/>
            <w:vAlign w:val="center"/>
          </w:tcPr>
          <w:p>
            <w:pPr>
              <w:pStyle w:val="TableContents"/>
              <w:bidi w:val="0"/>
              <w:spacing w:before="0" w:after="240"/>
              <w:ind w:left="0" w:right="0" w:hanging="0"/>
              <w:jc w:val="left"/>
              <w:rPr/>
            </w:pPr>
            <w:r>
              <w:rPr/>
              <w:t>​</w:t>
            </w:r>
          </w:p>
        </w:tc>
        <w:tc>
          <w:tcPr>
            <w:tcW w:w="22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(I.R.S. Employer Identification No.)</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7" w:name="Tc_JMzYbOadmESRd_GqGkcZkQ_2_2"/>
      <w:bookmarkStart w:id="18" w:name="Tc_qkPVTxpRiEODkfGwF0cycg_2_0"/>
      <w:bookmarkStart w:id="19" w:name="Tc_53qREw9kDUe2_Ud07sALLw_1_0"/>
      <w:bookmarkStart w:id="20" w:name="_0663e90b_dd0e_41b9_933b_f1d3da5820c0"/>
      <w:bookmarkStart w:id="21" w:name="Tc_JMzYbOadmESRd_GqGkcZkQ_2_2"/>
      <w:bookmarkStart w:id="22" w:name="Tc_qkPVTxpRiEODkfGwF0cycg_2_0"/>
      <w:bookmarkStart w:id="23" w:name="Tc_53qREw9kDUe2_Ud07sALLw_1_0"/>
      <w:bookmarkStart w:id="24" w:name="_0663e90b_dd0e_41b9_933b_f1d3da5820c0"/>
      <w:bookmarkEnd w:id="21"/>
      <w:bookmarkEnd w:id="22"/>
      <w:bookmarkEnd w:id="23"/>
      <w:bookmarkEnd w:id="24"/>
    </w:p>
    <w:tbl>
      <w:tblPr>
        <w:tblW w:w="5016" w:type="dxa"/>
        <w:jc w:val="left"/>
        <w:tblInd w:w="0" w:type="dxa"/>
        <w:tblLayout w:type="fixed"/>
        <w:tblCellMar>
          <w:top w:w="0" w:type="dxa"/>
          <w:left w:w="0" w:type="dxa"/>
          <w:bottom w:w="0" w:type="dxa"/>
          <w:right w:w="0" w:type="dxa"/>
        </w:tblCellMar>
      </w:tblPr>
      <w:tblGrid>
        <w:gridCol w:w="4126"/>
        <w:gridCol w:w="109"/>
        <w:gridCol w:w="781"/>
      </w:tblGrid>
      <w:tr>
        <w:trPr/>
        <w:tc>
          <w:tcPr>
            <w:tcW w:w="41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412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575 Anton Blvd., Suite 1100, Costa Mesa, California</w:t>
            </w:r>
          </w:p>
        </w:tc>
        <w:tc>
          <w:tcPr>
            <w:tcW w:w="109" w:type="dxa"/>
            <w:tcBorders/>
            <w:vAlign w:val="center"/>
          </w:tcPr>
          <w:p>
            <w:pPr>
              <w:pStyle w:val="TableContents"/>
              <w:bidi w:val="0"/>
              <w:spacing w:before="0" w:after="24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92626</w:t>
            </w:r>
          </w:p>
        </w:tc>
      </w:tr>
      <w:tr>
        <w:trPr/>
        <w:tc>
          <w:tcPr>
            <w:tcW w:w="412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(Address of principal executive offices)</w:t>
            </w:r>
          </w:p>
        </w:tc>
        <w:tc>
          <w:tcPr>
            <w:tcW w:w="109" w:type="dxa"/>
            <w:tcBorders/>
            <w:vAlign w:val="center"/>
          </w:tcPr>
          <w:p>
            <w:pPr>
              <w:pStyle w:val="TableContents"/>
              <w:bidi w:val="0"/>
              <w:spacing w:before="0" w:after="24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(714) 599-5000</w:t>
      </w:r>
    </w:p>
    <w:p>
      <w:pPr>
        <w:pStyle w:val="TextBody"/>
        <w:bidi w:val="0"/>
        <w:spacing w:before="0" w:after="80"/>
        <w:ind w:left="0" w:right="0" w:hanging="0"/>
        <w:jc w:val="center"/>
        <w:rPr>
          <w:rFonts w:ascii="Times New Roman;Times;serif" w:hAnsi="Times New Roman;Times;serif"/>
          <w:b/>
          <w:sz w:val="14"/>
        </w:rPr>
      </w:pPr>
      <w:r>
        <w:rPr>
          <w:rFonts w:ascii="Times New Roman;Times;serif" w:hAnsi="Times New Roman;Times;serif"/>
          <w:b/>
          <w:sz w:val="14"/>
        </w:rPr>
        <w:t>(Registrant’s telephone number, including area code)</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N/A</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(Former name, former address and former fiscal year, if changed since last report)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5" w:name="Tc_lW871jJiE0K_tZMMeaOXqQ_1_2"/>
      <w:bookmarkStart w:id="26" w:name="Tc_4ytzP6hCZ0eeV1RR5ghZuw_1_1"/>
      <w:bookmarkStart w:id="27" w:name="Tc_jeJ-EZhFh0qFBfSNcJa1JA_1_0"/>
      <w:bookmarkStart w:id="28" w:name="_aa1cc2db_a0ce_484d_8019_ca04bd10e824"/>
      <w:bookmarkStart w:id="29" w:name="Tc_lW871jJiE0K_tZMMeaOXqQ_1_2"/>
      <w:bookmarkStart w:id="30" w:name="Tc_4ytzP6hCZ0eeV1RR5ghZuw_1_1"/>
      <w:bookmarkStart w:id="31" w:name="Tc_jeJ-EZhFh0qFBfSNcJa1JA_1_0"/>
      <w:bookmarkStart w:id="32" w:name="_aa1cc2db_a0ce_484d_8019_ca04bd10e824"/>
      <w:bookmarkEnd w:id="29"/>
      <w:bookmarkEnd w:id="30"/>
      <w:bookmarkEnd w:id="31"/>
      <w:bookmarkEnd w:id="32"/>
    </w:p>
    <w:tbl>
      <w:tblPr>
        <w:tblW w:w="9873" w:type="dxa"/>
        <w:jc w:val="left"/>
        <w:tblInd w:w="0" w:type="dxa"/>
        <w:tblLayout w:type="fixed"/>
        <w:tblCellMar>
          <w:top w:w="0" w:type="dxa"/>
          <w:left w:w="0" w:type="dxa"/>
          <w:bottom w:w="0" w:type="dxa"/>
          <w:right w:w="0" w:type="dxa"/>
        </w:tblCellMar>
      </w:tblPr>
      <w:tblGrid>
        <w:gridCol w:w="5146"/>
        <w:gridCol w:w="1456"/>
        <w:gridCol w:w="3271"/>
      </w:tblGrid>
      <w:tr>
        <w:trPr/>
        <w:tc>
          <w:tcPr>
            <w:tcW w:w="51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3271" w:type="dxa"/>
            <w:tcBorders/>
            <w:vAlign w:val="center"/>
          </w:tcPr>
          <w:p>
            <w:pPr>
              <w:pStyle w:val="TableContents"/>
              <w:bidi w:val="0"/>
              <w:spacing w:before="0" w:after="0"/>
              <w:ind w:left="0" w:right="0" w:hanging="0"/>
              <w:jc w:val="left"/>
              <w:rPr/>
            </w:pPr>
            <w:r>
              <w:rPr/>
              <w:t>​</w:t>
            </w:r>
          </w:p>
        </w:tc>
      </w:tr>
      <w:tr>
        <w:trPr/>
        <w:tc>
          <w:tcPr>
            <w:tcW w:w="5146"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Title of each class</w:t>
            </w:r>
          </w:p>
        </w:tc>
        <w:tc>
          <w:tcPr>
            <w:tcW w:w="1456"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Trading Symbol(s)</w:t>
            </w:r>
          </w:p>
        </w:tc>
        <w:tc>
          <w:tcPr>
            <w:tcW w:w="3271"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Name of each exchange on which registered</w:t>
            </w:r>
          </w:p>
        </w:tc>
      </w:tr>
      <w:tr>
        <w:trPr/>
        <w:tc>
          <w:tcPr>
            <w:tcW w:w="5146"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par value $0.01 per share</w:t>
            </w:r>
          </w:p>
        </w:tc>
        <w:tc>
          <w:tcPr>
            <w:tcW w:w="1456"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LOCO</w:t>
            </w:r>
          </w:p>
        </w:tc>
        <w:tc>
          <w:tcPr>
            <w:tcW w:w="3271"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The Nasdaq Stock Market LLC</w:t>
            </w:r>
          </w:p>
        </w:tc>
      </w:tr>
      <w:tr>
        <w:trPr/>
        <w:tc>
          <w:tcPr>
            <w:tcW w:w="5146"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Rights to Purchase Series A Preferred Stock, par value $0.01 per share</w:t>
            </w:r>
          </w:p>
        </w:tc>
        <w:tc>
          <w:tcPr>
            <w:tcW w:w="1456"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240"/>
              <w:ind w:left="0" w:right="0" w:hanging="0"/>
              <w:jc w:val="center"/>
              <w:rPr/>
            </w:pPr>
            <w:r>
              <w:rPr/>
              <w:t>​</w:t>
            </w:r>
          </w:p>
        </w:tc>
        <w:tc>
          <w:tcPr>
            <w:tcW w:w="3271"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The Nasdaq Stock Market LLC</w:t>
            </w:r>
          </w:p>
        </w:tc>
      </w:tr>
    </w:tbl>
    <w:p>
      <w:pPr>
        <w:pStyle w:val="TextBody"/>
        <w:bidi w:val="0"/>
        <w:spacing w:before="0" w:after="80"/>
        <w:ind w:left="0" w:right="0" w:firstLine="562"/>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sz w:val="20"/>
        </w:rPr>
        <w:t>☒  </w:t>
      </w:r>
      <w:r>
        <w:rPr>
          <w:rFonts w:ascii="Times New Roman;Times;serif" w:hAnsi="Times New Roman;Times;serif"/>
          <w:sz w:val="18"/>
        </w:rPr>
        <w:t>Yes</w:t>
      </w:r>
      <w:r>
        <w:rPr>
          <w:rFonts w:ascii="Times New Roman;Times;serif" w:hAnsi="Times New Roman;Times;serif"/>
          <w:sz w:val="20"/>
        </w:rPr>
        <w:t>    ☐  </w:t>
      </w:r>
      <w:r>
        <w:rPr>
          <w:rFonts w:ascii="Times New Roman;Times;serif" w:hAnsi="Times New Roman;Times;serif"/>
          <w:sz w:val="18"/>
        </w:rPr>
        <w:t>No</w:t>
      </w:r>
    </w:p>
    <w:p>
      <w:pPr>
        <w:pStyle w:val="TextBody"/>
        <w:bidi w:val="0"/>
        <w:spacing w:before="0" w:after="80"/>
        <w:ind w:left="0" w:right="0" w:firstLine="562"/>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Times;serif" w:hAnsi="Times New Roman;Times;serif"/>
          <w:sz w:val="20"/>
        </w:rPr>
        <w:t>☒  </w:t>
      </w:r>
      <w:r>
        <w:rPr>
          <w:rFonts w:ascii="Times New Roman;Times;serif" w:hAnsi="Times New Roman;Times;serif"/>
          <w:sz w:val="18"/>
        </w:rPr>
        <w:t>Yes</w:t>
      </w:r>
      <w:r>
        <w:rPr>
          <w:rFonts w:ascii="Times New Roman;Times;serif" w:hAnsi="Times New Roman;Times;serif"/>
          <w:sz w:val="20"/>
        </w:rPr>
        <w:t>    ☐  </w:t>
      </w:r>
      <w:r>
        <w:rPr>
          <w:rFonts w:ascii="Times New Roman;Times;serif" w:hAnsi="Times New Roman;Times;serif"/>
          <w:sz w:val="18"/>
        </w:rPr>
        <w:t>No</w:t>
      </w:r>
    </w:p>
    <w:p>
      <w:pPr>
        <w:pStyle w:val="TextBody"/>
        <w:bidi w:val="0"/>
        <w:spacing w:before="0" w:after="0"/>
        <w:ind w:left="0" w:right="0" w:firstLine="562"/>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firstLine="562"/>
        <w:jc w:val="left"/>
        <w:rPr/>
      </w:pPr>
      <w:r>
        <w:rPr/>
        <w:t>​</w:t>
      </w:r>
    </w:p>
    <w:p>
      <w:pPr>
        <w:pStyle w:val="Normal"/>
        <w:bidi w:val="0"/>
        <w:spacing w:before="0" w:after="0"/>
        <w:jc w:val="left"/>
        <w:rPr>
          <w:sz w:val="4"/>
          <w:szCs w:val="4"/>
        </w:rPr>
      </w:pPr>
      <w:r>
        <w:rPr>
          <w:sz w:val="4"/>
          <w:szCs w:val="4"/>
        </w:rPr>
      </w:r>
      <w:bookmarkStart w:id="33" w:name="Tc_7cctP9_XW0G0RSM2Nw8jrg_5_2"/>
      <w:bookmarkStart w:id="34" w:name="Tc_Y1hEnXmY0Uqfkhkt_cL5VQ_3_2"/>
      <w:bookmarkStart w:id="35" w:name="Tc_oN8lpcqk20GH5r7cwqKT6g_3_1"/>
      <w:bookmarkStart w:id="36" w:name="Tc_3YfglmVLCkaAlTOF94CT0w_3_0"/>
      <w:bookmarkStart w:id="37" w:name="Tc_LgXyz3UiekibGpK91J3Ppw_1_3"/>
      <w:bookmarkStart w:id="38" w:name="Tc_Uk1bSEt4A0OoTu5G71smRg_1_1"/>
      <w:bookmarkStart w:id="39" w:name="Tc_5jSIK12XBEGkZTaDuwMZbA_1_0"/>
      <w:bookmarkStart w:id="40" w:name="_1e36b7ef_5ef7_4a0f_afaf_eb5a0bfe0b7d"/>
      <w:bookmarkStart w:id="41" w:name="Tc_7cctP9_XW0G0RSM2Nw8jrg_5_2"/>
      <w:bookmarkStart w:id="42" w:name="Tc_Y1hEnXmY0Uqfkhkt_cL5VQ_3_2"/>
      <w:bookmarkStart w:id="43" w:name="Tc_oN8lpcqk20GH5r7cwqKT6g_3_1"/>
      <w:bookmarkStart w:id="44" w:name="Tc_3YfglmVLCkaAlTOF94CT0w_3_0"/>
      <w:bookmarkStart w:id="45" w:name="Tc_LgXyz3UiekibGpK91J3Ppw_1_3"/>
      <w:bookmarkStart w:id="46" w:name="Tc_Uk1bSEt4A0OoTu5G71smRg_1_1"/>
      <w:bookmarkStart w:id="47" w:name="Tc_5jSIK12XBEGkZTaDuwMZbA_1_0"/>
      <w:bookmarkStart w:id="48" w:name="_1e36b7ef_5ef7_4a0f_afaf_eb5a0bfe0b7d"/>
      <w:bookmarkEnd w:id="41"/>
      <w:bookmarkEnd w:id="42"/>
      <w:bookmarkEnd w:id="43"/>
      <w:bookmarkEnd w:id="44"/>
      <w:bookmarkEnd w:id="45"/>
      <w:bookmarkEnd w:id="46"/>
      <w:bookmarkEnd w:id="47"/>
      <w:bookmarkEnd w:id="48"/>
    </w:p>
    <w:tbl>
      <w:tblPr>
        <w:tblW w:w="4579" w:type="dxa"/>
        <w:jc w:val="left"/>
        <w:tblInd w:w="0" w:type="dxa"/>
        <w:tblLayout w:type="fixed"/>
        <w:tblCellMar>
          <w:top w:w="0" w:type="dxa"/>
          <w:left w:w="0" w:type="dxa"/>
          <w:bottom w:w="0" w:type="dxa"/>
          <w:right w:w="0" w:type="dxa"/>
        </w:tblCellMar>
      </w:tblPr>
      <w:tblGrid>
        <w:gridCol w:w="1771"/>
        <w:gridCol w:w="316"/>
        <w:gridCol w:w="2131"/>
        <w:gridCol w:w="361"/>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124585" cy="175260"/>
                      <wp:effectExtent l="0" t="0" r="0" b="0"/>
                      <wp:wrapNone/>
                      <wp:docPr id="1" name="Frame1"/>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0660" cy="175260"/>
                      <wp:effectExtent l="0" t="0" r="0" b="0"/>
                      <wp:wrapNone/>
                      <wp:docPr id="2" name="Frame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53185" cy="175260"/>
                      <wp:effectExtent l="0" t="0" r="0" b="0"/>
                      <wp:wrapNone/>
                      <wp:docPr id="3" name="Frame3"/>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29235" cy="175260"/>
                      <wp:effectExtent l="0" t="0" r="0" b="0"/>
                      <wp:wrapNone/>
                      <wp:docPr id="4" name="Frame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21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131"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21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131"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left"/>
              <w:rPr/>
            </w:pPr>
            <w:r>
              <w:rPr/>
              <w:t>​</w:t>
            </w:r>
          </w:p>
        </w:tc>
      </w:tr>
      <w:tr>
        <w:trPr/>
        <w:tc>
          <w:tcPr>
            <w:tcW w:w="177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1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80"/>
        <w:ind w:left="0" w:right="0" w:firstLine="562"/>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80"/>
        <w:ind w:left="0" w:right="0" w:firstLine="562"/>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w:t>
      </w:r>
      <w:r>
        <w:rPr>
          <w:rFonts w:ascii="Times New Roman;Times;serif" w:hAnsi="Times New Roman;Times;serif"/>
          <w:sz w:val="20"/>
        </w:rPr>
        <w:t>☐  </w:t>
      </w:r>
      <w:r>
        <w:rPr>
          <w:rFonts w:ascii="Times New Roman;Times;serif" w:hAnsi="Times New Roman;Times;serif"/>
          <w:sz w:val="18"/>
        </w:rPr>
        <w:t>Yes    </w:t>
      </w:r>
      <w:r>
        <w:rPr>
          <w:rFonts w:ascii="Times New Roman;Times;serif" w:hAnsi="Times New Roman;Times;serif"/>
          <w:sz w:val="20"/>
        </w:rPr>
        <w:t>☒  </w:t>
      </w:r>
      <w:r>
        <w:rPr>
          <w:rFonts w:ascii="Times New Roman;Times;serif" w:hAnsi="Times New Roman;Times;serif"/>
          <w:sz w:val="18"/>
        </w:rPr>
        <w:t>No</w:t>
      </w:r>
    </w:p>
    <w:p>
      <w:pPr>
        <w:pStyle w:val="TextBody"/>
        <w:bidi w:val="0"/>
        <w:spacing w:before="0" w:after="0"/>
        <w:ind w:left="0" w:right="0" w:firstLine="562"/>
        <w:jc w:val="left"/>
        <w:rPr>
          <w:rFonts w:ascii="Times New Roman;Times;serif" w:hAnsi="Times New Roman;Times;serif"/>
          <w:sz w:val="18"/>
        </w:rPr>
      </w:pPr>
      <w:r>
        <w:rPr>
          <w:rFonts w:ascii="Times New Roman;Times;serif" w:hAnsi="Times New Roman;Times;serif"/>
          <w:sz w:val="18"/>
        </w:rPr>
        <w:t>As of August 3, 2026, there were 30,432,937 shares of the issuer’s common stock outstanding.</w:t>
      </w:r>
    </w:p>
    <w:p>
      <w:pPr>
        <w:pStyle w:val="TextBody"/>
        <w:bidi w:val="0"/>
        <w:spacing w:before="0" w:after="240"/>
        <w:ind w:left="0" w:right="0" w:firstLine="562"/>
        <w:jc w:val="left"/>
        <w:rPr/>
      </w:pPr>
      <w:r>
        <w:rPr/>
        <w:t>​</w:t>
      </w:r>
    </w:p>
    <w:p>
      <w:pPr>
        <w:pStyle w:val="TextBody"/>
        <w:pBdr>
          <w:top w:val="single" w:sz="8" w:space="1" w:color="000000"/>
          <w:bottom w:val="single" w:sz="24" w:space="1" w:color="000000"/>
        </w:pBdr>
        <w:bidi w:val="0"/>
        <w:spacing w:before="0" w:after="240"/>
        <w:ind w:left="0" w:right="0" w:firstLine="562"/>
        <w:jc w:val="left"/>
        <w:rPr/>
      </w:pPr>
      <w:r>
        <w:rPr/>
        <w:t>​</w:t>
      </w:r>
    </w:p>
    <w:p>
      <w:pPr>
        <w:pStyle w:val="TextBody"/>
        <w:bidi w:val="0"/>
        <w:spacing w:before="0" w:after="240"/>
        <w:ind w:left="0" w:right="0" w:firstLine="562"/>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9" w:name="_35666cfb_ac60_4b51_9fdc_f6f9c9ffa66b"/>
      <w:bookmarkStart w:id="50" w:name="TOC"/>
      <w:bookmarkEnd w:id="49"/>
      <w:bookmarkEnd w:id="50"/>
      <w:r>
        <w:rPr>
          <w:rFonts w:ascii="Times New Roman;Times;serif" w:hAnsi="Times New Roman;Times;serif"/>
          <w:b/>
          <w:sz w:val="20"/>
        </w:rPr>
        <w:t>TABLE OF CONTENTS</w:t>
      </w:r>
    </w:p>
    <w:p>
      <w:pPr>
        <w:pStyle w:val="TextBody"/>
        <w:bidi w:val="0"/>
        <w:spacing w:before="0" w:after="0"/>
        <w:ind w:left="0" w:right="0" w:hanging="0"/>
        <w:jc w:val="center"/>
        <w:rPr/>
      </w:pPr>
      <w:r>
        <w:rPr/>
        <w:t>​</w:t>
      </w:r>
    </w:p>
    <w:tbl>
      <w:tblPr>
        <w:tblW w:w="9731" w:type="dxa"/>
        <w:jc w:val="left"/>
        <w:tblInd w:w="0" w:type="dxa"/>
        <w:tblLayout w:type="fixed"/>
        <w:tblCellMar>
          <w:top w:w="0" w:type="dxa"/>
          <w:left w:w="0" w:type="dxa"/>
          <w:bottom w:w="0" w:type="dxa"/>
          <w:right w:w="0" w:type="dxa"/>
        </w:tblCellMar>
      </w:tblPr>
      <w:tblGrid>
        <w:gridCol w:w="841"/>
        <w:gridCol w:w="109"/>
        <w:gridCol w:w="7366"/>
        <w:gridCol w:w="109"/>
        <w:gridCol w:w="1306"/>
      </w:tblGrid>
      <w:tr>
        <w:trPr/>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677410" cy="175260"/>
                      <wp:effectExtent l="0" t="0" r="0" b="0"/>
                      <wp:wrapNone/>
                      <wp:docPr id="5" name="Frame5"/>
                      <a:graphic xmlns:a="http://schemas.openxmlformats.org/drawingml/2006/main">
                        <a:graphicData uri="http://schemas.microsoft.com/office/word/2010/wordprocessingShape">
                          <wps:wsp>
                            <wps:cNvSpPr txBox="1"/>
                            <wps:spPr>
                              <a:xfrm>
                                <a:off x="0" y="0"/>
                                <a:ext cx="467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829310" cy="175260"/>
                      <wp:effectExtent l="0" t="0" r="0" b="0"/>
                      <wp:wrapNone/>
                      <wp:docPr id="6" name="Frame6"/>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 Number</w:t>
            </w:r>
          </w:p>
        </w:tc>
      </w:tr>
      <w:tr>
        <w:trPr/>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center"/>
              <w:rPr/>
            </w:pPr>
            <w:hyperlink w:anchor="PARTIFINANCIALINFORMATION_255169">
              <w:r>
                <w:rPr>
                  <w:rStyle w:val="InternetLink"/>
                  <w:rFonts w:ascii="Times New Roman;Times;serif" w:hAnsi="Times New Roman;Times;serif"/>
                  <w:b/>
                  <w:i w:val="false"/>
                  <w:caps w:val="false"/>
                  <w:smallCaps w:val="false"/>
                  <w:sz w:val="20"/>
                </w:rPr>
                <w:t>PART I. FINANCIAL INFORMATION</w:t>
              </w:r>
            </w:hyperlink>
          </w:p>
        </w:tc>
        <w:tc>
          <w:tcPr>
            <w:tcW w:w="109"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left"/>
              <w:rPr/>
            </w:pPr>
            <w:r>
              <w:rPr/>
              <w:t>​</w:t>
            </w:r>
          </w:p>
        </w:tc>
      </w:tr>
      <w:tr>
        <w:trPr/>
        <w:tc>
          <w:tcPr>
            <w:tcW w:w="84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1.</w:t>
            </w:r>
          </w:p>
        </w:tc>
        <w:tc>
          <w:tcPr>
            <w:tcW w:w="109" w:type="dxa"/>
            <w:tcBorders/>
            <w:shd w:fill="CCEEFF" w:val="clear"/>
            <w:vAlign w:val="center"/>
          </w:tcPr>
          <w:p>
            <w:pPr>
              <w:pStyle w:val="TableContents"/>
              <w:bidi w:val="0"/>
              <w:spacing w:before="0" w:after="0"/>
              <w:ind w:left="0" w:right="0" w:hanging="0"/>
              <w:jc w:val="left"/>
              <w:rPr/>
            </w:pPr>
            <w:r>
              <w:rPr/>
              <w:t>​</w:t>
            </w:r>
          </w:p>
        </w:tc>
        <w:tc>
          <w:tcPr>
            <w:tcW w:w="7366" w:type="dxa"/>
            <w:tcBorders/>
            <w:shd w:fill="CCEEFF" w:val="clear"/>
            <w:vAlign w:val="center"/>
          </w:tcPr>
          <w:p>
            <w:pPr>
              <w:pStyle w:val="TableContents"/>
              <w:bidi w:val="0"/>
              <w:spacing w:before="0" w:after="0"/>
              <w:ind w:left="0" w:right="0" w:hanging="0"/>
              <w:jc w:val="both"/>
              <w:rPr/>
            </w:pPr>
            <w:hyperlink w:anchor="_Item_1._Financial">
              <w:r>
                <w:rPr>
                  <w:rStyle w:val="InternetLink"/>
                  <w:rFonts w:ascii="Times New Roman;Times;serif" w:hAnsi="Times New Roman;Times;serif"/>
                  <w:b w:val="false"/>
                  <w:i w:val="false"/>
                  <w:caps w:val="false"/>
                  <w:smallCaps w:val="false"/>
                  <w:color w:val="0000FF"/>
                  <w:sz w:val="20"/>
                </w:rPr>
                <w:t>Financial Statements</w:t>
              </w:r>
            </w:hyperlink>
          </w:p>
        </w:tc>
        <w:tc>
          <w:tcPr>
            <w:tcW w:w="109"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both"/>
              <w:rPr/>
            </w:pPr>
            <w:hyperlink w:anchor="CONDENSEDCONSOLIDATEDBALANCESHEETSUNAUDI">
              <w:r>
                <w:rPr>
                  <w:rStyle w:val="InternetLink"/>
                  <w:rFonts w:ascii="Times New Roman;Times;serif" w:hAnsi="Times New Roman;Times;serif"/>
                  <w:b w:val="false"/>
                  <w:i w:val="false"/>
                  <w:caps w:val="false"/>
                  <w:smallCaps w:val="false"/>
                  <w:color w:val="0000FF"/>
                  <w:sz w:val="20"/>
                </w:rPr>
                <w:t>Condensed Consolidated Balance Sheets (Unaudited)</w:t>
              </w:r>
            </w:hyperlink>
          </w:p>
        </w:tc>
        <w:tc>
          <w:tcPr>
            <w:tcW w:w="109"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6" w:type="dxa"/>
            <w:tcBorders/>
            <w:shd w:fill="CCEEFF" w:val="clear"/>
            <w:vAlign w:val="center"/>
          </w:tcPr>
          <w:p>
            <w:pPr>
              <w:pStyle w:val="TableContents"/>
              <w:bidi w:val="0"/>
              <w:spacing w:before="0" w:after="0"/>
              <w:ind w:left="0" w:right="0" w:hanging="0"/>
              <w:jc w:val="both"/>
              <w:rPr/>
            </w:pPr>
            <w:hyperlink w:anchor="CONDENSEDCONSOLIDATEDSTATEMENTSOFINCOMEU">
              <w:r>
                <w:rPr>
                  <w:rStyle w:val="InternetLink"/>
                  <w:rFonts w:ascii="Times New Roman;Times;serif" w:hAnsi="Times New Roman;Times;serif"/>
                  <w:b w:val="false"/>
                  <w:i w:val="false"/>
                  <w:caps w:val="false"/>
                  <w:smallCaps w:val="false"/>
                  <w:color w:val="0000FF"/>
                  <w:sz w:val="20"/>
                </w:rPr>
                <w:t>Condensed Consolidated Statements of Income (Unaudited)</w:t>
              </w:r>
            </w:hyperlink>
          </w:p>
        </w:tc>
        <w:tc>
          <w:tcPr>
            <w:tcW w:w="109"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both"/>
              <w:rPr/>
            </w:pPr>
            <w:hyperlink w:anchor="CONDENSEDCONSOLIDATEDSTATEMENTSOFCHANGES">
              <w:r>
                <w:rPr>
                  <w:rStyle w:val="InternetLink"/>
                  <w:rFonts w:ascii="Times New Roman;Times;serif" w:hAnsi="Times New Roman;Times;serif"/>
                  <w:b w:val="false"/>
                  <w:i w:val="false"/>
                  <w:caps w:val="false"/>
                  <w:smallCaps w:val="false"/>
                  <w:color w:val="0000FF"/>
                  <w:sz w:val="20"/>
                </w:rPr>
                <w:t>Condensed Consolidated Statements of Changes in Stockholders’ Equity (Unaudited)</w:t>
              </w:r>
            </w:hyperlink>
          </w:p>
        </w:tc>
        <w:tc>
          <w:tcPr>
            <w:tcW w:w="109"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8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6" w:type="dxa"/>
            <w:tcBorders/>
            <w:shd w:fill="CCEEFF" w:val="clear"/>
            <w:vAlign w:val="center"/>
          </w:tcPr>
          <w:p>
            <w:pPr>
              <w:pStyle w:val="TableContents"/>
              <w:bidi w:val="0"/>
              <w:spacing w:before="0" w:after="0"/>
              <w:ind w:left="0" w:right="0" w:hanging="0"/>
              <w:jc w:val="both"/>
              <w:rPr/>
            </w:pPr>
            <w:hyperlink w:anchor="CONDENSEDCONSOLIDATEDSTATEMENTSOFCASHFLO">
              <w:r>
                <w:rPr>
                  <w:rStyle w:val="InternetLink"/>
                  <w:rFonts w:ascii="Times New Roman;Times;serif" w:hAnsi="Times New Roman;Times;serif"/>
                  <w:b w:val="false"/>
                  <w:i w:val="false"/>
                  <w:caps w:val="false"/>
                  <w:smallCaps w:val="false"/>
                  <w:color w:val="0000FF"/>
                  <w:sz w:val="20"/>
                </w:rPr>
                <w:t>Condensed Consolidated Statements of Cash Flows (Unaudited)</w:t>
              </w:r>
            </w:hyperlink>
          </w:p>
        </w:tc>
        <w:tc>
          <w:tcPr>
            <w:tcW w:w="109"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both"/>
              <w:rPr/>
            </w:pPr>
            <w:hyperlink w:anchor="NOTESTOCONDENSEDCONSOLIDATEDFINANCIALSTA">
              <w:r>
                <w:rPr>
                  <w:rStyle w:val="InternetLink"/>
                  <w:rFonts w:ascii="Times New Roman;Times;serif" w:hAnsi="Times New Roman;Times;serif"/>
                  <w:b w:val="false"/>
                  <w:i w:val="false"/>
                  <w:caps w:val="false"/>
                  <w:smallCaps w:val="false"/>
                  <w:color w:val="0000FF"/>
                  <w:sz w:val="20"/>
                </w:rPr>
                <w:t>Notes to Condensed Consolidated Financial Statements (Unaudited)</w:t>
              </w:r>
            </w:hyperlink>
          </w:p>
        </w:tc>
        <w:tc>
          <w:tcPr>
            <w:tcW w:w="109"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r>
      <w:tr>
        <w:trPr/>
        <w:tc>
          <w:tcPr>
            <w:tcW w:w="84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2.</w:t>
            </w:r>
          </w:p>
        </w:tc>
        <w:tc>
          <w:tcPr>
            <w:tcW w:w="109" w:type="dxa"/>
            <w:tcBorders/>
            <w:shd w:fill="CCEEFF" w:val="clear"/>
            <w:vAlign w:val="center"/>
          </w:tcPr>
          <w:p>
            <w:pPr>
              <w:pStyle w:val="TableContents"/>
              <w:bidi w:val="0"/>
              <w:spacing w:before="0" w:after="0"/>
              <w:ind w:left="0" w:right="0" w:hanging="0"/>
              <w:jc w:val="left"/>
              <w:rPr/>
            </w:pPr>
            <w:r>
              <w:rPr/>
              <w:t>​</w:t>
            </w:r>
          </w:p>
        </w:tc>
        <w:tc>
          <w:tcPr>
            <w:tcW w:w="7366" w:type="dxa"/>
            <w:tcBorders/>
            <w:shd w:fill="CCEEFF" w:val="clear"/>
            <w:vAlign w:val="center"/>
          </w:tcPr>
          <w:p>
            <w:pPr>
              <w:pStyle w:val="TableContents"/>
              <w:bidi w:val="0"/>
              <w:spacing w:before="0" w:after="0"/>
              <w:ind w:left="0" w:right="0" w:hanging="0"/>
              <w:jc w:val="both"/>
              <w:rPr/>
            </w:pPr>
            <w:hyperlink w:anchor="Item2ManagementsDiscussionandAnalysisofF">
              <w:r>
                <w:rPr>
                  <w:rStyle w:val="InternetLink"/>
                  <w:rFonts w:ascii="Times New Roman;Times;serif" w:hAnsi="Times New Roman;Times;serif"/>
                  <w:b w:val="false"/>
                  <w:i w:val="false"/>
                  <w:caps w:val="false"/>
                  <w:smallCaps w:val="false"/>
                  <w:color w:val="0000FF"/>
                  <w:sz w:val="20"/>
                </w:rPr>
                <w:t>Management’s Discussion and Analysis of Financial Condition and Results of Operations</w:t>
              </w:r>
            </w:hyperlink>
          </w:p>
        </w:tc>
        <w:tc>
          <w:tcPr>
            <w:tcW w:w="109"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tc>
      </w:tr>
      <w:tr>
        <w:trPr/>
        <w:tc>
          <w:tcPr>
            <w:tcW w:w="84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3.</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both"/>
              <w:rPr/>
            </w:pPr>
            <w:hyperlink w:anchor="Item3QuantitativeandQualitativeDisclosur">
              <w:r>
                <w:rPr>
                  <w:rStyle w:val="InternetLink"/>
                  <w:rFonts w:ascii="Times New Roman;Times;serif" w:hAnsi="Times New Roman;Times;serif"/>
                  <w:b w:val="false"/>
                  <w:i w:val="false"/>
                  <w:caps w:val="false"/>
                  <w:smallCaps w:val="false"/>
                  <w:color w:val="0000FF"/>
                  <w:sz w:val="20"/>
                </w:rPr>
                <w:t>Quantitative and Qualitative Disclosures About Market Risk</w:t>
              </w:r>
            </w:hyperlink>
          </w:p>
        </w:tc>
        <w:tc>
          <w:tcPr>
            <w:tcW w:w="109"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tc>
      </w:tr>
      <w:tr>
        <w:trPr/>
        <w:tc>
          <w:tcPr>
            <w:tcW w:w="84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4.</w:t>
            </w:r>
          </w:p>
        </w:tc>
        <w:tc>
          <w:tcPr>
            <w:tcW w:w="109" w:type="dxa"/>
            <w:tcBorders/>
            <w:shd w:fill="CCEEFF" w:val="clear"/>
            <w:vAlign w:val="center"/>
          </w:tcPr>
          <w:p>
            <w:pPr>
              <w:pStyle w:val="TableContents"/>
              <w:bidi w:val="0"/>
              <w:spacing w:before="0" w:after="0"/>
              <w:ind w:left="0" w:right="0" w:hanging="0"/>
              <w:jc w:val="left"/>
              <w:rPr/>
            </w:pPr>
            <w:r>
              <w:rPr/>
              <w:t>​</w:t>
            </w:r>
          </w:p>
        </w:tc>
        <w:tc>
          <w:tcPr>
            <w:tcW w:w="7366" w:type="dxa"/>
            <w:tcBorders/>
            <w:shd w:fill="CCEEFF" w:val="clear"/>
            <w:vAlign w:val="center"/>
          </w:tcPr>
          <w:p>
            <w:pPr>
              <w:pStyle w:val="TableContents"/>
              <w:bidi w:val="0"/>
              <w:spacing w:before="0" w:after="0"/>
              <w:ind w:left="0" w:right="0" w:hanging="0"/>
              <w:jc w:val="both"/>
              <w:rPr/>
            </w:pPr>
            <w:hyperlink w:anchor="Item4ControlsandProcedures_514743">
              <w:r>
                <w:rPr>
                  <w:rStyle w:val="InternetLink"/>
                  <w:rFonts w:ascii="Times New Roman;Times;serif" w:hAnsi="Times New Roman;Times;serif"/>
                  <w:b w:val="false"/>
                  <w:i w:val="false"/>
                  <w:caps w:val="false"/>
                  <w:smallCaps w:val="false"/>
                  <w:color w:val="0000FF"/>
                  <w:sz w:val="20"/>
                </w:rPr>
                <w:t>Controls and Procedures</w:t>
              </w:r>
            </w:hyperlink>
          </w:p>
        </w:tc>
        <w:tc>
          <w:tcPr>
            <w:tcW w:w="109"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r>
      <w:tr>
        <w:trPr/>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left"/>
              <w:rPr/>
            </w:pPr>
            <w:r>
              <w:rPr/>
              <w:t>​</w:t>
            </w:r>
          </w:p>
        </w:tc>
      </w:tr>
      <w:tr>
        <w:trPr/>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center"/>
              <w:rPr/>
            </w:pPr>
            <w:hyperlink w:anchor="PARTIIOTHERINFORMATION_750351">
              <w:r>
                <w:rPr>
                  <w:rStyle w:val="InternetLink"/>
                  <w:rFonts w:ascii="Times New Roman;Times;serif" w:hAnsi="Times New Roman;Times;serif"/>
                  <w:b/>
                  <w:i w:val="false"/>
                  <w:caps w:val="false"/>
                  <w:smallCaps w:val="false"/>
                  <w:sz w:val="20"/>
                </w:rPr>
                <w:t>PART II. OTHER INFORMATION</w:t>
              </w:r>
            </w:hyperlink>
          </w:p>
        </w:tc>
        <w:tc>
          <w:tcPr>
            <w:tcW w:w="109"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left"/>
              <w:rPr/>
            </w:pPr>
            <w:r>
              <w:rPr/>
              <w:t>​</w:t>
            </w:r>
          </w:p>
        </w:tc>
      </w:tr>
      <w:tr>
        <w:trPr/>
        <w:tc>
          <w:tcPr>
            <w:tcW w:w="8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1.</w:t>
            </w:r>
          </w:p>
        </w:tc>
        <w:tc>
          <w:tcPr>
            <w:tcW w:w="109" w:type="dxa"/>
            <w:tcBorders/>
            <w:shd w:fill="CCEEFF" w:val="clear"/>
            <w:vAlign w:val="center"/>
          </w:tcPr>
          <w:p>
            <w:pPr>
              <w:pStyle w:val="TableContents"/>
              <w:bidi w:val="0"/>
              <w:spacing w:before="0" w:after="0"/>
              <w:ind w:left="0" w:right="0" w:hanging="0"/>
              <w:jc w:val="left"/>
              <w:rPr/>
            </w:pPr>
            <w:r>
              <w:rPr/>
              <w:t>​</w:t>
            </w:r>
          </w:p>
        </w:tc>
        <w:tc>
          <w:tcPr>
            <w:tcW w:w="7366" w:type="dxa"/>
            <w:tcBorders/>
            <w:shd w:fill="CCEEFF" w:val="clear"/>
            <w:vAlign w:val="center"/>
          </w:tcPr>
          <w:p>
            <w:pPr>
              <w:pStyle w:val="TableContents"/>
              <w:bidi w:val="0"/>
              <w:spacing w:before="0" w:after="0"/>
              <w:ind w:left="0" w:right="0" w:hanging="0"/>
              <w:jc w:val="both"/>
              <w:rPr/>
            </w:pPr>
            <w:hyperlink w:anchor="Item1LegalProceedings_952142">
              <w:r>
                <w:rPr>
                  <w:rStyle w:val="InternetLink"/>
                  <w:rFonts w:ascii="Times New Roman;Times;serif" w:hAnsi="Times New Roman;Times;serif"/>
                  <w:b w:val="false"/>
                  <w:i w:val="false"/>
                  <w:caps w:val="false"/>
                  <w:smallCaps w:val="false"/>
                  <w:color w:val="0000FF"/>
                  <w:sz w:val="20"/>
                </w:rPr>
                <w:t>Legal Proceedings</w:t>
              </w:r>
            </w:hyperlink>
          </w:p>
        </w:tc>
        <w:tc>
          <w:tcPr>
            <w:tcW w:w="109"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r>
      <w:tr>
        <w:trPr/>
        <w:tc>
          <w:tcPr>
            <w:tcW w:w="8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1A.</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both"/>
              <w:rPr/>
            </w:pPr>
            <w:hyperlink w:anchor="Item1ARiskFactors_611784">
              <w:r>
                <w:rPr>
                  <w:rStyle w:val="InternetLink"/>
                  <w:rFonts w:ascii="Times New Roman;Times;serif" w:hAnsi="Times New Roman;Times;serif"/>
                  <w:b w:val="false"/>
                  <w:i w:val="false"/>
                  <w:caps w:val="false"/>
                  <w:smallCaps w:val="false"/>
                  <w:color w:val="0000FF"/>
                  <w:sz w:val="20"/>
                </w:rPr>
                <w:t>Risk Factors</w:t>
              </w:r>
            </w:hyperlink>
          </w:p>
        </w:tc>
        <w:tc>
          <w:tcPr>
            <w:tcW w:w="109"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r>
      <w:tr>
        <w:trPr/>
        <w:tc>
          <w:tcPr>
            <w:tcW w:w="8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2.</w:t>
            </w:r>
          </w:p>
        </w:tc>
        <w:tc>
          <w:tcPr>
            <w:tcW w:w="109" w:type="dxa"/>
            <w:tcBorders/>
            <w:shd w:fill="CCEEFF" w:val="clear"/>
            <w:vAlign w:val="center"/>
          </w:tcPr>
          <w:p>
            <w:pPr>
              <w:pStyle w:val="TableContents"/>
              <w:bidi w:val="0"/>
              <w:spacing w:before="0" w:after="0"/>
              <w:ind w:left="0" w:right="0" w:hanging="0"/>
              <w:jc w:val="left"/>
              <w:rPr/>
            </w:pPr>
            <w:r>
              <w:rPr/>
              <w:t>​</w:t>
            </w:r>
          </w:p>
        </w:tc>
        <w:tc>
          <w:tcPr>
            <w:tcW w:w="7366" w:type="dxa"/>
            <w:tcBorders/>
            <w:shd w:fill="CCEEFF" w:val="clear"/>
            <w:vAlign w:val="center"/>
          </w:tcPr>
          <w:p>
            <w:pPr>
              <w:pStyle w:val="TableContents"/>
              <w:bidi w:val="0"/>
              <w:spacing w:before="0" w:after="0"/>
              <w:ind w:left="0" w:right="0" w:hanging="0"/>
              <w:jc w:val="both"/>
              <w:rPr/>
            </w:pPr>
            <w:hyperlink w:anchor="Item2UnregisteredSalesofEquitySecurities">
              <w:r>
                <w:rPr>
                  <w:rStyle w:val="InternetLink"/>
                  <w:rFonts w:ascii="Times New Roman;Times;serif" w:hAnsi="Times New Roman;Times;serif"/>
                  <w:b w:val="false"/>
                  <w:i w:val="false"/>
                  <w:caps w:val="false"/>
                  <w:smallCaps w:val="false"/>
                  <w:color w:val="0000FF"/>
                  <w:sz w:val="20"/>
                </w:rPr>
                <w:t>Unregistered Sales of Equity Securities and Use of Proceeds</w:t>
              </w:r>
            </w:hyperlink>
          </w:p>
        </w:tc>
        <w:tc>
          <w:tcPr>
            <w:tcW w:w="109"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r>
      <w:tr>
        <w:trPr/>
        <w:tc>
          <w:tcPr>
            <w:tcW w:w="8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3.</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both"/>
              <w:rPr/>
            </w:pPr>
            <w:hyperlink w:anchor="Item3DefaultsofSeniorSecurities_13390">
              <w:r>
                <w:rPr>
                  <w:rStyle w:val="InternetLink"/>
                  <w:rFonts w:ascii="Times New Roman;Times;serif" w:hAnsi="Times New Roman;Times;serif"/>
                  <w:b w:val="false"/>
                  <w:i w:val="false"/>
                  <w:caps w:val="false"/>
                  <w:smallCaps w:val="false"/>
                  <w:color w:val="0000FF"/>
                  <w:sz w:val="20"/>
                </w:rPr>
                <w:t>Defaults Upon Senior Securities</w:t>
              </w:r>
            </w:hyperlink>
          </w:p>
        </w:tc>
        <w:tc>
          <w:tcPr>
            <w:tcW w:w="109"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r>
      <w:tr>
        <w:trPr/>
        <w:tc>
          <w:tcPr>
            <w:tcW w:w="8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4.</w:t>
            </w:r>
          </w:p>
        </w:tc>
        <w:tc>
          <w:tcPr>
            <w:tcW w:w="109" w:type="dxa"/>
            <w:tcBorders/>
            <w:shd w:fill="CCEEFF" w:val="clear"/>
            <w:vAlign w:val="center"/>
          </w:tcPr>
          <w:p>
            <w:pPr>
              <w:pStyle w:val="TableContents"/>
              <w:bidi w:val="0"/>
              <w:spacing w:before="0" w:after="0"/>
              <w:ind w:left="0" w:right="0" w:hanging="0"/>
              <w:jc w:val="left"/>
              <w:rPr/>
            </w:pPr>
            <w:r>
              <w:rPr/>
              <w:t>​</w:t>
            </w:r>
          </w:p>
        </w:tc>
        <w:tc>
          <w:tcPr>
            <w:tcW w:w="7366" w:type="dxa"/>
            <w:tcBorders/>
            <w:shd w:fill="CCEEFF" w:val="clear"/>
            <w:vAlign w:val="center"/>
          </w:tcPr>
          <w:p>
            <w:pPr>
              <w:pStyle w:val="TableContents"/>
              <w:bidi w:val="0"/>
              <w:spacing w:before="0" w:after="0"/>
              <w:ind w:left="0" w:right="0" w:hanging="0"/>
              <w:jc w:val="both"/>
              <w:rPr/>
            </w:pPr>
            <w:hyperlink w:anchor="Item4MineSafetyDisclosures_432267">
              <w:r>
                <w:rPr>
                  <w:rStyle w:val="InternetLink"/>
                  <w:rFonts w:ascii="Times New Roman;Times;serif" w:hAnsi="Times New Roman;Times;serif"/>
                  <w:b w:val="false"/>
                  <w:i w:val="false"/>
                  <w:caps w:val="false"/>
                  <w:smallCaps w:val="false"/>
                  <w:color w:val="0000FF"/>
                  <w:sz w:val="20"/>
                </w:rPr>
                <w:t>Mine Safety Disclosures</w:t>
              </w:r>
            </w:hyperlink>
          </w:p>
        </w:tc>
        <w:tc>
          <w:tcPr>
            <w:tcW w:w="109"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r>
      <w:tr>
        <w:trPr/>
        <w:tc>
          <w:tcPr>
            <w:tcW w:w="8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5.</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both"/>
              <w:rPr/>
            </w:pPr>
            <w:hyperlink w:anchor="Item5OtherInformation_929848">
              <w:r>
                <w:rPr>
                  <w:rStyle w:val="InternetLink"/>
                  <w:rFonts w:ascii="Times New Roman;Times;serif" w:hAnsi="Times New Roman;Times;serif"/>
                  <w:b w:val="false"/>
                  <w:i w:val="false"/>
                  <w:caps w:val="false"/>
                  <w:smallCaps w:val="false"/>
                  <w:color w:val="0000FF"/>
                  <w:sz w:val="20"/>
                </w:rPr>
                <w:t>Other Information</w:t>
              </w:r>
            </w:hyperlink>
          </w:p>
        </w:tc>
        <w:tc>
          <w:tcPr>
            <w:tcW w:w="109"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r>
      <w:tr>
        <w:trPr/>
        <w:tc>
          <w:tcPr>
            <w:tcW w:w="8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6.</w:t>
            </w:r>
          </w:p>
        </w:tc>
        <w:tc>
          <w:tcPr>
            <w:tcW w:w="109" w:type="dxa"/>
            <w:tcBorders/>
            <w:shd w:fill="CCEEFF" w:val="clear"/>
            <w:vAlign w:val="center"/>
          </w:tcPr>
          <w:p>
            <w:pPr>
              <w:pStyle w:val="TableContents"/>
              <w:bidi w:val="0"/>
              <w:spacing w:before="0" w:after="0"/>
              <w:ind w:left="0" w:right="0" w:hanging="0"/>
              <w:jc w:val="left"/>
              <w:rPr/>
            </w:pPr>
            <w:r>
              <w:rPr/>
              <w:t>​</w:t>
            </w:r>
          </w:p>
        </w:tc>
        <w:tc>
          <w:tcPr>
            <w:tcW w:w="7366" w:type="dxa"/>
            <w:tcBorders/>
            <w:shd w:fill="CCEEFF" w:val="clear"/>
            <w:vAlign w:val="center"/>
          </w:tcPr>
          <w:p>
            <w:pPr>
              <w:pStyle w:val="TableContents"/>
              <w:bidi w:val="0"/>
              <w:spacing w:before="0" w:after="0"/>
              <w:ind w:left="0" w:right="0" w:hanging="0"/>
              <w:jc w:val="both"/>
              <w:rPr/>
            </w:pPr>
            <w:hyperlink w:anchor="Item6Exhibits_636888">
              <w:r>
                <w:rPr>
                  <w:rStyle w:val="InternetLink"/>
                  <w:rFonts w:ascii="Times New Roman;Times;serif" w:hAnsi="Times New Roman;Times;serif"/>
                  <w:b w:val="false"/>
                  <w:i w:val="false"/>
                  <w:caps w:val="false"/>
                  <w:smallCaps w:val="false"/>
                  <w:color w:val="0000FF"/>
                  <w:sz w:val="20"/>
                </w:rPr>
                <w:t>Exhibits</w:t>
              </w:r>
            </w:hyperlink>
          </w:p>
        </w:tc>
        <w:tc>
          <w:tcPr>
            <w:tcW w:w="109"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r>
      <w:tr>
        <w:trPr/>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both"/>
              <w:rPr/>
            </w:pPr>
            <w:hyperlink w:anchor="SIGNATURES_726842">
              <w:r>
                <w:rPr>
                  <w:rStyle w:val="InternetLink"/>
                  <w:rFonts w:ascii="Times New Roman;Times;serif" w:hAnsi="Times New Roman;Times;serif"/>
                  <w:b w:val="false"/>
                  <w:i w:val="false"/>
                  <w:caps w:val="false"/>
                  <w:smallCaps w:val="false"/>
                  <w:color w:val="0000FF"/>
                  <w:sz w:val="20"/>
                </w:rPr>
                <w:t>Signatures</w:t>
              </w:r>
            </w:hyperlink>
          </w:p>
        </w:tc>
        <w:tc>
          <w:tcPr>
            <w:tcW w:w="109"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1" w:name="PARTIFINANCIALINFORMATION_255169"/>
      <w:bookmarkStart w:id="52" w:name="_8efefc2e_300b_4d26_89e1_18f5995a5589"/>
      <w:bookmarkEnd w:id="51"/>
      <w:bookmarkEnd w:id="52"/>
      <w:r>
        <w:rPr>
          <w:rFonts w:ascii="Times New Roman;Times;serif" w:hAnsi="Times New Roman;Times;serif"/>
          <w:b/>
          <w:sz w:val="20"/>
        </w:rPr>
        <w:t>PART I. FINANCIAL INFORMATION</w:t>
      </w:r>
    </w:p>
    <w:p>
      <w:pPr>
        <w:pStyle w:val="TextBody"/>
        <w:bidi w:val="0"/>
        <w:spacing w:before="120" w:after="0"/>
        <w:ind w:left="0" w:right="0" w:hanging="0"/>
        <w:jc w:val="left"/>
        <w:rPr>
          <w:rFonts w:ascii="Times New Roman;Times;serif" w:hAnsi="Times New Roman;Times;serif"/>
          <w:b/>
          <w:sz w:val="20"/>
        </w:rPr>
      </w:pPr>
      <w:bookmarkStart w:id="53" w:name="Item1FinancialStatements_653632"/>
      <w:bookmarkStart w:id="54" w:name="_Item_1._Financial"/>
      <w:bookmarkEnd w:id="53"/>
      <w:bookmarkEnd w:id="54"/>
      <w:r>
        <w:rPr>
          <w:rFonts w:ascii="Times New Roman;Times;serif" w:hAnsi="Times New Roman;Times;serif"/>
          <w:b/>
          <w:i w:val="false"/>
          <w:caps w:val="false"/>
          <w:smallCaps w:val="false"/>
          <w:sz w:val="20"/>
        </w:rPr>
        <w:t>Item 1.</w:t>
      </w:r>
      <w:r>
        <w:rPr>
          <w:rFonts w:ascii="Times New Roman;Times;serif" w:hAnsi="Times New Roman;Times;serif"/>
          <w:b/>
          <w:sz w:val="20"/>
        </w:rPr>
        <w:t>Financial Statements.</w:t>
      </w:r>
    </w:p>
    <w:p>
      <w:pPr>
        <w:pStyle w:val="TextBody"/>
        <w:bidi w:val="0"/>
        <w:spacing w:before="120" w:after="0"/>
        <w:ind w:left="0" w:right="0" w:hanging="0"/>
        <w:jc w:val="center"/>
        <w:rPr>
          <w:rFonts w:ascii="Times New Roman;Times;serif" w:hAnsi="Times New Roman;Times;serif"/>
          <w:b/>
          <w:sz w:val="20"/>
        </w:rPr>
      </w:pPr>
      <w:r>
        <w:rPr>
          <w:rFonts w:ascii="Times New Roman;Times;serif" w:hAnsi="Times New Roman;Times;serif"/>
          <w:b/>
          <w:sz w:val="20"/>
        </w:rPr>
        <w:t>EL POLLO LOCO HOLDINGS, INC.</w:t>
      </w:r>
    </w:p>
    <w:p>
      <w:pPr>
        <w:pStyle w:val="TextBody"/>
        <w:bidi w:val="0"/>
        <w:spacing w:before="0" w:after="0"/>
        <w:ind w:left="0" w:right="0" w:hanging="0"/>
        <w:jc w:val="center"/>
        <w:rPr>
          <w:rFonts w:ascii="Times New Roman;Times;serif" w:hAnsi="Times New Roman;Times;serif"/>
          <w:b/>
          <w:sz w:val="20"/>
        </w:rPr>
      </w:pPr>
      <w:bookmarkStart w:id="55" w:name="CONDENSEDCONSOLIDATEDBALANCESHEETSUNAUDI"/>
      <w:bookmarkEnd w:id="55"/>
      <w:r>
        <w:rPr>
          <w:rFonts w:ascii="Times New Roman;Times;serif" w:hAnsi="Times New Roman;Times;serif"/>
          <w:b/>
          <w:sz w:val="20"/>
        </w:rPr>
        <w:t>CONDENSED CONSOLIDATED BALANCE SHEETS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except share and per share data)</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56" w:name="Tc_DulIX4MPv0WXOSbQFQ492w_38_5"/>
      <w:bookmarkStart w:id="57" w:name="Tc_lg6CA4ID0kC80PVPwQAK2Q_38_2"/>
      <w:bookmarkStart w:id="58" w:name="Tc_Tp-xaeUND0SCmXeGjh9mZw_38_0"/>
      <w:bookmarkStart w:id="59" w:name="Tc_hF089IYTV0uUtqLRUJp4hA_37_0"/>
      <w:bookmarkStart w:id="60" w:name="Tc_nBVIkbn3_kKf-95GWh4lNA_36_0"/>
      <w:bookmarkStart w:id="61" w:name="Tc_9NNyJst6X0enoVsFsnCWDg_35_0"/>
      <w:bookmarkStart w:id="62" w:name="Tc_GL9Vg7ACnU6RLqFTFFMvWw_34_0"/>
      <w:bookmarkStart w:id="63" w:name="_9a6b5006_b5f0_4afd_881a_b5252250741a_3"/>
      <w:bookmarkStart w:id="64" w:name="_9a6b5006_b5f0_4afd_881a_b5252250741a_2"/>
      <w:bookmarkStart w:id="65" w:name="_9a6b5006_b5f0_4afd_881a_b5252250741a"/>
      <w:bookmarkStart w:id="66" w:name="Tc_k7Yq2x3_2ESKnK7rFbNq0Q_33_0"/>
      <w:bookmarkStart w:id="67" w:name="Tc_G7WthFVVz0mW_1MdEtummg_32_0"/>
      <w:bookmarkStart w:id="68" w:name="Tc_KY6pcV-3AkSQJQXoMBnRXA_31_0"/>
      <w:bookmarkStart w:id="69" w:name="Tc_G28nTGDJTEioF3xN_YWhaw_30_0"/>
      <w:bookmarkStart w:id="70" w:name="Tc_X3aVqxWuU0OXwzJgUpwNKQ_29_0"/>
      <w:bookmarkStart w:id="71" w:name="Tc_sNYeune470ybkKSBeTXKfg_28_0"/>
      <w:bookmarkStart w:id="72" w:name="Tc_x4zStMFtsE2iNUFCPmE7Lg_27_0"/>
      <w:bookmarkStart w:id="73" w:name="Tc_Q_XmU5ydZkS6gyAGH8M9qQ_26_0"/>
      <w:bookmarkStart w:id="74" w:name="Tc_tb4w3g3kDkqrid9svyN7Rw_25_0"/>
      <w:bookmarkStart w:id="75" w:name="Tc_y18hPkpUzEqmZ4tG9n5xyw_24_0"/>
      <w:bookmarkStart w:id="76" w:name="Tc_LUj5LZpEq0Swz83jiAFaYA_23_0"/>
      <w:bookmarkStart w:id="77" w:name="Tc_QR16MACUiUm0PVutPL548Q_22_0"/>
      <w:bookmarkStart w:id="78" w:name="Tc_iBEdGMhNbkaBQv81kKOVng_21_0"/>
      <w:bookmarkStart w:id="79" w:name="Tc_FZiTRiusr0ylrx5ifBP7cA_20_5"/>
      <w:bookmarkStart w:id="80" w:name="Tc_I0pdb1SDp06ZJe0tjpAd9Q_20_2"/>
      <w:bookmarkStart w:id="81" w:name="Tc_ZSOA6_BOREOMaJ_x1iZvfg_20_0"/>
      <w:bookmarkStart w:id="82" w:name="Tc_IkCWKuIIXUSvH-za3Wm4UA_19_0"/>
      <w:bookmarkStart w:id="83" w:name="Tc_FpDDmULbRUiljUFcEKiUJw_18_0"/>
      <w:bookmarkStart w:id="84" w:name="Tc_C4QcY7P2tE2C1agQ8C2NeQ_17_5"/>
      <w:bookmarkStart w:id="85" w:name="Tc_KYucqpRqDkaCegAn-B-Asw_17_2"/>
      <w:bookmarkStart w:id="86" w:name="Tc_pV_EHoSqKkSFRYekGAalbQ_17_0"/>
      <w:bookmarkStart w:id="87" w:name="Tc_5KIWDuaW1UyvDv4dP1ympA_16_0"/>
      <w:bookmarkStart w:id="88" w:name="Tc_CJhA1Gcok0KWOeXQD5JBOg_15_0"/>
      <w:bookmarkStart w:id="89" w:name="Tc_TrHykB7t3U23Q2TTUGcs1A_14_0"/>
      <w:bookmarkStart w:id="90" w:name="Tc_cc7MpeOTp0-4DlQmzZqGmA_13_0"/>
      <w:bookmarkStart w:id="91" w:name="Tc_fTRfzXXcpEepTXlsNe22PA_12_0"/>
      <w:bookmarkStart w:id="92" w:name="Tc_XLMmq9eqq0eUMS72QHOCqQ_11_0"/>
      <w:bookmarkStart w:id="93" w:name="Tc_U9Mz5IJMcUCA_XwRLiRb8Q_10_0"/>
      <w:bookmarkStart w:id="94" w:name="Tc_TO03CKNfcEyZAnZuDhpMCQ_9_0"/>
      <w:bookmarkStart w:id="95" w:name="Tc_AE9Ijeny-kO8b-EEWrwX7w_8_0"/>
      <w:bookmarkStart w:id="96" w:name="Tc_PGHjxMrh7EqyVGtqXsD2cw_7_0"/>
      <w:bookmarkStart w:id="97" w:name="Tc_5YKSC7SdCU2pzAZOvH-bpg_6_0"/>
      <w:bookmarkStart w:id="98" w:name="Tc_IF1Q44zhuEW8Le3JpKNqgQ_5_5"/>
      <w:bookmarkStart w:id="99" w:name="Tc_mUXnNYb0r0uea4YT80-qKg_5_2"/>
      <w:bookmarkStart w:id="100" w:name="Tc_YJLChuMz5km22VeIDUV-9g_5_0"/>
      <w:bookmarkStart w:id="101" w:name="Tc_5SwMl-5UO02FHYYlk6aTnA_4_0"/>
      <w:bookmarkStart w:id="102" w:name="Tc__oIyANZ11U2BcdOyq4cbVw_3_0"/>
      <w:bookmarkStart w:id="103" w:name="Tc_eXeq_eukfkOwB1uETfbAsQ_2_5"/>
      <w:bookmarkStart w:id="104" w:name="Tc_rKWIED9Vq0eh6flkQcHBsw_2_2"/>
      <w:bookmarkStart w:id="105" w:name="Tc_p_WEzHzvWUywlmlbhPadxA_1_5"/>
      <w:bookmarkStart w:id="106" w:name="Tc_NwjZsQQQr0iodcPfD874DQ_1_2"/>
      <w:bookmarkStart w:id="107" w:name="_41d33600_14ce_4518_a32d_c92244d6600b"/>
      <w:bookmarkStart w:id="108" w:name="Tc_DulIX4MPv0WXOSbQFQ492w_38_5"/>
      <w:bookmarkStart w:id="109" w:name="Tc_lg6CA4ID0kC80PVPwQAK2Q_38_2"/>
      <w:bookmarkStart w:id="110" w:name="Tc_Tp-xaeUND0SCmXeGjh9mZw_38_0"/>
      <w:bookmarkStart w:id="111" w:name="Tc_hF089IYTV0uUtqLRUJp4hA_37_0"/>
      <w:bookmarkStart w:id="112" w:name="Tc_nBVIkbn3_kKf-95GWh4lNA_36_0"/>
      <w:bookmarkStart w:id="113" w:name="Tc_9NNyJst6X0enoVsFsnCWDg_35_0"/>
      <w:bookmarkStart w:id="114" w:name="Tc_GL9Vg7ACnU6RLqFTFFMvWw_34_0"/>
      <w:bookmarkStart w:id="115" w:name="_9a6b5006_b5f0_4afd_881a_b5252250741a_3"/>
      <w:bookmarkStart w:id="116" w:name="_9a6b5006_b5f0_4afd_881a_b5252250741a_2"/>
      <w:bookmarkStart w:id="117" w:name="_9a6b5006_b5f0_4afd_881a_b5252250741a"/>
      <w:bookmarkStart w:id="118" w:name="Tc_k7Yq2x3_2ESKnK7rFbNq0Q_33_0"/>
      <w:bookmarkStart w:id="119" w:name="Tc_G7WthFVVz0mW_1MdEtummg_32_0"/>
      <w:bookmarkStart w:id="120" w:name="Tc_KY6pcV-3AkSQJQXoMBnRXA_31_0"/>
      <w:bookmarkStart w:id="121" w:name="Tc_G28nTGDJTEioF3xN_YWhaw_30_0"/>
      <w:bookmarkStart w:id="122" w:name="Tc_X3aVqxWuU0OXwzJgUpwNKQ_29_0"/>
      <w:bookmarkStart w:id="123" w:name="Tc_sNYeune470ybkKSBeTXKfg_28_0"/>
      <w:bookmarkStart w:id="124" w:name="Tc_x4zStMFtsE2iNUFCPmE7Lg_27_0"/>
      <w:bookmarkStart w:id="125" w:name="Tc_Q_XmU5ydZkS6gyAGH8M9qQ_26_0"/>
      <w:bookmarkStart w:id="126" w:name="Tc_tb4w3g3kDkqrid9svyN7Rw_25_0"/>
      <w:bookmarkStart w:id="127" w:name="Tc_y18hPkpUzEqmZ4tG9n5xyw_24_0"/>
      <w:bookmarkStart w:id="128" w:name="Tc_LUj5LZpEq0Swz83jiAFaYA_23_0"/>
      <w:bookmarkStart w:id="129" w:name="Tc_QR16MACUiUm0PVutPL548Q_22_0"/>
      <w:bookmarkStart w:id="130" w:name="Tc_iBEdGMhNbkaBQv81kKOVng_21_0"/>
      <w:bookmarkStart w:id="131" w:name="Tc_FZiTRiusr0ylrx5ifBP7cA_20_5"/>
      <w:bookmarkStart w:id="132" w:name="Tc_I0pdb1SDp06ZJe0tjpAd9Q_20_2"/>
      <w:bookmarkStart w:id="133" w:name="Tc_ZSOA6_BOREOMaJ_x1iZvfg_20_0"/>
      <w:bookmarkStart w:id="134" w:name="Tc_IkCWKuIIXUSvH-za3Wm4UA_19_0"/>
      <w:bookmarkStart w:id="135" w:name="Tc_FpDDmULbRUiljUFcEKiUJw_18_0"/>
      <w:bookmarkStart w:id="136" w:name="Tc_C4QcY7P2tE2C1agQ8C2NeQ_17_5"/>
      <w:bookmarkStart w:id="137" w:name="Tc_KYucqpRqDkaCegAn-B-Asw_17_2"/>
      <w:bookmarkStart w:id="138" w:name="Tc_pV_EHoSqKkSFRYekGAalbQ_17_0"/>
      <w:bookmarkStart w:id="139" w:name="Tc_5KIWDuaW1UyvDv4dP1ympA_16_0"/>
      <w:bookmarkStart w:id="140" w:name="Tc_CJhA1Gcok0KWOeXQD5JBOg_15_0"/>
      <w:bookmarkStart w:id="141" w:name="Tc_TrHykB7t3U23Q2TTUGcs1A_14_0"/>
      <w:bookmarkStart w:id="142" w:name="Tc_cc7MpeOTp0-4DlQmzZqGmA_13_0"/>
      <w:bookmarkStart w:id="143" w:name="Tc_fTRfzXXcpEepTXlsNe22PA_12_0"/>
      <w:bookmarkStart w:id="144" w:name="Tc_XLMmq9eqq0eUMS72QHOCqQ_11_0"/>
      <w:bookmarkStart w:id="145" w:name="Tc_U9Mz5IJMcUCA_XwRLiRb8Q_10_0"/>
      <w:bookmarkStart w:id="146" w:name="Tc_TO03CKNfcEyZAnZuDhpMCQ_9_0"/>
      <w:bookmarkStart w:id="147" w:name="Tc_AE9Ijeny-kO8b-EEWrwX7w_8_0"/>
      <w:bookmarkStart w:id="148" w:name="Tc_PGHjxMrh7EqyVGtqXsD2cw_7_0"/>
      <w:bookmarkStart w:id="149" w:name="Tc_5YKSC7SdCU2pzAZOvH-bpg_6_0"/>
      <w:bookmarkStart w:id="150" w:name="Tc_IF1Q44zhuEW8Le3JpKNqgQ_5_5"/>
      <w:bookmarkStart w:id="151" w:name="Tc_mUXnNYb0r0uea4YT80-qKg_5_2"/>
      <w:bookmarkStart w:id="152" w:name="Tc_YJLChuMz5km22VeIDUV-9g_5_0"/>
      <w:bookmarkStart w:id="153" w:name="Tc_5SwMl-5UO02FHYYlk6aTnA_4_0"/>
      <w:bookmarkStart w:id="154" w:name="Tc__oIyANZ11U2BcdOyq4cbVw_3_0"/>
      <w:bookmarkStart w:id="155" w:name="Tc_eXeq_eukfkOwB1uETfbAsQ_2_5"/>
      <w:bookmarkStart w:id="156" w:name="Tc_rKWIED9Vq0eh6flkQcHBsw_2_2"/>
      <w:bookmarkStart w:id="157" w:name="Tc_p_WEzHzvWUywlmlbhPadxA_1_5"/>
      <w:bookmarkStart w:id="158" w:name="Tc_NwjZsQQQr0iodcPfD874DQ_1_2"/>
      <w:bookmarkStart w:id="159" w:name="_41d33600_14ce_4518_a32d_c92244d6600b"/>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tbl>
      <w:tblPr>
        <w:tblW w:w="10205" w:type="dxa"/>
        <w:jc w:val="left"/>
        <w:tblInd w:w="0" w:type="dxa"/>
        <w:tblLayout w:type="fixed"/>
        <w:tblCellMar>
          <w:top w:w="0" w:type="dxa"/>
          <w:left w:w="0" w:type="dxa"/>
          <w:bottom w:w="0" w:type="dxa"/>
          <w:right w:w="0" w:type="dxa"/>
        </w:tblCellMar>
      </w:tblPr>
      <w:tblGrid>
        <w:gridCol w:w="7506"/>
        <w:gridCol w:w="346"/>
        <w:gridCol w:w="196"/>
        <w:gridCol w:w="691"/>
        <w:gridCol w:w="346"/>
        <w:gridCol w:w="220"/>
        <w:gridCol w:w="900"/>
      </w:tblGrid>
      <w:tr>
        <w:trPr/>
        <w:tc>
          <w:tcPr>
            <w:tcW w:w="7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766310" cy="175260"/>
                      <wp:effectExtent l="0" t="0" r="0" b="0"/>
                      <wp:wrapNone/>
                      <wp:docPr id="7" name="Frame7"/>
                      <a:graphic xmlns:a="http://schemas.openxmlformats.org/drawingml/2006/main">
                        <a:graphicData uri="http://schemas.microsoft.com/office/word/2010/wordprocessingShape">
                          <wps:wsp>
                            <wps:cNvSpPr txBox="1"/>
                            <wps:spPr>
                              <a:xfrm>
                                <a:off x="0" y="0"/>
                                <a:ext cx="4766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24460" cy="175260"/>
                      <wp:effectExtent l="0" t="0" r="0" b="0"/>
                      <wp:wrapNone/>
                      <wp:docPr id="9" name="Frame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438785" cy="175260"/>
                      <wp:effectExtent l="0" t="0" r="0" b="0"/>
                      <wp:wrapNone/>
                      <wp:docPr id="10" name="Frame1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175260"/>
                      <wp:effectExtent l="0" t="0" r="0" b="0"/>
                      <wp:wrapNone/>
                      <wp:docPr id="11"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39700" cy="175260"/>
                      <wp:effectExtent l="0" t="0" r="0" b="0"/>
                      <wp:wrapNone/>
                      <wp:docPr id="12" name="Frame12"/>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71500" cy="175260"/>
                      <wp:effectExtent l="0" t="0" r="0" b="0"/>
                      <wp:wrapNone/>
                      <wp:docPr id="13" name="Frame13"/>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1,</w:t>
            </w:r>
          </w:p>
        </w:tc>
        <w:tc>
          <w:tcPr>
            <w:tcW w:w="346" w:type="dxa"/>
            <w:tcBorders/>
            <w:vAlign w:val="center"/>
          </w:tcPr>
          <w:p>
            <w:pPr>
              <w:pStyle w:val="TableContents"/>
              <w:bidi w:val="0"/>
              <w:spacing w:before="0" w:after="0"/>
              <w:ind w:left="0" w:right="0" w:hanging="0"/>
              <w:jc w:val="left"/>
              <w:rPr/>
            </w:pPr>
            <w:r>
              <w:rPr/>
              <w:t>  ​ ​ ​</w:t>
            </w:r>
          </w:p>
        </w:tc>
        <w:tc>
          <w:tcPr>
            <w:tcW w:w="11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7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0205" w:type="dxa"/>
            <w:gridSpan w:val="7"/>
            <w:tcBorders/>
            <w:shd w:fill="CCEE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ASSETS</w:t>
            </w:r>
          </w:p>
        </w:tc>
      </w:tr>
      <w:tr>
        <w:trPr/>
        <w:tc>
          <w:tcPr>
            <w:tcW w:w="7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  ​</w:t>
            </w:r>
          </w:p>
        </w:tc>
      </w:tr>
      <w:tr>
        <w:trPr/>
        <w:tc>
          <w:tcPr>
            <w:tcW w:w="7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13,282</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6,228</w:t>
            </w:r>
          </w:p>
        </w:tc>
      </w:tr>
      <w:tr>
        <w:trPr/>
        <w:tc>
          <w:tcPr>
            <w:tcW w:w="7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and other receivables,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13,357</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11,210</w:t>
            </w:r>
          </w:p>
        </w:tc>
      </w:tr>
      <w:tr>
        <w:trPr/>
        <w:tc>
          <w:tcPr>
            <w:tcW w:w="7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1,733</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1,810</w:t>
            </w:r>
          </w:p>
        </w:tc>
      </w:tr>
      <w:tr>
        <w:trPr/>
        <w:tc>
          <w:tcPr>
            <w:tcW w:w="7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5,901</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6,369</w:t>
            </w:r>
          </w:p>
        </w:tc>
      </w:tr>
      <w:tr>
        <w:trPr/>
        <w:tc>
          <w:tcPr>
            <w:tcW w:w="7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34,273</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25,617</w:t>
            </w:r>
          </w:p>
        </w:tc>
      </w:tr>
      <w:tr>
        <w:trPr/>
        <w:tc>
          <w:tcPr>
            <w:tcW w:w="7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99,650</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97,043</w:t>
            </w:r>
          </w:p>
        </w:tc>
      </w:tr>
      <w:tr>
        <w:trPr/>
        <w:tc>
          <w:tcPr>
            <w:tcW w:w="7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held under finance lease,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1,180</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1,303</w:t>
            </w:r>
          </w:p>
        </w:tc>
      </w:tr>
      <w:tr>
        <w:trPr/>
        <w:tc>
          <w:tcPr>
            <w:tcW w:w="7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right-of-use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166,963</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167,972</w:t>
            </w:r>
          </w:p>
        </w:tc>
      </w:tr>
      <w:tr>
        <w:trPr/>
        <w:tc>
          <w:tcPr>
            <w:tcW w:w="7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248,674</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248,674</w:t>
            </w:r>
          </w:p>
        </w:tc>
      </w:tr>
      <w:tr>
        <w:trPr/>
        <w:tc>
          <w:tcPr>
            <w:tcW w:w="7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Trademarks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61,888</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61,888</w:t>
            </w:r>
          </w:p>
        </w:tc>
      </w:tr>
      <w:tr>
        <w:trPr/>
        <w:tc>
          <w:tcPr>
            <w:tcW w:w="7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tax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471</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w:t>
            </w:r>
          </w:p>
        </w:tc>
      </w:tr>
      <w:tr>
        <w:trPr/>
        <w:tc>
          <w:tcPr>
            <w:tcW w:w="7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5,688</w:t>
            </w:r>
          </w:p>
        </w:tc>
        <w:tc>
          <w:tcPr>
            <w:tcW w:w="34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3,964</w:t>
            </w:r>
          </w:p>
        </w:tc>
      </w:tr>
      <w:tr>
        <w:trPr/>
        <w:tc>
          <w:tcPr>
            <w:tcW w:w="7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618,787</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606,648</w:t>
            </w:r>
          </w:p>
        </w:tc>
      </w:tr>
      <w:tr>
        <w:trPr/>
        <w:tc>
          <w:tcPr>
            <w:tcW w:w="10205" w:type="dxa"/>
            <w:gridSpan w:val="7"/>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r>
      <w:tr>
        <w:trPr/>
        <w:tc>
          <w:tcPr>
            <w:tcW w:w="7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pPr>
            <w:r>
              <w:rPr/>
              <w:t>  ​</w:t>
            </w:r>
          </w:p>
        </w:tc>
      </w:tr>
      <w:tr>
        <w:trPr/>
        <w:tc>
          <w:tcPr>
            <w:tcW w:w="7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portion of obligations under finance leases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w:t>
            </w:r>
          </w:p>
        </w:tc>
      </w:tr>
      <w:tr>
        <w:trPr/>
        <w:tc>
          <w:tcPr>
            <w:tcW w:w="7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portion of obligations under operating leases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18,334</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17,616</w:t>
            </w:r>
          </w:p>
        </w:tc>
      </w:tr>
      <w:tr>
        <w:trPr/>
        <w:tc>
          <w:tcPr>
            <w:tcW w:w="7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18,823</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15,668</w:t>
            </w:r>
          </w:p>
        </w:tc>
      </w:tr>
      <w:tr>
        <w:trPr/>
        <w:tc>
          <w:tcPr>
            <w:tcW w:w="7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accrued expenses and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47,272</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45,653</w:t>
            </w:r>
          </w:p>
        </w:tc>
      </w:tr>
      <w:tr>
        <w:trPr/>
        <w:tc>
          <w:tcPr>
            <w:tcW w:w="7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84,538</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79,079</w:t>
            </w:r>
          </w:p>
        </w:tc>
      </w:tr>
      <w:tr>
        <w:trPr/>
        <w:tc>
          <w:tcPr>
            <w:tcW w:w="7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Revolver loan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30,000</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51,000</w:t>
            </w:r>
          </w:p>
        </w:tc>
      </w:tr>
      <w:tr>
        <w:trPr/>
        <w:tc>
          <w:tcPr>
            <w:tcW w:w="7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Obligations under finance leases, net of current portion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1,335</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1,436</w:t>
            </w:r>
          </w:p>
        </w:tc>
      </w:tr>
      <w:tr>
        <w:trPr/>
        <w:tc>
          <w:tcPr>
            <w:tcW w:w="7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Obligations under operating leases, net of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169,624</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170,812</w:t>
            </w:r>
          </w:p>
        </w:tc>
      </w:tr>
      <w:tr>
        <w:trPr/>
        <w:tc>
          <w:tcPr>
            <w:tcW w:w="7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tax liabilities,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10,617</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7,611</w:t>
            </w:r>
          </w:p>
        </w:tc>
      </w:tr>
      <w:tr>
        <w:trPr/>
        <w:tc>
          <w:tcPr>
            <w:tcW w:w="7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5,630</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5,633</w:t>
            </w:r>
          </w:p>
        </w:tc>
      </w:tr>
      <w:tr>
        <w:trPr/>
        <w:tc>
          <w:tcPr>
            <w:tcW w:w="7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301,744</w:t>
            </w:r>
          </w:p>
        </w:tc>
        <w:tc>
          <w:tcPr>
            <w:tcW w:w="34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315,571</w:t>
            </w:r>
          </w:p>
        </w:tc>
      </w:tr>
      <w:tr>
        <w:trPr/>
        <w:tc>
          <w:tcPr>
            <w:tcW w:w="7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Commitments and contingencies (Note 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pPr>
            <w:r>
              <w:rPr/>
              <w:t>  ​</w:t>
            </w:r>
          </w:p>
        </w:tc>
      </w:tr>
      <w:tr>
        <w:trPr/>
        <w:tc>
          <w:tcPr>
            <w:tcW w:w="7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pPr>
            <w:r>
              <w:rPr/>
              <w:t>  ​</w:t>
            </w:r>
          </w:p>
        </w:tc>
      </w:tr>
      <w:tr>
        <w:trPr/>
        <w:tc>
          <w:tcPr>
            <w:tcW w:w="75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Preferred stock, $0.01 par value, 100,000,000 shares authorized; 100,000 shares designated as Series A Preferred Stock; none issued or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50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$0.01 par value, 200,000,000 shares authorized; 30,440,266 and 29,957,385 shares issued and outstanding as of July 1, 2026 and December 31, 2025, respectively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w:t>
            </w:r>
          </w:p>
        </w:tc>
      </w:tr>
      <w:tr>
        <w:trPr/>
        <w:tc>
          <w:tcPr>
            <w:tcW w:w="7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Additional paid-in-capital</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252,221</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247,224</w:t>
            </w:r>
          </w:p>
        </w:tc>
      </w:tr>
      <w:tr>
        <w:trPr/>
        <w:tc>
          <w:tcPr>
            <w:tcW w:w="7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Retained earnings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64,518</w:t>
            </w:r>
          </w:p>
        </w:tc>
        <w:tc>
          <w:tcPr>
            <w:tcW w:w="34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43,554</w:t>
            </w:r>
          </w:p>
        </w:tc>
      </w:tr>
      <w:tr>
        <w:trPr/>
        <w:tc>
          <w:tcPr>
            <w:tcW w:w="7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317,043</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291,077</w:t>
            </w:r>
          </w:p>
        </w:tc>
      </w:tr>
      <w:tr>
        <w:trPr/>
        <w:tc>
          <w:tcPr>
            <w:tcW w:w="7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618,787</w:t>
            </w:r>
          </w:p>
        </w:tc>
        <w:tc>
          <w:tcPr>
            <w:tcW w:w="34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606,648</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 (unaudited).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60" w:name="_f3edf95a_bf67_4332_8f2b_9236e875f19e"/>
      <w:bookmarkEnd w:id="160"/>
      <w:r>
        <w:rPr>
          <w:rFonts w:ascii="Times New Roman;Times;serif" w:hAnsi="Times New Roman;Times;serif"/>
          <w:b/>
          <w:sz w:val="20"/>
        </w:rPr>
        <w:t>EL POLLO LOCO HOLDINGS, INC.</w:t>
      </w:r>
    </w:p>
    <w:p>
      <w:pPr>
        <w:pStyle w:val="TextBody"/>
        <w:bidi w:val="0"/>
        <w:spacing w:before="0" w:after="0"/>
        <w:ind w:left="0" w:right="0" w:hanging="0"/>
        <w:jc w:val="center"/>
        <w:rPr>
          <w:rFonts w:ascii="Times New Roman;Times;serif" w:hAnsi="Times New Roman;Times;serif"/>
          <w:b/>
          <w:sz w:val="20"/>
        </w:rPr>
      </w:pPr>
      <w:bookmarkStart w:id="161" w:name="CONDENSEDCONSOLIDATEDSTATEMENTSOFINCOMEU"/>
      <w:bookmarkEnd w:id="161"/>
      <w:r>
        <w:rPr>
          <w:rFonts w:ascii="Times New Roman;Times;serif" w:hAnsi="Times New Roman;Times;serif"/>
          <w:b/>
          <w:sz w:val="20"/>
        </w:rPr>
        <w:t>CONDENSED CONSOLIDATED STATEMENTS OF INCOME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except share and per share data)</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62" w:name="Tc_g2qSgJQvLEeCiCSmRF7aWg_30_0"/>
      <w:bookmarkStart w:id="163" w:name="Tc_sSdoNJOWxku4NlsbvsChcw_29_0"/>
      <w:bookmarkStart w:id="164" w:name="Tc_IY-rbKp470-B_3wUjzdcHA_28_0"/>
      <w:bookmarkStart w:id="165" w:name="Tc_C8HvbJvgakqyfKUDxmd6PQ_27_11"/>
      <w:bookmarkStart w:id="166" w:name="Tc_UF5A18H1ek2Rnd_wUURybg_27_8"/>
      <w:bookmarkStart w:id="167" w:name="Tc_BKtTpLCApUCJVPHtGrUvBg_27_5"/>
      <w:bookmarkStart w:id="168" w:name="Tc_JwciKqpxOkKAv2s7zKzhSw_27_2"/>
      <w:bookmarkStart w:id="169" w:name="Tc_AUsJsWQFO0mLCFxbaPqglw_27_0"/>
      <w:bookmarkStart w:id="170" w:name="Tc_9ZniX7Vpt0ONvRy1_e0GsQ_26_11"/>
      <w:bookmarkStart w:id="171" w:name="Tc_QWLn5dr8IkGFykBfm2rDoA_26_8"/>
      <w:bookmarkStart w:id="172" w:name="Tc_eYQaDv6dN0uJdiesu7uATg_26_5"/>
      <w:bookmarkStart w:id="173" w:name="Tc_bb0Iqs8wqUOofbBGAEFdJg_26_2"/>
      <w:bookmarkStart w:id="174" w:name="Tc_IDIYUo2bhkavE9gP6hB2FA_26_0"/>
      <w:bookmarkStart w:id="175" w:name="Tc_gD62ijkRJESqF1by9RKV2A_25_0"/>
      <w:bookmarkStart w:id="176" w:name="Tc_57lge_ZY-0aPEFfZjLKh4Q_24_11"/>
      <w:bookmarkStart w:id="177" w:name="Tc_oh1M7f2WjEuy_EGCh5ivZA_24_8"/>
      <w:bookmarkStart w:id="178" w:name="Tc_OKd6JJ01wESSpEZtTldkIA_24_5"/>
      <w:bookmarkStart w:id="179" w:name="Tc_v9NGF_2Gekq4yKQqtZkQpA_24_2"/>
      <w:bookmarkStart w:id="180" w:name="Tc_HkwOfeQfXkuhe6Dz93xLYg_24_0"/>
      <w:bookmarkStart w:id="181" w:name="Tc_sjTNm2sgXkW581rMnJalCw_23_0"/>
      <w:bookmarkStart w:id="182" w:name="Tc_h7XyDDMiSUubSa_ww0kAcA_22_0"/>
      <w:bookmarkStart w:id="183" w:name="Tc_J3Wdgy3Mm0GbFI30HS0Agw_21_0"/>
      <w:bookmarkStart w:id="184" w:name="Tc_r2TdjwGjfEKA5HXYJvvhMQ_20_0"/>
      <w:bookmarkStart w:id="185" w:name="Tc_BdvxTRgG1k6amNZTUla4Lg_19_0"/>
      <w:bookmarkStart w:id="186" w:name="Tc_1Luv_58Q_EqdVODZ9t2umg_18_0"/>
      <w:bookmarkStart w:id="187" w:name="Tc_oS7C5Qgg4E2iqPT5j0m19w_17_0"/>
      <w:bookmarkStart w:id="188" w:name="Tc_2b2-UylBlkGSDa6GGAbf0Q_16_0"/>
      <w:bookmarkStart w:id="189" w:name="Tc_hmNWbNMo802PxPpXx36kAQ_15_0"/>
      <w:bookmarkStart w:id="190" w:name="Tc_aOWzeajgUU-xz5LuhUBezQ_14_0"/>
      <w:bookmarkStart w:id="191" w:name="Tc_NN0xhd-sN06GprfW5O12kw_13_0"/>
      <w:bookmarkStart w:id="192" w:name="Tc_gWjGZtA4QEiybG1YuCRlFA_12_0"/>
      <w:bookmarkStart w:id="193" w:name="Tc_tsnU8Rc2u0eSqOgbgehcAQ_11_0"/>
      <w:bookmarkStart w:id="194" w:name="Tc_JOh9ywBYqUmMnbFmp17w5w_10_0"/>
      <w:bookmarkStart w:id="195" w:name="Tc_2sdxpsxkQEuvHpg5AGCbjg_9_0"/>
      <w:bookmarkStart w:id="196" w:name="Tc_H5i_thFxjkuZTKlMZWoGxw_8_0"/>
      <w:bookmarkStart w:id="197" w:name="Tc_3X9EKGNdtkS6xO4gn15png_7_0"/>
      <w:bookmarkStart w:id="198" w:name="Tc_iMWb3upUWkir90WVPHvF3w_6_0"/>
      <w:bookmarkStart w:id="199" w:name="Tc_bqHMkaIKQkqLTbYi2itUUw_5_11"/>
      <w:bookmarkStart w:id="200" w:name="Tc_bN7KPEc40kmKOJOVHbgVvw_5_8"/>
      <w:bookmarkStart w:id="201" w:name="Tc__A8zJFk7qEuuj6RTgbPPDA_5_5"/>
      <w:bookmarkStart w:id="202" w:name="Tc_TVNj5P2q9ESbaGHL629Lfg_5_2"/>
      <w:bookmarkStart w:id="203" w:name="Tc_9raLwMMuAEiIEnCz06Od0Q_5_0"/>
      <w:bookmarkStart w:id="204" w:name="Tc_02U_yfeYsEaAiWa1l1g02g_4_0"/>
      <w:bookmarkStart w:id="205" w:name="Tc_FX9p5Cl4e0Svd7yEKxx1eA_3_11"/>
      <w:bookmarkStart w:id="206" w:name="Tc_iqi5W7Q7ZEmeFGsUhsoGHQ_3_8"/>
      <w:bookmarkStart w:id="207" w:name="Tc_mUoStdXrHk2hjPisbv7u2Q_3_5"/>
      <w:bookmarkStart w:id="208" w:name="Tc_2osCIdvIS02vQnr2dAH_bQ_3_2"/>
      <w:bookmarkStart w:id="209" w:name="Tc_gcFU4w3oBESKWE72AokFnA_2_8"/>
      <w:bookmarkStart w:id="210" w:name="Tc_0pnYIQLQcUqcnvLS8yYX3g_2_2"/>
      <w:bookmarkStart w:id="211" w:name="_0e6641e6_d489_442e_9cda_5e48c2ed0862"/>
      <w:bookmarkStart w:id="212" w:name="Tc_g2qSgJQvLEeCiCSmRF7aWg_30_0"/>
      <w:bookmarkStart w:id="213" w:name="Tc_sSdoNJOWxku4NlsbvsChcw_29_0"/>
      <w:bookmarkStart w:id="214" w:name="Tc_IY-rbKp470-B_3wUjzdcHA_28_0"/>
      <w:bookmarkStart w:id="215" w:name="Tc_C8HvbJvgakqyfKUDxmd6PQ_27_11"/>
      <w:bookmarkStart w:id="216" w:name="Tc_UF5A18H1ek2Rnd_wUURybg_27_8"/>
      <w:bookmarkStart w:id="217" w:name="Tc_BKtTpLCApUCJVPHtGrUvBg_27_5"/>
      <w:bookmarkStart w:id="218" w:name="Tc_JwciKqpxOkKAv2s7zKzhSw_27_2"/>
      <w:bookmarkStart w:id="219" w:name="Tc_AUsJsWQFO0mLCFxbaPqglw_27_0"/>
      <w:bookmarkStart w:id="220" w:name="Tc_9ZniX7Vpt0ONvRy1_e0GsQ_26_11"/>
      <w:bookmarkStart w:id="221" w:name="Tc_QWLn5dr8IkGFykBfm2rDoA_26_8"/>
      <w:bookmarkStart w:id="222" w:name="Tc_eYQaDv6dN0uJdiesu7uATg_26_5"/>
      <w:bookmarkStart w:id="223" w:name="Tc_bb0Iqs8wqUOofbBGAEFdJg_26_2"/>
      <w:bookmarkStart w:id="224" w:name="Tc_IDIYUo2bhkavE9gP6hB2FA_26_0"/>
      <w:bookmarkStart w:id="225" w:name="Tc_gD62ijkRJESqF1by9RKV2A_25_0"/>
      <w:bookmarkStart w:id="226" w:name="Tc_57lge_ZY-0aPEFfZjLKh4Q_24_11"/>
      <w:bookmarkStart w:id="227" w:name="Tc_oh1M7f2WjEuy_EGCh5ivZA_24_8"/>
      <w:bookmarkStart w:id="228" w:name="Tc_OKd6JJ01wESSpEZtTldkIA_24_5"/>
      <w:bookmarkStart w:id="229" w:name="Tc_v9NGF_2Gekq4yKQqtZkQpA_24_2"/>
      <w:bookmarkStart w:id="230" w:name="Tc_HkwOfeQfXkuhe6Dz93xLYg_24_0"/>
      <w:bookmarkStart w:id="231" w:name="Tc_sjTNm2sgXkW581rMnJalCw_23_0"/>
      <w:bookmarkStart w:id="232" w:name="Tc_h7XyDDMiSUubSa_ww0kAcA_22_0"/>
      <w:bookmarkStart w:id="233" w:name="Tc_J3Wdgy3Mm0GbFI30HS0Agw_21_0"/>
      <w:bookmarkStart w:id="234" w:name="Tc_r2TdjwGjfEKA5HXYJvvhMQ_20_0"/>
      <w:bookmarkStart w:id="235" w:name="Tc_BdvxTRgG1k6amNZTUla4Lg_19_0"/>
      <w:bookmarkStart w:id="236" w:name="Tc_1Luv_58Q_EqdVODZ9t2umg_18_0"/>
      <w:bookmarkStart w:id="237" w:name="Tc_oS7C5Qgg4E2iqPT5j0m19w_17_0"/>
      <w:bookmarkStart w:id="238" w:name="Tc_2b2-UylBlkGSDa6GGAbf0Q_16_0"/>
      <w:bookmarkStart w:id="239" w:name="Tc_hmNWbNMo802PxPpXx36kAQ_15_0"/>
      <w:bookmarkStart w:id="240" w:name="Tc_aOWzeajgUU-xz5LuhUBezQ_14_0"/>
      <w:bookmarkStart w:id="241" w:name="Tc_NN0xhd-sN06GprfW5O12kw_13_0"/>
      <w:bookmarkStart w:id="242" w:name="Tc_gWjGZtA4QEiybG1YuCRlFA_12_0"/>
      <w:bookmarkStart w:id="243" w:name="Tc_tsnU8Rc2u0eSqOgbgehcAQ_11_0"/>
      <w:bookmarkStart w:id="244" w:name="Tc_JOh9ywBYqUmMnbFmp17w5w_10_0"/>
      <w:bookmarkStart w:id="245" w:name="Tc_2sdxpsxkQEuvHpg5AGCbjg_9_0"/>
      <w:bookmarkStart w:id="246" w:name="Tc_H5i_thFxjkuZTKlMZWoGxw_8_0"/>
      <w:bookmarkStart w:id="247" w:name="Tc_3X9EKGNdtkS6xO4gn15png_7_0"/>
      <w:bookmarkStart w:id="248" w:name="Tc_iMWb3upUWkir90WVPHvF3w_6_0"/>
      <w:bookmarkStart w:id="249" w:name="Tc_bqHMkaIKQkqLTbYi2itUUw_5_11"/>
      <w:bookmarkStart w:id="250" w:name="Tc_bN7KPEc40kmKOJOVHbgVvw_5_8"/>
      <w:bookmarkStart w:id="251" w:name="Tc__A8zJFk7qEuuj6RTgbPPDA_5_5"/>
      <w:bookmarkStart w:id="252" w:name="Tc_TVNj5P2q9ESbaGHL629Lfg_5_2"/>
      <w:bookmarkStart w:id="253" w:name="Tc_9raLwMMuAEiIEnCz06Od0Q_5_0"/>
      <w:bookmarkStart w:id="254" w:name="Tc_02U_yfeYsEaAiWa1l1g02g_4_0"/>
      <w:bookmarkStart w:id="255" w:name="Tc_FX9p5Cl4e0Svd7yEKxx1eA_3_11"/>
      <w:bookmarkStart w:id="256" w:name="Tc_iqi5W7Q7ZEmeFGsUhsoGHQ_3_8"/>
      <w:bookmarkStart w:id="257" w:name="Tc_mUoStdXrHk2hjPisbv7u2Q_3_5"/>
      <w:bookmarkStart w:id="258" w:name="Tc_2osCIdvIS02vQnr2dAH_bQ_3_2"/>
      <w:bookmarkStart w:id="259" w:name="Tc_gcFU4w3oBESKWE72AokFnA_2_8"/>
      <w:bookmarkStart w:id="260" w:name="Tc_0pnYIQLQcUqcnvLS8yYX3g_2_2"/>
      <w:bookmarkStart w:id="261" w:name="_0e6641e6_d489_442e_9cda_5e48c2ed0862"/>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tbl>
      <w:tblPr>
        <w:tblW w:w="10205" w:type="dxa"/>
        <w:jc w:val="left"/>
        <w:tblInd w:w="0" w:type="dxa"/>
        <w:tblLayout w:type="fixed"/>
        <w:tblCellMar>
          <w:top w:w="0" w:type="dxa"/>
          <w:left w:w="0" w:type="dxa"/>
          <w:bottom w:w="0" w:type="dxa"/>
          <w:right w:w="0" w:type="dxa"/>
        </w:tblCellMar>
      </w:tblPr>
      <w:tblGrid>
        <w:gridCol w:w="4118"/>
        <w:gridCol w:w="346"/>
        <w:gridCol w:w="211"/>
        <w:gridCol w:w="1036"/>
        <w:gridCol w:w="146"/>
        <w:gridCol w:w="211"/>
        <w:gridCol w:w="1036"/>
        <w:gridCol w:w="346"/>
        <w:gridCol w:w="211"/>
        <w:gridCol w:w="1036"/>
        <w:gridCol w:w="146"/>
        <w:gridCol w:w="211"/>
        <w:gridCol w:w="1151"/>
      </w:tblGrid>
      <w:tr>
        <w:trPr/>
        <w:tc>
          <w:tcPr>
            <w:tcW w:w="4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614930" cy="175260"/>
                      <wp:effectExtent l="0" t="0" r="0" b="0"/>
                      <wp:wrapNone/>
                      <wp:docPr id="14" name="Frame14"/>
                      <a:graphic xmlns:a="http://schemas.openxmlformats.org/drawingml/2006/main">
                        <a:graphicData uri="http://schemas.microsoft.com/office/word/2010/wordprocessingShape">
                          <wps:wsp>
                            <wps:cNvSpPr txBox="1"/>
                            <wps:spPr>
                              <a:xfrm>
                                <a:off x="0" y="0"/>
                                <a:ext cx="2614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57860" cy="175260"/>
                      <wp:effectExtent l="0" t="0" r="0" b="0"/>
                      <wp:wrapNone/>
                      <wp:docPr id="17" name="Frame1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92710" cy="175260"/>
                      <wp:effectExtent l="0" t="0" r="0" b="0"/>
                      <wp:wrapNone/>
                      <wp:docPr id="18" name="Frame1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57860" cy="175260"/>
                      <wp:effectExtent l="0" t="0" r="0" b="0"/>
                      <wp:wrapNone/>
                      <wp:docPr id="20" name="Frame2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57860" cy="175260"/>
                      <wp:effectExtent l="0" t="0" r="0" b="0"/>
                      <wp:wrapNone/>
                      <wp:docPr id="23" name="Frame2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92710" cy="175260"/>
                      <wp:effectExtent l="0" t="0" r="0" b="0"/>
                      <wp:wrapNone/>
                      <wp:docPr id="24" name="Frame2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5"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730885" cy="175260"/>
                      <wp:effectExtent l="0" t="0" r="0" b="0"/>
                      <wp:wrapNone/>
                      <wp:docPr id="26" name="Frame26"/>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left"/>
              <w:rPr/>
            </w:pPr>
            <w:r>
              <w:rPr/>
              <w:t>​</w:t>
            </w:r>
          </w:p>
        </w:tc>
      </w:tr>
      <w:tr>
        <w:trPr/>
        <w:tc>
          <w:tcPr>
            <w:tcW w:w="411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6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46" w:type="dxa"/>
            <w:tcBorders/>
            <w:vAlign w:val="center"/>
          </w:tcPr>
          <w:p>
            <w:pPr>
              <w:pStyle w:val="TableContents"/>
              <w:bidi w:val="0"/>
              <w:spacing w:before="0" w:after="0"/>
              <w:ind w:left="0" w:right="0" w:hanging="0"/>
              <w:jc w:val="left"/>
              <w:rPr/>
            </w:pPr>
            <w:r>
              <w:rPr/>
              <w:t>  ​ ​ ​</w:t>
            </w:r>
          </w:p>
        </w:tc>
        <w:tc>
          <w:tcPr>
            <w:tcW w:w="27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r>
      <w:tr>
        <w:trPr/>
        <w:tc>
          <w:tcPr>
            <w:tcW w:w="411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1, 2026</w:t>
            </w:r>
          </w:p>
        </w:tc>
        <w:tc>
          <w:tcPr>
            <w:tcW w:w="146"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25, 2025</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1, 2026</w:t>
            </w:r>
          </w:p>
        </w:tc>
        <w:tc>
          <w:tcPr>
            <w:tcW w:w="146" w:type="dxa"/>
            <w:tcBorders/>
            <w:vAlign w:val="center"/>
          </w:tcPr>
          <w:p>
            <w:pPr>
              <w:pStyle w:val="TableContents"/>
              <w:bidi w:val="0"/>
              <w:spacing w:before="0" w:after="0"/>
              <w:ind w:left="0" w:right="0" w:hanging="0"/>
              <w:jc w:val="left"/>
              <w:rPr/>
            </w:pPr>
            <w:r>
              <w:rPr/>
              <w:t>​</w:t>
            </w:r>
          </w:p>
        </w:tc>
        <w:tc>
          <w:tcPr>
            <w:tcW w:w="13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25, 2025</w:t>
            </w:r>
          </w:p>
        </w:tc>
      </w:tr>
      <w:tr>
        <w:trPr/>
        <w:tc>
          <w:tcPr>
            <w:tcW w:w="41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pPr>
            <w:r>
              <w:rPr/>
              <w:t>  ​</w:t>
            </w:r>
          </w:p>
        </w:tc>
      </w:tr>
      <w:tr>
        <w:trPr/>
        <w:tc>
          <w:tcPr>
            <w:tcW w:w="41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Company-operated restaurant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108,136</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214,051</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202,683</w:t>
            </w:r>
          </w:p>
        </w:tc>
      </w:tr>
      <w:tr>
        <w:trPr/>
        <w:tc>
          <w:tcPr>
            <w:tcW w:w="41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12,862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24,890</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26,555</w:t>
            </w:r>
          </w:p>
        </w:tc>
      </w:tr>
      <w:tr>
        <w:trPr/>
        <w:tc>
          <w:tcPr>
            <w:tcW w:w="41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8,574</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16,813</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15,773</w:t>
            </w:r>
          </w:p>
        </w:tc>
      </w:tr>
      <w:tr>
        <w:trPr/>
        <w:tc>
          <w:tcPr>
            <w:tcW w:w="41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129,572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125,834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255,754</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245,011</w:t>
            </w:r>
          </w:p>
        </w:tc>
      </w:tr>
      <w:tr>
        <w:trPr/>
        <w:tc>
          <w:tcPr>
            <w:tcW w:w="41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 of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pPr>
            <w:r>
              <w:rPr/>
              <w:t>  ​</w:t>
            </w:r>
          </w:p>
        </w:tc>
      </w:tr>
      <w:tr>
        <w:trPr/>
        <w:tc>
          <w:tcPr>
            <w:tcW w:w="41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Food and paper cost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27,466</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53,855</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50,235</w:t>
            </w:r>
          </w:p>
        </w:tc>
      </w:tr>
      <w:tr>
        <w:trPr/>
        <w:tc>
          <w:tcPr>
            <w:tcW w:w="41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 and related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32,293</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64,132</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64,334</w:t>
            </w:r>
          </w:p>
        </w:tc>
      </w:tr>
      <w:tr>
        <w:trPr/>
        <w:tc>
          <w:tcPr>
            <w:tcW w:w="41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Occupancy and other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27,315</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54,645</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52,414</w:t>
            </w:r>
          </w:p>
        </w:tc>
      </w:tr>
      <w:tr>
        <w:trPr/>
        <w:tc>
          <w:tcPr>
            <w:tcW w:w="41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 restaurant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87,074</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84,392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172,632</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166,983</w:t>
            </w:r>
          </w:p>
        </w:tc>
      </w:tr>
      <w:tr>
        <w:trPr/>
        <w:tc>
          <w:tcPr>
            <w:tcW w:w="41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7,054</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19,848</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24,795</w:t>
            </w:r>
          </w:p>
        </w:tc>
      </w:tr>
      <w:tr>
        <w:trPr/>
        <w:tc>
          <w:tcPr>
            <w:tcW w:w="41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11,870</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23,059</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25,069</w:t>
            </w:r>
          </w:p>
        </w:tc>
      </w:tr>
      <w:tr>
        <w:trPr/>
        <w:tc>
          <w:tcPr>
            <w:tcW w:w="41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4,166</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8,480</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7,816</w:t>
            </w:r>
          </w:p>
        </w:tc>
      </w:tr>
      <w:tr>
        <w:trPr/>
        <w:tc>
          <w:tcPr>
            <w:tcW w:w="41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41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and closed-store reserves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41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110,889</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114,529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224,854</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224,734</w:t>
            </w:r>
          </w:p>
        </w:tc>
      </w:tr>
      <w:tr>
        <w:trPr/>
        <w:tc>
          <w:tcPr>
            <w:tcW w:w="41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18,683</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30,900</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20,277</w:t>
            </w:r>
          </w:p>
        </w:tc>
      </w:tr>
      <w:tr>
        <w:trPr/>
        <w:tc>
          <w:tcPr>
            <w:tcW w:w="41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1,437</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2,383</w:t>
            </w:r>
          </w:p>
        </w:tc>
      </w:tr>
      <w:tr>
        <w:trPr/>
        <w:tc>
          <w:tcPr>
            <w:tcW w:w="41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provision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17,977</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29,463</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17,894</w:t>
            </w:r>
          </w:p>
        </w:tc>
      </w:tr>
      <w:tr>
        <w:trPr/>
        <w:tc>
          <w:tcPr>
            <w:tcW w:w="41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5,170</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8,499</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5,306</w:t>
            </w:r>
          </w:p>
        </w:tc>
      </w:tr>
      <w:tr>
        <w:trPr/>
        <w:tc>
          <w:tcPr>
            <w:tcW w:w="41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Net income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12,807</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20,964</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12,588</w:t>
            </w:r>
          </w:p>
        </w:tc>
      </w:tr>
      <w:tr>
        <w:trPr/>
        <w:tc>
          <w:tcPr>
            <w:tcW w:w="41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per share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pPr>
            <w:r>
              <w:rPr/>
              <w:t>​</w:t>
            </w:r>
          </w:p>
        </w:tc>
      </w:tr>
      <w:tr>
        <w:trPr/>
        <w:tc>
          <w:tcPr>
            <w:tcW w:w="41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0.43</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0.71</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0.43</w:t>
            </w:r>
          </w:p>
        </w:tc>
      </w:tr>
      <w:tr>
        <w:trPr/>
        <w:tc>
          <w:tcPr>
            <w:tcW w:w="41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0.43</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0.70</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0.43</w:t>
            </w:r>
          </w:p>
        </w:tc>
      </w:tr>
      <w:tr>
        <w:trPr/>
        <w:tc>
          <w:tcPr>
            <w:tcW w:w="411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Weighted-average shares used in computing net income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pPr>
            <w:r>
              <w:rPr/>
              <w:t>  ​</w:t>
            </w:r>
          </w:p>
        </w:tc>
      </w:tr>
      <w:tr>
        <w:trPr/>
        <w:tc>
          <w:tcPr>
            <w:tcW w:w="41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29,727,656</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29,097,871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29,574,499</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29,092,409</w:t>
            </w:r>
          </w:p>
        </w:tc>
      </w:tr>
      <w:tr>
        <w:trPr/>
        <w:tc>
          <w:tcPr>
            <w:tcW w:w="41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30,093,260</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29,272,394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29,882,457</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29,314,443</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 (unaudited).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62" w:name="_5599bd18_ef31_4dfc_8aa0_360faf4a600b"/>
      <w:bookmarkEnd w:id="262"/>
      <w:r>
        <w:rPr>
          <w:rFonts w:ascii="Times New Roman;Times;serif" w:hAnsi="Times New Roman;Times;serif"/>
          <w:b/>
          <w:sz w:val="20"/>
        </w:rPr>
        <w:t>EL POLLO LOCO HOLDINGS, INC.</w:t>
      </w:r>
    </w:p>
    <w:p>
      <w:pPr>
        <w:pStyle w:val="TextBody"/>
        <w:bidi w:val="0"/>
        <w:spacing w:before="0" w:after="0"/>
        <w:ind w:left="0" w:right="0" w:hanging="0"/>
        <w:jc w:val="center"/>
        <w:rPr>
          <w:rFonts w:ascii="Times New Roman;Times;serif" w:hAnsi="Times New Roman;Times;serif"/>
          <w:b/>
          <w:sz w:val="20"/>
        </w:rPr>
      </w:pPr>
      <w:bookmarkStart w:id="263" w:name="CONDENSEDCONSOLIDATEDSTATEMENTSOFCHANGES"/>
      <w:bookmarkEnd w:id="263"/>
      <w:r>
        <w:rPr>
          <w:rFonts w:ascii="Times New Roman;Times;serif" w:hAnsi="Times New Roman;Times;serif"/>
          <w:b/>
          <w:sz w:val="20"/>
        </w:rPr>
        <w:t>CONDENSED CONSOLIDATED STATEMENTS OF CHANGES IN STOCKHOLDERS’ EQUITY (UNAUDITED)</w:t>
      </w:r>
    </w:p>
    <w:p>
      <w:pPr>
        <w:pStyle w:val="TextBody"/>
        <w:bidi w:val="0"/>
        <w:spacing w:before="120" w:after="0"/>
        <w:ind w:left="0" w:right="0" w:hanging="0"/>
        <w:jc w:val="center"/>
        <w:rPr>
          <w:rFonts w:ascii="Times New Roman;Times;serif" w:hAnsi="Times New Roman;Times;serif"/>
          <w:b/>
          <w:sz w:val="20"/>
        </w:rPr>
      </w:pPr>
      <w:r>
        <w:rPr>
          <w:rFonts w:ascii="Times New Roman;Times;serif" w:hAnsi="Times New Roman;Times;serif"/>
          <w:b/>
          <w:sz w:val="20"/>
        </w:rPr>
        <w:t>(Amounts in thousands, except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64" w:name="Tc_4V_6_1b8SECkbZ0QlROYnA_28_13"/>
      <w:bookmarkStart w:id="265" w:name="Tc_ueqO20Tv4UGhtV8eJZyV8A_28_10"/>
      <w:bookmarkStart w:id="266" w:name="Tc_Sud0-PSqs0-AMdMbeRyU8g_28_7"/>
      <w:bookmarkStart w:id="267" w:name="Tc_s_7P-ySlbEaFVbnLADnH-Q_28_4"/>
      <w:bookmarkStart w:id="268" w:name="Tc_wpk4rLLPm0WtP5Rd08Vb8g_28_0"/>
      <w:bookmarkStart w:id="269" w:name="Tc_DzeZl_Zkt0ycP8LL4LnMSg_27_8"/>
      <w:bookmarkStart w:id="270" w:name="Tc_VKt-mFahOUOVlVVGrqFaww_27_5"/>
      <w:bookmarkStart w:id="271" w:name="Tc_Kmy5TsUXW0-I85Wwa1KZ0w_27_2"/>
      <w:bookmarkStart w:id="272" w:name="Tc_SmxlrvtBPkmAi4kG8IeAmw_27_0"/>
      <w:bookmarkStart w:id="273" w:name="Tc_cTDlwdlud0axs4gY-MtM6g_26_14"/>
      <w:bookmarkStart w:id="274" w:name="Tc_T0na9OQQa0-4o8cXEwvV0A_26_11"/>
      <w:bookmarkStart w:id="275" w:name="Tc_CvFzfD_AVkGndB1GUBTnNw_26_0"/>
      <w:bookmarkStart w:id="276" w:name="Tc_C0nYhTGrjkqf58bQ1DhPNQ_25_8"/>
      <w:bookmarkStart w:id="277" w:name="Tc_A_5fcZC-hkGV8vT0m4Tr7w_25_5"/>
      <w:bookmarkStart w:id="278" w:name="Tc_pnhfTiEJ2UqumE-gJ3Ngng_25_2"/>
      <w:bookmarkStart w:id="279" w:name="Tc_nbR-Bmd_F0CjboKg2L0eiw_25_0"/>
      <w:bookmarkStart w:id="280" w:name="Tc_BhC0HzbUKk6lbFlfLLzBbQ_24_8"/>
      <w:bookmarkStart w:id="281" w:name="Tc_bfX_jXEnHECE23PP82hpNA_24_5"/>
      <w:bookmarkStart w:id="282" w:name="Tc_LpJzY3ButEKC1J2C4bfPAg_24_0"/>
      <w:bookmarkStart w:id="283" w:name="Tc_OomwlbLKcU6gWlD-FUaZZw_23_11"/>
      <w:bookmarkStart w:id="284" w:name="Tc_HXwG08ZO1kGh9E4hDJMFMQ_23_5"/>
      <w:bookmarkStart w:id="285" w:name="Tc_rj2rZH0bEk2vuSHnrULALA_23_0"/>
      <w:bookmarkStart w:id="286" w:name="Tc_Alwle4K4S0aevMF6venfvw_22_11"/>
      <w:bookmarkStart w:id="287" w:name="Tc_ujVewArg8UKYlgvjSTIfXw_22_5"/>
      <w:bookmarkStart w:id="288" w:name="Tc_bo2dg-uPIEi0B98QvBBZVw_22_0"/>
      <w:bookmarkStart w:id="289" w:name="Tc_3CI9ztKxb0yFsXk9q0lSJg_21_14"/>
      <w:bookmarkStart w:id="290" w:name="Tc_pm9kqlVEp0SgZQGkPgZ7ow_21_11"/>
      <w:bookmarkStart w:id="291" w:name="Tc_LH0HsqMQAk6KhLQWtZRzVw_21_8"/>
      <w:bookmarkStart w:id="292" w:name="Tc_4bi5BbtvzkiT0lGtu3zyKw_21_5"/>
      <w:bookmarkStart w:id="293" w:name="Tc_LdbJ9p7VxUe43IGJoM19rQ_21_0"/>
      <w:bookmarkStart w:id="294" w:name="Tc_AX2JRnT2ZEOy9OKrNVuLgA_20_11"/>
      <w:bookmarkStart w:id="295" w:name="Tc_aik1NxtPRUuW5sOdiTbg6g_20_5"/>
      <w:bookmarkStart w:id="296" w:name="Tc_2TFmsAtAjEKiHWHdX0H9uQ_20_2"/>
      <w:bookmarkStart w:id="297" w:name="Tc_iqEtxDdCTE-djRRxa8Jhqg_20_0"/>
      <w:bookmarkStart w:id="298" w:name="Tc_DIxYsKrhWEGy1_M1INAE8Q_19_13"/>
      <w:bookmarkStart w:id="299" w:name="Tc_eAWKwIKrV0Sv8X4ewY9iQw_19_10"/>
      <w:bookmarkStart w:id="300" w:name="Tc_Tzh58C8P70WFm_NKd0NOUg_19_7"/>
      <w:bookmarkStart w:id="301" w:name="Tc_-eNJaa6YqUuRNxha-hEZdQ_19_4"/>
      <w:bookmarkStart w:id="302" w:name="Tc_HjqbntkC70GMoGTzY5iApA_19_0"/>
      <w:bookmarkStart w:id="303" w:name="Tc_7S_XtlzR8k-wZkuFvEU99A_18_13"/>
      <w:bookmarkStart w:id="304" w:name="Tc_m_6ZnyDLPkeV_A4RinjLIA_18_10"/>
      <w:bookmarkStart w:id="305" w:name="Tc_D5e2JG2pDEaxrG9EDcfd6g_18_7"/>
      <w:bookmarkStart w:id="306" w:name="Tc_a0dklpYqH024A8peVm8ITw_18_4"/>
      <w:bookmarkStart w:id="307" w:name="Tc_tNxSap1v506u3b_jmkyzng_18_2"/>
      <w:bookmarkStart w:id="308" w:name="Tc_WMqUp_w2f0uGW0454xmOjw_17_13"/>
      <w:bookmarkStart w:id="309" w:name="Tc_tMwun2ApH06kEEQoemH0-g_17_10"/>
      <w:bookmarkStart w:id="310" w:name="Tc_7P_IT09C8ESNs1Ebj8jCJA_17_7"/>
      <w:bookmarkStart w:id="311" w:name="Tc_std9F-jiLEOAOHW4rl5xCA_17_2"/>
      <w:bookmarkStart w:id="312" w:name="Tc_yPBzMuwAM0yKEL-YKyagpg_16_13"/>
      <w:bookmarkStart w:id="313" w:name="Tc_nnrpjt_vZUGgECivouH3hg_16_7"/>
      <w:bookmarkStart w:id="314" w:name="Tc_iiSwSha5TEu5htp45jngCQ_14_2"/>
      <w:bookmarkStart w:id="315" w:name="Tc_GRDxtjbJwUGGGa3ygfSelw_12_13"/>
      <w:bookmarkStart w:id="316" w:name="Tc_mxQnDAV1IEeLJSvX5nPdlA_12_10"/>
      <w:bookmarkStart w:id="317" w:name="Tc_6lZJJYxw6EONdLAYfCq2gA_12_7"/>
      <w:bookmarkStart w:id="318" w:name="Tc_hIIn3bUF1UuHoLXLgWXtBg_12_4"/>
      <w:bookmarkStart w:id="319" w:name="Tc_s1yKmS43cUugqiinBfLZnw_12_0"/>
      <w:bookmarkStart w:id="320" w:name="Tc_y25HYxULNU-H1UgNRoWDZQ_11_8"/>
      <w:bookmarkStart w:id="321" w:name="Tc_ZOTJWByHgUWdoOmzBaRDag_11_5"/>
      <w:bookmarkStart w:id="322" w:name="Tc__ZXMPNbJKkGAZMvNqAEosQ_11_2"/>
      <w:bookmarkStart w:id="323" w:name="Tc_bVRDpfJHMkO9ImpevBpolQ_11_0"/>
      <w:bookmarkStart w:id="324" w:name="Tc_CSlJVwyDtUuGBVlAdm3sBw_10_14"/>
      <w:bookmarkStart w:id="325" w:name="Tc_wYWMCwU4rUmxLgtpKxS1vg_10_11"/>
      <w:bookmarkStart w:id="326" w:name="Tc_UhngxziImEChJrOP6SJ8rg_10_8"/>
      <w:bookmarkStart w:id="327" w:name="Tc_bqo-aND6oUm9U6ollMdfnw_10_5"/>
      <w:bookmarkStart w:id="328" w:name="Tc_jEsqWyuiCU2JKYuuyJx1tQ_10_0"/>
      <w:bookmarkStart w:id="329" w:name="Tc_MIa7OmdT4UKgm6cETvELNQ_9_11"/>
      <w:bookmarkStart w:id="330" w:name="Tc_mFLSzRO25k-3DxMMVMrmkA_9_5"/>
      <w:bookmarkStart w:id="331" w:name="Tc_lEzwG8V_M0Gs-YyXvN8h1Q_9_0"/>
      <w:bookmarkStart w:id="332" w:name="Tc_iQFChHYLykulkOrPS4hPoA_8_11"/>
      <w:bookmarkStart w:id="333" w:name="Tc_RNuKOaKQEkmgtmc7ZYO3Ug_8_5"/>
      <w:bookmarkStart w:id="334" w:name="Tc_ynpE-1S_v0ibCVmtWEVaQA_8_0"/>
      <w:bookmarkStart w:id="335" w:name="Tc_PPamJvxYmk61Wikq6f0QIA_7_11"/>
      <w:bookmarkStart w:id="336" w:name="Tc_x3ZU3DZbyk-HCOqnmhdd9g_7_5"/>
      <w:bookmarkStart w:id="337" w:name="Tc_1uRbtFT5cEePgN8KsnK3HQ_7_2"/>
      <w:bookmarkStart w:id="338" w:name="Tc_QevJjgpHpEWm8V12nyWsig_7_0"/>
      <w:bookmarkStart w:id="339" w:name="Tc_10IbxvoU7UC_DFFRQDsbWQ_6_13"/>
      <w:bookmarkStart w:id="340" w:name="Tc_Z8UFBInO90qwUMtnE9u5-A_6_0"/>
      <w:bookmarkStart w:id="341" w:name="Tc_2h9NXb__20KKwDR8yddNxA_5_13"/>
      <w:bookmarkStart w:id="342" w:name="Tc_0hn1JkKKUkqhDFGX5SrLJg_5_10"/>
      <w:bookmarkStart w:id="343" w:name="Tc_ZMnrNiDYP0yhU2ihwVONlw_5_7"/>
      <w:bookmarkStart w:id="344" w:name="Tc_GOQL1xteV02Afxx_a-ZJlw_5_4"/>
      <w:bookmarkStart w:id="345" w:name="Tc_ggSjVz4q50eFBkRZlfHcZg_5_2"/>
      <w:bookmarkStart w:id="346" w:name="Tc_4VTVIueFPUyU6fp8sdA-Mg_4_13"/>
      <w:bookmarkStart w:id="347" w:name="Tc_KzZt7BGy-kGQ2BI_OdUIng_4_10"/>
      <w:bookmarkStart w:id="348" w:name="Tc_fcl2ajyaIkOKQpZpmeedrw_4_7"/>
      <w:bookmarkStart w:id="349" w:name="Tc_Mk6IX4nf9USuiFRZlT6kUw_4_2"/>
      <w:bookmarkStart w:id="350" w:name="Tc_86tLZukeAkKnILX4BbVpuA_3_13"/>
      <w:bookmarkStart w:id="351" w:name="Tc_Vu9CHST_KkOtER4PdXolHA_3_7"/>
      <w:bookmarkStart w:id="352" w:name="Tc_ABjTnV2SBEerJ3n7UVm7vQ_1_2"/>
      <w:bookmarkStart w:id="353" w:name="_b9d426c7_90cd_4e91_bf42_0fcf974d0c7e"/>
      <w:bookmarkStart w:id="354" w:name="Tc_4V_6_1b8SECkbZ0QlROYnA_28_13"/>
      <w:bookmarkStart w:id="355" w:name="Tc_ueqO20Tv4UGhtV8eJZyV8A_28_10"/>
      <w:bookmarkStart w:id="356" w:name="Tc_Sud0-PSqs0-AMdMbeRyU8g_28_7"/>
      <w:bookmarkStart w:id="357" w:name="Tc_s_7P-ySlbEaFVbnLADnH-Q_28_4"/>
      <w:bookmarkStart w:id="358" w:name="Tc_wpk4rLLPm0WtP5Rd08Vb8g_28_0"/>
      <w:bookmarkStart w:id="359" w:name="Tc_DzeZl_Zkt0ycP8LL4LnMSg_27_8"/>
      <w:bookmarkStart w:id="360" w:name="Tc_VKt-mFahOUOVlVVGrqFaww_27_5"/>
      <w:bookmarkStart w:id="361" w:name="Tc_Kmy5TsUXW0-I85Wwa1KZ0w_27_2"/>
      <w:bookmarkStart w:id="362" w:name="Tc_SmxlrvtBPkmAi4kG8IeAmw_27_0"/>
      <w:bookmarkStart w:id="363" w:name="Tc_cTDlwdlud0axs4gY-MtM6g_26_14"/>
      <w:bookmarkStart w:id="364" w:name="Tc_T0na9OQQa0-4o8cXEwvV0A_26_11"/>
      <w:bookmarkStart w:id="365" w:name="Tc_CvFzfD_AVkGndB1GUBTnNw_26_0"/>
      <w:bookmarkStart w:id="366" w:name="Tc_C0nYhTGrjkqf58bQ1DhPNQ_25_8"/>
      <w:bookmarkStart w:id="367" w:name="Tc_A_5fcZC-hkGV8vT0m4Tr7w_25_5"/>
      <w:bookmarkStart w:id="368" w:name="Tc_pnhfTiEJ2UqumE-gJ3Ngng_25_2"/>
      <w:bookmarkStart w:id="369" w:name="Tc_nbR-Bmd_F0CjboKg2L0eiw_25_0"/>
      <w:bookmarkStart w:id="370" w:name="Tc_BhC0HzbUKk6lbFlfLLzBbQ_24_8"/>
      <w:bookmarkStart w:id="371" w:name="Tc_bfX_jXEnHECE23PP82hpNA_24_5"/>
      <w:bookmarkStart w:id="372" w:name="Tc_LpJzY3ButEKC1J2C4bfPAg_24_0"/>
      <w:bookmarkStart w:id="373" w:name="Tc_OomwlbLKcU6gWlD-FUaZZw_23_11"/>
      <w:bookmarkStart w:id="374" w:name="Tc_HXwG08ZO1kGh9E4hDJMFMQ_23_5"/>
      <w:bookmarkStart w:id="375" w:name="Tc_rj2rZH0bEk2vuSHnrULALA_23_0"/>
      <w:bookmarkStart w:id="376" w:name="Tc_Alwle4K4S0aevMF6venfvw_22_11"/>
      <w:bookmarkStart w:id="377" w:name="Tc_ujVewArg8UKYlgvjSTIfXw_22_5"/>
      <w:bookmarkStart w:id="378" w:name="Tc_bo2dg-uPIEi0B98QvBBZVw_22_0"/>
      <w:bookmarkStart w:id="379" w:name="Tc_3CI9ztKxb0yFsXk9q0lSJg_21_14"/>
      <w:bookmarkStart w:id="380" w:name="Tc_pm9kqlVEp0SgZQGkPgZ7ow_21_11"/>
      <w:bookmarkStart w:id="381" w:name="Tc_LH0HsqMQAk6KhLQWtZRzVw_21_8"/>
      <w:bookmarkStart w:id="382" w:name="Tc_4bi5BbtvzkiT0lGtu3zyKw_21_5"/>
      <w:bookmarkStart w:id="383" w:name="Tc_LdbJ9p7VxUe43IGJoM19rQ_21_0"/>
      <w:bookmarkStart w:id="384" w:name="Tc_AX2JRnT2ZEOy9OKrNVuLgA_20_11"/>
      <w:bookmarkStart w:id="385" w:name="Tc_aik1NxtPRUuW5sOdiTbg6g_20_5"/>
      <w:bookmarkStart w:id="386" w:name="Tc_2TFmsAtAjEKiHWHdX0H9uQ_20_2"/>
      <w:bookmarkStart w:id="387" w:name="Tc_iqEtxDdCTE-djRRxa8Jhqg_20_0"/>
      <w:bookmarkStart w:id="388" w:name="Tc_DIxYsKrhWEGy1_M1INAE8Q_19_13"/>
      <w:bookmarkStart w:id="389" w:name="Tc_eAWKwIKrV0Sv8X4ewY9iQw_19_10"/>
      <w:bookmarkStart w:id="390" w:name="Tc_Tzh58C8P70WFm_NKd0NOUg_19_7"/>
      <w:bookmarkStart w:id="391" w:name="Tc_-eNJaa6YqUuRNxha-hEZdQ_19_4"/>
      <w:bookmarkStart w:id="392" w:name="Tc_HjqbntkC70GMoGTzY5iApA_19_0"/>
      <w:bookmarkStart w:id="393" w:name="Tc_7S_XtlzR8k-wZkuFvEU99A_18_13"/>
      <w:bookmarkStart w:id="394" w:name="Tc_m_6ZnyDLPkeV_A4RinjLIA_18_10"/>
      <w:bookmarkStart w:id="395" w:name="Tc_D5e2JG2pDEaxrG9EDcfd6g_18_7"/>
      <w:bookmarkStart w:id="396" w:name="Tc_a0dklpYqH024A8peVm8ITw_18_4"/>
      <w:bookmarkStart w:id="397" w:name="Tc_tNxSap1v506u3b_jmkyzng_18_2"/>
      <w:bookmarkStart w:id="398" w:name="Tc_WMqUp_w2f0uGW0454xmOjw_17_13"/>
      <w:bookmarkStart w:id="399" w:name="Tc_tMwun2ApH06kEEQoemH0-g_17_10"/>
      <w:bookmarkStart w:id="400" w:name="Tc_7P_IT09C8ESNs1Ebj8jCJA_17_7"/>
      <w:bookmarkStart w:id="401" w:name="Tc_std9F-jiLEOAOHW4rl5xCA_17_2"/>
      <w:bookmarkStart w:id="402" w:name="Tc_yPBzMuwAM0yKEL-YKyagpg_16_13"/>
      <w:bookmarkStart w:id="403" w:name="Tc_nnrpjt_vZUGgECivouH3hg_16_7"/>
      <w:bookmarkStart w:id="404" w:name="Tc_iiSwSha5TEu5htp45jngCQ_14_2"/>
      <w:bookmarkStart w:id="405" w:name="Tc_GRDxtjbJwUGGGa3ygfSelw_12_13"/>
      <w:bookmarkStart w:id="406" w:name="Tc_mxQnDAV1IEeLJSvX5nPdlA_12_10"/>
      <w:bookmarkStart w:id="407" w:name="Tc_6lZJJYxw6EONdLAYfCq2gA_12_7"/>
      <w:bookmarkStart w:id="408" w:name="Tc_hIIn3bUF1UuHoLXLgWXtBg_12_4"/>
      <w:bookmarkStart w:id="409" w:name="Tc_s1yKmS43cUugqiinBfLZnw_12_0"/>
      <w:bookmarkStart w:id="410" w:name="Tc_y25HYxULNU-H1UgNRoWDZQ_11_8"/>
      <w:bookmarkStart w:id="411" w:name="Tc_ZOTJWByHgUWdoOmzBaRDag_11_5"/>
      <w:bookmarkStart w:id="412" w:name="Tc__ZXMPNbJKkGAZMvNqAEosQ_11_2"/>
      <w:bookmarkStart w:id="413" w:name="Tc_bVRDpfJHMkO9ImpevBpolQ_11_0"/>
      <w:bookmarkStart w:id="414" w:name="Tc_CSlJVwyDtUuGBVlAdm3sBw_10_14"/>
      <w:bookmarkStart w:id="415" w:name="Tc_wYWMCwU4rUmxLgtpKxS1vg_10_11"/>
      <w:bookmarkStart w:id="416" w:name="Tc_UhngxziImEChJrOP6SJ8rg_10_8"/>
      <w:bookmarkStart w:id="417" w:name="Tc_bqo-aND6oUm9U6ollMdfnw_10_5"/>
      <w:bookmarkStart w:id="418" w:name="Tc_jEsqWyuiCU2JKYuuyJx1tQ_10_0"/>
      <w:bookmarkStart w:id="419" w:name="Tc_MIa7OmdT4UKgm6cETvELNQ_9_11"/>
      <w:bookmarkStart w:id="420" w:name="Tc_mFLSzRO25k-3DxMMVMrmkA_9_5"/>
      <w:bookmarkStart w:id="421" w:name="Tc_lEzwG8V_M0Gs-YyXvN8h1Q_9_0"/>
      <w:bookmarkStart w:id="422" w:name="Tc_iQFChHYLykulkOrPS4hPoA_8_11"/>
      <w:bookmarkStart w:id="423" w:name="Tc_RNuKOaKQEkmgtmc7ZYO3Ug_8_5"/>
      <w:bookmarkStart w:id="424" w:name="Tc_ynpE-1S_v0ibCVmtWEVaQA_8_0"/>
      <w:bookmarkStart w:id="425" w:name="Tc_PPamJvxYmk61Wikq6f0QIA_7_11"/>
      <w:bookmarkStart w:id="426" w:name="Tc_x3ZU3DZbyk-HCOqnmhdd9g_7_5"/>
      <w:bookmarkStart w:id="427" w:name="Tc_1uRbtFT5cEePgN8KsnK3HQ_7_2"/>
      <w:bookmarkStart w:id="428" w:name="Tc_QevJjgpHpEWm8V12nyWsig_7_0"/>
      <w:bookmarkStart w:id="429" w:name="Tc_10IbxvoU7UC_DFFRQDsbWQ_6_13"/>
      <w:bookmarkStart w:id="430" w:name="Tc_Z8UFBInO90qwUMtnE9u5-A_6_0"/>
      <w:bookmarkStart w:id="431" w:name="Tc_2h9NXb__20KKwDR8yddNxA_5_13"/>
      <w:bookmarkStart w:id="432" w:name="Tc_0hn1JkKKUkqhDFGX5SrLJg_5_10"/>
      <w:bookmarkStart w:id="433" w:name="Tc_ZMnrNiDYP0yhU2ihwVONlw_5_7"/>
      <w:bookmarkStart w:id="434" w:name="Tc_GOQL1xteV02Afxx_a-ZJlw_5_4"/>
      <w:bookmarkStart w:id="435" w:name="Tc_ggSjVz4q50eFBkRZlfHcZg_5_2"/>
      <w:bookmarkStart w:id="436" w:name="Tc_4VTVIueFPUyU6fp8sdA-Mg_4_13"/>
      <w:bookmarkStart w:id="437" w:name="Tc_KzZt7BGy-kGQ2BI_OdUIng_4_10"/>
      <w:bookmarkStart w:id="438" w:name="Tc_fcl2ajyaIkOKQpZpmeedrw_4_7"/>
      <w:bookmarkStart w:id="439" w:name="Tc_Mk6IX4nf9USuiFRZlT6kUw_4_2"/>
      <w:bookmarkStart w:id="440" w:name="Tc_86tLZukeAkKnILX4BbVpuA_3_13"/>
      <w:bookmarkStart w:id="441" w:name="Tc_Vu9CHST_KkOtER4PdXolHA_3_7"/>
      <w:bookmarkStart w:id="442" w:name="Tc_ABjTnV2SBEerJ3n7UVm7vQ_1_2"/>
      <w:bookmarkStart w:id="443" w:name="_b9d426c7_90cd_4e91_bf42_0fcf974d0c7e"/>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
    <w:tbl>
      <w:tblPr>
        <w:tblW w:w="10205" w:type="dxa"/>
        <w:jc w:val="left"/>
        <w:tblInd w:w="0" w:type="dxa"/>
        <w:tblLayout w:type="fixed"/>
        <w:tblCellMar>
          <w:top w:w="0" w:type="dxa"/>
          <w:left w:w="0" w:type="dxa"/>
          <w:bottom w:w="0" w:type="dxa"/>
          <w:right w:w="0" w:type="dxa"/>
        </w:tblCellMar>
      </w:tblPr>
      <w:tblGrid>
        <w:gridCol w:w="3735"/>
        <w:gridCol w:w="346"/>
        <w:gridCol w:w="1036"/>
        <w:gridCol w:w="346"/>
        <w:gridCol w:w="230"/>
        <w:gridCol w:w="461"/>
        <w:gridCol w:w="346"/>
        <w:gridCol w:w="211"/>
        <w:gridCol w:w="781"/>
        <w:gridCol w:w="346"/>
        <w:gridCol w:w="211"/>
        <w:gridCol w:w="676"/>
        <w:gridCol w:w="346"/>
        <w:gridCol w:w="227"/>
        <w:gridCol w:w="907"/>
      </w:tblGrid>
      <w:tr>
        <w:trPr/>
        <w:tc>
          <w:tcPr>
            <w:tcW w:w="3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371725" cy="175260"/>
                      <wp:effectExtent l="0" t="0" r="0" b="0"/>
                      <wp:wrapNone/>
                      <wp:docPr id="27" name="Frame27"/>
                      <a:graphic xmlns:a="http://schemas.openxmlformats.org/drawingml/2006/main">
                        <a:graphicData uri="http://schemas.microsoft.com/office/word/2010/wordprocessingShape">
                          <wps:wsp>
                            <wps:cNvSpPr txBox="1"/>
                            <wps:spPr>
                              <a:xfrm>
                                <a:off x="0" y="0"/>
                                <a:ext cx="2371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57860" cy="175260"/>
                      <wp:effectExtent l="0" t="0" r="0" b="0"/>
                      <wp:wrapNone/>
                      <wp:docPr id="29" name="Frame2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46050" cy="175260"/>
                      <wp:effectExtent l="0" t="0" r="0" b="0"/>
                      <wp:wrapNone/>
                      <wp:docPr id="31" name="Frame31"/>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92735" cy="175260"/>
                      <wp:effectExtent l="0" t="0" r="0" b="0"/>
                      <wp:wrapNone/>
                      <wp:docPr id="32" name="Frame32"/>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3"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34" name="Frame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95935" cy="175260"/>
                      <wp:effectExtent l="0" t="0" r="0" b="0"/>
                      <wp:wrapNone/>
                      <wp:docPr id="35" name="Frame3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37" name="Frame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29260" cy="175260"/>
                      <wp:effectExtent l="0" t="0" r="0" b="0"/>
                      <wp:wrapNone/>
                      <wp:docPr id="38" name="Frame3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9"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44145" cy="175260"/>
                      <wp:effectExtent l="0" t="0" r="0" b="0"/>
                      <wp:wrapNone/>
                      <wp:docPr id="40" name="Frame40"/>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75945" cy="175260"/>
                      <wp:effectExtent l="0" t="0" r="0" b="0"/>
                      <wp:wrapNone/>
                      <wp:docPr id="41" name="Frame41"/>
                      <a:graphic xmlns:a="http://schemas.openxmlformats.org/drawingml/2006/main">
                        <a:graphicData uri="http://schemas.microsoft.com/office/word/2010/wordprocessingShape">
                          <wps:wsp>
                            <wps:cNvSpPr txBox="1"/>
                            <wps:spPr>
                              <a:xfrm>
                                <a:off x="0" y="0"/>
                                <a:ext cx="575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3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124" w:type="dxa"/>
            <w:gridSpan w:val="1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 July 1, 2026</w:t>
            </w:r>
          </w:p>
        </w:tc>
      </w:tr>
      <w:tr>
        <w:trPr/>
        <w:tc>
          <w:tcPr>
            <w:tcW w:w="373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27" w:type="dxa"/>
            <w:tcBorders/>
            <w:vAlign w:val="center"/>
          </w:tcPr>
          <w:p>
            <w:pPr>
              <w:pStyle w:val="TableContents"/>
              <w:bidi w:val="0"/>
              <w:spacing w:before="0" w:after="1"/>
              <w:ind w:left="0" w:right="0" w:hanging="0"/>
              <w:jc w:val="left"/>
              <w:rPr/>
            </w:pPr>
            <w:r>
              <w:rPr/>
              <w:t>  ​</w:t>
            </w:r>
          </w:p>
        </w:tc>
        <w:tc>
          <w:tcPr>
            <w:tcW w:w="907" w:type="dxa"/>
            <w:tcBorders/>
            <w:vAlign w:val="center"/>
          </w:tcPr>
          <w:p>
            <w:pPr>
              <w:pStyle w:val="TableContents"/>
              <w:bidi w:val="0"/>
              <w:spacing w:before="0" w:after="1"/>
              <w:ind w:left="0" w:right="0" w:hanging="0"/>
              <w:jc w:val="center"/>
              <w:rPr/>
            </w:pPr>
            <w:r>
              <w:rPr/>
              <w:t>​</w:t>
            </w:r>
          </w:p>
        </w:tc>
      </w:tr>
      <w:tr>
        <w:trPr/>
        <w:tc>
          <w:tcPr>
            <w:tcW w:w="373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13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73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7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1"/>
              <w:ind w:left="0" w:right="0" w:hanging="0"/>
              <w:jc w:val="left"/>
              <w:rPr/>
            </w:pPr>
            <w:r>
              <w:rPr/>
              <w:t>​</w:t>
            </w:r>
          </w:p>
        </w:tc>
        <w:tc>
          <w:tcPr>
            <w:tcW w:w="113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73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1"/>
              <w:ind w:left="0" w:right="0" w:hanging="0"/>
              <w:jc w:val="left"/>
              <w:rPr/>
            </w:pPr>
            <w:r>
              <w:rPr/>
              <w:t>  ​ ​ ​</w:t>
            </w:r>
          </w:p>
        </w:tc>
        <w:tc>
          <w:tcPr>
            <w:tcW w:w="113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73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April 1, 2026</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30,455,298</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250,483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51,711</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302,498</w:t>
            </w:r>
          </w:p>
        </w:tc>
      </w:tr>
      <w:tr>
        <w:trPr/>
        <w:tc>
          <w:tcPr>
            <w:tcW w:w="37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1,578</w:t>
            </w:r>
          </w:p>
        </w:tc>
      </w:tr>
      <w:tr>
        <w:trPr/>
        <w:tc>
          <w:tcPr>
            <w:tcW w:w="373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 net</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43,713</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w:t>
            </w:r>
          </w:p>
        </w:tc>
      </w:tr>
      <w:tr>
        <w:trPr/>
        <w:tc>
          <w:tcPr>
            <w:tcW w:w="37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repurchased for employee tax withholdings</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(19,878)</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w:t>
            </w:r>
          </w:p>
        </w:tc>
      </w:tr>
      <w:tr>
        <w:trPr/>
        <w:tc>
          <w:tcPr>
            <w:tcW w:w="37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Forfeiture of common stock related to restricted shares</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(38,867)</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07" w:type="dxa"/>
            <w:tcBorders/>
            <w:shd w:fill="CCEEFF" w:val="clear"/>
            <w:vAlign w:val="center"/>
          </w:tcPr>
          <w:p>
            <w:pPr>
              <w:pStyle w:val="TableContents"/>
              <w:bidi w:val="0"/>
              <w:spacing w:before="0" w:after="1"/>
              <w:ind w:left="0" w:right="0" w:hanging="0"/>
              <w:jc w:val="right"/>
              <w:rPr/>
            </w:pPr>
            <w:r>
              <w:rPr/>
              <w:t>—</w:t>
            </w:r>
          </w:p>
        </w:tc>
      </w:tr>
      <w:tr>
        <w:trPr/>
        <w:tc>
          <w:tcPr>
            <w:tcW w:w="37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12,807</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12,807</w:t>
            </w:r>
          </w:p>
        </w:tc>
      </w:tr>
      <w:tr>
        <w:trPr/>
        <w:tc>
          <w:tcPr>
            <w:tcW w:w="373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July 1, 2026</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30,440,266</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252,221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64,518</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317,043</w:t>
            </w:r>
          </w:p>
        </w:tc>
      </w:tr>
      <w:tr>
        <w:trPr/>
        <w:tc>
          <w:tcPr>
            <w:tcW w:w="373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right"/>
              <w:rPr/>
            </w:pPr>
            <w:r>
              <w:rPr/>
              <w:t>​</w:t>
            </w:r>
          </w:p>
        </w:tc>
      </w:tr>
      <w:tr>
        <w:trPr/>
        <w:tc>
          <w:tcPr>
            <w:tcW w:w="373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124" w:type="dxa"/>
            <w:gridSpan w:val="1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 June 25, 2025</w:t>
            </w:r>
          </w:p>
        </w:tc>
      </w:tr>
      <w:tr>
        <w:trPr/>
        <w:tc>
          <w:tcPr>
            <w:tcW w:w="373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27" w:type="dxa"/>
            <w:tcBorders/>
            <w:vAlign w:val="center"/>
          </w:tcPr>
          <w:p>
            <w:pPr>
              <w:pStyle w:val="TableContents"/>
              <w:bidi w:val="0"/>
              <w:spacing w:before="0" w:after="1"/>
              <w:ind w:left="0" w:right="0" w:hanging="0"/>
              <w:jc w:val="left"/>
              <w:rPr/>
            </w:pPr>
            <w:r>
              <w:rPr/>
              <w:t>  ​</w:t>
            </w:r>
          </w:p>
        </w:tc>
        <w:tc>
          <w:tcPr>
            <w:tcW w:w="907" w:type="dxa"/>
            <w:tcBorders/>
            <w:vAlign w:val="center"/>
          </w:tcPr>
          <w:p>
            <w:pPr>
              <w:pStyle w:val="TableContents"/>
              <w:bidi w:val="0"/>
              <w:spacing w:before="0" w:after="1"/>
              <w:ind w:left="0" w:right="0" w:hanging="0"/>
              <w:jc w:val="center"/>
              <w:rPr/>
            </w:pPr>
            <w:r>
              <w:rPr/>
              <w:t>​</w:t>
            </w:r>
          </w:p>
        </w:tc>
      </w:tr>
      <w:tr>
        <w:trPr/>
        <w:tc>
          <w:tcPr>
            <w:tcW w:w="373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13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73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7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1"/>
              <w:ind w:left="0" w:right="0" w:hanging="0"/>
              <w:jc w:val="left"/>
              <w:rPr/>
            </w:pPr>
            <w:r>
              <w:rPr/>
              <w:t>​</w:t>
            </w:r>
          </w:p>
        </w:tc>
        <w:tc>
          <w:tcPr>
            <w:tcW w:w="113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73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1"/>
              <w:ind w:left="0" w:right="0" w:hanging="0"/>
              <w:jc w:val="left"/>
              <w:rPr/>
            </w:pPr>
            <w:r>
              <w:rPr/>
              <w:t>  ​ ​ ​</w:t>
            </w:r>
          </w:p>
        </w:tc>
        <w:tc>
          <w:tcPr>
            <w:tcW w:w="113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73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March 26, 2025</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30,059,485</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242,830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22,571</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265,701</w:t>
            </w:r>
          </w:p>
        </w:tc>
      </w:tr>
      <w:tr>
        <w:trPr/>
        <w:tc>
          <w:tcPr>
            <w:tcW w:w="37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1,700</w:t>
            </w:r>
          </w:p>
        </w:tc>
      </w:tr>
      <w:tr>
        <w:trPr/>
        <w:tc>
          <w:tcPr>
            <w:tcW w:w="37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related to restricted shares</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28,847</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pPr>
            <w:r>
              <w:rPr/>
              <w:t>—</w:t>
            </w:r>
          </w:p>
        </w:tc>
      </w:tr>
      <w:tr>
        <w:trPr/>
        <w:tc>
          <w:tcPr>
            <w:tcW w:w="373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 net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2,880</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37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repurchased for employee tax withholdings</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(34,621)</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w:t>
            </w:r>
          </w:p>
        </w:tc>
      </w:tr>
      <w:tr>
        <w:trPr/>
        <w:tc>
          <w:tcPr>
            <w:tcW w:w="37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(3,479)</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37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common stock - excise tax</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37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Forfeiture of common stock related to restricted shares</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(44,420)</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right"/>
              <w:rPr/>
            </w:pPr>
            <w:r>
              <w:rPr/>
              <w:t>—</w:t>
            </w:r>
          </w:p>
        </w:tc>
      </w:tr>
      <w:tr>
        <w:trPr/>
        <w:tc>
          <w:tcPr>
            <w:tcW w:w="37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7,107</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7,107</w:t>
            </w:r>
          </w:p>
        </w:tc>
      </w:tr>
      <w:tr>
        <w:trPr/>
        <w:tc>
          <w:tcPr>
            <w:tcW w:w="373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June 25, 2025</w:t>
            </w:r>
          </w:p>
        </w:tc>
        <w:tc>
          <w:tcPr>
            <w:tcW w:w="346" w:type="dxa"/>
            <w:tcBorders/>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30,008,692</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244,223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29,656</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274,178</w:t>
            </w:r>
          </w:p>
        </w:tc>
      </w:tr>
    </w:tbl>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EL POLLO LOCO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CHANGES IN STOCKHOLDERS’ EQUITY (UNAUDITED)</w:t>
      </w:r>
    </w:p>
    <w:p>
      <w:pPr>
        <w:pStyle w:val="TextBody"/>
        <w:bidi w:val="0"/>
        <w:spacing w:before="120" w:after="0"/>
        <w:ind w:left="0" w:right="0" w:hanging="0"/>
        <w:jc w:val="center"/>
        <w:rPr>
          <w:rFonts w:ascii="Times New Roman;Times;serif" w:hAnsi="Times New Roman;Times;serif"/>
          <w:b/>
          <w:sz w:val="20"/>
        </w:rPr>
      </w:pPr>
      <w:r>
        <w:rPr>
          <w:rFonts w:ascii="Times New Roman;Times;serif" w:hAnsi="Times New Roman;Times;serif"/>
          <w:b/>
          <w:sz w:val="20"/>
        </w:rPr>
        <w:t>(Amounts in thousands, except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44" w:name="Tc_tdn3Prt1UUqiFW1uAJF6_g_28_13"/>
      <w:bookmarkStart w:id="445" w:name="Tc_e_x2f6lkgkig8mSPpy7pMg_28_10"/>
      <w:bookmarkStart w:id="446" w:name="Tc_PSFiLX4Kr0erUGhqK0xXMw_28_7"/>
      <w:bookmarkStart w:id="447" w:name="Tc_zEwQ4mWvjUmkCf4iotxk1g_28_4"/>
      <w:bookmarkStart w:id="448" w:name="Tc_e_ZrqC7RYUOh6VUefRcmCg_28_0"/>
      <w:bookmarkStart w:id="449" w:name="Tc_ERX9LgnuBUeDULBENIeEqw_27_8"/>
      <w:bookmarkStart w:id="450" w:name="Tc_w5iXT_VKq0eEnJcs6Mb4Qw_27_5"/>
      <w:bookmarkStart w:id="451" w:name="Tc_RqI7y1_ab0CUuKjXB-sHRw_27_2"/>
      <w:bookmarkStart w:id="452" w:name="Tc_yl3RqgfvVEib5cewiNsYSQ_27_0"/>
      <w:bookmarkStart w:id="453" w:name="Tc_e1EDnnx_gESQwVYz3-LrGg_26_14"/>
      <w:bookmarkStart w:id="454" w:name="Tc_cOa_hTxb8UWe1Jm9UxrUZA_26_11"/>
      <w:bookmarkStart w:id="455" w:name="Tc_FTEBHcMXhEy7tNYv2v0jCA_26_0"/>
      <w:bookmarkStart w:id="456" w:name="Tc_UB185Lj5dUmMKo-jM2MyyA_25_8"/>
      <w:bookmarkStart w:id="457" w:name="Tc_NEZmV1hnpEWNjIGyM3Yw0A_25_0"/>
      <w:bookmarkStart w:id="458" w:name="Tc_Kl82Zf_K4E6tBfhiKQyGKQ_24_11"/>
      <w:bookmarkStart w:id="459" w:name="Tc_j_lE6nHnK0WGhvjXjzGJcA_24_5"/>
      <w:bookmarkStart w:id="460" w:name="Tc_k-8amX7C2k66DlXbZ4o4Hw_24_0"/>
      <w:bookmarkStart w:id="461" w:name="Tc_-fmLbdzE6Um6bQucJa8u2g_23_11"/>
      <w:bookmarkStart w:id="462" w:name="Tc_cag4kfM4eEKyDye8Xyd83g_23_5"/>
      <w:bookmarkStart w:id="463" w:name="Tc_yEQ5uSKGc0CGwDTi_NzWMQ_23_0"/>
      <w:bookmarkStart w:id="464" w:name="Tc_hYiEidXplEa-T_JThy0Wjw_22_14"/>
      <w:bookmarkStart w:id="465" w:name="Tc_MrH12W71p0-PslDhXSEkAQ_22_11"/>
      <w:bookmarkStart w:id="466" w:name="Tc_SdS0zm1HHEu4CyLQcC_IuQ_22_0"/>
      <w:bookmarkStart w:id="467" w:name="Tc_flclrOevg0-Xnkw5ext9rw_21_11"/>
      <w:bookmarkStart w:id="468" w:name="Tc_Jab3aJSujk6878QMzdtpvA_21_5"/>
      <w:bookmarkStart w:id="469" w:name="Tc_44Ou1VS_80OXFDDFuVRW2Q_21_2"/>
      <w:bookmarkStart w:id="470" w:name="Tc_0vvYieF2wUS0uTng5nArMQ_21_0"/>
      <w:bookmarkStart w:id="471" w:name="Tc_irOpUoF5dUCdQ21dx9dgmQ_20_13"/>
      <w:bookmarkStart w:id="472" w:name="Tc_gpJ23jvVTEWXYNZvgaDrww_20_10"/>
      <w:bookmarkStart w:id="473" w:name="Tc_bAuMobs4MEi5bsboN1HH1Q_20_7"/>
      <w:bookmarkStart w:id="474" w:name="Tc_t5EUxoWX2EiwPVOPJOJomQ_20_4"/>
      <w:bookmarkStart w:id="475" w:name="Tc_e3VqP6zlFUmrIba20sZvbA_20_0"/>
      <w:bookmarkStart w:id="476" w:name="Tc_F0hC_m8-pUiP9DYT7jEhvg_19_13"/>
      <w:bookmarkStart w:id="477" w:name="Tc_lpvukKyZw0GW5g7XqF6iVw_19_10"/>
      <w:bookmarkStart w:id="478" w:name="Tc_n9Ado3litUKG_d_VjilrAg_19_7"/>
      <w:bookmarkStart w:id="479" w:name="Tc_VgRT26Dq_EC2YbhbdABrRA_19_4"/>
      <w:bookmarkStart w:id="480" w:name="Tc_R4eHstdf6EGpLukR-dikHQ_19_2"/>
      <w:bookmarkStart w:id="481" w:name="Tc_uRCE3hOb9Uqh04WrTsRqaw_18_13"/>
      <w:bookmarkStart w:id="482" w:name="Tc_VtM8ORi_oUWxQsW7FCQu7w_18_10"/>
      <w:bookmarkStart w:id="483" w:name="Tc_rFD4hNagp0yDNl8W86_6OA_18_7"/>
      <w:bookmarkStart w:id="484" w:name="Tc_NND0_uyIzkewOvDgzrIz2w_18_2"/>
      <w:bookmarkStart w:id="485" w:name="Tc_SfEqSW4PsEK1DqKU1w4t6Q_17_13"/>
      <w:bookmarkStart w:id="486" w:name="Tc_9FcP3EZSUUu8cRbDJe685A_17_7"/>
      <w:bookmarkStart w:id="487" w:name="Tc_5zMLbF6DvUWOUyauWWqmzw_15_2"/>
      <w:bookmarkStart w:id="488" w:name="Tc_1F69J0-lO0O9Qe6li9MgEg_13_13"/>
      <w:bookmarkStart w:id="489" w:name="Tc_Pdi_Qe43y0ih81vSWIzK8w_13_10"/>
      <w:bookmarkStart w:id="490" w:name="Tc_pP6RmLxRcUywH0RPNNukww_13_7"/>
      <w:bookmarkStart w:id="491" w:name="Tc_-DWWNIut5Ua1GxdUaM9eww_13_4"/>
      <w:bookmarkStart w:id="492" w:name="Tc_oLRWQwt-A0K9fn1NhiBzFA_13_0"/>
      <w:bookmarkStart w:id="493" w:name="Tc_IsCyn56Us0eGQKpdbnEscQ_12_8"/>
      <w:bookmarkStart w:id="494" w:name="Tc_i-loD9Jpy02ZkAKJGT54GA_12_5"/>
      <w:bookmarkStart w:id="495" w:name="Tc_LFiik940s0encAfCF0fKrg_12_2"/>
      <w:bookmarkStart w:id="496" w:name="Tc_mitwnx9ZSEaVupOOTgjDdA_12_0"/>
      <w:bookmarkStart w:id="497" w:name="Tc_MK3A5niF9kabagD3ZFc7vQ_11_14"/>
      <w:bookmarkStart w:id="498" w:name="Tc_PKoLzWAFMUqPw0A_AVcL7w_11_11"/>
      <w:bookmarkStart w:id="499" w:name="Tc_XSDgZo_AQUubhDulWqyZBg_11_8"/>
      <w:bookmarkStart w:id="500" w:name="Tc_7-VhLEIz-EKaD6940Bl3IA_11_5"/>
      <w:bookmarkStart w:id="501" w:name="Tc_lakMhkYU2Ee91OSbp7fxaQ_11_0"/>
      <w:bookmarkStart w:id="502" w:name="Tc_LefX0Tyi3Uy1-jjyKVkbsw_10_11"/>
      <w:bookmarkStart w:id="503" w:name="Tc_As28Ug9OuE-_Hq2Dn6ICYA_10_5"/>
      <w:bookmarkStart w:id="504" w:name="Tc_QSQ6uYNn5EGewOIQ_w689A_10_0"/>
      <w:bookmarkStart w:id="505" w:name="Tc_DP4gocRbXkaYu1pAhFpr4w_9_11"/>
      <w:bookmarkStart w:id="506" w:name="Tc_zsybi7R2uk-ueKpx_lJwRA_9_0"/>
      <w:bookmarkStart w:id="507" w:name="Tc_5oPyAKNZpkilUbGFRwoyOg_8_14"/>
      <w:bookmarkStart w:id="508" w:name="Tc_d8ZMALy_EUWFwyq7Hn8UzQ_8_11"/>
      <w:bookmarkStart w:id="509" w:name="Tc_-vF1aZ_y_EqQOuJRbxeUCQ_8_0"/>
      <w:bookmarkStart w:id="510" w:name="Tc_1PcMAzNh6k-i-hdE-Su7QA_7_11"/>
      <w:bookmarkStart w:id="511" w:name="Tc_3KgdUZXKlk2TYdnf_k67UA_7_5"/>
      <w:bookmarkStart w:id="512" w:name="Tc_LHfzlMmnskyAPbBTEts-kg_7_2"/>
      <w:bookmarkStart w:id="513" w:name="Tc_QC4uWWS470yk0Ig4kjdXzQ_7_0"/>
      <w:bookmarkStart w:id="514" w:name="Tc_7CyTGTy7uUOdFhsLEDRtvQ_6_13"/>
      <w:bookmarkStart w:id="515" w:name="Tc_o5DCYC0M0EmLxU13Wlw65A_6_10"/>
      <w:bookmarkStart w:id="516" w:name="Tc_80f-I9jbukqOJy8th1fy4g_6_7"/>
      <w:bookmarkStart w:id="517" w:name="Tc_caqGSXlYlE6x0S53zjJSTQ_6_4"/>
      <w:bookmarkStart w:id="518" w:name="Tc_4GKazhIpVUaGvEoGqWhTPA_6_0"/>
      <w:bookmarkStart w:id="519" w:name="Tc_arwFZBi5ek2XR_Y96gQX8g_5_13"/>
      <w:bookmarkStart w:id="520" w:name="Tc_g2c8IIN3rUac5L9LdQP-Tw_5_10"/>
      <w:bookmarkStart w:id="521" w:name="Tc_-N3bPoKvFUmShvMKHnjUwg_5_7"/>
      <w:bookmarkStart w:id="522" w:name="Tc_GHsmkEfSj0C2jvLQIvxh8g_5_4"/>
      <w:bookmarkStart w:id="523" w:name="Tc_OyfcAHYbl06lxC4xsf5zcQ_5_2"/>
      <w:bookmarkStart w:id="524" w:name="Tc_Bx1_6q2ovUmcn0Xi_PcwiA_4_13"/>
      <w:bookmarkStart w:id="525" w:name="Tc_S3RT8apbA0iTO5FSjwm4yg_4_10"/>
      <w:bookmarkStart w:id="526" w:name="Tc_cwyvxSBcckKnQT4SSOAmpQ_4_7"/>
      <w:bookmarkStart w:id="527" w:name="Tc_8TR4R8KgJU2juVKvAdPrTA_4_2"/>
      <w:bookmarkStart w:id="528" w:name="Tc_9DiX2kqYB0SkV7X69E92aA_3_13"/>
      <w:bookmarkStart w:id="529" w:name="Tc_FNV9dVjilU-l2I_avDKRkw_3_7"/>
      <w:bookmarkStart w:id="530" w:name="Tc_Y8jQ6XPYMkueOEJefE5Dag_1_2"/>
      <w:bookmarkStart w:id="531" w:name="_144d4bd5_eda0_42e6_afe5_09bfd4ea1594"/>
      <w:bookmarkStart w:id="532" w:name="Tc_tdn3Prt1UUqiFW1uAJF6_g_28_13"/>
      <w:bookmarkStart w:id="533" w:name="Tc_e_x2f6lkgkig8mSPpy7pMg_28_10"/>
      <w:bookmarkStart w:id="534" w:name="Tc_PSFiLX4Kr0erUGhqK0xXMw_28_7"/>
      <w:bookmarkStart w:id="535" w:name="Tc_zEwQ4mWvjUmkCf4iotxk1g_28_4"/>
      <w:bookmarkStart w:id="536" w:name="Tc_e_ZrqC7RYUOh6VUefRcmCg_28_0"/>
      <w:bookmarkStart w:id="537" w:name="Tc_ERX9LgnuBUeDULBENIeEqw_27_8"/>
      <w:bookmarkStart w:id="538" w:name="Tc_w5iXT_VKq0eEnJcs6Mb4Qw_27_5"/>
      <w:bookmarkStart w:id="539" w:name="Tc_RqI7y1_ab0CUuKjXB-sHRw_27_2"/>
      <w:bookmarkStart w:id="540" w:name="Tc_yl3RqgfvVEib5cewiNsYSQ_27_0"/>
      <w:bookmarkStart w:id="541" w:name="Tc_e1EDnnx_gESQwVYz3-LrGg_26_14"/>
      <w:bookmarkStart w:id="542" w:name="Tc_cOa_hTxb8UWe1Jm9UxrUZA_26_11"/>
      <w:bookmarkStart w:id="543" w:name="Tc_FTEBHcMXhEy7tNYv2v0jCA_26_0"/>
      <w:bookmarkStart w:id="544" w:name="Tc_UB185Lj5dUmMKo-jM2MyyA_25_8"/>
      <w:bookmarkStart w:id="545" w:name="Tc_NEZmV1hnpEWNjIGyM3Yw0A_25_0"/>
      <w:bookmarkStart w:id="546" w:name="Tc_Kl82Zf_K4E6tBfhiKQyGKQ_24_11"/>
      <w:bookmarkStart w:id="547" w:name="Tc_j_lE6nHnK0WGhvjXjzGJcA_24_5"/>
      <w:bookmarkStart w:id="548" w:name="Tc_k-8amX7C2k66DlXbZ4o4Hw_24_0"/>
      <w:bookmarkStart w:id="549" w:name="Tc_-fmLbdzE6Um6bQucJa8u2g_23_11"/>
      <w:bookmarkStart w:id="550" w:name="Tc_cag4kfM4eEKyDye8Xyd83g_23_5"/>
      <w:bookmarkStart w:id="551" w:name="Tc_yEQ5uSKGc0CGwDTi_NzWMQ_23_0"/>
      <w:bookmarkStart w:id="552" w:name="Tc_hYiEidXplEa-T_JThy0Wjw_22_14"/>
      <w:bookmarkStart w:id="553" w:name="Tc_MrH12W71p0-PslDhXSEkAQ_22_11"/>
      <w:bookmarkStart w:id="554" w:name="Tc_SdS0zm1HHEu4CyLQcC_IuQ_22_0"/>
      <w:bookmarkStart w:id="555" w:name="Tc_flclrOevg0-Xnkw5ext9rw_21_11"/>
      <w:bookmarkStart w:id="556" w:name="Tc_Jab3aJSujk6878QMzdtpvA_21_5"/>
      <w:bookmarkStart w:id="557" w:name="Tc_44Ou1VS_80OXFDDFuVRW2Q_21_2"/>
      <w:bookmarkStart w:id="558" w:name="Tc_0vvYieF2wUS0uTng5nArMQ_21_0"/>
      <w:bookmarkStart w:id="559" w:name="Tc_irOpUoF5dUCdQ21dx9dgmQ_20_13"/>
      <w:bookmarkStart w:id="560" w:name="Tc_gpJ23jvVTEWXYNZvgaDrww_20_10"/>
      <w:bookmarkStart w:id="561" w:name="Tc_bAuMobs4MEi5bsboN1HH1Q_20_7"/>
      <w:bookmarkStart w:id="562" w:name="Tc_t5EUxoWX2EiwPVOPJOJomQ_20_4"/>
      <w:bookmarkStart w:id="563" w:name="Tc_e3VqP6zlFUmrIba20sZvbA_20_0"/>
      <w:bookmarkStart w:id="564" w:name="Tc_F0hC_m8-pUiP9DYT7jEhvg_19_13"/>
      <w:bookmarkStart w:id="565" w:name="Tc_lpvukKyZw0GW5g7XqF6iVw_19_10"/>
      <w:bookmarkStart w:id="566" w:name="Tc_n9Ado3litUKG_d_VjilrAg_19_7"/>
      <w:bookmarkStart w:id="567" w:name="Tc_VgRT26Dq_EC2YbhbdABrRA_19_4"/>
      <w:bookmarkStart w:id="568" w:name="Tc_R4eHstdf6EGpLukR-dikHQ_19_2"/>
      <w:bookmarkStart w:id="569" w:name="Tc_uRCE3hOb9Uqh04WrTsRqaw_18_13"/>
      <w:bookmarkStart w:id="570" w:name="Tc_VtM8ORi_oUWxQsW7FCQu7w_18_10"/>
      <w:bookmarkStart w:id="571" w:name="Tc_rFD4hNagp0yDNl8W86_6OA_18_7"/>
      <w:bookmarkStart w:id="572" w:name="Tc_NND0_uyIzkewOvDgzrIz2w_18_2"/>
      <w:bookmarkStart w:id="573" w:name="Tc_SfEqSW4PsEK1DqKU1w4t6Q_17_13"/>
      <w:bookmarkStart w:id="574" w:name="Tc_9FcP3EZSUUu8cRbDJe685A_17_7"/>
      <w:bookmarkStart w:id="575" w:name="Tc_5zMLbF6DvUWOUyauWWqmzw_15_2"/>
      <w:bookmarkStart w:id="576" w:name="Tc_1F69J0-lO0O9Qe6li9MgEg_13_13"/>
      <w:bookmarkStart w:id="577" w:name="Tc_Pdi_Qe43y0ih81vSWIzK8w_13_10"/>
      <w:bookmarkStart w:id="578" w:name="Tc_pP6RmLxRcUywH0RPNNukww_13_7"/>
      <w:bookmarkStart w:id="579" w:name="Tc_-DWWNIut5Ua1GxdUaM9eww_13_4"/>
      <w:bookmarkStart w:id="580" w:name="Tc_oLRWQwt-A0K9fn1NhiBzFA_13_0"/>
      <w:bookmarkStart w:id="581" w:name="Tc_IsCyn56Us0eGQKpdbnEscQ_12_8"/>
      <w:bookmarkStart w:id="582" w:name="Tc_i-loD9Jpy02ZkAKJGT54GA_12_5"/>
      <w:bookmarkStart w:id="583" w:name="Tc_LFiik940s0encAfCF0fKrg_12_2"/>
      <w:bookmarkStart w:id="584" w:name="Tc_mitwnx9ZSEaVupOOTgjDdA_12_0"/>
      <w:bookmarkStart w:id="585" w:name="Tc_MK3A5niF9kabagD3ZFc7vQ_11_14"/>
      <w:bookmarkStart w:id="586" w:name="Tc_PKoLzWAFMUqPw0A_AVcL7w_11_11"/>
      <w:bookmarkStart w:id="587" w:name="Tc_XSDgZo_AQUubhDulWqyZBg_11_8"/>
      <w:bookmarkStart w:id="588" w:name="Tc_7-VhLEIz-EKaD6940Bl3IA_11_5"/>
      <w:bookmarkStart w:id="589" w:name="Tc_lakMhkYU2Ee91OSbp7fxaQ_11_0"/>
      <w:bookmarkStart w:id="590" w:name="Tc_LefX0Tyi3Uy1-jjyKVkbsw_10_11"/>
      <w:bookmarkStart w:id="591" w:name="Tc_As28Ug9OuE-_Hq2Dn6ICYA_10_5"/>
      <w:bookmarkStart w:id="592" w:name="Tc_QSQ6uYNn5EGewOIQ_w689A_10_0"/>
      <w:bookmarkStart w:id="593" w:name="Tc_DP4gocRbXkaYu1pAhFpr4w_9_11"/>
      <w:bookmarkStart w:id="594" w:name="Tc_zsybi7R2uk-ueKpx_lJwRA_9_0"/>
      <w:bookmarkStart w:id="595" w:name="Tc_5oPyAKNZpkilUbGFRwoyOg_8_14"/>
      <w:bookmarkStart w:id="596" w:name="Tc_d8ZMALy_EUWFwyq7Hn8UzQ_8_11"/>
      <w:bookmarkStart w:id="597" w:name="Tc_-vF1aZ_y_EqQOuJRbxeUCQ_8_0"/>
      <w:bookmarkStart w:id="598" w:name="Tc_1PcMAzNh6k-i-hdE-Su7QA_7_11"/>
      <w:bookmarkStart w:id="599" w:name="Tc_3KgdUZXKlk2TYdnf_k67UA_7_5"/>
      <w:bookmarkStart w:id="600" w:name="Tc_LHfzlMmnskyAPbBTEts-kg_7_2"/>
      <w:bookmarkStart w:id="601" w:name="Tc_QC4uWWS470yk0Ig4kjdXzQ_7_0"/>
      <w:bookmarkStart w:id="602" w:name="Tc_7CyTGTy7uUOdFhsLEDRtvQ_6_13"/>
      <w:bookmarkStart w:id="603" w:name="Tc_o5DCYC0M0EmLxU13Wlw65A_6_10"/>
      <w:bookmarkStart w:id="604" w:name="Tc_80f-I9jbukqOJy8th1fy4g_6_7"/>
      <w:bookmarkStart w:id="605" w:name="Tc_caqGSXlYlE6x0S53zjJSTQ_6_4"/>
      <w:bookmarkStart w:id="606" w:name="Tc_4GKazhIpVUaGvEoGqWhTPA_6_0"/>
      <w:bookmarkStart w:id="607" w:name="Tc_arwFZBi5ek2XR_Y96gQX8g_5_13"/>
      <w:bookmarkStart w:id="608" w:name="Tc_g2c8IIN3rUac5L9LdQP-Tw_5_10"/>
      <w:bookmarkStart w:id="609" w:name="Tc_-N3bPoKvFUmShvMKHnjUwg_5_7"/>
      <w:bookmarkStart w:id="610" w:name="Tc_GHsmkEfSj0C2jvLQIvxh8g_5_4"/>
      <w:bookmarkStart w:id="611" w:name="Tc_OyfcAHYbl06lxC4xsf5zcQ_5_2"/>
      <w:bookmarkStart w:id="612" w:name="Tc_Bx1_6q2ovUmcn0Xi_PcwiA_4_13"/>
      <w:bookmarkStart w:id="613" w:name="Tc_S3RT8apbA0iTO5FSjwm4yg_4_10"/>
      <w:bookmarkStart w:id="614" w:name="Tc_cwyvxSBcckKnQT4SSOAmpQ_4_7"/>
      <w:bookmarkStart w:id="615" w:name="Tc_8TR4R8KgJU2juVKvAdPrTA_4_2"/>
      <w:bookmarkStart w:id="616" w:name="Tc_9DiX2kqYB0SkV7X69E92aA_3_13"/>
      <w:bookmarkStart w:id="617" w:name="Tc_FNV9dVjilU-l2I_avDKRkw_3_7"/>
      <w:bookmarkStart w:id="618" w:name="Tc_Y8jQ6XPYMkueOEJefE5Dag_1_2"/>
      <w:bookmarkStart w:id="619" w:name="_144d4bd5_eda0_42e6_afe5_09bfd4ea1594"/>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p>
    <w:tbl>
      <w:tblPr>
        <w:tblW w:w="10205" w:type="dxa"/>
        <w:jc w:val="left"/>
        <w:tblInd w:w="0" w:type="dxa"/>
        <w:tblLayout w:type="fixed"/>
        <w:tblCellMar>
          <w:top w:w="0" w:type="dxa"/>
          <w:left w:w="0" w:type="dxa"/>
          <w:bottom w:w="0" w:type="dxa"/>
          <w:right w:w="0" w:type="dxa"/>
        </w:tblCellMar>
      </w:tblPr>
      <w:tblGrid>
        <w:gridCol w:w="3725"/>
        <w:gridCol w:w="346"/>
        <w:gridCol w:w="1036"/>
        <w:gridCol w:w="346"/>
        <w:gridCol w:w="230"/>
        <w:gridCol w:w="461"/>
        <w:gridCol w:w="346"/>
        <w:gridCol w:w="211"/>
        <w:gridCol w:w="781"/>
        <w:gridCol w:w="346"/>
        <w:gridCol w:w="211"/>
        <w:gridCol w:w="685"/>
        <w:gridCol w:w="346"/>
        <w:gridCol w:w="227"/>
        <w:gridCol w:w="908"/>
      </w:tblGrid>
      <w:tr>
        <w:trPr/>
        <w:tc>
          <w:tcPr>
            <w:tcW w:w="3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365375" cy="175260"/>
                      <wp:effectExtent l="0" t="0" r="0" b="0"/>
                      <wp:wrapNone/>
                      <wp:docPr id="42" name="Frame42"/>
                      <a:graphic xmlns:a="http://schemas.openxmlformats.org/drawingml/2006/main">
                        <a:graphicData uri="http://schemas.microsoft.com/office/word/2010/wordprocessingShape">
                          <wps:wsp>
                            <wps:cNvSpPr txBox="1"/>
                            <wps:spPr>
                              <a:xfrm>
                                <a:off x="0" y="0"/>
                                <a:ext cx="2365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57860" cy="175260"/>
                      <wp:effectExtent l="0" t="0" r="0" b="0"/>
                      <wp:wrapNone/>
                      <wp:docPr id="44" name="Frame4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46050" cy="175260"/>
                      <wp:effectExtent l="0" t="0" r="0" b="0"/>
                      <wp:wrapNone/>
                      <wp:docPr id="46" name="Frame46"/>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92735" cy="175260"/>
                      <wp:effectExtent l="0" t="0" r="0" b="0"/>
                      <wp:wrapNone/>
                      <wp:docPr id="47" name="Frame47"/>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9" name="Frame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95935" cy="175260"/>
                      <wp:effectExtent l="0" t="0" r="0" b="0"/>
                      <wp:wrapNone/>
                      <wp:docPr id="50" name="Frame5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3985" cy="175260"/>
                      <wp:effectExtent l="0" t="0" r="0" b="0"/>
                      <wp:wrapNone/>
                      <wp:docPr id="52" name="Frame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34975" cy="175260"/>
                      <wp:effectExtent l="0" t="0" r="0" b="0"/>
                      <wp:wrapNone/>
                      <wp:docPr id="53" name="Frame53"/>
                      <a:graphic xmlns:a="http://schemas.openxmlformats.org/drawingml/2006/main">
                        <a:graphicData uri="http://schemas.microsoft.com/office/word/2010/wordprocessingShape">
                          <wps:wsp>
                            <wps:cNvSpPr txBox="1"/>
                            <wps:spPr>
                              <a:xfrm>
                                <a:off x="0" y="0"/>
                                <a:ext cx="434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44145" cy="175260"/>
                      <wp:effectExtent l="0" t="0" r="0" b="0"/>
                      <wp:wrapNone/>
                      <wp:docPr id="55" name="Frame55"/>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76580" cy="175260"/>
                      <wp:effectExtent l="0" t="0" r="0" b="0"/>
                      <wp:wrapNone/>
                      <wp:docPr id="56" name="Frame56"/>
                      <a:graphic xmlns:a="http://schemas.openxmlformats.org/drawingml/2006/main">
                        <a:graphicData uri="http://schemas.microsoft.com/office/word/2010/wordprocessingShape">
                          <wps:wsp>
                            <wps:cNvSpPr txBox="1"/>
                            <wps:spPr>
                              <a:xfrm>
                                <a:off x="0" y="0"/>
                                <a:ext cx="576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2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134" w:type="dxa"/>
            <w:gridSpan w:val="1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Twenty-Six Weeks Ended July 1, 2026</w:t>
            </w:r>
          </w:p>
        </w:tc>
      </w:tr>
      <w:tr>
        <w:trPr/>
        <w:tc>
          <w:tcPr>
            <w:tcW w:w="372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896"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27"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center"/>
              <w:rPr/>
            </w:pPr>
            <w:r>
              <w:rPr/>
              <w:t>​</w:t>
            </w:r>
          </w:p>
        </w:tc>
      </w:tr>
      <w:tr>
        <w:trPr/>
        <w:tc>
          <w:tcPr>
            <w:tcW w:w="372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left"/>
              <w:rPr/>
            </w:pPr>
            <w:r>
              <w:rPr/>
              <w:t>  ​ ​ ​</w:t>
            </w:r>
          </w:p>
        </w:tc>
        <w:tc>
          <w:tcPr>
            <w:tcW w:w="896"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13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72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7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1"/>
              <w:ind w:left="0" w:right="0" w:hanging="0"/>
              <w:jc w:val="left"/>
              <w:rPr/>
            </w:pPr>
            <w:r>
              <w:rPr/>
              <w:t>​</w:t>
            </w:r>
          </w:p>
        </w:tc>
        <w:tc>
          <w:tcPr>
            <w:tcW w:w="8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1"/>
              <w:ind w:left="0" w:right="0" w:hanging="0"/>
              <w:jc w:val="left"/>
              <w:rPr/>
            </w:pPr>
            <w:r>
              <w:rPr/>
              <w:t>​</w:t>
            </w:r>
          </w:p>
        </w:tc>
        <w:tc>
          <w:tcPr>
            <w:tcW w:w="113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72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left"/>
              <w:rPr/>
            </w:pPr>
            <w:r>
              <w:rPr/>
              <w:t>  ​ ​ ​</w:t>
            </w:r>
          </w:p>
        </w:tc>
        <w:tc>
          <w:tcPr>
            <w:tcW w:w="8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1"/>
              <w:ind w:left="0" w:right="0" w:hanging="0"/>
              <w:jc w:val="left"/>
              <w:rPr/>
            </w:pPr>
            <w:r>
              <w:rPr/>
              <w:t>  ​ ​ ​</w:t>
            </w:r>
          </w:p>
        </w:tc>
        <w:tc>
          <w:tcPr>
            <w:tcW w:w="11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72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29,957,385</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247,224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43,554</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291,077</w:t>
            </w:r>
          </w:p>
        </w:tc>
      </w:tr>
      <w:tr>
        <w:trPr/>
        <w:tc>
          <w:tcPr>
            <w:tcW w:w="37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4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2,866</w:t>
            </w:r>
          </w:p>
        </w:tc>
      </w:tr>
      <w:tr>
        <w:trPr/>
        <w:tc>
          <w:tcPr>
            <w:tcW w:w="37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related to restricted shares</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320,644</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pPr>
            <w:r>
              <w:rPr/>
              <w:t>—</w:t>
            </w:r>
          </w:p>
        </w:tc>
      </w:tr>
      <w:tr>
        <w:trPr/>
        <w:tc>
          <w:tcPr>
            <w:tcW w:w="372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 net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244,819</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2,629</w:t>
            </w:r>
          </w:p>
        </w:tc>
      </w:tr>
      <w:tr>
        <w:trPr/>
        <w:tc>
          <w:tcPr>
            <w:tcW w:w="37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repurchased for employee tax withholdings</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(39,402)</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w:t>
            </w:r>
          </w:p>
        </w:tc>
      </w:tr>
      <w:tr>
        <w:trPr/>
        <w:tc>
          <w:tcPr>
            <w:tcW w:w="37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Forfeiture of common stock related to restricted shares</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(43,180)</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4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pPr>
            <w:r>
              <w:rPr/>
              <w:t>—</w:t>
            </w:r>
          </w:p>
        </w:tc>
      </w:tr>
      <w:tr>
        <w:trPr/>
        <w:tc>
          <w:tcPr>
            <w:tcW w:w="37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20,964</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20,964</w:t>
            </w:r>
          </w:p>
        </w:tc>
      </w:tr>
      <w:tr>
        <w:trPr/>
        <w:tc>
          <w:tcPr>
            <w:tcW w:w="372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July 1, 2026</w:t>
            </w:r>
          </w:p>
        </w:tc>
        <w:tc>
          <w:tcPr>
            <w:tcW w:w="346" w:type="dxa"/>
            <w:tcBorders/>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30,440,266</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252,221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64,518</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317,043</w:t>
            </w:r>
          </w:p>
        </w:tc>
      </w:tr>
      <w:tr>
        <w:trPr/>
        <w:tc>
          <w:tcPr>
            <w:tcW w:w="372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pPr>
            <w:r>
              <w:rPr/>
              <w:t>​</w:t>
            </w:r>
          </w:p>
        </w:tc>
      </w:tr>
      <w:tr>
        <w:trPr/>
        <w:tc>
          <w:tcPr>
            <w:tcW w:w="372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134" w:type="dxa"/>
            <w:gridSpan w:val="1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Twenty-Six Weeks Ended June 25, 2025</w:t>
            </w:r>
          </w:p>
        </w:tc>
      </w:tr>
      <w:tr>
        <w:trPr/>
        <w:tc>
          <w:tcPr>
            <w:tcW w:w="372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896"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27"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center"/>
              <w:rPr/>
            </w:pPr>
            <w:r>
              <w:rPr/>
              <w:t>​</w:t>
            </w:r>
          </w:p>
        </w:tc>
      </w:tr>
      <w:tr>
        <w:trPr/>
        <w:tc>
          <w:tcPr>
            <w:tcW w:w="372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left"/>
              <w:rPr/>
            </w:pPr>
            <w:r>
              <w:rPr/>
              <w:t>  ​ ​ ​</w:t>
            </w:r>
          </w:p>
        </w:tc>
        <w:tc>
          <w:tcPr>
            <w:tcW w:w="896"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13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72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7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1"/>
              <w:ind w:left="0" w:right="0" w:hanging="0"/>
              <w:jc w:val="left"/>
              <w:rPr/>
            </w:pPr>
            <w:r>
              <w:rPr/>
              <w:t>​</w:t>
            </w:r>
          </w:p>
        </w:tc>
        <w:tc>
          <w:tcPr>
            <w:tcW w:w="8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1"/>
              <w:ind w:left="0" w:right="0" w:hanging="0"/>
              <w:jc w:val="left"/>
              <w:rPr/>
            </w:pPr>
            <w:r>
              <w:rPr/>
              <w:t>​</w:t>
            </w:r>
          </w:p>
        </w:tc>
        <w:tc>
          <w:tcPr>
            <w:tcW w:w="113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72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left"/>
              <w:rPr/>
            </w:pPr>
            <w:r>
              <w:rPr/>
              <w:t>  ​ ​ ​</w:t>
            </w:r>
          </w:p>
        </w:tc>
        <w:tc>
          <w:tcPr>
            <w:tcW w:w="8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1"/>
              <w:ind w:left="0" w:right="0" w:hanging="0"/>
              <w:jc w:val="left"/>
              <w:rPr/>
            </w:pPr>
            <w:r>
              <w:rPr/>
              <w:t>  ​ ​ ​</w:t>
            </w:r>
          </w:p>
        </w:tc>
        <w:tc>
          <w:tcPr>
            <w:tcW w:w="11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72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December 25, 2024</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29,839,721</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241,462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18,909</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260,669</w:t>
            </w:r>
          </w:p>
        </w:tc>
      </w:tr>
      <w:tr>
        <w:trPr/>
        <w:tc>
          <w:tcPr>
            <w:tcW w:w="37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2,747</w:t>
            </w:r>
          </w:p>
        </w:tc>
      </w:tr>
      <w:tr>
        <w:trPr/>
        <w:tc>
          <w:tcPr>
            <w:tcW w:w="37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related to restricted shares</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398,726</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pPr>
            <w:r>
              <w:rPr/>
              <w:t>—</w:t>
            </w:r>
          </w:p>
        </w:tc>
      </w:tr>
      <w:tr>
        <w:trPr/>
        <w:tc>
          <w:tcPr>
            <w:tcW w:w="372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 net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45,616</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w:t>
            </w:r>
          </w:p>
        </w:tc>
      </w:tr>
      <w:tr>
        <w:trPr/>
        <w:tc>
          <w:tcPr>
            <w:tcW w:w="37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repurchased for employee tax withholdings</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(44,230)</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w:t>
            </w:r>
          </w:p>
        </w:tc>
      </w:tr>
      <w:tr>
        <w:trPr/>
        <w:tc>
          <w:tcPr>
            <w:tcW w:w="37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(163,229)</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(1,841)</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(1,843)</w:t>
            </w:r>
          </w:p>
        </w:tc>
      </w:tr>
      <w:tr>
        <w:trPr/>
        <w:tc>
          <w:tcPr>
            <w:tcW w:w="37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Forfeiture of common stock related to restricted shares</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(67,912)</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pPr>
            <w:r>
              <w:rPr/>
              <w:t>—</w:t>
            </w:r>
          </w:p>
        </w:tc>
      </w:tr>
      <w:tr>
        <w:trPr/>
        <w:tc>
          <w:tcPr>
            <w:tcW w:w="37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12,588</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12,588</w:t>
            </w:r>
          </w:p>
        </w:tc>
      </w:tr>
      <w:tr>
        <w:trPr/>
        <w:tc>
          <w:tcPr>
            <w:tcW w:w="372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June 25, 2025</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30,008,692</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244,223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29,656</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274,178</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 (unaudited).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20" w:name="_90759126_63d7_4df5_9ce2_66f29e455421"/>
      <w:bookmarkEnd w:id="620"/>
      <w:r>
        <w:rPr>
          <w:rFonts w:ascii="Times New Roman;Times;serif" w:hAnsi="Times New Roman;Times;serif"/>
          <w:b/>
          <w:sz w:val="20"/>
        </w:rPr>
        <w:t>EL POLLO LOCO HOLDINGS, INC.</w:t>
      </w:r>
    </w:p>
    <w:p>
      <w:pPr>
        <w:pStyle w:val="TextBody"/>
        <w:bidi w:val="0"/>
        <w:spacing w:before="0" w:after="120"/>
        <w:ind w:left="0" w:right="0" w:hanging="0"/>
        <w:jc w:val="center"/>
        <w:rPr>
          <w:rFonts w:ascii="Times New Roman;Times;serif" w:hAnsi="Times New Roman;Times;serif"/>
          <w:b/>
          <w:sz w:val="20"/>
        </w:rPr>
      </w:pPr>
      <w:bookmarkStart w:id="621" w:name="CONDENSEDCONSOLIDATEDSTATEMENTSOFCASHFLO"/>
      <w:bookmarkEnd w:id="621"/>
      <w:r>
        <w:rPr>
          <w:rFonts w:ascii="Times New Roman;Times;serif" w:hAnsi="Times New Roman;Times;serif"/>
          <w:b/>
          <w:sz w:val="20"/>
        </w:rPr>
        <w:t>CONDENSED CONSOLIDATED STATEMENTS OF CASH FLOWS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622" w:name="Tc_IRAjUXAa1UytX0fscBcf4Q_38_5"/>
      <w:bookmarkStart w:id="623" w:name="Tc_SRFMrCDTM0KGOjVNfeT16Q_38_2"/>
      <w:bookmarkStart w:id="624" w:name="Tc_deih7YVpIUGj5nroysGC1w_38_0"/>
      <w:bookmarkStart w:id="625" w:name="Tc_hAPv98mpn0apKfKdpMdHBg_37_0"/>
      <w:bookmarkStart w:id="626" w:name="Tc_UaLoqSXTZk6RXyxfPgTMyQ_36_0"/>
      <w:bookmarkStart w:id="627" w:name="Tc_teu2F00O2EyFn3BOcXW_Nw_35_0"/>
      <w:bookmarkStart w:id="628" w:name="Tc_UK5Z4OUVkEaYpHPJz03M3w_34_3"/>
      <w:bookmarkStart w:id="629" w:name="Tc_nbBtZfswM0-XEhc_UWLAVw_34_0"/>
      <w:bookmarkStart w:id="630" w:name="Tc_8LdowbEut0yUMrx7oDJPLg_33_0"/>
      <w:bookmarkStart w:id="631" w:name="Tc_6obwAyGkh0W5bYPc7ezezQ_32_0"/>
      <w:bookmarkStart w:id="632" w:name="Tc_cOBrtIrvmEeNd6SN3BndQg_31_0"/>
      <w:bookmarkStart w:id="633" w:name="Tc_HHx0dSO6A0ag0-QotZXlFA_30_0"/>
      <w:bookmarkStart w:id="634" w:name="Tc_tJoms8a3pkqgdBFASnmRpQ_29_0"/>
      <w:bookmarkStart w:id="635" w:name="Tc_In-5ou0Or0GZ4SpEx6Q_ug_28_0"/>
      <w:bookmarkStart w:id="636" w:name="Tc_z5LyFcs8pEe3y6epvRiBuw_27_0"/>
      <w:bookmarkStart w:id="637" w:name="Tc_zpneaXe35EuQq5vN90JRcQ_26_0"/>
      <w:bookmarkStart w:id="638" w:name="Tc_PgA-DXaDU02CVFM50Lc5cQ_25_0"/>
      <w:bookmarkStart w:id="639" w:name="Tc_iU7LBVk15UWcGc_N8QsXVg_24_0"/>
      <w:bookmarkStart w:id="640" w:name="Tc_QpF0NomOAkas0zsukEcaHw_23_0"/>
      <w:bookmarkStart w:id="641" w:name="Tc_tJDo_ds2Kk2EJb0bv-o5sw_22_0"/>
      <w:bookmarkStart w:id="642" w:name="Tc_rSN9jtZS60iy9l-ydQbjlQ_21_0"/>
      <w:bookmarkStart w:id="643" w:name="Tc_9b9KA33B-0GhprVQyavctQ_20_0"/>
      <w:bookmarkStart w:id="644" w:name="Tc_bWxmKO8GlESwYNl5lFCZ7Q_19_0"/>
      <w:bookmarkStart w:id="645" w:name="Tc_ibicFuh3TkKggWXnKbMVKg_18_0"/>
      <w:bookmarkStart w:id="646" w:name="Tc_Xne5I5k1XE-uRrpBqxV0XA_17_0"/>
      <w:bookmarkStart w:id="647" w:name="Tc_I9j_NufUaEC35ZOrb0qtOQ_16_0"/>
      <w:bookmarkStart w:id="648" w:name="Tc_BLPT41mdnkW0N5FPYKGDiw_15_0"/>
      <w:bookmarkStart w:id="649" w:name="Tc_h1xw0SKLREK7doLRggjZaw_14_0"/>
      <w:bookmarkStart w:id="650" w:name="Tc_gTMHA1-VtEuNJULRYV9yBA_13_0"/>
      <w:bookmarkStart w:id="651" w:name="Tc_6H32AMshk02eRQBIniBbbg_12_0"/>
      <w:bookmarkStart w:id="652" w:name="Tc_q7VUj2nmekeb898sTJd_Cg_11_6"/>
      <w:bookmarkStart w:id="653" w:name="Tc_VOt-nkDYsEmiXlUaPO6eBA_11_0"/>
      <w:bookmarkStart w:id="654" w:name="Tc_Ck3326_dWUS2KyGZ2fn2Ww_10_6"/>
      <w:bookmarkStart w:id="655" w:name="Tc_kroe23Sqn0uwuy5TS_vjHw_10_0"/>
      <w:bookmarkStart w:id="656" w:name="Tc_GwvTOEaj2Uyb7vGVv3v9Og_9_0"/>
      <w:bookmarkStart w:id="657" w:name="Tc_8VweeJyDQ0CAOdWXce1TAQ_8_0"/>
      <w:bookmarkStart w:id="658" w:name="Tc_ge6YlFxImka0ui8wKTD5kg_7_0"/>
      <w:bookmarkStart w:id="659" w:name="Tc_eCAl31gmCE2bel7oskna_g_6_0"/>
      <w:bookmarkStart w:id="660" w:name="Tc_aeqnYmm15kSzX0IDZPGqJg_5_5"/>
      <w:bookmarkStart w:id="661" w:name="Tc_3_Pc-xzSVEO8vGHZzfs4vA_5_2"/>
      <w:bookmarkStart w:id="662" w:name="Tc_MDT6-EJbBU-ARWJWKSSraA_5_0"/>
      <w:bookmarkStart w:id="663" w:name="Tc_booLisaJQEmGf-AO-bOEpQ_4_0"/>
      <w:bookmarkStart w:id="664" w:name="Tc_Mt4jEJ0Uz067KyC5UWSGww_3_5"/>
      <w:bookmarkStart w:id="665" w:name="Tc_5H0IJGWG2U2uXpU7vMAQdA_3_2"/>
      <w:bookmarkStart w:id="666" w:name="Tc_ngXcS50gwESP42K21qbkHw_2_2"/>
      <w:bookmarkStart w:id="667" w:name="_3c40fc06_aba3_474c_9d37_5388fc82aaee"/>
      <w:bookmarkStart w:id="668" w:name="Tc_IRAjUXAa1UytX0fscBcf4Q_38_5"/>
      <w:bookmarkStart w:id="669" w:name="Tc_SRFMrCDTM0KGOjVNfeT16Q_38_2"/>
      <w:bookmarkStart w:id="670" w:name="Tc_deih7YVpIUGj5nroysGC1w_38_0"/>
      <w:bookmarkStart w:id="671" w:name="Tc_hAPv98mpn0apKfKdpMdHBg_37_0"/>
      <w:bookmarkStart w:id="672" w:name="Tc_UaLoqSXTZk6RXyxfPgTMyQ_36_0"/>
      <w:bookmarkStart w:id="673" w:name="Tc_teu2F00O2EyFn3BOcXW_Nw_35_0"/>
      <w:bookmarkStart w:id="674" w:name="Tc_UK5Z4OUVkEaYpHPJz03M3w_34_3"/>
      <w:bookmarkStart w:id="675" w:name="Tc_nbBtZfswM0-XEhc_UWLAVw_34_0"/>
      <w:bookmarkStart w:id="676" w:name="Tc_8LdowbEut0yUMrx7oDJPLg_33_0"/>
      <w:bookmarkStart w:id="677" w:name="Tc_6obwAyGkh0W5bYPc7ezezQ_32_0"/>
      <w:bookmarkStart w:id="678" w:name="Tc_cOBrtIrvmEeNd6SN3BndQg_31_0"/>
      <w:bookmarkStart w:id="679" w:name="Tc_HHx0dSO6A0ag0-QotZXlFA_30_0"/>
      <w:bookmarkStart w:id="680" w:name="Tc_tJoms8a3pkqgdBFASnmRpQ_29_0"/>
      <w:bookmarkStart w:id="681" w:name="Tc_In-5ou0Or0GZ4SpEx6Q_ug_28_0"/>
      <w:bookmarkStart w:id="682" w:name="Tc_z5LyFcs8pEe3y6epvRiBuw_27_0"/>
      <w:bookmarkStart w:id="683" w:name="Tc_zpneaXe35EuQq5vN90JRcQ_26_0"/>
      <w:bookmarkStart w:id="684" w:name="Tc_PgA-DXaDU02CVFM50Lc5cQ_25_0"/>
      <w:bookmarkStart w:id="685" w:name="Tc_iU7LBVk15UWcGc_N8QsXVg_24_0"/>
      <w:bookmarkStart w:id="686" w:name="Tc_QpF0NomOAkas0zsukEcaHw_23_0"/>
      <w:bookmarkStart w:id="687" w:name="Tc_tJDo_ds2Kk2EJb0bv-o5sw_22_0"/>
      <w:bookmarkStart w:id="688" w:name="Tc_rSN9jtZS60iy9l-ydQbjlQ_21_0"/>
      <w:bookmarkStart w:id="689" w:name="Tc_9b9KA33B-0GhprVQyavctQ_20_0"/>
      <w:bookmarkStart w:id="690" w:name="Tc_bWxmKO8GlESwYNl5lFCZ7Q_19_0"/>
      <w:bookmarkStart w:id="691" w:name="Tc_ibicFuh3TkKggWXnKbMVKg_18_0"/>
      <w:bookmarkStart w:id="692" w:name="Tc_Xne5I5k1XE-uRrpBqxV0XA_17_0"/>
      <w:bookmarkStart w:id="693" w:name="Tc_I9j_NufUaEC35ZOrb0qtOQ_16_0"/>
      <w:bookmarkStart w:id="694" w:name="Tc_BLPT41mdnkW0N5FPYKGDiw_15_0"/>
      <w:bookmarkStart w:id="695" w:name="Tc_h1xw0SKLREK7doLRggjZaw_14_0"/>
      <w:bookmarkStart w:id="696" w:name="Tc_gTMHA1-VtEuNJULRYV9yBA_13_0"/>
      <w:bookmarkStart w:id="697" w:name="Tc_6H32AMshk02eRQBIniBbbg_12_0"/>
      <w:bookmarkStart w:id="698" w:name="Tc_q7VUj2nmekeb898sTJd_Cg_11_6"/>
      <w:bookmarkStart w:id="699" w:name="Tc_VOt-nkDYsEmiXlUaPO6eBA_11_0"/>
      <w:bookmarkStart w:id="700" w:name="Tc_Ck3326_dWUS2KyGZ2fn2Ww_10_6"/>
      <w:bookmarkStart w:id="701" w:name="Tc_kroe23Sqn0uwuy5TS_vjHw_10_0"/>
      <w:bookmarkStart w:id="702" w:name="Tc_GwvTOEaj2Uyb7vGVv3v9Og_9_0"/>
      <w:bookmarkStart w:id="703" w:name="Tc_8VweeJyDQ0CAOdWXce1TAQ_8_0"/>
      <w:bookmarkStart w:id="704" w:name="Tc_ge6YlFxImka0ui8wKTD5kg_7_0"/>
      <w:bookmarkStart w:id="705" w:name="Tc_eCAl31gmCE2bel7oskna_g_6_0"/>
      <w:bookmarkStart w:id="706" w:name="Tc_aeqnYmm15kSzX0IDZPGqJg_5_5"/>
      <w:bookmarkStart w:id="707" w:name="Tc_3_Pc-xzSVEO8vGHZzfs4vA_5_2"/>
      <w:bookmarkStart w:id="708" w:name="Tc_MDT6-EJbBU-ARWJWKSSraA_5_0"/>
      <w:bookmarkStart w:id="709" w:name="Tc_booLisaJQEmGf-AO-bOEpQ_4_0"/>
      <w:bookmarkStart w:id="710" w:name="Tc_Mt4jEJ0Uz067KyC5UWSGww_3_5"/>
      <w:bookmarkStart w:id="711" w:name="Tc_5H0IJGWG2U2uXpU7vMAQdA_3_2"/>
      <w:bookmarkStart w:id="712" w:name="Tc_ngXcS50gwESP42K21qbkHw_2_2"/>
      <w:bookmarkStart w:id="713" w:name="_3c40fc06_aba3_474c_9d37_5388fc82aaee"/>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tbl>
      <w:tblPr>
        <w:tblW w:w="9151" w:type="dxa"/>
        <w:jc w:val="left"/>
        <w:tblInd w:w="0" w:type="dxa"/>
        <w:tblLayout w:type="fixed"/>
        <w:tblCellMar>
          <w:top w:w="0" w:type="dxa"/>
          <w:left w:w="0" w:type="dxa"/>
          <w:bottom w:w="0" w:type="dxa"/>
          <w:right w:w="0" w:type="dxa"/>
        </w:tblCellMar>
      </w:tblPr>
      <w:tblGrid>
        <w:gridCol w:w="6466"/>
        <w:gridCol w:w="346"/>
        <w:gridCol w:w="233"/>
        <w:gridCol w:w="788"/>
        <w:gridCol w:w="117"/>
        <w:gridCol w:w="260"/>
        <w:gridCol w:w="941"/>
      </w:tblGrid>
      <w:tr>
        <w:trPr/>
        <w:tc>
          <w:tcPr>
            <w:tcW w:w="6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105910" cy="175260"/>
                      <wp:effectExtent l="0" t="0" r="0" b="0"/>
                      <wp:wrapNone/>
                      <wp:docPr id="57" name="Frame57"/>
                      <a:graphic xmlns:a="http://schemas.openxmlformats.org/drawingml/2006/main">
                        <a:graphicData uri="http://schemas.microsoft.com/office/word/2010/wordprocessingShape">
                          <wps:wsp>
                            <wps:cNvSpPr txBox="1"/>
                            <wps:spPr>
                              <a:xfrm>
                                <a:off x="0" y="0"/>
                                <a:ext cx="410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47955" cy="175260"/>
                      <wp:effectExtent l="0" t="0" r="0" b="0"/>
                      <wp:wrapNone/>
                      <wp:docPr id="59" name="Frame59"/>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00380" cy="175260"/>
                      <wp:effectExtent l="0" t="0" r="0" b="0"/>
                      <wp:wrapNone/>
                      <wp:docPr id="60" name="Frame60"/>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74295" cy="175260"/>
                      <wp:effectExtent l="0" t="0" r="0" b="0"/>
                      <wp:wrapNone/>
                      <wp:docPr id="61" name="Frame61"/>
                      <a:graphic xmlns:a="http://schemas.openxmlformats.org/drawingml/2006/main">
                        <a:graphicData uri="http://schemas.microsoft.com/office/word/2010/wordprocessingShape">
                          <wps:wsp>
                            <wps:cNvSpPr txBox="1"/>
                            <wps:spPr>
                              <a:xfrm>
                                <a:off x="0" y="0"/>
                                <a:ext cx="74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65100" cy="175260"/>
                      <wp:effectExtent l="0" t="0" r="0" b="0"/>
                      <wp:wrapNone/>
                      <wp:docPr id="62" name="Frame62"/>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97535" cy="175260"/>
                      <wp:effectExtent l="0" t="0" r="0" b="0"/>
                      <wp:wrapNone/>
                      <wp:docPr id="63" name="Frame63"/>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66" w:type="dxa"/>
            <w:tcBorders/>
            <w:vAlign w:val="center"/>
          </w:tcPr>
          <w:p>
            <w:pPr>
              <w:pStyle w:val="TableContents"/>
              <w:bidi w:val="0"/>
              <w:spacing w:before="0" w:after="0"/>
              <w:ind w:left="0" w:right="0" w:hanging="0"/>
              <w:jc w:val="left"/>
              <w:rPr>
                <w:color w:val="0563C1"/>
              </w:rPr>
            </w:pPr>
            <w:r>
              <w:rPr>
                <w:color w:val="0563C1"/>
              </w:rPr>
              <w:t>​</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center"/>
              <w:rPr/>
            </w:pPr>
            <w:r>
              <w:rPr/>
              <w:t>​</w:t>
            </w:r>
          </w:p>
        </w:tc>
        <w:tc>
          <w:tcPr>
            <w:tcW w:w="788" w:type="dxa"/>
            <w:tcBorders/>
            <w:vAlign w:val="center"/>
          </w:tcPr>
          <w:p>
            <w:pPr>
              <w:pStyle w:val="TableContents"/>
              <w:bidi w:val="0"/>
              <w:spacing w:before="0" w:after="0"/>
              <w:ind w:left="0" w:right="0" w:hanging="0"/>
              <w:jc w:val="center"/>
              <w:rPr/>
            </w:pPr>
            <w:r>
              <w:rPr/>
              <w:t>​</w:t>
            </w:r>
          </w:p>
        </w:tc>
        <w:tc>
          <w:tcPr>
            <w:tcW w:w="117"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center"/>
              <w:rPr/>
            </w:pPr>
            <w:r>
              <w:rPr/>
              <w:t>​</w:t>
            </w:r>
          </w:p>
        </w:tc>
        <w:tc>
          <w:tcPr>
            <w:tcW w:w="941" w:type="dxa"/>
            <w:tcBorders/>
            <w:vAlign w:val="center"/>
          </w:tcPr>
          <w:p>
            <w:pPr>
              <w:pStyle w:val="TableContents"/>
              <w:bidi w:val="0"/>
              <w:spacing w:before="0" w:after="0"/>
              <w:ind w:left="0" w:right="0" w:hanging="0"/>
              <w:jc w:val="center"/>
              <w:rPr/>
            </w:pPr>
            <w:r>
              <w:rPr/>
              <w:t>​</w:t>
            </w:r>
          </w:p>
        </w:tc>
      </w:tr>
      <w:tr>
        <w:trPr/>
        <w:tc>
          <w:tcPr>
            <w:tcW w:w="64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3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Twenty-Six Weeks Ended</w:t>
            </w:r>
          </w:p>
        </w:tc>
      </w:tr>
      <w:tr>
        <w:trPr/>
        <w:tc>
          <w:tcPr>
            <w:tcW w:w="6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July 1, 2026</w:t>
            </w:r>
          </w:p>
        </w:tc>
        <w:tc>
          <w:tcPr>
            <w:tcW w:w="117" w:type="dxa"/>
            <w:tcBorders/>
            <w:vAlign w:val="center"/>
          </w:tcPr>
          <w:p>
            <w:pPr>
              <w:pStyle w:val="TableContents"/>
              <w:bidi w:val="0"/>
              <w:spacing w:before="0" w:after="0"/>
              <w:ind w:left="0" w:right="0" w:hanging="0"/>
              <w:jc w:val="left"/>
              <w:rPr/>
            </w:pPr>
            <w:r>
              <w:rPr/>
              <w:t>​</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25, 2025</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  ​</w:t>
            </w:r>
          </w:p>
        </w:tc>
        <w:tc>
          <w:tcPr>
            <w:tcW w:w="117"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pPr>
            <w:r>
              <w:rPr/>
              <w:t>  ​</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20,964</w:t>
            </w:r>
          </w:p>
        </w:tc>
        <w:tc>
          <w:tcPr>
            <w:tcW w:w="117"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12,588</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income to net cash flows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pPr>
            <w:r>
              <w:rPr/>
              <w:t>  ​</w:t>
            </w:r>
          </w:p>
        </w:tc>
        <w:tc>
          <w:tcPr>
            <w:tcW w:w="117"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 </w:t>
            </w:r>
          </w:p>
        </w:tc>
        <w:tc>
          <w:tcPr>
            <w:tcW w:w="941" w:type="dxa"/>
            <w:tcBorders/>
            <w:shd w:fill="CCEEFF" w:val="clear"/>
            <w:vAlign w:val="center"/>
          </w:tcPr>
          <w:p>
            <w:pPr>
              <w:pStyle w:val="TableContents"/>
              <w:bidi w:val="0"/>
              <w:spacing w:before="0" w:after="0"/>
              <w:ind w:left="0" w:right="0" w:hanging="0"/>
              <w:jc w:val="right"/>
              <w:rPr/>
            </w:pPr>
            <w:r>
              <w:rPr/>
              <w:t>​</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8,480</w:t>
            </w:r>
          </w:p>
        </w:tc>
        <w:tc>
          <w:tcPr>
            <w:tcW w:w="117"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 </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7,816</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2,866</w:t>
            </w:r>
          </w:p>
        </w:tc>
        <w:tc>
          <w:tcPr>
            <w:tcW w:w="117"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 </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2,747</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on disposal of assets</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612</w:t>
            </w:r>
          </w:p>
        </w:tc>
        <w:tc>
          <w:tcPr>
            <w:tcW w:w="117"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 </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 of property and equipment and ROU assets</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w:t>
            </w:r>
          </w:p>
        </w:tc>
        <w:tc>
          <w:tcPr>
            <w:tcW w:w="117"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 </w:t>
            </w:r>
          </w:p>
        </w:tc>
        <w:tc>
          <w:tcPr>
            <w:tcW w:w="941" w:type="dxa"/>
            <w:tcBorders/>
            <w:shd w:fill="CCEEFF" w:val="clear"/>
            <w:vAlign w:val="center"/>
          </w:tcPr>
          <w:p>
            <w:pPr>
              <w:pStyle w:val="TableContents"/>
              <w:bidi w:val="0"/>
              <w:spacing w:before="0" w:after="0"/>
              <w:ind w:left="0" w:right="0" w:hanging="0"/>
              <w:jc w:val="right"/>
              <w:rPr/>
            </w:pPr>
            <w:r>
              <w:rPr/>
              <w:t>—</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Closed store reserves</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w:t>
            </w:r>
          </w:p>
        </w:tc>
        <w:tc>
          <w:tcPr>
            <w:tcW w:w="117"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pPr>
            <w:r>
              <w:rPr/>
              <w:t>—</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deferred financing costs</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w:t>
            </w:r>
          </w:p>
        </w:tc>
        <w:tc>
          <w:tcPr>
            <w:tcW w:w="117"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 </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 net</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2,723</w:t>
            </w:r>
          </w:p>
        </w:tc>
        <w:tc>
          <w:tcPr>
            <w:tcW w:w="117"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 </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(2,072)</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pPr>
            <w:r>
              <w:rPr/>
              <w:t>​</w:t>
            </w:r>
          </w:p>
        </w:tc>
        <w:tc>
          <w:tcPr>
            <w:tcW w:w="117"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 </w:t>
            </w:r>
          </w:p>
        </w:tc>
        <w:tc>
          <w:tcPr>
            <w:tcW w:w="941" w:type="dxa"/>
            <w:tcBorders/>
            <w:shd w:fill="CCEEFF" w:val="clear"/>
            <w:vAlign w:val="center"/>
          </w:tcPr>
          <w:p>
            <w:pPr>
              <w:pStyle w:val="TableContents"/>
              <w:bidi w:val="0"/>
              <w:spacing w:before="0" w:after="0"/>
              <w:ind w:left="0" w:right="0" w:hanging="0"/>
              <w:jc w:val="right"/>
              <w:rPr/>
            </w:pPr>
            <w:r>
              <w:rPr/>
              <w:t>​</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and other receivables</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(2,147)</w:t>
            </w:r>
          </w:p>
        </w:tc>
        <w:tc>
          <w:tcPr>
            <w:tcW w:w="117"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 </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(2,523)</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w:t>
            </w:r>
          </w:p>
        </w:tc>
        <w:tc>
          <w:tcPr>
            <w:tcW w:w="117"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 </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468</w:t>
            </w:r>
          </w:p>
        </w:tc>
        <w:tc>
          <w:tcPr>
            <w:tcW w:w="117"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 </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1,840</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receivable/payable</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(1,009)</w:t>
            </w:r>
          </w:p>
        </w:tc>
        <w:tc>
          <w:tcPr>
            <w:tcW w:w="117"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 </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(2,051)</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assets</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10,041</w:t>
            </w:r>
          </w:p>
        </w:tc>
        <w:tc>
          <w:tcPr>
            <w:tcW w:w="117"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9,651</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726</w:t>
            </w:r>
          </w:p>
        </w:tc>
        <w:tc>
          <w:tcPr>
            <w:tcW w:w="117"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 </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3,262</w:t>
            </w:r>
          </w:p>
        </w:tc>
        <w:tc>
          <w:tcPr>
            <w:tcW w:w="117"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 </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3,895</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(9,605)</w:t>
            </w:r>
          </w:p>
        </w:tc>
        <w:tc>
          <w:tcPr>
            <w:tcW w:w="117"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(9,703)</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accrued expenses and current liabilities</w:t>
            </w:r>
          </w:p>
        </w:tc>
        <w:tc>
          <w:tcPr>
            <w:tcW w:w="34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6,961</w:t>
            </w:r>
          </w:p>
        </w:tc>
        <w:tc>
          <w:tcPr>
            <w:tcW w:w="117"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(3,419)</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flows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44,738</w:t>
            </w:r>
          </w:p>
        </w:tc>
        <w:tc>
          <w:tcPr>
            <w:tcW w:w="117"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18,872</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pPr>
            <w:r>
              <w:rPr/>
              <w:t>​</w:t>
            </w:r>
          </w:p>
        </w:tc>
        <w:tc>
          <w:tcPr>
            <w:tcW w:w="117"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pPr>
            <w:r>
              <w:rPr/>
              <w:t>​</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(18,727)</w:t>
            </w:r>
          </w:p>
        </w:tc>
        <w:tc>
          <w:tcPr>
            <w:tcW w:w="117"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(8,427)</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flows used in investing activities</w:t>
            </w:r>
          </w:p>
        </w:tc>
        <w:tc>
          <w:tcPr>
            <w:tcW w:w="34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(18,727)</w:t>
            </w:r>
          </w:p>
        </w:tc>
        <w:tc>
          <w:tcPr>
            <w:tcW w:w="117"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(8,427)</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pPr>
            <w:r>
              <w:rPr/>
              <w:t>  ​</w:t>
            </w:r>
          </w:p>
        </w:tc>
        <w:tc>
          <w:tcPr>
            <w:tcW w:w="117"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 </w:t>
            </w:r>
          </w:p>
        </w:tc>
        <w:tc>
          <w:tcPr>
            <w:tcW w:w="941" w:type="dxa"/>
            <w:tcBorders/>
            <w:shd w:fill="CCEEFF" w:val="clear"/>
            <w:vAlign w:val="center"/>
          </w:tcPr>
          <w:p>
            <w:pPr>
              <w:pStyle w:val="TableContents"/>
              <w:bidi w:val="0"/>
              <w:spacing w:before="0" w:after="0"/>
              <w:ind w:left="0" w:right="0" w:hanging="0"/>
              <w:jc w:val="right"/>
              <w:rPr/>
            </w:pPr>
            <w:r>
              <w:rPr/>
              <w:t>  ​</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borrowings on revolver and swingline loans</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w:t>
            </w:r>
          </w:p>
        </w:tc>
        <w:tc>
          <w:tcPr>
            <w:tcW w:w="117"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 </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8,000</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on revolver and swingline loan</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(26,000)</w:t>
            </w:r>
          </w:p>
        </w:tc>
        <w:tc>
          <w:tcPr>
            <w:tcW w:w="117"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 </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Minimum tax withholdings related to net share settlements</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(493)</w:t>
            </w:r>
          </w:p>
        </w:tc>
        <w:tc>
          <w:tcPr>
            <w:tcW w:w="117"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 </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(435)</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issuance of common stock upon exercise of stock options, net of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2,629</w:t>
            </w:r>
          </w:p>
        </w:tc>
        <w:tc>
          <w:tcPr>
            <w:tcW w:w="117"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452</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 of obligations under finance leases</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w:t>
            </w:r>
          </w:p>
        </w:tc>
        <w:tc>
          <w:tcPr>
            <w:tcW w:w="117"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 </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Repurchases of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7"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(1,843)</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flows used in financing activities</w:t>
            </w:r>
          </w:p>
        </w:tc>
        <w:tc>
          <w:tcPr>
            <w:tcW w:w="34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(18,957)</w:t>
            </w:r>
          </w:p>
        </w:tc>
        <w:tc>
          <w:tcPr>
            <w:tcW w:w="117"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(3,940)</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Increase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7,054</w:t>
            </w:r>
          </w:p>
        </w:tc>
        <w:tc>
          <w:tcPr>
            <w:tcW w:w="117"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 </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6,505</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18"/>
              </w:rPr>
              <w:t>Cash and cash equivalents,</w:t>
            </w:r>
            <w:r>
              <w:rPr>
                <w:rFonts w:ascii="Times New Roman;Times;serif" w:hAnsi="Times New Roman;Times;serif"/>
                <w:sz w:val="18"/>
              </w:rPr>
              <w:t xml:space="preserve"> beginning of period</w:t>
            </w:r>
          </w:p>
        </w:tc>
        <w:tc>
          <w:tcPr>
            <w:tcW w:w="34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6,228</w:t>
            </w:r>
          </w:p>
        </w:tc>
        <w:tc>
          <w:tcPr>
            <w:tcW w:w="117"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2,484</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18"/>
              </w:rPr>
              <w:t xml:space="preserve">Cash and cash equivalents, </w:t>
            </w:r>
            <w:r>
              <w:rPr>
                <w:rFonts w:ascii="Times New Roman;Times;serif" w:hAnsi="Times New Roman;Times;serif"/>
                <w:sz w:val="18"/>
              </w:rPr>
              <w:t>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13,282</w:t>
            </w:r>
          </w:p>
        </w:tc>
        <w:tc>
          <w:tcPr>
            <w:tcW w:w="117" w:type="dxa"/>
            <w:tcBorders/>
            <w:shd w:fill="CCEEFF" w:val="clear"/>
            <w:vAlign w:val="center"/>
          </w:tcPr>
          <w:p>
            <w:pPr>
              <w:pStyle w:val="TableContents"/>
              <w:bidi w:val="0"/>
              <w:spacing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8,989</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14" w:name="Tc_DukKpQBjLkOZPZN7ploQ1Q_7_5"/>
      <w:bookmarkStart w:id="715" w:name="Tc_rGHCpRAqgkiACyP7Ovwsig_7_2"/>
      <w:bookmarkStart w:id="716" w:name="Tc_9MibHXx8GU2D6Fxbkv6oBw_7_0"/>
      <w:bookmarkStart w:id="717" w:name="Tc_vUrzMxqCo0y6e3OB3itZ7A_6_5"/>
      <w:bookmarkStart w:id="718" w:name="Tc_4PTnkdgOGEmrKaWVlljYAA_6_2"/>
      <w:bookmarkStart w:id="719" w:name="Tc_fRi9HZRkPkyLcK3_k2c7AA_6_0"/>
      <w:bookmarkStart w:id="720" w:name="Tc_8ctERmg8jEyUbMXBuz8p0A_5_5"/>
      <w:bookmarkStart w:id="721" w:name="Tc_EaVKAIyIgE6AdMrrCnF_Mw_5_2"/>
      <w:bookmarkStart w:id="722" w:name="Tc_OvUPj5oEaEiwcS9qkxX0Jw_5_0"/>
      <w:bookmarkStart w:id="723" w:name="Tc_OxTsmz55L0Cr6niEZB0FFA_4_0"/>
      <w:bookmarkStart w:id="724" w:name="Tc_gAplgYBlhUuUNz0UkYxTsQ_3_5"/>
      <w:bookmarkStart w:id="725" w:name="Tc_W60EsbHo_kmsuAbp4GyTDA_3_2"/>
      <w:bookmarkStart w:id="726" w:name="Tc_Ziy_VJYnf02Z5t0KwtQFYg_2_2"/>
      <w:bookmarkStart w:id="727" w:name="_697e80b8_cbd1_4aa2_a313_ff918e7efa59"/>
      <w:bookmarkStart w:id="728" w:name="Tc_DukKpQBjLkOZPZN7ploQ1Q_7_5"/>
      <w:bookmarkStart w:id="729" w:name="Tc_rGHCpRAqgkiACyP7Ovwsig_7_2"/>
      <w:bookmarkStart w:id="730" w:name="Tc_9MibHXx8GU2D6Fxbkv6oBw_7_0"/>
      <w:bookmarkStart w:id="731" w:name="Tc_vUrzMxqCo0y6e3OB3itZ7A_6_5"/>
      <w:bookmarkStart w:id="732" w:name="Tc_4PTnkdgOGEmrKaWVlljYAA_6_2"/>
      <w:bookmarkStart w:id="733" w:name="Tc_fRi9HZRkPkyLcK3_k2c7AA_6_0"/>
      <w:bookmarkStart w:id="734" w:name="Tc_8ctERmg8jEyUbMXBuz8p0A_5_5"/>
      <w:bookmarkStart w:id="735" w:name="Tc_EaVKAIyIgE6AdMrrCnF_Mw_5_2"/>
      <w:bookmarkStart w:id="736" w:name="Tc_OvUPj5oEaEiwcS9qkxX0Jw_5_0"/>
      <w:bookmarkStart w:id="737" w:name="Tc_OxTsmz55L0Cr6niEZB0FFA_4_0"/>
      <w:bookmarkStart w:id="738" w:name="Tc_gAplgYBlhUuUNz0UkYxTsQ_3_5"/>
      <w:bookmarkStart w:id="739" w:name="Tc_W60EsbHo_kmsuAbp4GyTDA_3_2"/>
      <w:bookmarkStart w:id="740" w:name="Tc_Ziy_VJYnf02Z5t0KwtQFYg_2_2"/>
      <w:bookmarkStart w:id="741" w:name="_697e80b8_cbd1_4aa2_a313_ff918e7efa59"/>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p>
    <w:tbl>
      <w:tblPr>
        <w:tblW w:w="6758" w:type="dxa"/>
        <w:jc w:val="left"/>
        <w:tblInd w:w="0" w:type="dxa"/>
        <w:tblLayout w:type="fixed"/>
        <w:tblCellMar>
          <w:top w:w="0" w:type="dxa"/>
          <w:left w:w="0" w:type="dxa"/>
          <w:bottom w:w="0" w:type="dxa"/>
          <w:right w:w="0" w:type="dxa"/>
        </w:tblCellMar>
      </w:tblPr>
      <w:tblGrid>
        <w:gridCol w:w="3766"/>
        <w:gridCol w:w="346"/>
        <w:gridCol w:w="307"/>
        <w:gridCol w:w="834"/>
        <w:gridCol w:w="184"/>
        <w:gridCol w:w="314"/>
        <w:gridCol w:w="1007"/>
      </w:tblGrid>
      <w:tr>
        <w:trPr/>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391410" cy="175260"/>
                      <wp:effectExtent l="0" t="0" r="0" b="0"/>
                      <wp:wrapNone/>
                      <wp:docPr id="64" name="Frame64"/>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94945" cy="175260"/>
                      <wp:effectExtent l="0" t="0" r="0" b="0"/>
                      <wp:wrapNone/>
                      <wp:docPr id="66" name="Frame66"/>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29590" cy="175260"/>
                      <wp:effectExtent l="0" t="0" r="0" b="0"/>
                      <wp:wrapNone/>
                      <wp:docPr id="67" name="Frame67"/>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16840" cy="175260"/>
                      <wp:effectExtent l="0" t="0" r="0" b="0"/>
                      <wp:wrapNone/>
                      <wp:docPr id="68" name="Frame68"/>
                      <a:graphic xmlns:a="http://schemas.openxmlformats.org/drawingml/2006/main">
                        <a:graphicData uri="http://schemas.microsoft.com/office/word/2010/wordprocessingShape">
                          <wps:wsp>
                            <wps:cNvSpPr txBox="1"/>
                            <wps:spPr>
                              <a:xfrm>
                                <a:off x="0" y="0"/>
                                <a:ext cx="116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99390" cy="175260"/>
                      <wp:effectExtent l="0" t="0" r="0" b="0"/>
                      <wp:wrapNone/>
                      <wp:docPr id="69" name="Frame69"/>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39445" cy="175260"/>
                      <wp:effectExtent l="0" t="0" r="0" b="0"/>
                      <wp:wrapNone/>
                      <wp:docPr id="70" name="Frame70"/>
                      <a:graphic xmlns:a="http://schemas.openxmlformats.org/drawingml/2006/main">
                        <a:graphicData uri="http://schemas.microsoft.com/office/word/2010/wordprocessingShape">
                          <wps:wsp>
                            <wps:cNvSpPr txBox="1"/>
                            <wps:spPr>
                              <a:xfrm>
                                <a:off x="0" y="0"/>
                                <a:ext cx="639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1007" w:type="dxa"/>
            <w:tcBorders/>
            <w:vAlign w:val="center"/>
          </w:tcPr>
          <w:p>
            <w:pPr>
              <w:pStyle w:val="TableContents"/>
              <w:bidi w:val="0"/>
              <w:spacing w:before="0" w:after="0"/>
              <w:ind w:left="0" w:right="0" w:hanging="0"/>
              <w:jc w:val="left"/>
              <w:rPr/>
            </w:pPr>
            <w:r>
              <w:rPr/>
              <w:t>​</w:t>
            </w:r>
          </w:p>
        </w:tc>
      </w:tr>
      <w:tr>
        <w:trPr/>
        <w:tc>
          <w:tcPr>
            <w:tcW w:w="3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64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Twenty-Six Weeks Ended</w:t>
            </w:r>
          </w:p>
        </w:tc>
      </w:tr>
      <w:tr>
        <w:trPr/>
        <w:tc>
          <w:tcPr>
            <w:tcW w:w="3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July 1, 2026</w:t>
            </w:r>
          </w:p>
        </w:tc>
        <w:tc>
          <w:tcPr>
            <w:tcW w:w="184" w:type="dxa"/>
            <w:tcBorders/>
            <w:vAlign w:val="center"/>
          </w:tcPr>
          <w:p>
            <w:pPr>
              <w:pStyle w:val="TableContents"/>
              <w:bidi w:val="0"/>
              <w:spacing w:before="0" w:after="0"/>
              <w:ind w:left="0" w:right="0" w:hanging="0"/>
              <w:jc w:val="left"/>
              <w:rPr/>
            </w:pPr>
            <w:r>
              <w:rPr/>
              <w:t>​</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25, 2025</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cash flow information</w:t>
            </w:r>
          </w:p>
        </w:tc>
        <w:tc>
          <w:tcPr>
            <w:tcW w:w="346" w:type="dxa"/>
            <w:tcBorders/>
            <w:shd w:fill="CCEEFF" w:val="clear"/>
            <w:vAlign w:val="center"/>
          </w:tcPr>
          <w:p>
            <w:pPr>
              <w:pStyle w:val="TableContents"/>
              <w:bidi w:val="0"/>
              <w:spacing w:before="0" w:after="0"/>
              <w:ind w:left="0" w:right="0" w:hanging="0"/>
              <w:jc w:val="left"/>
              <w:rPr/>
            </w:pPr>
            <w:r>
              <w:rPr/>
              <w:t> </w:t>
            </w:r>
          </w:p>
        </w:tc>
        <w:tc>
          <w:tcPr>
            <w:tcW w:w="30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  ​</w:t>
            </w:r>
          </w:p>
        </w:tc>
        <w:tc>
          <w:tcPr>
            <w:tcW w:w="184" w:type="dxa"/>
            <w:tcBorders/>
            <w:shd w:fill="CCEEFF" w:val="clear"/>
            <w:vAlign w:val="center"/>
          </w:tcPr>
          <w:p>
            <w:pPr>
              <w:pStyle w:val="TableContents"/>
              <w:bidi w:val="0"/>
              <w:spacing w:before="0" w:after="0"/>
              <w:ind w:left="0" w:right="0" w:hanging="0"/>
              <w:jc w:val="left"/>
              <w:rPr/>
            </w:pPr>
            <w:r>
              <w:rPr/>
              <w:t> </w:t>
            </w:r>
          </w:p>
        </w:tc>
        <w:tc>
          <w:tcPr>
            <w:tcW w:w="314" w:type="dxa"/>
            <w:tcBorders/>
            <w:shd w:fill="CCEEFF" w:val="clear"/>
            <w:vAlign w:val="center"/>
          </w:tcPr>
          <w:p>
            <w:pPr>
              <w:pStyle w:val="TableContents"/>
              <w:bidi w:val="0"/>
              <w:spacing w:before="0" w:after="0"/>
              <w:ind w:left="0" w:right="0" w:hanging="0"/>
              <w:jc w:val="left"/>
              <w:rPr/>
            </w:pPr>
            <w:r>
              <w:rPr/>
              <w:t>​</w:t>
            </w:r>
          </w:p>
        </w:tc>
        <w:tc>
          <w:tcPr>
            <w:tcW w:w="1007" w:type="dxa"/>
            <w:tcBorders/>
            <w:shd w:fill="CCEEFF" w:val="clear"/>
            <w:vAlign w:val="center"/>
          </w:tcPr>
          <w:p>
            <w:pPr>
              <w:pStyle w:val="TableContents"/>
              <w:bidi w:val="0"/>
              <w:spacing w:before="0" w:after="0"/>
              <w:ind w:left="0" w:right="0" w:hanging="0"/>
              <w:jc w:val="right"/>
              <w:rPr/>
            </w:pPr>
            <w:r>
              <w:rPr/>
              <w:t>  ​</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during the period for interest</w:t>
            </w:r>
          </w:p>
        </w:tc>
        <w:tc>
          <w:tcPr>
            <w:tcW w:w="346" w:type="dxa"/>
            <w:tcBorders/>
            <w:vAlign w:val="center"/>
          </w:tcPr>
          <w:p>
            <w:pPr>
              <w:pStyle w:val="TableContents"/>
              <w:bidi w:val="0"/>
              <w:spacing w:before="0" w:after="0"/>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1,287</w:t>
            </w:r>
          </w:p>
        </w:tc>
        <w:tc>
          <w:tcPr>
            <w:tcW w:w="184" w:type="dxa"/>
            <w:tcBorders/>
            <w:vAlign w:val="center"/>
          </w:tcPr>
          <w:p>
            <w:pPr>
              <w:pStyle w:val="TableContents"/>
              <w:bidi w:val="0"/>
              <w:spacing w:before="0" w:after="0"/>
              <w:ind w:left="0" w:right="0" w:hanging="0"/>
              <w:jc w:val="left"/>
              <w:rPr/>
            </w:pPr>
            <w:r>
              <w:rPr/>
              <w:t>​</w:t>
            </w:r>
          </w:p>
        </w:tc>
        <w:tc>
          <w:tcPr>
            <w:tcW w:w="3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2,316</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during the period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6,785</w:t>
            </w:r>
          </w:p>
        </w:tc>
        <w:tc>
          <w:tcPr>
            <w:tcW w:w="184" w:type="dxa"/>
            <w:tcBorders/>
            <w:shd w:fill="CCEEFF" w:val="clear"/>
            <w:vAlign w:val="center"/>
          </w:tcPr>
          <w:p>
            <w:pPr>
              <w:pStyle w:val="TableContents"/>
              <w:bidi w:val="0"/>
              <w:spacing w:before="0" w:after="0"/>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9,921</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Unpaid purchases of property and equipment</w:t>
            </w:r>
          </w:p>
        </w:tc>
        <w:tc>
          <w:tcPr>
            <w:tcW w:w="346" w:type="dxa"/>
            <w:tcBorders/>
            <w:vAlign w:val="center"/>
          </w:tcPr>
          <w:p>
            <w:pPr>
              <w:pStyle w:val="TableContents"/>
              <w:bidi w:val="0"/>
              <w:spacing w:before="0" w:after="0"/>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3,898</w:t>
            </w:r>
          </w:p>
        </w:tc>
        <w:tc>
          <w:tcPr>
            <w:tcW w:w="184" w:type="dxa"/>
            <w:tcBorders/>
            <w:vAlign w:val="center"/>
          </w:tcPr>
          <w:p>
            <w:pPr>
              <w:pStyle w:val="TableContents"/>
              <w:bidi w:val="0"/>
              <w:spacing w:before="0" w:after="0"/>
              <w:ind w:left="0" w:right="0" w:hanging="0"/>
              <w:jc w:val="left"/>
              <w:rPr/>
            </w:pPr>
            <w:r>
              <w:rPr/>
              <w:t>​</w:t>
            </w:r>
          </w:p>
        </w:tc>
        <w:tc>
          <w:tcPr>
            <w:tcW w:w="3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3,998</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 (unaudited).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42" w:name="_8f2023cc_eaf6_44fb_b2dd_1496aa1269d9"/>
      <w:bookmarkEnd w:id="742"/>
      <w:r>
        <w:rPr>
          <w:rFonts w:ascii="Times New Roman;Times;serif" w:hAnsi="Times New Roman;Times;serif"/>
          <w:b/>
          <w:sz w:val="20"/>
        </w:rPr>
        <w:t>EL POLLO LOCO HOLDINGS, INC.</w:t>
      </w:r>
    </w:p>
    <w:p>
      <w:pPr>
        <w:pStyle w:val="TextBody"/>
        <w:bidi w:val="0"/>
        <w:spacing w:before="0" w:after="0"/>
        <w:ind w:left="0" w:right="0" w:hanging="0"/>
        <w:jc w:val="center"/>
        <w:rPr>
          <w:rFonts w:ascii="Times New Roman;Times;serif" w:hAnsi="Times New Roman;Times;serif"/>
          <w:b/>
          <w:sz w:val="20"/>
        </w:rPr>
      </w:pPr>
      <w:bookmarkStart w:id="743" w:name="NOTESTOCONDENSEDCONSOLIDATEDFINANCIALSTA"/>
      <w:bookmarkEnd w:id="743"/>
      <w:r>
        <w:rPr>
          <w:rFonts w:ascii="Times New Roman;Times;serif" w:hAnsi="Times New Roman;Times;serif"/>
          <w:b/>
          <w:sz w:val="20"/>
        </w:rPr>
        <w:t>NOTES TO CONDENSED CONSOLIDATED FINANCIAL STATEMENTS (UNAUDITED)</w:t>
      </w:r>
    </w:p>
    <w:p>
      <w:pPr>
        <w:pStyle w:val="TextBody"/>
        <w:bidi w:val="0"/>
        <w:spacing w:before="360" w:after="0"/>
        <w:ind w:left="0" w:right="0" w:hanging="0"/>
        <w:jc w:val="both"/>
        <w:rPr>
          <w:rFonts w:ascii="Times New Roman;Times;serif" w:hAnsi="Times New Roman;Times;serif"/>
          <w:b/>
          <w:sz w:val="20"/>
        </w:rPr>
      </w:pPr>
      <w:r>
        <w:rPr>
          <w:rFonts w:ascii="Times New Roman;Times;serif" w:hAnsi="Times New Roman;Times;serif"/>
          <w:b/>
          <w:sz w:val="20"/>
        </w:rPr>
        <w:t>1. BASIS OF PRESENTATION AND SUMMARY OF SIGNIFICANT ACCOUNTING POLICIES</w:t>
      </w:r>
    </w:p>
    <w:p>
      <w:pPr>
        <w:pStyle w:val="TextBody"/>
        <w:bidi w:val="0"/>
        <w:spacing w:before="120" w:after="0"/>
        <w:ind w:left="0" w:right="0" w:firstLine="490"/>
        <w:jc w:val="both"/>
        <w:rPr>
          <w:rFonts w:ascii="Times New Roman;Times;serif" w:hAnsi="Times New Roman;Times;serif"/>
          <w:i/>
          <w:sz w:val="20"/>
        </w:rPr>
      </w:pPr>
      <w:r>
        <w:rPr>
          <w:rFonts w:ascii="Times New Roman;Times;serif" w:hAnsi="Times New Roman;Times;serif"/>
          <w:i/>
          <w:sz w:val="20"/>
        </w:rPr>
        <w:t>Overview</w:t>
      </w:r>
    </w:p>
    <w:p>
      <w:pPr>
        <w:pStyle w:val="TextBody"/>
        <w:bidi w:val="0"/>
        <w:spacing w:lineRule="auto" w:line="240" w:before="120" w:after="0"/>
        <w:ind w:left="0" w:right="0" w:firstLine="490"/>
        <w:jc w:val="both"/>
        <w:rPr>
          <w:rFonts w:ascii="Times New Roman;Times;serif" w:hAnsi="Times New Roman;Times;serif"/>
          <w:sz w:val="20"/>
        </w:rPr>
      </w:pPr>
      <w:r>
        <w:rPr>
          <w:rFonts w:ascii="Times New Roman;Times;serif" w:hAnsi="Times New Roman;Times;serif"/>
          <w:sz w:val="20"/>
        </w:rPr>
        <w:t>El Pollo Loco Holdings, Inc. (“Holdings” or the Company) is a Delaware corporation headquartered in Costa Mesa, California. Holdings and its direct and indirect subsidiaries are collectively referred to herein as the “Company.” The Company’s activities are conducted principally through Holdings’ indirect wholly-owned subsidiary, El Pollo Loco, Inc. (“EPL”), which develops, franchises, licenses, and operates quick-service restaurants under the name El Pollo Loco</w:t>
      </w:r>
      <w:r>
        <w:rPr>
          <w:rFonts w:ascii="Times New Roman;Times;serif" w:hAnsi="Times New Roman;Times;serif"/>
          <w:sz w:val="15"/>
        </w:rPr>
        <w:t>®</w:t>
      </w:r>
      <w:r>
        <w:rPr>
          <w:rFonts w:ascii="Times New Roman;Times;serif" w:hAnsi="Times New Roman;Times;serif"/>
          <w:sz w:val="20"/>
        </w:rPr>
        <w:t>. The Company’s restaurants, which are located principally in California but also in Arizona, Colorado, Idaho, Louisiana, Nevada, New Mexico, Texas, Utah, and Washington, specialize in fire-grilling citrus-marinated chicken served in individual and family meals and also in a wide variety of contemporary entrees, including specialty chicken burritos, chicken quesadillas, chicken tostada salads, chicken tortilla soup, and variations of the Company’s Pollo Bowl</w:t>
      </w:r>
      <w:r>
        <w:rPr>
          <w:rFonts w:ascii="Times New Roman;Times;serif" w:hAnsi="Times New Roman;Times;serif"/>
          <w:sz w:val="15"/>
        </w:rPr>
        <w:t>®</w:t>
      </w:r>
      <w:r>
        <w:rPr>
          <w:rFonts w:ascii="Times New Roman;Times;serif" w:hAnsi="Times New Roman;Times;serif"/>
          <w:sz w:val="20"/>
        </w:rPr>
        <w:t xml:space="preserve"> and Pollo Salads. As of July 1, 2026, the Company operated 175 and franchised 336 El Pollo Loco restaurants in the United States. In addition, as of July 1, 2026, the Company licensed eight restaurants in the Philippines.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Holdings has no material assets or operations. Holdings and Holdings’ direct subsidiary, EPL Intermediate, Inc. (“Intermediate”), guarantee EPL’s 2022 Revolver (as defined below, see Note 5, “</w:t>
      </w:r>
      <w:r>
        <w:rPr>
          <w:rFonts w:ascii="Times New Roman;Times;serif" w:hAnsi="Times New Roman;Times;serif"/>
          <w:i/>
          <w:sz w:val="20"/>
        </w:rPr>
        <w:t>Long-Term Debt,”</w:t>
      </w:r>
      <w:r>
        <w:rPr>
          <w:rFonts w:ascii="Times New Roman;Times;serif" w:hAnsi="Times New Roman;Times;serif"/>
          <w:sz w:val="20"/>
        </w:rPr>
        <w:t xml:space="preserve"> below) on a full and unconditional basis and Intermediate has no subsidiaries other than EPL. EPL is a separate and distinct legal entity and has no obligation to make funds available to Intermediate. EPL and Intermediate may pay dividends to Intermediate and to Holdings, respectively.</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The Company operates as one operating segment. All significant revenues relate to retail sales of food and beverages through either company-operated or franchised-operated restaurants.</w:t>
      </w:r>
    </w:p>
    <w:p>
      <w:pPr>
        <w:pStyle w:val="TextBody"/>
        <w:bidi w:val="0"/>
        <w:spacing w:before="360" w:after="0"/>
        <w:ind w:left="0" w:right="0" w:firstLine="490"/>
        <w:jc w:val="both"/>
        <w:rPr>
          <w:rFonts w:ascii="Times New Roman;Times;serif" w:hAnsi="Times New Roman;Times;serif"/>
          <w:i/>
          <w:sz w:val="20"/>
        </w:rPr>
      </w:pPr>
      <w:r>
        <w:rPr>
          <w:rFonts w:ascii="Times New Roman;Times;serif" w:hAnsi="Times New Roman;Times;serif"/>
          <w:i/>
          <w:sz w:val="20"/>
        </w:rPr>
        <w:t>Basis of Presentation</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The accompanying unaudited condensed consolidated financial statements of the Company have been prepared in accordance with accounting principles generally accepted in the United States of America (“U.S. GAAP”) for interim financial statements and pursuant to the rules and regulations of the Securities and Exchange Commission (“SEC”). In the opinion of management, the accompanying unaudited condensed consolidated financial statements reflect all adjustments consisting of normal recurring adjustments necessary for a fair statement of the Company’s condensed consolidated financial position and results of operations and cash flows for the periods presented. Interim results of operations are not necessarily indicative of the results that may be achieved for the full year. The condensed consolidated financial statements and related notes do not include all information and footnotes required by U.S. GAAP for annual reports. This quarterly report should be read in conjunction with the consolidated financial statements included in the Company’s Annual Report on Form 10-K for the year ended December 31, 2025.</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The Company uses a 52- or 53-week fiscal year ending on the last Wednesday of each calendar year. In a 52-week fiscal year, each quarter includes 13 weeks of operations. In a 53-week fiscal year, the first, second and third quarters each include 13 weeks of operations, and the fourth quarter includes 14 weeks of operations. Approximately every five or six years, a 53-week fiscal year occurs. Fiscal 2026 is a 52-week year ending on December 30, 2026. Fiscal 2025 was a 53-week year that ended on December 31, 2025. 53-week years may cause revenues, expenses, and other results of operations to be higher due to the additional week of operations.</w:t>
      </w:r>
    </w:p>
    <w:p>
      <w:pPr>
        <w:pStyle w:val="TextBody"/>
        <w:bidi w:val="0"/>
        <w:spacing w:before="360" w:after="0"/>
        <w:ind w:left="0" w:right="0" w:firstLine="490"/>
        <w:jc w:val="both"/>
        <w:rPr>
          <w:rFonts w:ascii="Times New Roman;Times;serif" w:hAnsi="Times New Roman;Times;serif"/>
          <w:i/>
          <w:sz w:val="20"/>
        </w:rPr>
      </w:pPr>
      <w:r>
        <w:rPr>
          <w:rFonts w:ascii="Times New Roman;Times;serif" w:hAnsi="Times New Roman;Times;serif"/>
          <w:i/>
          <w:sz w:val="20"/>
        </w:rPr>
        <w:t>Principles of Consolidation</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The accompanying condensed consolidated financial statements include the accounts of Holdings and its wholly-owned subsidiaries. All intercompany balances and transactions have been eliminated in consolidation.</w:t>
      </w:r>
    </w:p>
    <w:p>
      <w:pPr>
        <w:pStyle w:val="TextBody"/>
        <w:bidi w:val="0"/>
        <w:spacing w:before="0" w:after="240"/>
        <w:ind w:left="0" w:right="0" w:firstLine="490"/>
        <w:jc w:val="both"/>
        <w:rPr/>
      </w:pPr>
      <w:r>
        <w:rPr/>
        <w:t>​</w:t>
      </w:r>
    </w:p>
    <w:p>
      <w:pPr>
        <w:pStyle w:val="TextBody"/>
        <w:bidi w:val="0"/>
        <w:spacing w:before="0" w:after="240"/>
        <w:ind w:left="0" w:right="0" w:firstLine="490"/>
        <w:jc w:val="both"/>
        <w:rPr/>
      </w:pPr>
      <w:r>
        <w:rPr/>
        <w:t>​</w:t>
      </w:r>
    </w:p>
    <w:p>
      <w:pPr>
        <w:pStyle w:val="TextBody"/>
        <w:bidi w:val="0"/>
        <w:spacing w:before="0" w:after="240"/>
        <w:ind w:left="0" w:right="0" w:firstLine="49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i/>
          <w:sz w:val="20"/>
        </w:rPr>
      </w:pPr>
      <w:r>
        <w:rPr>
          <w:rFonts w:ascii="Times New Roman;Times;serif" w:hAnsi="Times New Roman;Times;serif"/>
          <w:i/>
          <w:sz w:val="20"/>
        </w:rPr>
        <w:t>Use of Estimates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The preparation of condensed consolidated financial statements in conformity with U.S. GAAP requires management to make estimates and assumptions that affect the reported amounts of assets and liabilities and disclosures of contingent assets and liabilities at the date of the condensed consolidated financial statements and revenue and expenses during the periods reported. Actual results could materially differ from those estimates. The Company’s significant estimates include estimates for impairment of goodwill, intangible assets and property and equipment, insurance reserves, lease accounting matters, contingent liabilities, and income tax valuation allowances.</w:t>
      </w:r>
    </w:p>
    <w:p>
      <w:pPr>
        <w:pStyle w:val="TextBody"/>
        <w:bidi w:val="0"/>
        <w:spacing w:before="360" w:after="0"/>
        <w:ind w:left="0" w:right="0" w:firstLine="490"/>
        <w:jc w:val="both"/>
        <w:rPr>
          <w:rFonts w:ascii="Times New Roman;Times;serif" w:hAnsi="Times New Roman;Times;serif"/>
          <w:i/>
          <w:sz w:val="20"/>
        </w:rPr>
      </w:pPr>
      <w:r>
        <w:rPr>
          <w:rFonts w:ascii="Times New Roman;Times;serif" w:hAnsi="Times New Roman;Times;serif"/>
          <w:i/>
          <w:sz w:val="20"/>
        </w:rPr>
        <w:t>Liquidity</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The Company’s principal liquidity and capital requirements are new restaurants, existing restaurant capital investments (remodels and maintenance), interest payments on its debt, lease obligations and working capital and general corporate needs. As of July 1, 2026, the Company’s total outstanding balance on its Revolver was $30.0 million. The Company’s ability to make payments on its indebtedness and to fund planned capital expenditures depends on available cash and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 from operations, available cash of $13.3 million at July 1, 2026, and the outstanding borrowing availability under the 2022 Revolver (as defined below) will be adequate to meet the Company’s liquidity needs for at least the next twelve months and beyond from the issuance of the condensed consolidated financial statements.</w:t>
      </w:r>
    </w:p>
    <w:p>
      <w:pPr>
        <w:pStyle w:val="TextBody"/>
        <w:bidi w:val="0"/>
        <w:spacing w:before="360" w:after="0"/>
        <w:ind w:left="0" w:right="0" w:firstLine="490"/>
        <w:jc w:val="both"/>
        <w:rPr>
          <w:rFonts w:ascii="Times New Roman;Times;serif" w:hAnsi="Times New Roman;Times;serif"/>
          <w:i/>
          <w:sz w:val="20"/>
        </w:rPr>
      </w:pPr>
      <w:r>
        <w:rPr>
          <w:rFonts w:ascii="Times New Roman;Times;serif" w:hAnsi="Times New Roman;Times;serif"/>
          <w:i/>
          <w:sz w:val="20"/>
        </w:rPr>
        <w:t>Concentration of Risk</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Cash and cash equivalents are maintained at financial institutions and, at times, these balances may exceed federally-insured limits. The Company has never experienced any losses related to these balances.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The Company had one supplier for which amounts due totaled more than 10.0% of the Company’s accounts payable as of July 1, 2026. The Company had one supplier to whom amounts due totaled 10.9% of the Company’s accounts payable as of December 31, 2025. Purchases from the Company’s largest supplier totaled 38.7% and 40.5% of total expenses for the thirteen and twenty-six weeks ended July 1, 2026, respectively, and 23.8% and 16.0% of total expenses for the thirteen and twenty-six weeks ended June 25, 2025, respectively.</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Company-operated and franchise-operated restaurants in the greater Los Angeles area generated, in the aggregate, approximately 71.4% and 71.6% of total revenue for the thirteen and twenty-six weeks ended July 1, 2026, respectively, and 71.7% of total revenue for both the thirteen and twenty-six weeks ended June 25, 2025.</w:t>
      </w:r>
    </w:p>
    <w:p>
      <w:pPr>
        <w:pStyle w:val="TextBody"/>
        <w:bidi w:val="0"/>
        <w:spacing w:before="360" w:after="0"/>
        <w:ind w:left="0" w:right="0" w:firstLine="490"/>
        <w:jc w:val="both"/>
        <w:rPr>
          <w:rFonts w:ascii="Times New Roman;Times;serif" w:hAnsi="Times New Roman;Times;serif"/>
          <w:i/>
          <w:sz w:val="20"/>
        </w:rPr>
      </w:pPr>
      <w:r>
        <w:rPr>
          <w:rFonts w:ascii="Times New Roman;Times;serif" w:hAnsi="Times New Roman;Times;serif"/>
          <w:i/>
          <w:sz w:val="20"/>
        </w:rPr>
        <w:t>Non-financial instruments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The Company’s non-financial instruments, which primarily consist of property and equipment, operating lease right-of-use assets, goodwill and intangible assets, are reported at carrying value and are not required to be measured at fair value on a recurring basis. However, on an annual basis, or whenever events or changes in circumstances indicate that their carrying value may not be recoverable, non-financial instruments are assessed for impairment. If applicable, the carrying values are written down to fair value. During the thirteen and twenty-six weeks ended July 1, 2026, the Company recorded a non-cash impairment charge of $0.2 million related to the non-financial assets of one restaurant in Nevada. The Company determined that there were no indicators of potential impairment for its non-financial assets during the thirteen and twenty-six weeks ended June 25, 2025.</w:t>
      </w:r>
    </w:p>
    <w:p>
      <w:pPr>
        <w:pStyle w:val="TextBody"/>
        <w:bidi w:val="0"/>
        <w:spacing w:before="0" w:after="240"/>
        <w:ind w:left="0" w:right="0" w:firstLine="490"/>
        <w:jc w:val="both"/>
        <w:rPr/>
      </w:pPr>
      <w:r>
        <w:rPr/>
        <w:t>​</w:t>
      </w:r>
    </w:p>
    <w:p>
      <w:pPr>
        <w:pStyle w:val="TextBody"/>
        <w:bidi w:val="0"/>
        <w:spacing w:before="0" w:after="240"/>
        <w:ind w:left="0" w:right="0" w:firstLine="490"/>
        <w:jc w:val="both"/>
        <w:rPr/>
      </w:pPr>
      <w:r>
        <w:rPr/>
        <w:t>​</w:t>
      </w:r>
    </w:p>
    <w:p>
      <w:pPr>
        <w:pStyle w:val="TextBody"/>
        <w:bidi w:val="0"/>
        <w:spacing w:before="0" w:after="240"/>
        <w:ind w:left="0" w:right="0" w:firstLine="490"/>
        <w:jc w:val="both"/>
        <w:rPr/>
      </w:pPr>
      <w:r>
        <w:rPr/>
        <w:t>​</w:t>
      </w:r>
    </w:p>
    <w:p>
      <w:pPr>
        <w:pStyle w:val="TextBody"/>
        <w:bidi w:val="0"/>
        <w:spacing w:before="0" w:after="240"/>
        <w:ind w:left="0" w:right="0" w:firstLine="49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i/>
          <w:sz w:val="20"/>
        </w:rPr>
      </w:pPr>
      <w:r>
        <w:rPr>
          <w:rFonts w:ascii="Times New Roman;Times;serif" w:hAnsi="Times New Roman;Times;serif"/>
          <w:i/>
          <w:sz w:val="20"/>
        </w:rPr>
        <w:t>Income Taxes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 xml:space="preserve">For the thirteen weeks ended July 1, 2026, the Company recorded an income tax provision of $5.2 million, reflecting an estimated effective tax rate of 28.8%. For the thirteen weeks ended June 25, 2025, the Company recorded an income tax provision of $3.0 million, reflecting an estimated effective tax rate of 29.6%. For the twenty-six weeks ended July 1, 2026, the Company recorded an income tax provision of $8.5 million, reflecting an estimated effective tax rate of 28.8%. For the twenty-six weeks ended June 25, 2025, the Company recorded an income tax provision of $5.3 million, reflecting an estimated effective tax rate of 29.7%. The difference between the 21.0% statutory rate and the effective tax rate of 28.8% for the twenty-six </w:t>
      </w:r>
      <w:r>
        <w:rPr>
          <w:rFonts w:ascii="Times New Roman;Times;serif" w:hAnsi="Times New Roman;Times;serif"/>
          <w:sz w:val="20"/>
          <w:shd w:fill="FFFFFF" w:val="clear"/>
        </w:rPr>
        <w:t xml:space="preserve">weeks </w:t>
      </w:r>
      <w:r>
        <w:rPr>
          <w:rFonts w:ascii="Times New Roman;Times;serif" w:hAnsi="Times New Roman;Times;serif"/>
          <w:sz w:val="20"/>
        </w:rPr>
        <w:t xml:space="preserve">ended July 1, 2026 is primarily a result </w:t>
      </w:r>
      <w:r>
        <w:rPr>
          <w:rFonts w:ascii="Times New Roman;Times;serif" w:hAnsi="Times New Roman;Times;serif"/>
          <w:sz w:val="20"/>
          <w:shd w:fill="FFFFFF" w:val="clear"/>
        </w:rPr>
        <w:t>of state tax rates based on apportioned income, the impact of non-tax deductible executive compensation, and tax deficiencies related to stock option exercises, for which the associated tax deductions were lower than the cumulative stock-based compensation expense,  partially offset by the impact of higher stock compensation expense deductible for tax related to the vesting of restricted stock awards as compared to the cumulative amount recorded as stock-based compensation expense, and federal targeted job credits.</w:t>
      </w:r>
    </w:p>
    <w:p>
      <w:pPr>
        <w:pStyle w:val="TextBody"/>
        <w:bidi w:val="0"/>
        <w:spacing w:before="360" w:after="0"/>
        <w:ind w:left="0" w:right="0" w:firstLine="490"/>
        <w:jc w:val="both"/>
        <w:rPr>
          <w:rFonts w:ascii="Times New Roman;Times;serif" w:hAnsi="Times New Roman;Times;serif"/>
          <w:i/>
          <w:sz w:val="20"/>
        </w:rPr>
      </w:pPr>
      <w:r>
        <w:rPr>
          <w:rFonts w:ascii="Times New Roman;Times;serif" w:hAnsi="Times New Roman;Times;serif"/>
          <w:i/>
          <w:sz w:val="20"/>
        </w:rPr>
        <w:t>Summary of Significant Accounting Policies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There have been no changes to our significant accounting policies described in the Annual Report on Form 10-K for the year ended December 31, 2025 that have had a material impact on our consolidated financial statements and related notes.</w:t>
      </w:r>
    </w:p>
    <w:p>
      <w:pPr>
        <w:pStyle w:val="TextBody"/>
        <w:bidi w:val="0"/>
        <w:spacing w:before="360" w:after="0"/>
        <w:ind w:left="0" w:right="0" w:firstLine="490"/>
        <w:jc w:val="both"/>
        <w:rPr>
          <w:rFonts w:ascii="Times New Roman;Times;serif" w:hAnsi="Times New Roman;Times;serif"/>
          <w:i/>
          <w:sz w:val="20"/>
        </w:rPr>
      </w:pPr>
      <w:r>
        <w:rPr>
          <w:rFonts w:ascii="Times New Roman;Times;serif" w:hAnsi="Times New Roman;Times;serif"/>
          <w:i/>
          <w:sz w:val="20"/>
        </w:rPr>
        <w:t>Recently Adopted Accounting Pronouncements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shd w:fill="FFFFFF" w:val="clear"/>
        </w:rPr>
        <w:t xml:space="preserve">In December 2023, the Financial Accounting Standards Board (“FASB”) issued Accounting Standards Update (“ASU”) No. 2023-09, </w:t>
      </w:r>
      <w:r>
        <w:rPr>
          <w:rFonts w:ascii="Times New Roman;Times;serif" w:hAnsi="Times New Roman;Times;serif"/>
          <w:i/>
          <w:sz w:val="20"/>
          <w:shd w:fill="FFFFFF" w:val="clear"/>
        </w:rPr>
        <w:t>Income Taxes (Topic 740): Improvements to Income Tax Disclosures</w:t>
      </w:r>
      <w:r>
        <w:rPr>
          <w:rFonts w:ascii="Times New Roman;Times;serif" w:hAnsi="Times New Roman;Times;serif"/>
          <w:sz w:val="20"/>
          <w:shd w:fill="FFFFFF" w:val="clear"/>
        </w:rPr>
        <w:t xml:space="preserve"> (“ASU 2023-09”). This ASU amends income tax disclosures primarily related to the rate reconciliation and income taxes paid information, as well as certain other amendments to improve the effectiveness of income tax disclosures. These changes help investors better: (1) understand on an entity’s exposure to potential changes in jurisdictional tax legislation and the ensuing risks and opportunities, (2) assess income tax information that affects cash flow forecasts and capital allocation decisions, and (3) identify potential opportunities to increase future cash flows. The amendments in this ASU are effective for annual periods beginning after December 15, 2024, with early adoption permitted. The Company adopted ASU 2023-09 during the fiscal year ended December 31, 2025 on a retrospective basis. The adoption of this guidance did not have a material impact on  the Company’s consolidated financial statements.</w:t>
      </w:r>
    </w:p>
    <w:p>
      <w:pPr>
        <w:pStyle w:val="TextBody"/>
        <w:bidi w:val="0"/>
        <w:spacing w:before="360" w:after="0"/>
        <w:ind w:left="0" w:right="0" w:firstLine="490"/>
        <w:jc w:val="both"/>
        <w:rPr>
          <w:rFonts w:ascii="Times New Roman;Times;serif" w:hAnsi="Times New Roman;Times;serif"/>
          <w:i/>
          <w:sz w:val="20"/>
        </w:rPr>
      </w:pPr>
      <w:r>
        <w:rPr>
          <w:rFonts w:ascii="Times New Roman;Times;serif" w:hAnsi="Times New Roman;Times;serif"/>
          <w:i/>
          <w:sz w:val="20"/>
        </w:rPr>
        <w:t>Recently Issued Accounting Pronouncements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shd w:fill="FFFFFF" w:val="clear"/>
        </w:rPr>
        <w:t xml:space="preserve">In November 2024, the FASB issued ASU No. 2024-03, </w:t>
      </w:r>
      <w:r>
        <w:rPr>
          <w:rFonts w:ascii="Times New Roman;Times;serif" w:hAnsi="Times New Roman;Times;serif"/>
          <w:i/>
          <w:sz w:val="20"/>
          <w:shd w:fill="FFFFFF" w:val="clear"/>
        </w:rPr>
        <w:t>Income Statement—Reporting Comprehensive Income—Expense Disaggregation Disclosures (Subtopic 220-40): Disaggregation of Income Statement Expenses</w:t>
      </w:r>
      <w:r>
        <w:rPr>
          <w:rFonts w:ascii="Times New Roman;Times;serif" w:hAnsi="Times New Roman;Times;serif"/>
          <w:sz w:val="20"/>
          <w:shd w:fill="FFFFFF" w:val="clear"/>
        </w:rPr>
        <w:t>. This ASU requires new disclosures, in the notes to the financial statements, related to the disaggregation of certain expenses within the income statement. Additionally, a qualitative description is required of the amounts remaining in relevant expense captions that are not separately disaggregated quantitatively. Annually, an entity is also required to define and quantify its selling expenses. The amendments in this ASU are effective for annual reporting periods beginning after December 15, 2026, and interim reporting periods beginning after December 15, 2027, with early adoption permitted. The Company is evaluating the potential impact of this guidance on its condensed consolidated financial statements.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In December 2025, the FASB issued ASU No. 2025-11, </w:t>
      </w:r>
      <w:r>
        <w:rPr>
          <w:rFonts w:ascii="Times New Roman;Times;serif" w:hAnsi="Times New Roman;Times;serif"/>
          <w:i/>
          <w:sz w:val="20"/>
        </w:rPr>
        <w:t>Interim Reporting (Topic 270): Narrow-Scope Improvements</w:t>
      </w:r>
      <w:r>
        <w:rPr>
          <w:rFonts w:ascii="Times New Roman;Times;serif" w:hAnsi="Times New Roman;Times;serif"/>
          <w:sz w:val="20"/>
        </w:rPr>
        <w:t>. This ASU improves the guidance in Topic 270 by improving the navigability of the required interim disclosures from other topics and clarifying when existing guidance is applicable. The purpose of this ASU is not to expand or change previous interim reporting guidance; however, an added principle requires entities to disclose events since the end of the last annual reporting period that have material impact on the entity. The amendments are effective for interim reporting periods beginning after December 15, 2027, with early adoption permitted. The Company is evaluating the potential impact of this guidance on its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In April 2026, the FASB issued ASU No. 2026-01, </w:t>
      </w:r>
      <w:r>
        <w:rPr>
          <w:rFonts w:ascii="Times New Roman;Times;serif" w:hAnsi="Times New Roman;Times;serif"/>
          <w:i/>
          <w:sz w:val="20"/>
        </w:rPr>
        <w:t>Equity (Topic 505): Initial measurement of Paid-in-Kind Dividends on Equity-Classified Preferred Stock</w:t>
      </w:r>
      <w:r>
        <w:rPr>
          <w:rFonts w:ascii="Times New Roman;Times;serif" w:hAnsi="Times New Roman;Times;serif"/>
          <w:sz w:val="20"/>
        </w:rPr>
        <w:t>. This amendment improves generally accepted accounting principles by providing authoritative guidance on how an issuer should initially measure paid-in-kind dividends on equity-classified preferred stock. The amendments are effective for interim reporting periods beginning after December 15, 2026, with early adoption permitted. The Company is evaluating the potential impact of this guidance on its condensed consolidated financial statements.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In May 2026, the FASB issued ASU No. 2026-02, </w:t>
      </w:r>
      <w:r>
        <w:rPr>
          <w:rFonts w:ascii="Times New Roman;Times;serif" w:hAnsi="Times New Roman;Times;serif"/>
          <w:i/>
          <w:sz w:val="20"/>
        </w:rPr>
        <w:t>Environmental Credits and Environmental Credit Obligations (Topic 818)</w:t>
      </w:r>
      <w:r>
        <w:rPr>
          <w:rFonts w:ascii="Times New Roman;Times;serif" w:hAnsi="Times New Roman;Times;serif"/>
          <w:sz w:val="20"/>
        </w:rPr>
        <w:t>. The amendments in this update improve generally accepted accounting principles by providing specific authoritative guidance for environmental credits and environmental credit obligations. The amendments are effective for interim reporting periods beginning after December 15, 2027, with early adoption permitted. The Company is evaluating the potential impact of this guidance on its condensed consolidated financial statements.</w:t>
      </w:r>
    </w:p>
    <w:p>
      <w:pPr>
        <w:pStyle w:val="TextBody"/>
        <w:bidi w:val="0"/>
        <w:spacing w:before="240" w:after="0"/>
        <w:ind w:left="0" w:right="0" w:firstLine="490"/>
        <w:jc w:val="both"/>
        <w:rPr>
          <w:rFonts w:ascii="Times New Roman;Times;serif" w:hAnsi="Times New Roman;Times;serif"/>
          <w:b w:val="false"/>
          <w:sz w:val="20"/>
        </w:rPr>
      </w:pPr>
      <w:r>
        <w:rPr>
          <w:rFonts w:ascii="Times New Roman;Times;serif" w:hAnsi="Times New Roman;Times;serif"/>
          <w:b w:val="false"/>
          <w:sz w:val="20"/>
        </w:rPr>
        <w:t>The Company reviewed all other recently issued accounting pronouncements and concluded that they were either not applicable or not expected to have a significant impact to the condensed consolidated financial statements.</w:t>
      </w:r>
    </w:p>
    <w:p>
      <w:pPr>
        <w:pStyle w:val="TextBody"/>
        <w:bidi w:val="0"/>
        <w:spacing w:before="360" w:after="0"/>
        <w:ind w:left="0" w:right="0" w:hanging="0"/>
        <w:jc w:val="both"/>
        <w:rPr>
          <w:rFonts w:ascii="Times New Roman;Times;serif" w:hAnsi="Times New Roman;Times;serif"/>
          <w:b/>
          <w:sz w:val="20"/>
        </w:rPr>
      </w:pPr>
      <w:bookmarkStart w:id="744" w:name="Tc_ChCq3Ya5z0OKXoVIAgrbvA_5_5"/>
      <w:bookmarkStart w:id="745" w:name="Tc_EANSDxnNw0eQwfZm2EEtJQ_5_2"/>
      <w:bookmarkStart w:id="746" w:name="Tc_hCZ-W8lpoUKlB-UDaEAyag_5_0"/>
      <w:bookmarkStart w:id="747" w:name="Tc_18kfio8m2kquhjYXvqquTg_4_0"/>
      <w:bookmarkStart w:id="748" w:name="Tc_MWoSuVJSzE21PLmVyxx5qg_3_0"/>
      <w:bookmarkStart w:id="749" w:name="Tc_ZZS4aFuUIE60rwVs_-XVsQ_2_5"/>
      <w:bookmarkStart w:id="750" w:name="Tc_l-TZVLFCYkalmbx3pVQBaA_2_2"/>
      <w:bookmarkStart w:id="751" w:name="Tc_h42M-cuNJUGvFRHZMNyjow_2_0"/>
      <w:bookmarkStart w:id="752" w:name="Tc_kwW9-Tznh0-DxxjCAIXYsQ_1_5"/>
      <w:bookmarkStart w:id="753" w:name="Tc_MvkowgWm5E-D0GvG2EDf4Q_1_2"/>
      <w:bookmarkStart w:id="754" w:name="_9aa12241_12c7_4b76_bda6_ee3dc2208224"/>
      <w:bookmarkEnd w:id="744"/>
      <w:bookmarkEnd w:id="745"/>
      <w:bookmarkEnd w:id="746"/>
      <w:bookmarkEnd w:id="747"/>
      <w:bookmarkEnd w:id="748"/>
      <w:bookmarkEnd w:id="749"/>
      <w:bookmarkEnd w:id="750"/>
      <w:bookmarkEnd w:id="751"/>
      <w:bookmarkEnd w:id="752"/>
      <w:bookmarkEnd w:id="753"/>
      <w:bookmarkEnd w:id="754"/>
      <w:r>
        <w:rPr>
          <w:rFonts w:ascii="Times New Roman;Times;serif" w:hAnsi="Times New Roman;Times;serif"/>
          <w:b/>
          <w:sz w:val="20"/>
        </w:rPr>
        <w:t>2. PREPAID EXPENSES AND OTHER CURRENT ASSETS</w:t>
      </w:r>
    </w:p>
    <w:p>
      <w:pPr>
        <w:pStyle w:val="TextBody"/>
        <w:bidi w:val="0"/>
        <w:spacing w:before="120" w:after="120"/>
        <w:ind w:left="0" w:right="0" w:firstLine="490"/>
        <w:jc w:val="both"/>
        <w:rPr>
          <w:rFonts w:ascii="Times New Roman;Times;serif" w:hAnsi="Times New Roman;Times;serif"/>
          <w:sz w:val="20"/>
        </w:rPr>
      </w:pPr>
      <w:r>
        <w:rPr>
          <w:rFonts w:ascii="Times New Roman;Times;serif" w:hAnsi="Times New Roman;Times;serif"/>
          <w:sz w:val="20"/>
        </w:rPr>
        <w:t>Prepaid expenses and other current assets consist of the following (in thousands):</w:t>
      </w:r>
    </w:p>
    <w:tbl>
      <w:tblPr>
        <w:tblW w:w="7534" w:type="dxa"/>
        <w:jc w:val="left"/>
        <w:tblInd w:w="0" w:type="dxa"/>
        <w:tblLayout w:type="fixed"/>
        <w:tblCellMar>
          <w:top w:w="0" w:type="dxa"/>
          <w:left w:w="0" w:type="dxa"/>
          <w:bottom w:w="0" w:type="dxa"/>
          <w:right w:w="0" w:type="dxa"/>
        </w:tblCellMar>
      </w:tblPr>
      <w:tblGrid>
        <w:gridCol w:w="3931"/>
        <w:gridCol w:w="346"/>
        <w:gridCol w:w="307"/>
        <w:gridCol w:w="834"/>
        <w:gridCol w:w="346"/>
        <w:gridCol w:w="416"/>
        <w:gridCol w:w="1354"/>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496185" cy="175260"/>
                      <wp:effectExtent l="0" t="0" r="0" b="0"/>
                      <wp:wrapNone/>
                      <wp:docPr id="71" name="Frame71"/>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94945" cy="175260"/>
                      <wp:effectExtent l="0" t="0" r="0" b="0"/>
                      <wp:wrapNone/>
                      <wp:docPr id="73" name="Frame73"/>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29590" cy="175260"/>
                      <wp:effectExtent l="0" t="0" r="0" b="0"/>
                      <wp:wrapNone/>
                      <wp:docPr id="74" name="Frame74"/>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5"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64160" cy="175260"/>
                      <wp:effectExtent l="0" t="0" r="0" b="0"/>
                      <wp:wrapNone/>
                      <wp:docPr id="76" name="Frame76"/>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859790" cy="175260"/>
                      <wp:effectExtent l="0" t="0" r="0" b="0"/>
                      <wp:wrapNone/>
                      <wp:docPr id="77" name="Frame77"/>
                      <a:graphic xmlns:a="http://schemas.openxmlformats.org/drawingml/2006/main">
                        <a:graphicData uri="http://schemas.microsoft.com/office/word/2010/wordprocessingShape">
                          <wps:wsp>
                            <wps:cNvSpPr txBox="1"/>
                            <wps:spPr>
                              <a:xfrm>
                                <a:off x="0" y="0"/>
                                <a:ext cx="859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July 1, 2026</w:t>
            </w:r>
          </w:p>
        </w:tc>
        <w:tc>
          <w:tcPr>
            <w:tcW w:w="346" w:type="dxa"/>
            <w:tcBorders/>
            <w:vAlign w:val="center"/>
          </w:tcPr>
          <w:p>
            <w:pPr>
              <w:pStyle w:val="TableContents"/>
              <w:bidi w:val="0"/>
              <w:spacing w:before="0" w:after="1"/>
              <w:ind w:left="0" w:right="0" w:hanging="0"/>
              <w:jc w:val="left"/>
              <w:rPr/>
            </w:pPr>
            <w:r>
              <w:rPr/>
              <w:t>  ​ ​ ​</w:t>
            </w:r>
          </w:p>
        </w:tc>
        <w:tc>
          <w:tcPr>
            <w:tcW w:w="17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insurance</w:t>
            </w:r>
          </w:p>
        </w:tc>
        <w:tc>
          <w:tcPr>
            <w:tcW w:w="346"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1,198</w:t>
            </w:r>
          </w:p>
        </w:tc>
        <w:tc>
          <w:tcPr>
            <w:tcW w:w="34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2,634</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service fees</w:t>
            </w:r>
          </w:p>
        </w:tc>
        <w:tc>
          <w:tcPr>
            <w:tcW w:w="346"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3,911</w:t>
            </w:r>
          </w:p>
        </w:tc>
        <w:tc>
          <w:tcPr>
            <w:tcW w:w="34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pPr>
            <w:r>
              <w:rPr/>
              <w:t> </w:t>
            </w:r>
          </w:p>
        </w:tc>
        <w:tc>
          <w:tcPr>
            <w:tcW w:w="13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2,953</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792</w:t>
            </w:r>
          </w:p>
        </w:tc>
        <w:tc>
          <w:tcPr>
            <w:tcW w:w="346" w:type="dxa"/>
            <w:tcBorders/>
            <w:shd w:fill="CCEEFF" w:val="clear"/>
            <w:vAlign w:val="center"/>
          </w:tcPr>
          <w:p>
            <w:pPr>
              <w:pStyle w:val="TableContents"/>
              <w:bidi w:val="0"/>
              <w:spacing w:before="0" w:after="1"/>
              <w:ind w:left="0" w:right="0" w:hanging="0"/>
              <w:jc w:val="left"/>
              <w:rPr/>
            </w:pPr>
            <w:r>
              <w:rPr/>
              <w:t>​</w:t>
            </w:r>
          </w:p>
        </w:tc>
        <w:tc>
          <w:tcPr>
            <w:tcW w:w="4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782</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prepaid expenses and other current assets</w:t>
            </w:r>
          </w:p>
        </w:tc>
        <w:tc>
          <w:tcPr>
            <w:tcW w:w="346" w:type="dxa"/>
            <w:tcBorders/>
            <w:vAlign w:val="center"/>
          </w:tcPr>
          <w:p>
            <w:pPr>
              <w:pStyle w:val="TableContents"/>
              <w:bidi w:val="0"/>
              <w:spacing w:before="0" w:after="1"/>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5,901</w:t>
            </w:r>
          </w:p>
        </w:tc>
        <w:tc>
          <w:tcPr>
            <w:tcW w:w="346" w:type="dxa"/>
            <w:tcBorders/>
            <w:vAlign w:val="center"/>
          </w:tcPr>
          <w:p>
            <w:pPr>
              <w:pStyle w:val="TableContents"/>
              <w:bidi w:val="0"/>
              <w:spacing w:before="0" w:after="1"/>
              <w:ind w:left="0" w:right="0" w:hanging="0"/>
              <w:jc w:val="left"/>
              <w:rPr/>
            </w:pPr>
            <w:r>
              <w:rPr/>
              <w:t>​</w:t>
            </w:r>
          </w:p>
        </w:tc>
        <w:tc>
          <w:tcPr>
            <w:tcW w:w="4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4"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6,369</w:t>
            </w:r>
          </w:p>
        </w:tc>
      </w:tr>
    </w:tbl>
    <w:p>
      <w:pPr>
        <w:pStyle w:val="TextBody"/>
        <w:bidi w:val="0"/>
        <w:spacing w:before="0" w:after="240"/>
        <w:ind w:left="0" w:right="0" w:hanging="0"/>
        <w:jc w:val="left"/>
        <w:rPr/>
      </w:pPr>
      <w:r>
        <w:rPr/>
        <w:t>​</w:t>
      </w:r>
    </w:p>
    <w:p>
      <w:pPr>
        <w:pStyle w:val="TextBody"/>
        <w:bidi w:val="0"/>
        <w:spacing w:before="360" w:after="0"/>
        <w:ind w:left="0" w:right="0" w:hanging="0"/>
        <w:jc w:val="both"/>
        <w:rPr>
          <w:rFonts w:ascii="Times New Roman;Times;serif" w:hAnsi="Times New Roman;Times;serif"/>
          <w:b/>
          <w:sz w:val="20"/>
        </w:rPr>
      </w:pPr>
      <w:bookmarkStart w:id="755" w:name="Tc_b_TgnQ1130yXQTUo2EWJoQ_8_5"/>
      <w:bookmarkStart w:id="756" w:name="Tc_FkOo2XcBjkaAko6QR6vm0w_8_2"/>
      <w:bookmarkStart w:id="757" w:name="Tc_CvNmCE1XbkKqV1X0hDmMNw_8_0"/>
      <w:bookmarkStart w:id="758" w:name="Tc_njvWb3e940i_BopN8vjorA_7_0"/>
      <w:bookmarkStart w:id="759" w:name="Tc_jCgFzbGc7EWyzA9Gm1b-Qw_5_0"/>
      <w:bookmarkStart w:id="760" w:name="Tc_UurF-DdXJkG-ZG5W16kjXg_4_0"/>
      <w:bookmarkStart w:id="761" w:name="Tc_4r-2Dqhw20ekY8BpxKUxCg_3_0"/>
      <w:bookmarkStart w:id="762" w:name="Tc_Io9T3UKIJ0qwuroQ9TGsOg_2_5"/>
      <w:bookmarkStart w:id="763" w:name="Tc_x5knVaQNVESL-W8U21Pk2A_2_2"/>
      <w:bookmarkStart w:id="764" w:name="Tc_wl9lHWIP_Uuw2geSllOfKQ_2_0"/>
      <w:bookmarkStart w:id="765" w:name="Tc_84g47lpspUOsuHCV3Q8REQ_1_5"/>
      <w:bookmarkStart w:id="766" w:name="Tc_aufh2ePscU2zmx_n6Oq-Ng_1_2"/>
      <w:bookmarkStart w:id="767" w:name="_18a3f819_26f2_4ccb_beee_6b08219d4cef"/>
      <w:bookmarkEnd w:id="755"/>
      <w:bookmarkEnd w:id="756"/>
      <w:bookmarkEnd w:id="757"/>
      <w:bookmarkEnd w:id="758"/>
      <w:bookmarkEnd w:id="759"/>
      <w:bookmarkEnd w:id="760"/>
      <w:bookmarkEnd w:id="761"/>
      <w:bookmarkEnd w:id="762"/>
      <w:bookmarkEnd w:id="763"/>
      <w:bookmarkEnd w:id="764"/>
      <w:bookmarkEnd w:id="765"/>
      <w:bookmarkEnd w:id="766"/>
      <w:bookmarkEnd w:id="767"/>
      <w:r>
        <w:rPr>
          <w:rFonts w:ascii="Times New Roman;Times;serif" w:hAnsi="Times New Roman;Times;serif"/>
          <w:b/>
          <w:sz w:val="20"/>
        </w:rPr>
        <w:t>3. PROPERTY AND EQUIPMENT</w:t>
      </w:r>
    </w:p>
    <w:p>
      <w:pPr>
        <w:pStyle w:val="TextBody"/>
        <w:bidi w:val="0"/>
        <w:spacing w:before="120" w:after="120"/>
        <w:ind w:left="0" w:right="0" w:firstLine="490"/>
        <w:jc w:val="both"/>
        <w:rPr>
          <w:rFonts w:ascii="Times New Roman;Times;serif" w:hAnsi="Times New Roman;Times;serif"/>
          <w:sz w:val="20"/>
        </w:rPr>
      </w:pPr>
      <w:r>
        <w:rPr>
          <w:rFonts w:ascii="Times New Roman;Times;serif" w:hAnsi="Times New Roman;Times;serif"/>
          <w:sz w:val="20"/>
        </w:rPr>
        <w:t>The costs and related accumulated depreciation and amortization of major classes of property and equipment are as follows (in thousands):</w:t>
      </w:r>
    </w:p>
    <w:tbl>
      <w:tblPr>
        <w:tblW w:w="7714" w:type="dxa"/>
        <w:jc w:val="left"/>
        <w:tblInd w:w="0" w:type="dxa"/>
        <w:tblLayout w:type="fixed"/>
        <w:tblCellMar>
          <w:top w:w="0" w:type="dxa"/>
          <w:left w:w="0" w:type="dxa"/>
          <w:bottom w:w="0" w:type="dxa"/>
          <w:right w:w="0" w:type="dxa"/>
        </w:tblCellMar>
      </w:tblPr>
      <w:tblGrid>
        <w:gridCol w:w="4111"/>
        <w:gridCol w:w="346"/>
        <w:gridCol w:w="228"/>
        <w:gridCol w:w="913"/>
        <w:gridCol w:w="346"/>
        <w:gridCol w:w="340"/>
        <w:gridCol w:w="1430"/>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610485" cy="175260"/>
                      <wp:effectExtent l="0" t="0" r="0" b="0"/>
                      <wp:wrapNone/>
                      <wp:docPr id="78" name="Frame78"/>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9"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44780" cy="175260"/>
                      <wp:effectExtent l="0" t="0" r="0" b="0"/>
                      <wp:wrapNone/>
                      <wp:docPr id="80" name="Frame80"/>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79755" cy="175260"/>
                      <wp:effectExtent l="0" t="0" r="0" b="0"/>
                      <wp:wrapNone/>
                      <wp:docPr id="81" name="Frame81"/>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5900" cy="175260"/>
                      <wp:effectExtent l="0" t="0" r="0" b="0"/>
                      <wp:wrapNone/>
                      <wp:docPr id="83" name="Frame83"/>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908050" cy="175260"/>
                      <wp:effectExtent l="0" t="0" r="0" b="0"/>
                      <wp:wrapNone/>
                      <wp:docPr id="84" name="Frame84"/>
                      <a:graphic xmlns:a="http://schemas.openxmlformats.org/drawingml/2006/main">
                        <a:graphicData uri="http://schemas.microsoft.com/office/word/2010/wordprocessingShape">
                          <wps:wsp>
                            <wps:cNvSpPr txBox="1"/>
                            <wps:spPr>
                              <a:xfrm>
                                <a:off x="0" y="0"/>
                                <a:ext cx="908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July 1, 2026</w:t>
            </w:r>
          </w:p>
        </w:tc>
        <w:tc>
          <w:tcPr>
            <w:tcW w:w="346" w:type="dxa"/>
            <w:tcBorders/>
            <w:vAlign w:val="center"/>
          </w:tcPr>
          <w:p>
            <w:pPr>
              <w:pStyle w:val="TableContents"/>
              <w:bidi w:val="0"/>
              <w:spacing w:before="0" w:after="0"/>
              <w:ind w:left="0" w:right="0" w:hanging="0"/>
              <w:jc w:val="left"/>
              <w:rPr/>
            </w:pPr>
            <w:r>
              <w:rPr/>
              <w:t>  ​ ​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12,323</w:t>
            </w:r>
          </w:p>
        </w:tc>
        <w:tc>
          <w:tcPr>
            <w:tcW w:w="346"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12,323</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 and improvements</w:t>
            </w:r>
          </w:p>
        </w:tc>
        <w:tc>
          <w:tcPr>
            <w:tcW w:w="3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167,038</w:t>
            </w:r>
          </w:p>
        </w:tc>
        <w:tc>
          <w:tcPr>
            <w:tcW w:w="346" w:type="dxa"/>
            <w:tcBorders/>
            <w:vAlign w:val="center"/>
          </w:tcPr>
          <w:p>
            <w:pPr>
              <w:pStyle w:val="TableContents"/>
              <w:bidi w:val="0"/>
              <w:spacing w:before="0" w:after="0"/>
              <w:ind w:left="0" w:right="0" w:hanging="0"/>
              <w:jc w:val="left"/>
              <w:rPr/>
            </w:pPr>
            <w:r>
              <w:rPr/>
              <w:t> </w:t>
            </w:r>
          </w:p>
        </w:tc>
        <w:tc>
          <w:tcPr>
            <w:tcW w:w="340" w:type="dxa"/>
            <w:tcBorders/>
            <w:vAlign w:val="center"/>
          </w:tcPr>
          <w:p>
            <w:pPr>
              <w:pStyle w:val="TableContents"/>
              <w:bidi w:val="0"/>
              <w:spacing w:before="0" w:after="0"/>
              <w:ind w:left="0" w:right="0" w:hanging="0"/>
              <w:jc w:val="left"/>
              <w:rPr/>
            </w:pPr>
            <w:r>
              <w:rPr/>
              <w:t>​</w:t>
            </w:r>
          </w:p>
        </w:tc>
        <w:tc>
          <w:tcPr>
            <w:tcW w:w="14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153,049</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property and equipment</w:t>
            </w:r>
          </w:p>
        </w:tc>
        <w:tc>
          <w:tcPr>
            <w:tcW w:w="346"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88,343</w:t>
            </w:r>
          </w:p>
        </w:tc>
        <w:tc>
          <w:tcPr>
            <w:tcW w:w="346" w:type="dxa"/>
            <w:tcBorders/>
            <w:shd w:fill="CCEEFF" w:val="clear"/>
            <w:vAlign w:val="center"/>
          </w:tcPr>
          <w:p>
            <w:pPr>
              <w:pStyle w:val="TableContents"/>
              <w:bidi w:val="0"/>
              <w:spacing w:before="0" w:after="0"/>
              <w:ind w:left="0" w:right="0" w:hanging="0"/>
              <w:jc w:val="left"/>
              <w:rPr/>
            </w:pPr>
            <w:r>
              <w:rPr/>
              <w:t> </w:t>
            </w:r>
          </w:p>
        </w:tc>
        <w:tc>
          <w:tcPr>
            <w:tcW w:w="340" w:type="dxa"/>
            <w:tcBorders/>
            <w:shd w:fill="CCEEFF" w:val="clear"/>
            <w:vAlign w:val="center"/>
          </w:tcPr>
          <w:p>
            <w:pPr>
              <w:pStyle w:val="TableContents"/>
              <w:bidi w:val="0"/>
              <w:spacing w:before="0" w:after="0"/>
              <w:ind w:left="0" w:right="0" w:hanging="0"/>
              <w:jc w:val="left"/>
              <w:rPr/>
            </w:pPr>
            <w:r>
              <w:rPr/>
              <w:t>​</w:t>
            </w:r>
          </w:p>
        </w:tc>
        <w:tc>
          <w:tcPr>
            <w:tcW w:w="1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77,802</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46" w:type="dxa"/>
            <w:tcBorders/>
            <w:vAlign w:val="center"/>
          </w:tcPr>
          <w:p>
            <w:pPr>
              <w:pStyle w:val="TableContents"/>
              <w:bidi w:val="0"/>
              <w:spacing w:before="0" w:after="0"/>
              <w:ind w:left="0" w:right="0" w:hanging="0"/>
              <w:jc w:val="left"/>
              <w:rPr/>
            </w:pPr>
            <w:r>
              <w:rPr/>
              <w:t> </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7,227</w:t>
            </w:r>
          </w:p>
        </w:tc>
        <w:tc>
          <w:tcPr>
            <w:tcW w:w="346" w:type="dxa"/>
            <w:tcBorders/>
            <w:vAlign w:val="center"/>
          </w:tcPr>
          <w:p>
            <w:pPr>
              <w:pStyle w:val="TableContents"/>
              <w:bidi w:val="0"/>
              <w:spacing w:before="0" w:after="0"/>
              <w:ind w:left="0" w:right="0" w:hanging="0"/>
              <w:jc w:val="left"/>
              <w:rPr/>
            </w:pPr>
            <w:r>
              <w:rPr/>
              <w:t> </w:t>
            </w:r>
          </w:p>
        </w:tc>
        <w:tc>
          <w:tcPr>
            <w:tcW w:w="3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22,799</w:t>
            </w:r>
          </w:p>
        </w:tc>
      </w:tr>
      <w:tr>
        <w:trPr/>
        <w:tc>
          <w:tcPr>
            <w:tcW w:w="41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274,931</w:t>
            </w:r>
          </w:p>
        </w:tc>
        <w:tc>
          <w:tcPr>
            <w:tcW w:w="346" w:type="dxa"/>
            <w:tcBorders/>
            <w:shd w:fill="CCEEFF" w:val="clear"/>
            <w:vAlign w:val="center"/>
          </w:tcPr>
          <w:p>
            <w:pPr>
              <w:pStyle w:val="TableContents"/>
              <w:bidi w:val="0"/>
              <w:spacing w:before="0" w:after="0"/>
              <w:ind w:left="0" w:right="0" w:hanging="0"/>
              <w:jc w:val="left"/>
              <w:rPr/>
            </w:pPr>
            <w:r>
              <w:rPr/>
              <w:t> </w:t>
            </w:r>
          </w:p>
        </w:tc>
        <w:tc>
          <w:tcPr>
            <w:tcW w:w="340" w:type="dxa"/>
            <w:tcBorders/>
            <w:shd w:fill="CCEEFF" w:val="clear"/>
            <w:vAlign w:val="center"/>
          </w:tcPr>
          <w:p>
            <w:pPr>
              <w:pStyle w:val="TableContents"/>
              <w:bidi w:val="0"/>
              <w:spacing w:before="0" w:after="0"/>
              <w:ind w:left="0" w:right="0" w:hanging="0"/>
              <w:jc w:val="left"/>
              <w:rPr/>
            </w:pPr>
            <w:r>
              <w:rPr/>
              <w:t>​</w:t>
            </w:r>
          </w:p>
        </w:tc>
        <w:tc>
          <w:tcPr>
            <w:tcW w:w="1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265,973</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46" w:type="dxa"/>
            <w:tcBorders/>
            <w:vAlign w:val="center"/>
          </w:tcPr>
          <w:p>
            <w:pPr>
              <w:pStyle w:val="TableContents"/>
              <w:bidi w:val="0"/>
              <w:spacing w:before="0" w:after="0"/>
              <w:ind w:left="0" w:right="0" w:hanging="0"/>
              <w:jc w:val="left"/>
              <w:rPr/>
            </w:pPr>
            <w:r>
              <w:rPr/>
              <w:t> </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(175,281)</w:t>
            </w:r>
          </w:p>
        </w:tc>
        <w:tc>
          <w:tcPr>
            <w:tcW w:w="346" w:type="dxa"/>
            <w:tcBorders/>
            <w:vAlign w:val="center"/>
          </w:tcPr>
          <w:p>
            <w:pPr>
              <w:pStyle w:val="TableContents"/>
              <w:bidi w:val="0"/>
              <w:spacing w:before="0" w:after="0"/>
              <w:ind w:left="0" w:right="0" w:hanging="0"/>
              <w:jc w:val="left"/>
              <w:rPr/>
            </w:pPr>
            <w:r>
              <w:rPr/>
              <w:t> </w:t>
            </w:r>
          </w:p>
        </w:tc>
        <w:tc>
          <w:tcPr>
            <w:tcW w:w="3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(168,930)</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99,650</w:t>
            </w:r>
          </w:p>
        </w:tc>
        <w:tc>
          <w:tcPr>
            <w:tcW w:w="346" w:type="dxa"/>
            <w:tcBorders/>
            <w:shd w:fill="CCEEFF" w:val="clear"/>
            <w:vAlign w:val="center"/>
          </w:tcPr>
          <w:p>
            <w:pPr>
              <w:pStyle w:val="TableContents"/>
              <w:bidi w:val="0"/>
              <w:spacing w:before="0" w:after="0"/>
              <w:ind w:left="0" w:right="0" w:hanging="0"/>
              <w:jc w:val="left"/>
              <w:rPr/>
            </w:pPr>
            <w:r>
              <w:rPr/>
              <w:t>​</w:t>
            </w:r>
          </w:p>
        </w:tc>
        <w:tc>
          <w:tcPr>
            <w:tcW w:w="3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30"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97,043</w:t>
            </w:r>
          </w:p>
        </w:tc>
      </w:tr>
    </w:tbl>
    <w:p>
      <w:pPr>
        <w:pStyle w:val="TextBody"/>
        <w:bidi w:val="0"/>
        <w:spacing w:before="0" w:after="0"/>
        <w:ind w:left="0" w:right="0" w:hanging="0"/>
        <w:jc w:val="both"/>
        <w:rPr/>
      </w:pPr>
      <w:r>
        <w:rPr/>
        <w:t>​</w:t>
      </w:r>
    </w:p>
    <w:p>
      <w:pPr>
        <w:pStyle w:val="TextBody"/>
        <w:bidi w:val="0"/>
        <w:spacing w:before="40" w:after="0"/>
        <w:ind w:left="0" w:right="0" w:firstLine="490"/>
        <w:jc w:val="both"/>
        <w:rPr>
          <w:rFonts w:ascii="Times New Roman;Times;serif" w:hAnsi="Times New Roman;Times;serif"/>
          <w:sz w:val="20"/>
        </w:rPr>
      </w:pPr>
      <w:r>
        <w:rPr>
          <w:rFonts w:ascii="Times New Roman;Times;serif" w:hAnsi="Times New Roman;Times;serif"/>
          <w:sz w:val="20"/>
        </w:rPr>
        <w:t xml:space="preserve">Depreciation and amortization expense was </w:t>
      </w:r>
      <w:r>
        <w:rPr>
          <w:rFonts w:ascii="Times New Roman;Times;serif" w:hAnsi="Times New Roman;Times;serif"/>
          <w:sz w:val="20"/>
          <w:shd w:fill="FFFFFF" w:val="clear"/>
        </w:rPr>
        <w:t xml:space="preserve">$4.2 million and $3.9 million </w:t>
      </w:r>
      <w:r>
        <w:rPr>
          <w:rFonts w:ascii="Times New Roman;Times;serif" w:hAnsi="Times New Roman;Times;serif"/>
          <w:sz w:val="20"/>
        </w:rPr>
        <w:t>for the thirteen weeks ended July 1, 2026 and June 25, 2025, respectively, and $8.5 million and $7.8 million for the twenty-six weeks ended July 1, 2026 and June 25, 2025, respectively.</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Based on the Company’s review of its property and equipment assets for impairment, the Company recorded an immaterial non-cash impairment charge for the thirteen and twenty-six weeks ended July 1, 2026 related to one restaurant in Nevada. Based on the Company’s review of its property and equipment assets for impairment, the Company did not record any non-cash impairment charges for the thirteen and twenty-six weeks ended June 25, 2025.</w:t>
      </w:r>
    </w:p>
    <w:p>
      <w:pPr>
        <w:pStyle w:val="TextBody"/>
        <w:bidi w:val="0"/>
        <w:spacing w:before="360" w:after="0"/>
        <w:ind w:left="0" w:right="0" w:hanging="0"/>
        <w:jc w:val="both"/>
        <w:rPr>
          <w:rFonts w:ascii="Times New Roman;Times;serif" w:hAnsi="Times New Roman;Times;serif"/>
          <w:b/>
          <w:sz w:val="20"/>
        </w:rPr>
      </w:pPr>
      <w:r>
        <w:rPr>
          <w:rFonts w:ascii="Times New Roman;Times;serif" w:hAnsi="Times New Roman;Times;serif"/>
          <w:b/>
          <w:sz w:val="20"/>
        </w:rPr>
        <w:t>4. STOCK-BASED COMPENSATION</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Pursuant to the Company’s 2018 Omnibus Equity Incentive Plan (as amended, the “Incentive Plan”), the Company grants stock options, restricted stock units, performance-based restricted stock units (“PSUs”) and restricted stock to the Company’s employees, officers, directors, and other eligible participants. As of July 1, 2026, 2,213,185 shares of common stock remained available for issuance under the Incentive Plan.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bookmarkStart w:id="768" w:name="Tc_WM3Ns71AvUmicRo0pU1fMg_7_4"/>
      <w:bookmarkStart w:id="769" w:name="Tc_4Jr2RHLAzUeQHbqy-inUEg_7_0"/>
      <w:bookmarkStart w:id="770" w:name="Tc_MBZUZsMfKkGBsUoDwkr_Jg_6_4"/>
      <w:bookmarkStart w:id="771" w:name="Tc_mG7t6yoRa0OUdAOOKRnmRw_6_0"/>
      <w:bookmarkStart w:id="772" w:name="Tc_wBPPOIsD1Eijgx3hDP5VzA_5_4"/>
      <w:bookmarkStart w:id="773" w:name="Tc_Gnomk-OHkk2AICqvJlxy3w_5_0"/>
      <w:bookmarkStart w:id="774" w:name="Tc_n9BIKv71s02DNf0MD6zscQ_4_4"/>
      <w:bookmarkStart w:id="775" w:name="Tc_bIyt5rVDQkyBNjLTtDqKkw_4_0"/>
      <w:bookmarkStart w:id="776" w:name="Tc_FfWt0FghvEqzEKYRhjOkEQ_3_4"/>
      <w:bookmarkStart w:id="777" w:name="Tc_odXgy_UiAU62kOn_XrbUIQ_3_0"/>
      <w:bookmarkStart w:id="778" w:name="Tc_txMxXv3N5k-h9wC7ZJ1Hjg_2_4"/>
      <w:bookmarkStart w:id="779" w:name="Tc_fkRlTavUiki08mtejbw22A_2_2"/>
      <w:bookmarkStart w:id="780" w:name="Tc_5_4ZwSNY-EyA-oOs6woCfg_1_4"/>
      <w:bookmarkStart w:id="781" w:name="Tc_2-y5oeurAkOI6WbN1mo1Dg_5_6"/>
      <w:bookmarkStart w:id="782" w:name="Tc_PbvMaGaow0W9dgxHGv9lXQ_5_5"/>
      <w:bookmarkStart w:id="783" w:name="Tc_9y5EEROzNkKvpZQJtjMKXA_5_3"/>
      <w:bookmarkStart w:id="784" w:name="Tc_MmhoXltUX0awSBlAN36nWA_5_2"/>
      <w:bookmarkStart w:id="785" w:name="Tc_pzDbxLvSukaBZvgSVQtA6w_5_0"/>
      <w:bookmarkStart w:id="786" w:name="Tc_OhXj6rVsYEmy4YSX1OBFqw_4_0"/>
      <w:bookmarkStart w:id="787" w:name="Tc_XgvxpOtEBE2KgKB6yuCTXQ_3_7"/>
      <w:bookmarkStart w:id="788" w:name="Tc_32P_IMNV90i7tBlheRtzgA_3_4"/>
      <w:bookmarkStart w:id="789" w:name="Tc_G-7F2PDm2kKKbFWJ1sh5kg_3_0"/>
      <w:bookmarkStart w:id="790" w:name="Tc_dlKsWAALMUOK18tSxgiupA_2_7"/>
      <w:bookmarkStart w:id="791" w:name="Tc_5tUAi6tYREePh_Ft3gNznQ_2_4"/>
      <w:bookmarkStart w:id="792" w:name="Tc_wABZHvtLU0-1bmdMmr0wrQ_2_0"/>
      <w:bookmarkStart w:id="793" w:name="Tc_w4BeK8WW30S6LUAuxmEFZg_1_5"/>
      <w:bookmarkStart w:id="794" w:name="Tc_c0xJH_Un0Em9mCRRoG4UvQ_1_2"/>
      <w:bookmarkStart w:id="795" w:name="Tc_Ej1_ETlIakKZoI70HtkaXw_10_10"/>
      <w:bookmarkStart w:id="796" w:name="Tc_CsDa0XK3b0eca3OtJ4UJ1w_10_4"/>
      <w:bookmarkStart w:id="797" w:name="Tc_gqSI1ZLcaEewgxDWDo49yw_10_0"/>
      <w:bookmarkStart w:id="798" w:name="Tc_5PwrWUaB4UefFItI0GHe6g_9_10"/>
      <w:bookmarkStart w:id="799" w:name="Tc_FtLS2ClORUmNv8LsAvOuAQ_9_4"/>
      <w:bookmarkStart w:id="800" w:name="Tc_8rVXwpwv_UO9AMKfykycaw_9_0"/>
      <w:bookmarkStart w:id="801" w:name="Tc_Zf1oF2rOxEqTve1Yv3llbw_8_10"/>
      <w:bookmarkStart w:id="802" w:name="Tc_Rm-4_WUUPUC8A7Z9mGY3SQ_8_4"/>
      <w:bookmarkStart w:id="803" w:name="Tc_2XadnA4PJ0CNRISpg6_Vwg_8_0"/>
      <w:bookmarkStart w:id="804" w:name="Tc_bLtbMpB6G0OA-2LGDoydow_7_0"/>
      <w:bookmarkStart w:id="805" w:name="Tc_FngUdjkReUSMrB8VupJsOQ_6_0"/>
      <w:bookmarkStart w:id="806" w:name="Tc_9KmEmnoM_kGvqDwBSSp23w_5_0"/>
      <w:bookmarkStart w:id="807" w:name="Tc_NuQGKB9BrUO4-PWcdBn2wA_4_4"/>
      <w:bookmarkStart w:id="808" w:name="Tc_gN5vHtENN0qeMXe59BV4pQ_4_0"/>
      <w:bookmarkStart w:id="809" w:name="Tc_PWUY8uq0m0GQ55noRvwuQg_3_10"/>
      <w:bookmarkStart w:id="810" w:name="Tc_IiOOjyAfNUqXt6NpSBf6CA_3_7"/>
      <w:bookmarkStart w:id="811" w:name="Tc_2yqLFdiofEaIB-09oKAWxA_3_4"/>
      <w:bookmarkStart w:id="812" w:name="Tc_JtLtjF4TtU-Cw8xfXuINVw_3_2"/>
      <w:bookmarkStart w:id="813" w:name="Tc_apjf3PN3UECK_FIaAHrluA_2_10"/>
      <w:bookmarkStart w:id="814" w:name="Tc_vrbGOyG6N0q3dA8a4eySFA_2_7"/>
      <w:bookmarkStart w:id="815" w:name="Tc_ToLbnNLJ2EuKy6gNdg6t0g_2_4"/>
      <w:bookmarkStart w:id="816" w:name="Tc_Qak2_Z5CTkqxoB27gQ2TdQ_1_10"/>
      <w:bookmarkStart w:id="817" w:name="Tc_vt6DV8BPW0-F2e98zYNg-w_1_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r>
        <w:rPr>
          <w:rFonts w:ascii="Times New Roman;Times;serif" w:hAnsi="Times New Roman;Times;serif"/>
          <w:sz w:val="20"/>
        </w:rPr>
        <w:t>Total stock-based compensation expense was $1.6 million and $1.7</w:t>
      </w:r>
      <w:r>
        <w:rPr>
          <w:rFonts w:ascii="Times New Roman;Times;serif" w:hAnsi="Times New Roman;Times;serif"/>
          <w:sz w:val="20"/>
          <w:shd w:fill="FFFFFF" w:val="clear"/>
        </w:rPr>
        <w:t xml:space="preserve"> million </w:t>
      </w:r>
      <w:r>
        <w:rPr>
          <w:rFonts w:ascii="Times New Roman;Times;serif" w:hAnsi="Times New Roman;Times;serif"/>
          <w:sz w:val="20"/>
        </w:rPr>
        <w:t xml:space="preserve">for the thirteen weeks ended July 1, 2026 and June 25, 2025, </w:t>
      </w:r>
      <w:r>
        <w:rPr>
          <w:rFonts w:ascii="Times New Roman;Times;serif" w:hAnsi="Times New Roman;Times;serif"/>
          <w:sz w:val="20"/>
          <w:shd w:fill="FFFFFF" w:val="clear"/>
        </w:rPr>
        <w:t>respectively, and $2.9 million and $2.7 million for the twenty-six weeks ended July 1, 2026 and June 25, 2025, respectively.</w:t>
      </w:r>
    </w:p>
    <w:p>
      <w:pPr>
        <w:pStyle w:val="TextBody"/>
        <w:bidi w:val="0"/>
        <w:spacing w:before="360" w:after="0"/>
        <w:ind w:left="0" w:right="0" w:firstLine="490"/>
        <w:jc w:val="both"/>
        <w:rPr>
          <w:rFonts w:ascii="Times New Roman;Times;serif" w:hAnsi="Times New Roman;Times;serif"/>
          <w:i/>
          <w:sz w:val="20"/>
        </w:rPr>
      </w:pPr>
      <w:r>
        <w:rPr>
          <w:rFonts w:ascii="Times New Roman;Times;serif" w:hAnsi="Times New Roman;Times;serif"/>
          <w:i/>
          <w:sz w:val="20"/>
        </w:rPr>
        <w:t>Stock Options</w:t>
      </w:r>
    </w:p>
    <w:p>
      <w:pPr>
        <w:pStyle w:val="TextBody"/>
        <w:bidi w:val="0"/>
        <w:spacing w:before="120" w:after="120"/>
        <w:ind w:left="0" w:right="0" w:firstLine="490"/>
        <w:jc w:val="both"/>
        <w:rPr>
          <w:rFonts w:ascii="Times New Roman;Times;serif" w:hAnsi="Times New Roman;Times;serif"/>
          <w:sz w:val="20"/>
        </w:rPr>
      </w:pPr>
      <w:r>
        <w:rPr>
          <w:rFonts w:ascii="Times New Roman;Times;serif" w:hAnsi="Times New Roman;Times;serif"/>
          <w:sz w:val="20"/>
        </w:rPr>
        <w:t>As of July 1, 2026, options to purchase 1,289,129 shares of common stock were outstanding, including 452,000 vested and 837,129 unvested options. Unvested options vest over time; however, pursuant to the Incentive Plan, upon a change in control, the Company’s Board of Directors (the “Board”) may accelerate vesting. A summary of stock option activity at July 1, 2026 and changes during the twenty-six weeks ended July 1, 2026 is as follows:</w:t>
      </w:r>
    </w:p>
    <w:p>
      <w:pPr>
        <w:pStyle w:val="TextBody"/>
        <w:bidi w:val="0"/>
        <w:spacing w:before="0" w:after="0"/>
        <w:ind w:left="0" w:right="0" w:hanging="0"/>
        <w:jc w:val="left"/>
        <w:rPr/>
      </w:pPr>
      <w:r>
        <w:rPr/>
        <w:t>​</w:t>
      </w:r>
    </w:p>
    <w:tbl>
      <w:tblPr>
        <w:tblW w:w="9703" w:type="dxa"/>
        <w:jc w:val="left"/>
        <w:tblInd w:w="0" w:type="dxa"/>
        <w:tblLayout w:type="fixed"/>
        <w:tblCellMar>
          <w:top w:w="0" w:type="dxa"/>
          <w:left w:w="0" w:type="dxa"/>
          <w:bottom w:w="0" w:type="dxa"/>
          <w:right w:w="0" w:type="dxa"/>
        </w:tblCellMar>
      </w:tblPr>
      <w:tblGrid>
        <w:gridCol w:w="3631"/>
        <w:gridCol w:w="346"/>
        <w:gridCol w:w="931"/>
        <w:gridCol w:w="346"/>
        <w:gridCol w:w="396"/>
        <w:gridCol w:w="1075"/>
        <w:gridCol w:w="146"/>
        <w:gridCol w:w="278"/>
        <w:gridCol w:w="1193"/>
        <w:gridCol w:w="146"/>
        <w:gridCol w:w="309"/>
        <w:gridCol w:w="906"/>
      </w:tblGrid>
      <w:tr>
        <w:trPr/>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305685" cy="175260"/>
                      <wp:effectExtent l="0" t="0" r="0" b="0"/>
                      <wp:wrapNone/>
                      <wp:docPr id="85" name="Frame85"/>
                      <a:graphic xmlns:a="http://schemas.openxmlformats.org/drawingml/2006/main">
                        <a:graphicData uri="http://schemas.microsoft.com/office/word/2010/wordprocessingShape">
                          <wps:wsp>
                            <wps:cNvSpPr txBox="1"/>
                            <wps:spPr>
                              <a:xfrm>
                                <a:off x="0" y="0"/>
                                <a:ext cx="2305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6"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91185" cy="175260"/>
                      <wp:effectExtent l="0" t="0" r="0" b="0"/>
                      <wp:wrapNone/>
                      <wp:docPr id="87" name="Frame8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51460" cy="175260"/>
                      <wp:effectExtent l="0" t="0" r="0" b="0"/>
                      <wp:wrapNone/>
                      <wp:docPr id="89" name="Frame89"/>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82625" cy="175260"/>
                      <wp:effectExtent l="0" t="0" r="0" b="0"/>
                      <wp:wrapNone/>
                      <wp:docPr id="90" name="Frame90"/>
                      <a:graphic xmlns:a="http://schemas.openxmlformats.org/drawingml/2006/main">
                        <a:graphicData uri="http://schemas.microsoft.com/office/word/2010/wordprocessingShape">
                          <wps:wsp>
                            <wps:cNvSpPr txBox="1"/>
                            <wps:spPr>
                              <a:xfrm>
                                <a:off x="0" y="0"/>
                                <a:ext cx="682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92710" cy="175260"/>
                      <wp:effectExtent l="0" t="0" r="0" b="0"/>
                      <wp:wrapNone/>
                      <wp:docPr id="91" name="Frame9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76530" cy="175260"/>
                      <wp:effectExtent l="0" t="0" r="0" b="0"/>
                      <wp:wrapNone/>
                      <wp:docPr id="92" name="Frame92"/>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757555" cy="175260"/>
                      <wp:effectExtent l="0" t="0" r="0" b="0"/>
                      <wp:wrapNone/>
                      <wp:docPr id="93" name="Frame93"/>
                      <a:graphic xmlns:a="http://schemas.openxmlformats.org/drawingml/2006/main">
                        <a:graphicData uri="http://schemas.microsoft.com/office/word/2010/wordprocessingShape">
                          <wps:wsp>
                            <wps:cNvSpPr txBox="1"/>
                            <wps:spPr>
                              <a:xfrm>
                                <a:off x="0" y="0"/>
                                <a:ext cx="757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92710" cy="175260"/>
                      <wp:effectExtent l="0" t="0" r="0" b="0"/>
                      <wp:wrapNone/>
                      <wp:docPr id="94" name="Frame9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96215" cy="175260"/>
                      <wp:effectExtent l="0" t="0" r="0" b="0"/>
                      <wp:wrapNone/>
                      <wp:docPr id="95" name="Frame95"/>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575310" cy="175260"/>
                      <wp:effectExtent l="0" t="0" r="0" b="0"/>
                      <wp:wrapNone/>
                      <wp:docPr id="96" name="Frame96"/>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96" w:type="dxa"/>
            <w:tcBorders/>
            <w:vAlign w:val="center"/>
          </w:tcPr>
          <w:p>
            <w:pPr>
              <w:pStyle w:val="TableContents"/>
              <w:bidi w:val="0"/>
              <w:spacing w:before="0" w:after="1"/>
              <w:ind w:left="0" w:right="0" w:hanging="0"/>
              <w:jc w:val="left"/>
              <w:rPr/>
            </w:pPr>
            <w:r>
              <w:rPr/>
              <w:t>​</w:t>
            </w:r>
          </w:p>
        </w:tc>
        <w:tc>
          <w:tcPr>
            <w:tcW w:w="1075"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w:t>
            </w:r>
          </w:p>
        </w:tc>
        <w:tc>
          <w:tcPr>
            <w:tcW w:w="146" w:type="dxa"/>
            <w:tcBorders/>
            <w:vAlign w:val="center"/>
          </w:tcPr>
          <w:p>
            <w:pPr>
              <w:pStyle w:val="TableContents"/>
              <w:bidi w:val="0"/>
              <w:spacing w:before="0" w:after="1"/>
              <w:ind w:left="0" w:right="0" w:hanging="0"/>
              <w:jc w:val="left"/>
              <w:rPr/>
            </w:pPr>
            <w:r>
              <w:rPr/>
              <w:t> </w:t>
            </w:r>
          </w:p>
        </w:tc>
        <w:tc>
          <w:tcPr>
            <w:tcW w:w="121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4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w:t>
            </w:r>
          </w:p>
        </w:tc>
        <w:tc>
          <w:tcPr>
            <w:tcW w:w="146" w:type="dxa"/>
            <w:tcBorders/>
            <w:vAlign w:val="center"/>
          </w:tcPr>
          <w:p>
            <w:pPr>
              <w:pStyle w:val="TableContents"/>
              <w:bidi w:val="0"/>
              <w:spacing w:before="0" w:after="1"/>
              <w:ind w:left="0" w:right="0" w:hanging="0"/>
              <w:jc w:val="center"/>
              <w:rPr/>
            </w:pPr>
            <w:r>
              <w:rPr/>
              <w:t> </w:t>
            </w:r>
          </w:p>
        </w:tc>
        <w:tc>
          <w:tcPr>
            <w:tcW w:w="1471" w:type="dxa"/>
            <w:gridSpan w:val="2"/>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Contractual Life</w:t>
            </w:r>
          </w:p>
        </w:tc>
        <w:tc>
          <w:tcPr>
            <w:tcW w:w="146" w:type="dxa"/>
            <w:tcBorders/>
            <w:vAlign w:val="center"/>
          </w:tcPr>
          <w:p>
            <w:pPr>
              <w:pStyle w:val="TableContents"/>
              <w:bidi w:val="0"/>
              <w:spacing w:before="0" w:after="1"/>
              <w:ind w:left="0" w:right="0" w:hanging="0"/>
              <w:jc w:val="left"/>
              <w:rPr/>
            </w:pPr>
            <w:r>
              <w:rPr/>
              <w:t> </w:t>
            </w:r>
          </w:p>
        </w:tc>
        <w:tc>
          <w:tcPr>
            <w:tcW w:w="121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 Value</w:t>
            </w:r>
          </w:p>
        </w:tc>
      </w:tr>
      <w:tr>
        <w:trPr/>
        <w:tc>
          <w:tcPr>
            <w:tcW w:w="3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w:t>
            </w:r>
          </w:p>
        </w:tc>
        <w:tc>
          <w:tcPr>
            <w:tcW w:w="14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146" w:type="dxa"/>
            <w:tcBorders/>
            <w:vAlign w:val="center"/>
          </w:tcPr>
          <w:p>
            <w:pPr>
              <w:pStyle w:val="TableContents"/>
              <w:bidi w:val="0"/>
              <w:spacing w:before="0" w:after="1"/>
              <w:ind w:left="0" w:right="0" w:hanging="0"/>
              <w:jc w:val="center"/>
              <w:rPr/>
            </w:pPr>
            <w:r>
              <w:rPr/>
              <w:t> </w:t>
            </w:r>
          </w:p>
        </w:tc>
        <w:tc>
          <w:tcPr>
            <w:tcW w:w="14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146" w:type="dxa"/>
            <w:tcBorders/>
            <w:vAlign w:val="center"/>
          </w:tcPr>
          <w:p>
            <w:pPr>
              <w:pStyle w:val="TableContents"/>
              <w:bidi w:val="0"/>
              <w:spacing w:before="0" w:after="1"/>
              <w:ind w:left="0" w:right="0" w:hanging="0"/>
              <w:jc w:val="left"/>
              <w:rPr/>
            </w:pPr>
            <w:r>
              <w:rPr/>
              <w:t> </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1,233,984</w:t>
            </w:r>
          </w:p>
        </w:tc>
        <w:tc>
          <w:tcPr>
            <w:tcW w:w="346" w:type="dxa"/>
            <w:tcBorders/>
            <w:shd w:fill="CCEEFF" w:val="clear"/>
            <w:vAlign w:val="center"/>
          </w:tcPr>
          <w:p>
            <w:pPr>
              <w:pStyle w:val="TableContents"/>
              <w:bidi w:val="0"/>
              <w:spacing w:before="0" w:after="1"/>
              <w:ind w:left="0" w:right="0" w:hanging="0"/>
              <w:jc w:val="left"/>
              <w:rPr/>
            </w:pPr>
            <w:r>
              <w:rPr/>
              <w:t>​</w:t>
            </w:r>
          </w:p>
        </w:tc>
        <w:tc>
          <w:tcPr>
            <w:tcW w:w="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10.46</w:t>
            </w:r>
          </w:p>
        </w:tc>
        <w:tc>
          <w:tcPr>
            <w:tcW w:w="14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119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309"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Grants</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378,603</w:t>
            </w:r>
          </w:p>
        </w:tc>
        <w:tc>
          <w:tcPr>
            <w:tcW w:w="346" w:type="dxa"/>
            <w:tcBorders/>
            <w:vAlign w:val="center"/>
          </w:tcPr>
          <w:p>
            <w:pPr>
              <w:pStyle w:val="TableContents"/>
              <w:bidi w:val="0"/>
              <w:spacing w:before="0" w:after="1"/>
              <w:ind w:left="0" w:right="0" w:hanging="0"/>
              <w:jc w:val="left"/>
              <w:rPr/>
            </w:pPr>
            <w:r>
              <w:rPr/>
              <w:t>​</w:t>
            </w:r>
          </w:p>
        </w:tc>
        <w:tc>
          <w:tcPr>
            <w:tcW w:w="396" w:type="dxa"/>
            <w:tcBorders/>
            <w:vAlign w:val="center"/>
          </w:tcPr>
          <w:p>
            <w:pPr>
              <w:pStyle w:val="TableContents"/>
              <w:bidi w:val="0"/>
              <w:spacing w:before="0" w:after="1"/>
              <w:ind w:left="0" w:right="0" w:hanging="0"/>
              <w:jc w:val="left"/>
              <w:rPr/>
            </w:pPr>
            <w:r>
              <w:rPr/>
              <w:t> </w:t>
            </w:r>
          </w:p>
        </w:tc>
        <w:tc>
          <w:tcPr>
            <w:tcW w:w="10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13.32</w:t>
            </w:r>
          </w:p>
        </w:tc>
        <w:tc>
          <w:tcPr>
            <w:tcW w:w="14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119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09"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(244,819)</w:t>
            </w:r>
          </w:p>
        </w:tc>
        <w:tc>
          <w:tcPr>
            <w:tcW w:w="346" w:type="dxa"/>
            <w:tcBorders/>
            <w:shd w:fill="CCEEFF" w:val="clear"/>
            <w:vAlign w:val="center"/>
          </w:tcPr>
          <w:p>
            <w:pPr>
              <w:pStyle w:val="TableContents"/>
              <w:bidi w:val="0"/>
              <w:spacing w:before="0" w:after="1"/>
              <w:ind w:left="0" w:right="0" w:hanging="0"/>
              <w:jc w:val="left"/>
              <w:rPr/>
            </w:pPr>
            <w:r>
              <w:rPr/>
              <w:t>​</w:t>
            </w:r>
          </w:p>
        </w:tc>
        <w:tc>
          <w:tcPr>
            <w:tcW w:w="396" w:type="dxa"/>
            <w:tcBorders/>
            <w:shd w:fill="CCEEFF" w:val="clear"/>
            <w:vAlign w:val="center"/>
          </w:tcPr>
          <w:p>
            <w:pPr>
              <w:pStyle w:val="TableContents"/>
              <w:bidi w:val="0"/>
              <w:spacing w:before="0" w:after="1"/>
              <w:ind w:left="0" w:right="0" w:hanging="0"/>
              <w:jc w:val="left"/>
              <w:rPr/>
            </w:pPr>
            <w:r>
              <w:rPr/>
              <w:t>​</w:t>
            </w:r>
          </w:p>
        </w:tc>
        <w:tc>
          <w:tcPr>
            <w:tcW w:w="10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10.74</w:t>
            </w:r>
          </w:p>
        </w:tc>
        <w:tc>
          <w:tcPr>
            <w:tcW w:w="14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119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309"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 cancelled or expired</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(78,639)</w:t>
            </w:r>
          </w:p>
        </w:tc>
        <w:tc>
          <w:tcPr>
            <w:tcW w:w="346" w:type="dxa"/>
            <w:tcBorders/>
            <w:vAlign w:val="center"/>
          </w:tcPr>
          <w:p>
            <w:pPr>
              <w:pStyle w:val="TableContents"/>
              <w:bidi w:val="0"/>
              <w:spacing w:before="0" w:after="1"/>
              <w:ind w:left="0" w:right="0" w:hanging="0"/>
              <w:jc w:val="left"/>
              <w:rPr/>
            </w:pPr>
            <w:r>
              <w:rPr/>
              <w:t>​</w:t>
            </w:r>
          </w:p>
        </w:tc>
        <w:tc>
          <w:tcPr>
            <w:tcW w:w="3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11.31</w:t>
            </w:r>
          </w:p>
        </w:tc>
        <w:tc>
          <w:tcPr>
            <w:tcW w:w="14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119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09"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 July 1, 2026</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1,289,129</w:t>
            </w:r>
          </w:p>
        </w:tc>
        <w:tc>
          <w:tcPr>
            <w:tcW w:w="346" w:type="dxa"/>
            <w:tcBorders/>
            <w:shd w:fill="CCEEFF" w:val="clear"/>
            <w:vAlign w:val="center"/>
          </w:tcPr>
          <w:p>
            <w:pPr>
              <w:pStyle w:val="TableContents"/>
              <w:bidi w:val="0"/>
              <w:spacing w:before="0" w:after="1"/>
              <w:ind w:left="0" w:right="0" w:hanging="0"/>
              <w:jc w:val="left"/>
              <w:rPr/>
            </w:pPr>
            <w:r>
              <w:rPr/>
              <w:t>​</w:t>
            </w:r>
          </w:p>
        </w:tc>
        <w:tc>
          <w:tcPr>
            <w:tcW w:w="3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11.20</w:t>
            </w:r>
          </w:p>
        </w:tc>
        <w:tc>
          <w:tcPr>
            <w:tcW w:w="14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119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8.36</w:t>
            </w:r>
          </w:p>
        </w:tc>
        <w:tc>
          <w:tcPr>
            <w:tcW w:w="146" w:type="dxa"/>
            <w:tcBorders/>
            <w:shd w:fill="CCEEFF" w:val="clear"/>
            <w:vAlign w:val="center"/>
          </w:tcPr>
          <w:p>
            <w:pPr>
              <w:pStyle w:val="TableContents"/>
              <w:bidi w:val="0"/>
              <w:spacing w:before="0" w:after="1"/>
              <w:ind w:left="0" w:right="0" w:hanging="0"/>
              <w:jc w:val="left"/>
              <w:rPr/>
            </w:pPr>
            <w:r>
              <w:rPr/>
              <w:t>​</w:t>
            </w:r>
          </w:p>
        </w:tc>
        <w:tc>
          <w:tcPr>
            <w:tcW w:w="30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7,429</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 and expected to vest at July 1, 2026</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1,277,043</w:t>
            </w:r>
          </w:p>
        </w:tc>
        <w:tc>
          <w:tcPr>
            <w:tcW w:w="346" w:type="dxa"/>
            <w:tcBorders/>
            <w:vAlign w:val="center"/>
          </w:tcPr>
          <w:p>
            <w:pPr>
              <w:pStyle w:val="TableContents"/>
              <w:bidi w:val="0"/>
              <w:spacing w:before="0" w:after="1"/>
              <w:ind w:left="0" w:right="0" w:hanging="0"/>
              <w:jc w:val="left"/>
              <w:rPr/>
            </w:pPr>
            <w:r>
              <w:rPr/>
              <w:t>​</w:t>
            </w:r>
          </w:p>
        </w:tc>
        <w:tc>
          <w:tcPr>
            <w:tcW w:w="3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10.46</w:t>
            </w:r>
          </w:p>
        </w:tc>
        <w:tc>
          <w:tcPr>
            <w:tcW w:w="14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119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8.35</w:t>
            </w:r>
          </w:p>
        </w:tc>
        <w:tc>
          <w:tcPr>
            <w:tcW w:w="146" w:type="dxa"/>
            <w:tcBorders/>
            <w:vAlign w:val="center"/>
          </w:tcPr>
          <w:p>
            <w:pPr>
              <w:pStyle w:val="TableContents"/>
              <w:bidi w:val="0"/>
              <w:spacing w:before="0" w:after="1"/>
              <w:ind w:left="0" w:right="0" w:hanging="0"/>
              <w:jc w:val="left"/>
              <w:rPr/>
            </w:pPr>
            <w:r>
              <w:rPr/>
              <w:t>​</w:t>
            </w:r>
          </w:p>
        </w:tc>
        <w:tc>
          <w:tcPr>
            <w:tcW w:w="30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7,367</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Exercisable at July 1, 2026</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452,000</w:t>
            </w:r>
          </w:p>
        </w:tc>
        <w:tc>
          <w:tcPr>
            <w:tcW w:w="346" w:type="dxa"/>
            <w:tcBorders/>
            <w:shd w:fill="CCEEFF" w:val="clear"/>
            <w:vAlign w:val="center"/>
          </w:tcPr>
          <w:p>
            <w:pPr>
              <w:pStyle w:val="TableContents"/>
              <w:bidi w:val="0"/>
              <w:spacing w:before="0" w:after="1"/>
              <w:ind w:left="0" w:right="0" w:hanging="0"/>
              <w:jc w:val="left"/>
              <w:rPr/>
            </w:pPr>
            <w:r>
              <w:rPr/>
              <w:t>​</w:t>
            </w:r>
          </w:p>
        </w:tc>
        <w:tc>
          <w:tcPr>
            <w:tcW w:w="3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10.46</w:t>
            </w:r>
          </w:p>
        </w:tc>
        <w:tc>
          <w:tcPr>
            <w:tcW w:w="14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119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7.35</w:t>
            </w:r>
          </w:p>
        </w:tc>
        <w:tc>
          <w:tcPr>
            <w:tcW w:w="146" w:type="dxa"/>
            <w:tcBorders/>
            <w:shd w:fill="CCEEFF" w:val="clear"/>
            <w:vAlign w:val="center"/>
          </w:tcPr>
          <w:p>
            <w:pPr>
              <w:pStyle w:val="TableContents"/>
              <w:bidi w:val="0"/>
              <w:spacing w:before="0" w:after="1"/>
              <w:ind w:left="0" w:right="0" w:hanging="0"/>
              <w:jc w:val="left"/>
              <w:rPr/>
            </w:pPr>
            <w:r>
              <w:rPr/>
              <w:t>​</w:t>
            </w:r>
          </w:p>
        </w:tc>
        <w:tc>
          <w:tcPr>
            <w:tcW w:w="30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2,939</w:t>
            </w:r>
          </w:p>
        </w:tc>
      </w:tr>
    </w:tbl>
    <w:p>
      <w:pPr>
        <w:pStyle w:val="TextBody"/>
        <w:bidi w:val="0"/>
        <w:spacing w:before="0" w:after="0"/>
        <w:ind w:left="0" w:right="0" w:hanging="0"/>
        <w:jc w:val="left"/>
        <w:rPr/>
      </w:pPr>
      <w:r>
        <w:rPr/>
        <w:t>​</w:t>
      </w:r>
    </w:p>
    <w:p>
      <w:pPr>
        <w:pStyle w:val="TextBody"/>
        <w:bidi w:val="0"/>
        <w:spacing w:before="240" w:after="120"/>
        <w:ind w:left="0" w:right="0" w:firstLine="490"/>
        <w:jc w:val="both"/>
        <w:rPr>
          <w:rFonts w:ascii="Times New Roman;Times;serif" w:hAnsi="Times New Roman;Times;serif"/>
          <w:sz w:val="20"/>
        </w:rPr>
      </w:pPr>
      <w:r>
        <w:rPr>
          <w:rFonts w:ascii="Times New Roman;Times;serif" w:hAnsi="Times New Roman;Times;serif"/>
          <w:sz w:val="20"/>
        </w:rPr>
        <w:t>The fair value of each stock option was estimated on the grant date using an exercise price of the closing stock price on the day prior to date of grant and the Black-Scholes option-pricing model with the following weighted average assumptions:</w:t>
      </w:r>
    </w:p>
    <w:p>
      <w:pPr>
        <w:pStyle w:val="TextBody"/>
        <w:bidi w:val="0"/>
        <w:spacing w:before="0" w:after="0"/>
        <w:ind w:left="0" w:right="0" w:hanging="0"/>
        <w:jc w:val="left"/>
        <w:rPr/>
      </w:pPr>
      <w:r>
        <w:rPr/>
        <w:t>​</w:t>
      </w:r>
    </w:p>
    <w:tbl>
      <w:tblPr>
        <w:tblW w:w="5316" w:type="dxa"/>
        <w:jc w:val="left"/>
        <w:tblInd w:w="0" w:type="dxa"/>
        <w:tblLayout w:type="fixed"/>
        <w:tblCellMar>
          <w:top w:w="0" w:type="dxa"/>
          <w:left w:w="0" w:type="dxa"/>
          <w:bottom w:w="0" w:type="dxa"/>
          <w:right w:w="0" w:type="dxa"/>
        </w:tblCellMar>
      </w:tblPr>
      <w:tblGrid>
        <w:gridCol w:w="1876"/>
        <w:gridCol w:w="346"/>
        <w:gridCol w:w="355"/>
        <w:gridCol w:w="786"/>
        <w:gridCol w:w="361"/>
        <w:gridCol w:w="397"/>
        <w:gridCol w:w="879"/>
        <w:gridCol w:w="316"/>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191260" cy="175260"/>
                      <wp:effectExtent l="0" t="0" r="0" b="0"/>
                      <wp:wrapNone/>
                      <wp:docPr id="97" name="Frame97"/>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8"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25425" cy="175260"/>
                      <wp:effectExtent l="0" t="0" r="0" b="0"/>
                      <wp:wrapNone/>
                      <wp:docPr id="99" name="Frame99"/>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99110" cy="175260"/>
                      <wp:effectExtent l="0" t="0" r="0" b="0"/>
                      <wp:wrapNone/>
                      <wp:docPr id="100" name="Frame100"/>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29235" cy="175260"/>
                      <wp:effectExtent l="0" t="0" r="0" b="0"/>
                      <wp:wrapNone/>
                      <wp:docPr id="101" name="Frame10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52095" cy="175260"/>
                      <wp:effectExtent l="0" t="0" r="0" b="0"/>
                      <wp:wrapNone/>
                      <wp:docPr id="102" name="Frame102"/>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58165" cy="175260"/>
                      <wp:effectExtent l="0" t="0" r="0" b="0"/>
                      <wp:wrapNone/>
                      <wp:docPr id="103" name="Frame103"/>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0660" cy="175260"/>
                      <wp:effectExtent l="0" t="0" r="0" b="0"/>
                      <wp:wrapNone/>
                      <wp:docPr id="104" name="Frame10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July 1, 2026</w:t>
            </w:r>
          </w:p>
        </w:tc>
        <w:tc>
          <w:tcPr>
            <w:tcW w:w="361" w:type="dxa"/>
            <w:tcBorders/>
            <w:vAlign w:val="center"/>
          </w:tcPr>
          <w:p>
            <w:pPr>
              <w:pStyle w:val="TableContents"/>
              <w:bidi w:val="0"/>
              <w:spacing w:before="0" w:after="1"/>
              <w:ind w:left="0" w:right="0" w:hanging="0"/>
              <w:jc w:val="left"/>
              <w:rPr/>
            </w:pPr>
            <w:r>
              <w:rPr/>
              <w:t>  ​ ​ ​</w:t>
            </w:r>
          </w:p>
        </w:tc>
        <w:tc>
          <w:tcPr>
            <w:tcW w:w="12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25, 2025</w:t>
            </w:r>
          </w:p>
        </w:tc>
        <w:tc>
          <w:tcPr>
            <w:tcW w:w="316" w:type="dxa"/>
            <w:tcBorders/>
            <w:vAlign w:val="center"/>
          </w:tcPr>
          <w:p>
            <w:pPr>
              <w:pStyle w:val="TableContents"/>
              <w:bidi w:val="0"/>
              <w:spacing w:before="0" w:after="1"/>
              <w:ind w:left="0" w:right="0" w:hanging="0"/>
              <w:jc w:val="left"/>
              <w:rPr/>
            </w:pPr>
            <w:r>
              <w:rPr/>
              <w:t> </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left"/>
              <w:rPr/>
            </w:pPr>
            <w:r>
              <w:rPr/>
              <w:t>​</w:t>
            </w:r>
          </w:p>
        </w:tc>
        <w:tc>
          <w:tcPr>
            <w:tcW w:w="7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97" w:type="dxa"/>
            <w:tcBorders/>
            <w:shd w:fill="CCEEFF" w:val="clear"/>
            <w:vAlign w:val="center"/>
          </w:tcPr>
          <w:p>
            <w:pPr>
              <w:pStyle w:val="TableContents"/>
              <w:bidi w:val="0"/>
              <w:spacing w:before="0" w:after="1"/>
              <w:ind w:left="0" w:right="0" w:hanging="0"/>
              <w:jc w:val="left"/>
              <w:rPr/>
            </w:pPr>
            <w:r>
              <w:rPr/>
              <w:t>​</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vAlign w:val="center"/>
          </w:tcPr>
          <w:p>
            <w:pPr>
              <w:pStyle w:val="TableContents"/>
              <w:bidi w:val="0"/>
              <w:spacing w:before="0" w:after="1"/>
              <w:ind w:left="0" w:right="0" w:hanging="0"/>
              <w:jc w:val="left"/>
              <w:rPr/>
            </w:pPr>
            <w:r>
              <w:rPr/>
              <w:t> </w:t>
            </w:r>
          </w:p>
        </w:tc>
        <w:tc>
          <w:tcPr>
            <w:tcW w:w="355" w:type="dxa"/>
            <w:tcBorders/>
            <w:vAlign w:val="center"/>
          </w:tcPr>
          <w:p>
            <w:pPr>
              <w:pStyle w:val="TableContents"/>
              <w:bidi w:val="0"/>
              <w:spacing w:before="0" w:after="1"/>
              <w:ind w:left="0" w:right="0" w:hanging="0"/>
              <w:jc w:val="left"/>
              <w:rPr/>
            </w:pPr>
            <w:r>
              <w:rPr/>
              <w:t>​</w:t>
            </w:r>
          </w:p>
        </w:tc>
        <w:tc>
          <w:tcPr>
            <w:tcW w:w="7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97" w:type="dxa"/>
            <w:tcBorders/>
            <w:vAlign w:val="center"/>
          </w:tcPr>
          <w:p>
            <w:pPr>
              <w:pStyle w:val="TableContents"/>
              <w:bidi w:val="0"/>
              <w:spacing w:before="0" w:after="1"/>
              <w:ind w:left="0" w:right="0" w:hanging="0"/>
              <w:jc w:val="left"/>
              <w:rPr/>
            </w:pPr>
            <w:r>
              <w:rPr/>
              <w:t>​</w:t>
            </w:r>
          </w:p>
        </w:tc>
        <w:tc>
          <w:tcPr>
            <w:tcW w:w="8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346" w:type="dxa"/>
            <w:tcBorders/>
            <w:shd w:fill="CCEEFF" w:val="clear"/>
            <w:vAlign w:val="center"/>
          </w:tcPr>
          <w:p>
            <w:pPr>
              <w:pStyle w:val="TableContents"/>
              <w:bidi w:val="0"/>
              <w:spacing w:before="0" w:after="1"/>
              <w:ind w:left="0" w:right="0" w:hanging="0"/>
              <w:jc w:val="left"/>
              <w:rPr/>
            </w:pPr>
            <w:r>
              <w:rPr/>
              <w:t> </w:t>
            </w:r>
          </w:p>
        </w:tc>
        <w:tc>
          <w:tcPr>
            <w:tcW w:w="355" w:type="dxa"/>
            <w:tcBorders/>
            <w:shd w:fill="CCEEFF" w:val="clear"/>
            <w:vAlign w:val="center"/>
          </w:tcPr>
          <w:p>
            <w:pPr>
              <w:pStyle w:val="TableContents"/>
              <w:bidi w:val="0"/>
              <w:spacing w:before="0" w:after="1"/>
              <w:ind w:left="0" w:right="0" w:hanging="0"/>
              <w:jc w:val="left"/>
              <w:rPr/>
            </w:pPr>
            <w:r>
              <w:rPr/>
              <w:t>​</w:t>
            </w:r>
          </w:p>
        </w:tc>
        <w:tc>
          <w:tcPr>
            <w:tcW w:w="7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w:t>
            </w:r>
          </w:p>
        </w:tc>
        <w:tc>
          <w:tcPr>
            <w:tcW w:w="361" w:type="dxa"/>
            <w:tcBorders/>
            <w:shd w:fill="CCEEFF" w:val="clear"/>
            <w:vAlign w:val="center"/>
          </w:tcPr>
          <w:p>
            <w:pPr>
              <w:pStyle w:val="TableContents"/>
              <w:bidi w:val="0"/>
              <w:spacing w:before="0" w:after="1"/>
              <w:ind w:left="0" w:right="0" w:hanging="0"/>
              <w:jc w:val="left"/>
              <w:rPr/>
            </w:pPr>
            <w:r>
              <w:rPr/>
              <w:t> </w:t>
            </w:r>
          </w:p>
        </w:tc>
        <w:tc>
          <w:tcPr>
            <w:tcW w:w="397" w:type="dxa"/>
            <w:tcBorders/>
            <w:shd w:fill="CCEEFF" w:val="clear"/>
            <w:vAlign w:val="center"/>
          </w:tcPr>
          <w:p>
            <w:pPr>
              <w:pStyle w:val="TableContents"/>
              <w:bidi w:val="0"/>
              <w:spacing w:before="0" w:after="1"/>
              <w:ind w:left="0" w:right="0" w:hanging="0"/>
              <w:jc w:val="left"/>
              <w:rPr/>
            </w:pPr>
            <w:r>
              <w:rPr/>
              <w:t>​</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dividends</w:t>
            </w:r>
          </w:p>
        </w:tc>
        <w:tc>
          <w:tcPr>
            <w:tcW w:w="346" w:type="dxa"/>
            <w:tcBorders/>
            <w:vAlign w:val="center"/>
          </w:tcPr>
          <w:p>
            <w:pPr>
              <w:pStyle w:val="TableContents"/>
              <w:bidi w:val="0"/>
              <w:spacing w:before="0" w:after="1"/>
              <w:ind w:left="0" w:right="0" w:hanging="0"/>
              <w:jc w:val="left"/>
              <w:rPr/>
            </w:pPr>
            <w:r>
              <w:rPr/>
              <w:t> </w:t>
            </w:r>
          </w:p>
        </w:tc>
        <w:tc>
          <w:tcPr>
            <w:tcW w:w="3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 </w:t>
            </w:r>
          </w:p>
        </w:tc>
        <w:tc>
          <w:tcPr>
            <w:tcW w:w="39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At July 1, 2026, the Company had total unrecognized compensation expense of $4.0 million related to unvested stock options, which it expects to recognize over a weighted-average period of 2.23 years. </w:t>
      </w:r>
    </w:p>
    <w:p>
      <w:pPr>
        <w:pStyle w:val="TextBody"/>
        <w:bidi w:val="0"/>
        <w:spacing w:before="360" w:after="0"/>
        <w:ind w:left="0" w:right="0" w:firstLine="490"/>
        <w:jc w:val="both"/>
        <w:rPr>
          <w:rFonts w:ascii="Times New Roman;Times;serif" w:hAnsi="Times New Roman;Times;serif"/>
          <w:i/>
          <w:sz w:val="20"/>
        </w:rPr>
      </w:pPr>
      <w:r>
        <w:rPr>
          <w:rFonts w:ascii="Times New Roman;Times;serif" w:hAnsi="Times New Roman;Times;serif"/>
          <w:i/>
          <w:sz w:val="20"/>
        </w:rPr>
        <w:t xml:space="preserve">Restricted Shares </w:t>
      </w:r>
    </w:p>
    <w:p>
      <w:pPr>
        <w:pStyle w:val="TextBody"/>
        <w:bidi w:val="0"/>
        <w:spacing w:before="120" w:after="120"/>
        <w:ind w:left="0" w:right="0" w:firstLine="490"/>
        <w:jc w:val="both"/>
        <w:rPr>
          <w:rFonts w:ascii="Times New Roman;Times;serif" w:hAnsi="Times New Roman;Times;serif"/>
          <w:sz w:val="20"/>
        </w:rPr>
      </w:pPr>
      <w:r>
        <w:rPr>
          <w:rFonts w:ascii="Times New Roman;Times;serif" w:hAnsi="Times New Roman;Times;serif"/>
          <w:sz w:val="20"/>
        </w:rPr>
        <w:t>A summary of restricted share activity as of July 1, 2026 and changes during the twenty-six weeks ended July 1, 2026 is as follows:</w:t>
      </w:r>
    </w:p>
    <w:p>
      <w:pPr>
        <w:pStyle w:val="TextBody"/>
        <w:bidi w:val="0"/>
        <w:spacing w:before="0" w:after="0"/>
        <w:ind w:left="0" w:right="0" w:hanging="0"/>
        <w:jc w:val="left"/>
        <w:rPr/>
      </w:pPr>
      <w:r>
        <w:rPr/>
        <w:t>​</w:t>
      </w:r>
    </w:p>
    <w:tbl>
      <w:tblPr>
        <w:tblW w:w="6350" w:type="dxa"/>
        <w:jc w:val="left"/>
        <w:tblInd w:w="0" w:type="dxa"/>
        <w:tblLayout w:type="fixed"/>
        <w:tblCellMar>
          <w:top w:w="0" w:type="dxa"/>
          <w:left w:w="0" w:type="dxa"/>
          <w:bottom w:w="0" w:type="dxa"/>
          <w:right w:w="0" w:type="dxa"/>
        </w:tblCellMar>
      </w:tblPr>
      <w:tblGrid>
        <w:gridCol w:w="3241"/>
        <w:gridCol w:w="346"/>
        <w:gridCol w:w="901"/>
        <w:gridCol w:w="346"/>
        <w:gridCol w:w="356"/>
        <w:gridCol w:w="1160"/>
      </w:tblGrid>
      <w:tr>
        <w:trPr/>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58035" cy="175260"/>
                      <wp:effectExtent l="0" t="0" r="0" b="0"/>
                      <wp:wrapNone/>
                      <wp:docPr id="105" name="Frame105"/>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572135" cy="175260"/>
                      <wp:effectExtent l="0" t="0" r="0" b="0"/>
                      <wp:wrapNone/>
                      <wp:docPr id="107" name="Frame10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8"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26060" cy="175260"/>
                      <wp:effectExtent l="0" t="0" r="0" b="0"/>
                      <wp:wrapNone/>
                      <wp:docPr id="109" name="Frame109"/>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736600" cy="175260"/>
                      <wp:effectExtent l="0" t="0" r="0" b="0"/>
                      <wp:wrapNone/>
                      <wp:docPr id="110" name="Frame110"/>
                      <a:graphic xmlns:a="http://schemas.openxmlformats.org/drawingml/2006/main">
                        <a:graphicData uri="http://schemas.microsoft.com/office/word/2010/wordprocessingShape">
                          <wps:wsp>
                            <wps:cNvSpPr txBox="1"/>
                            <wps:spPr>
                              <a:xfrm>
                                <a:off x="0" y="0"/>
                                <a:ext cx="736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5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32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w:t>
            </w:r>
          </w:p>
        </w:tc>
        <w:tc>
          <w:tcPr>
            <w:tcW w:w="15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shares at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617,037</w:t>
            </w:r>
          </w:p>
        </w:tc>
        <w:tc>
          <w:tcPr>
            <w:tcW w:w="346"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10.22</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320,644</w:t>
            </w:r>
          </w:p>
        </w:tc>
        <w:tc>
          <w:tcPr>
            <w:tcW w:w="346"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13.32</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Released</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(246,576)</w:t>
            </w:r>
          </w:p>
        </w:tc>
        <w:tc>
          <w:tcPr>
            <w:tcW w:w="346"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10.25</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 and cancelled</w:t>
            </w:r>
          </w:p>
        </w:tc>
        <w:tc>
          <w:tcPr>
            <w:tcW w:w="34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(43,180)</w:t>
            </w:r>
          </w:p>
        </w:tc>
        <w:tc>
          <w:tcPr>
            <w:tcW w:w="346"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11.28</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shares at July 1, 2026</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647,925</w:t>
            </w:r>
          </w:p>
        </w:tc>
        <w:tc>
          <w:tcPr>
            <w:tcW w:w="346"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11.67</w:t>
            </w:r>
          </w:p>
        </w:tc>
      </w:tr>
    </w:tbl>
    <w:p>
      <w:pPr>
        <w:pStyle w:val="TextBody"/>
        <w:bidi w:val="0"/>
        <w:spacing w:before="0" w:after="0"/>
        <w:ind w:left="0" w:right="0" w:hanging="0"/>
        <w:jc w:val="left"/>
        <w:rPr/>
      </w:pPr>
      <w:r>
        <w:rPr/>
        <w:t>​</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At July 1, 2026, the Company had unrecognized compensation expense of $6.5 million related to unvested restricted shares, which it expects to recognize over a weighted-average period of 2.10 years.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i/>
          <w:sz w:val="20"/>
        </w:rPr>
      </w:pPr>
      <w:bookmarkStart w:id="818" w:name="Tc_275tBSPpwUOMAlYplu29Uw_7_4"/>
      <w:bookmarkStart w:id="819" w:name="Tc_vvyNN2h2gU2A3PC_zpCwlA_7_0"/>
      <w:bookmarkStart w:id="820" w:name="Tc_zm1bFLznMkeC2OHM754eFg_6_4"/>
      <w:bookmarkStart w:id="821" w:name="Tc_HIQFgSkbTkeQQdXrDJ3YDg_6_0"/>
      <w:bookmarkStart w:id="822" w:name="Tc_gSvUWG-aC0yhyJiBfhFJ-Q_5_5"/>
      <w:bookmarkStart w:id="823" w:name="Tc_xaZYZVkt0UG-c2Azqkl2NQ_5_4"/>
      <w:bookmarkStart w:id="824" w:name="Tc_cpQ-QNUdjka8InWNbJehDA_5_2"/>
      <w:bookmarkStart w:id="825" w:name="Tc_VB6FSWx6REa4P601-_nMdQ_5_0"/>
      <w:bookmarkStart w:id="826" w:name="Tc_U6xV5ZSDlkuTDJX1o2M_aQ_4_4"/>
      <w:bookmarkStart w:id="827" w:name="Tc_iMCKvVt3y06V4WYMVVh8Og_4_0"/>
      <w:bookmarkStart w:id="828" w:name="Tc_B7ufcg5v80WG_qpYPt9VLQ_3_4"/>
      <w:bookmarkStart w:id="829" w:name="Tc_mq4Ly1elWkK_3eVP9ZtySA_3_0"/>
      <w:bookmarkStart w:id="830" w:name="Tc_mLk0sjsSTkCuizrUA9icBQ_2_4"/>
      <w:bookmarkStart w:id="831" w:name="Tc_Uv2JGFDASUuFDyj5vRP8bQ_2_2"/>
      <w:bookmarkStart w:id="832" w:name="Tc_bfeORC1Wb0Gur3JNAmvCcg_1_4"/>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r>
        <w:rPr>
          <w:rFonts w:ascii="Times New Roman;Times;serif" w:hAnsi="Times New Roman;Times;serif"/>
          <w:i/>
          <w:sz w:val="20"/>
        </w:rPr>
        <w:t>Performance-Based Restricted Stock Units</w:t>
      </w:r>
    </w:p>
    <w:p>
      <w:pPr>
        <w:pStyle w:val="TextBody"/>
        <w:bidi w:val="0"/>
        <w:spacing w:before="120" w:after="120"/>
        <w:ind w:left="0" w:right="0" w:firstLine="490"/>
        <w:jc w:val="both"/>
        <w:rPr>
          <w:rFonts w:ascii="Times New Roman;Times;serif" w:hAnsi="Times New Roman;Times;serif"/>
          <w:sz w:val="20"/>
        </w:rPr>
      </w:pPr>
      <w:r>
        <w:rPr>
          <w:rFonts w:ascii="Times New Roman;Times;serif" w:hAnsi="Times New Roman;Times;serif"/>
          <w:sz w:val="20"/>
        </w:rPr>
        <w:t>A summary of performance share activity as of July 1, 2026 and changes during the twenty-six weeks ended July 1, 2026 is as follows:</w:t>
      </w:r>
    </w:p>
    <w:p>
      <w:pPr>
        <w:pStyle w:val="TextBody"/>
        <w:bidi w:val="0"/>
        <w:spacing w:before="0" w:after="0"/>
        <w:ind w:left="0" w:right="0" w:hanging="0"/>
        <w:jc w:val="left"/>
        <w:rPr/>
      </w:pPr>
      <w:r>
        <w:rPr/>
        <w:t>​</w:t>
      </w:r>
    </w:p>
    <w:tbl>
      <w:tblPr>
        <w:tblW w:w="6245" w:type="dxa"/>
        <w:jc w:val="left"/>
        <w:tblInd w:w="0" w:type="dxa"/>
        <w:tblLayout w:type="fixed"/>
        <w:tblCellMar>
          <w:top w:w="0" w:type="dxa"/>
          <w:left w:w="0" w:type="dxa"/>
          <w:bottom w:w="0" w:type="dxa"/>
          <w:right w:w="0" w:type="dxa"/>
        </w:tblCellMar>
      </w:tblPr>
      <w:tblGrid>
        <w:gridCol w:w="3241"/>
        <w:gridCol w:w="346"/>
        <w:gridCol w:w="796"/>
        <w:gridCol w:w="346"/>
        <w:gridCol w:w="356"/>
        <w:gridCol w:w="1160"/>
      </w:tblGrid>
      <w:tr>
        <w:trPr/>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58035" cy="175260"/>
                      <wp:effectExtent l="0" t="0" r="0" b="0"/>
                      <wp:wrapNone/>
                      <wp:docPr id="111" name="Frame111"/>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12"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505460" cy="175260"/>
                      <wp:effectExtent l="0" t="0" r="0" b="0"/>
                      <wp:wrapNone/>
                      <wp:docPr id="113" name="Frame11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26060" cy="175260"/>
                      <wp:effectExtent l="0" t="0" r="0" b="0"/>
                      <wp:wrapNone/>
                      <wp:docPr id="115" name="Frame115"/>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736600" cy="175260"/>
                      <wp:effectExtent l="0" t="0" r="0" b="0"/>
                      <wp:wrapNone/>
                      <wp:docPr id="116" name="Frame116"/>
                      <a:graphic xmlns:a="http://schemas.openxmlformats.org/drawingml/2006/main">
                        <a:graphicData uri="http://schemas.microsoft.com/office/word/2010/wordprocessingShape">
                          <wps:wsp>
                            <wps:cNvSpPr txBox="1"/>
                            <wps:spPr>
                              <a:xfrm>
                                <a:off x="0" y="0"/>
                                <a:ext cx="736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5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3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w:t>
            </w:r>
          </w:p>
        </w:tc>
        <w:tc>
          <w:tcPr>
            <w:tcW w:w="15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shares at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137,805</w:t>
            </w:r>
          </w:p>
        </w:tc>
        <w:tc>
          <w:tcPr>
            <w:tcW w:w="346"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w:t>
            </w:r>
          </w:p>
        </w:tc>
      </w:tr>
      <w:tr>
        <w:trPr/>
        <w:tc>
          <w:tcPr>
            <w:tcW w:w="3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132,007</w:t>
            </w:r>
          </w:p>
        </w:tc>
        <w:tc>
          <w:tcPr>
            <w:tcW w:w="346"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13.32</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Released</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0"/>
              <w:ind w:left="0" w:right="0" w:hanging="0"/>
              <w:jc w:val="right"/>
              <w:rPr/>
            </w:pPr>
            <w:r>
              <w:rPr/>
              <w:t>—</w:t>
            </w:r>
          </w:p>
        </w:tc>
      </w:tr>
      <w:tr>
        <w:trPr/>
        <w:tc>
          <w:tcPr>
            <w:tcW w:w="3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 and cancelled</w:t>
            </w:r>
          </w:p>
        </w:tc>
        <w:tc>
          <w:tcPr>
            <w:tcW w:w="34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(34,002)</w:t>
            </w:r>
          </w:p>
        </w:tc>
        <w:tc>
          <w:tcPr>
            <w:tcW w:w="346"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11.27</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shares at July 1, 2026</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235,810</w:t>
            </w:r>
          </w:p>
        </w:tc>
        <w:tc>
          <w:tcPr>
            <w:tcW w:w="346"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11.87</w:t>
            </w:r>
          </w:p>
        </w:tc>
      </w:tr>
    </w:tbl>
    <w:p>
      <w:pPr>
        <w:pStyle w:val="TextBody"/>
        <w:shd w:fill="FFFFFF" w:val="clear"/>
        <w:bidi w:val="0"/>
        <w:spacing w:before="0" w:after="0"/>
        <w:ind w:left="0" w:right="0" w:hanging="0"/>
        <w:jc w:val="left"/>
        <w:rPr/>
      </w:pPr>
      <w:r>
        <w:rPr/>
        <w:t>​</w:t>
      </w:r>
    </w:p>
    <w:p>
      <w:pPr>
        <w:pStyle w:val="TextBody"/>
        <w:shd w:fill="FFFFFF" w:val="clear"/>
        <w:bidi w:val="0"/>
        <w:spacing w:before="0" w:after="24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5. LONG-TERM DEBT</w:t>
      </w:r>
    </w:p>
    <w:p>
      <w:pPr>
        <w:pStyle w:val="TextBody"/>
        <w:bidi w:val="0"/>
        <w:spacing w:before="120" w:after="240"/>
        <w:ind w:left="0" w:right="0" w:firstLine="490"/>
        <w:jc w:val="both"/>
        <w:rPr>
          <w:rFonts w:ascii="Times New Roman;Times;serif" w:hAnsi="Times New Roman;Times;serif"/>
          <w:sz w:val="20"/>
        </w:rPr>
      </w:pPr>
      <w:r>
        <w:rPr>
          <w:rFonts w:ascii="Times New Roman;Times;serif" w:hAnsi="Times New Roman;Times;serif"/>
          <w:sz w:val="20"/>
        </w:rPr>
        <w:t>On July 27, 2022, the Company entered into a credit agreement (the “2022 Credit Agreement”) among EPL, as borrower, the Company and Intermediate, as guarantors, Bank of America, N.A., as administrative agent, swingline lender, and letter of credit issuer, the lenders party thereto, and the other parties thereto, to refinance its $150.0 million five-year senior secured revolving credit facility (the “2022 Revolver”).</w:t>
      </w:r>
    </w:p>
    <w:p>
      <w:pPr>
        <w:pStyle w:val="TextBody"/>
        <w:bidi w:val="0"/>
        <w:spacing w:before="120" w:after="240"/>
        <w:ind w:left="0" w:right="0" w:firstLine="490"/>
        <w:jc w:val="both"/>
        <w:rPr>
          <w:rFonts w:ascii="Times New Roman;Times;serif" w:hAnsi="Times New Roman;Times;serif"/>
          <w:sz w:val="20"/>
        </w:rPr>
      </w:pPr>
      <w:r>
        <w:rPr>
          <w:rFonts w:ascii="Times New Roman;Times;serif" w:hAnsi="Times New Roman;Times;serif"/>
          <w:sz w:val="20"/>
        </w:rPr>
        <w:t>The 2022 Revolver includes a sub limit of $15.0 million for letters of credit and a sub limit of $15.0 million for swingline loans. The obligations under the 2022 Credit Agreement and related loan documents are guaranteed by Holdings and Intermediate. The obligations of Holdings, EPL and Intermediate under the 2022 Credit Agreement and related loan documents are secured by a first priority lien on substantially all of their respective assets subject to certain customary exceptions.</w:t>
      </w:r>
    </w:p>
    <w:p>
      <w:pPr>
        <w:pStyle w:val="TextBody"/>
        <w:bidi w:val="0"/>
        <w:spacing w:before="120" w:after="240"/>
        <w:ind w:left="0" w:right="0" w:firstLine="490"/>
        <w:jc w:val="both"/>
        <w:rPr>
          <w:rFonts w:ascii="Times New Roman;Times;serif" w:hAnsi="Times New Roman;Times;serif"/>
          <w:sz w:val="20"/>
        </w:rPr>
      </w:pPr>
      <w:r>
        <w:rPr>
          <w:rFonts w:ascii="Times New Roman;Times;serif" w:hAnsi="Times New Roman;Times;serif"/>
          <w:sz w:val="20"/>
        </w:rPr>
        <w:t>Under the 2022 Revolver, Holdings is restricted from making certain payments such as cash dividends or share repurchases, except that it may, inter alia, (i) pay up to $1.0 million per year to repurchase or redeem qualified equity interests of Holdings held by past or present officers, directors, or employees (or their estates) of the Company upon death, disability, or termination of employment, and (ii) 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 (b) pay up to $0.5 million in any 12-month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 (d) make up to $5.0 million in other restricted payments per year, and (e) make other restricted payments, subject to its compliance, on a pro forma basis, with (x) a lease-adjusted consolidated leverage ratio not to exceed 4.25 times and (y) the financial covenants applicable to the 2022 Revolver. </w:t>
      </w:r>
    </w:p>
    <w:p>
      <w:pPr>
        <w:pStyle w:val="TextBody"/>
        <w:bidi w:val="0"/>
        <w:spacing w:before="120" w:after="240"/>
        <w:ind w:left="0" w:right="0" w:firstLine="490"/>
        <w:jc w:val="both"/>
        <w:rPr>
          <w:rFonts w:ascii="Times New Roman;Times;serif" w:hAnsi="Times New Roman;Times;serif"/>
          <w:sz w:val="20"/>
        </w:rPr>
      </w:pPr>
      <w:r>
        <w:rPr>
          <w:rFonts w:ascii="Times New Roman;Times;serif" w:hAnsi="Times New Roman;Times;serif"/>
          <w:sz w:val="20"/>
        </w:rPr>
        <w:t>Borrowings under the 2022 Credit Agreement (other than any swingline loans) bear interest, at the borrower’s option, at rates based upon either the secured overnight financing rate (“SOFR”) or a base rate, plus, for each rate, a margin determined in accordance with a lease-adjusted consolidated leverage ratio-based pricing grid. The base rate is calculated as the highest of (a) the federal funds rate plus 0.50%, (b) the published Bank of America prime rate, or (c) Term SOFR with a term of one-month SOFR plus 1.00%. For Term SOFR loans, the margin is in the range of 1.25% to 2.25%, and for base rate loans the margin is in a range of 0.25% to 1.25%. Borrowings under the 2022 Revolver may be repaid and reborrowed. The interest rate range under the 2022 Revolver was 4.97% to 5.02% and 4.97% to 7.00% for the thirteen and twenty-six weeks ended July 1, 2026, and 5.67% to 5.93% and 5.65% to 7.75% for the thirteen and twenty-six weeks ended June 25, 2025, respectively.</w:t>
      </w:r>
    </w:p>
    <w:p>
      <w:pPr>
        <w:pStyle w:val="TextBody"/>
        <w:bidi w:val="0"/>
        <w:spacing w:before="120" w:after="240"/>
        <w:ind w:left="0" w:right="0" w:firstLine="490"/>
        <w:jc w:val="both"/>
        <w:rPr>
          <w:rFonts w:ascii="Times New Roman;Times;serif" w:hAnsi="Times New Roman;Times;serif"/>
          <w:sz w:val="20"/>
        </w:rPr>
      </w:pPr>
      <w:r>
        <w:rPr>
          <w:rFonts w:ascii="Times New Roman;Times;serif" w:hAnsi="Times New Roman;Times;serif"/>
          <w:sz w:val="20"/>
        </w:rPr>
        <w:t xml:space="preserve">The 2022 Credit Agreement contains certain customary financial covenants, which covenants are subject to certain exceptions. The Company was in compliance with all financial covenants as of July 1, 2026. </w:t>
      </w:r>
    </w:p>
    <w:p>
      <w:pPr>
        <w:pStyle w:val="TextBody"/>
        <w:bidi w:val="0"/>
        <w:spacing w:before="120" w:after="240"/>
        <w:ind w:left="0" w:right="0" w:firstLine="490"/>
        <w:jc w:val="both"/>
        <w:rPr>
          <w:rFonts w:ascii="Times New Roman;Times;serif" w:hAnsi="Times New Roman;Times;serif"/>
          <w:sz w:val="20"/>
        </w:rPr>
      </w:pPr>
      <w:r>
        <w:rPr>
          <w:rFonts w:ascii="Times New Roman;Times;serif" w:hAnsi="Times New Roman;Times;serif"/>
          <w:sz w:val="20"/>
        </w:rPr>
        <w:t>At July 1, 2026, the Company had $30.0 million in outstanding borrowing under the 2022 Revolver and one letter of credit in the amount of $10.3 million outstanding, and as a result, the Company had $109.7 million in borrowing availability.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i/>
          <w:sz w:val="20"/>
        </w:rPr>
      </w:pPr>
      <w:r>
        <w:rPr>
          <w:rFonts w:ascii="Times New Roman;Times;serif" w:hAnsi="Times New Roman;Times;serif"/>
          <w:i/>
          <w:sz w:val="20"/>
        </w:rPr>
        <w:t>Maturities</w:t>
      </w:r>
    </w:p>
    <w:p>
      <w:pPr>
        <w:pStyle w:val="TextBody"/>
        <w:bidi w:val="0"/>
        <w:spacing w:before="120" w:after="240"/>
        <w:ind w:left="0" w:right="0" w:firstLine="490"/>
        <w:jc w:val="both"/>
        <w:rPr>
          <w:rFonts w:ascii="Times New Roman;Times;serif" w:hAnsi="Times New Roman;Times;serif"/>
          <w:sz w:val="20"/>
        </w:rPr>
      </w:pPr>
      <w:r>
        <w:rPr>
          <w:rFonts w:ascii="Times New Roman;Times;serif" w:hAnsi="Times New Roman;Times;serif"/>
          <w:sz w:val="20"/>
        </w:rPr>
        <w:t xml:space="preserve">During the thirteen and twenty-six weeks ended July 1, 2026, the Company had $5.0 million of borrowings, and paid down $19.0 million and $26.0 million, on the 2022 Revolver. During the thirteen and twenty-six weeks ended June 25, 2025, the Company borrowed $2.0 million and $8.0 million, respectively, and paid down $6.0 million and $10.0 million, respectively, on the 2022 Revolver. </w:t>
      </w:r>
    </w:p>
    <w:p>
      <w:pPr>
        <w:pStyle w:val="TextBody"/>
        <w:bidi w:val="0"/>
        <w:spacing w:before="360" w:after="0"/>
        <w:ind w:left="0" w:right="0" w:hanging="0"/>
        <w:jc w:val="both"/>
        <w:rPr>
          <w:rFonts w:ascii="Times New Roman;Times;serif" w:hAnsi="Times New Roman;Times;serif"/>
          <w:b/>
          <w:sz w:val="20"/>
        </w:rPr>
      </w:pPr>
      <w:bookmarkStart w:id="833" w:name="Tc_-Hl5jg9LNkWAD7YxkJYeYg_13_5"/>
      <w:bookmarkStart w:id="834" w:name="Tc_aKuiI0JxmUeITBGZo9qq9w_13_2"/>
      <w:bookmarkStart w:id="835" w:name="Tc_oyICMaCi-0iCZbhEDdJqVQ_13_0"/>
      <w:bookmarkStart w:id="836" w:name="Tc_Jy_DA4oj9kmDw8NKV2LBVg_12_0"/>
      <w:bookmarkStart w:id="837" w:name="Tc_IrT7WVAk8EGiSGUpz3dWSQ_11_0"/>
      <w:bookmarkStart w:id="838" w:name="Tc_MUelwM6oxE-gE_rqsl-MRg_10_0"/>
      <w:bookmarkStart w:id="839" w:name="Tc_lD4auE9iEEiLL3vOyEI-ug_9_0"/>
      <w:bookmarkStart w:id="840" w:name="Tc_CCkOLOBCUUefA2P2z8flXQ_8_0"/>
      <w:bookmarkStart w:id="841" w:name="Tc_aMH7bqFY5EmOdohG7cH5-w_7_0"/>
      <w:bookmarkStart w:id="842" w:name="Tc_jiPdbqB56UK8BZCu9qYNKA_6_3"/>
      <w:bookmarkStart w:id="843" w:name="Tc_a7hGSBVJYEG5Oh7EhbAbmQ_6_0"/>
      <w:bookmarkStart w:id="844" w:name="Tc_TswiowvAHky-3NcxlevK2Q_5_0"/>
      <w:bookmarkStart w:id="845" w:name="Tc_bs4R6hTua0CoV4RYMtTxCg_4_0"/>
      <w:bookmarkStart w:id="846" w:name="Tc_1lOO50m6g0iHEDTKP26gqA_3_0"/>
      <w:bookmarkStart w:id="847" w:name="Tc_5wu0stm3jk6xHjI3DfWzzw_2_5"/>
      <w:bookmarkStart w:id="848" w:name="Tc_4nhDYBssEk2OOxffFihzmw_2_2"/>
      <w:bookmarkStart w:id="849" w:name="Tc_1FjfB1qyRUmMQsFDN2x2mg_2_0"/>
      <w:bookmarkStart w:id="850" w:name="Tc_RrvefncQXEOVZnUdy52FBg_1_5"/>
      <w:bookmarkStart w:id="851" w:name="Tc_kqJ1qP2VZUKyoLYLrKjJzw_1_2"/>
      <w:bookmarkStart w:id="852" w:name="_38d594b6_2f46_445d_b4e2_ece16498b2ac"/>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r>
        <w:rPr>
          <w:rFonts w:ascii="Times New Roman;Times;serif" w:hAnsi="Times New Roman;Times;serif"/>
          <w:b/>
          <w:sz w:val="20"/>
        </w:rPr>
        <w:t>6. OTHER ACCRUED EXPENSES AND CURRENT LIABILITIES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Other accrued expenses and current liabilities consist of the following (in thousands):</w:t>
      </w:r>
    </w:p>
    <w:p>
      <w:pPr>
        <w:pStyle w:val="TextBody"/>
        <w:bidi w:val="0"/>
        <w:spacing w:before="0" w:after="240"/>
        <w:ind w:left="0" w:right="0" w:hanging="0"/>
        <w:jc w:val="both"/>
        <w:rPr/>
      </w:pPr>
      <w:r>
        <w:rPr/>
        <w:t>​</w:t>
      </w:r>
    </w:p>
    <w:tbl>
      <w:tblPr>
        <w:tblW w:w="7864" w:type="dxa"/>
        <w:jc w:val="left"/>
        <w:tblInd w:w="0" w:type="dxa"/>
        <w:tblLayout w:type="fixed"/>
        <w:tblCellMar>
          <w:top w:w="0" w:type="dxa"/>
          <w:left w:w="0" w:type="dxa"/>
          <w:bottom w:w="0" w:type="dxa"/>
          <w:right w:w="0" w:type="dxa"/>
        </w:tblCellMar>
      </w:tblPr>
      <w:tblGrid>
        <w:gridCol w:w="4261"/>
        <w:gridCol w:w="346"/>
        <w:gridCol w:w="271"/>
        <w:gridCol w:w="870"/>
        <w:gridCol w:w="346"/>
        <w:gridCol w:w="372"/>
        <w:gridCol w:w="1398"/>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705735" cy="175260"/>
                      <wp:effectExtent l="0" t="0" r="0" b="0"/>
                      <wp:wrapNone/>
                      <wp:docPr id="117" name="Frame117"/>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8"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72085" cy="175260"/>
                      <wp:effectExtent l="0" t="0" r="0" b="0"/>
                      <wp:wrapNone/>
                      <wp:docPr id="119" name="Frame11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552450" cy="175260"/>
                      <wp:effectExtent l="0" t="0" r="0" b="0"/>
                      <wp:wrapNone/>
                      <wp:docPr id="120" name="Frame120"/>
                      <a:graphic xmlns:a="http://schemas.openxmlformats.org/drawingml/2006/main">
                        <a:graphicData uri="http://schemas.microsoft.com/office/word/2010/wordprocessingShape">
                          <wps:wsp>
                            <wps:cNvSpPr txBox="1"/>
                            <wps:spPr>
                              <a:xfrm>
                                <a:off x="0" y="0"/>
                                <a:ext cx="552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36220" cy="175260"/>
                      <wp:effectExtent l="0" t="0" r="0" b="0"/>
                      <wp:wrapNone/>
                      <wp:docPr id="122" name="Frame122"/>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887730" cy="175260"/>
                      <wp:effectExtent l="0" t="0" r="0" b="0"/>
                      <wp:wrapNone/>
                      <wp:docPr id="123" name="Frame123"/>
                      <a:graphic xmlns:a="http://schemas.openxmlformats.org/drawingml/2006/main">
                        <a:graphicData uri="http://schemas.microsoft.com/office/word/2010/wordprocessingShape">
                          <wps:wsp>
                            <wps:cNvSpPr txBox="1"/>
                            <wps:spPr>
                              <a:xfrm>
                                <a:off x="0" y="0"/>
                                <a:ext cx="887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July 1, 2026</w:t>
            </w:r>
          </w:p>
        </w:tc>
        <w:tc>
          <w:tcPr>
            <w:tcW w:w="346" w:type="dxa"/>
            <w:tcBorders/>
            <w:vAlign w:val="center"/>
          </w:tcPr>
          <w:p>
            <w:pPr>
              <w:pStyle w:val="TableContents"/>
              <w:bidi w:val="0"/>
              <w:spacing w:before="0" w:after="0"/>
              <w:ind w:left="0" w:right="0" w:hanging="0"/>
              <w:jc w:val="left"/>
              <w:rPr/>
            </w:pPr>
            <w:r>
              <w:rPr/>
              <w:t>  ​ ​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insurance</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11,375</w:t>
            </w:r>
          </w:p>
        </w:tc>
        <w:tc>
          <w:tcPr>
            <w:tcW w:w="346"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11,987</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salaries and vacation</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10,039</w:t>
            </w:r>
          </w:p>
        </w:tc>
        <w:tc>
          <w:tcPr>
            <w:tcW w:w="346"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pPr>
            <w:r>
              <w:rPr/>
              <w:t>​</w:t>
            </w:r>
          </w:p>
        </w:tc>
        <w:tc>
          <w:tcPr>
            <w:tcW w:w="13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11,070</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sales and property taxes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4,602</w:t>
            </w:r>
          </w:p>
        </w:tc>
        <w:tc>
          <w:tcPr>
            <w:tcW w:w="346"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pPr>
            <w:r>
              <w:rPr/>
              <w:t>​</w:t>
            </w:r>
          </w:p>
        </w:tc>
        <w:tc>
          <w:tcPr>
            <w:tcW w:w="13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6,408</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Gift card liability</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5,285</w:t>
            </w:r>
          </w:p>
        </w:tc>
        <w:tc>
          <w:tcPr>
            <w:tcW w:w="346"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pPr>
            <w:r>
              <w:rPr/>
              <w:t>​</w:t>
            </w:r>
          </w:p>
        </w:tc>
        <w:tc>
          <w:tcPr>
            <w:tcW w:w="13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5,559</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advertising</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pPr>
            <w:r>
              <w:rPr/>
              <w:t>​</w:t>
            </w:r>
          </w:p>
        </w:tc>
        <w:tc>
          <w:tcPr>
            <w:tcW w:w="13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2,438</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income taxes payable</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w:t>
            </w:r>
          </w:p>
        </w:tc>
        <w:tc>
          <w:tcPr>
            <w:tcW w:w="346"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pPr>
            <w:r>
              <w:rPr/>
              <w:t> </w:t>
            </w:r>
          </w:p>
        </w:tc>
        <w:tc>
          <w:tcPr>
            <w:tcW w:w="13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1,567</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Loyalty rewards program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w:t>
            </w:r>
          </w:p>
        </w:tc>
        <w:tc>
          <w:tcPr>
            <w:tcW w:w="346"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pPr>
            <w:r>
              <w:rPr/>
              <w:t>​</w:t>
            </w:r>
          </w:p>
        </w:tc>
        <w:tc>
          <w:tcPr>
            <w:tcW w:w="13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franchise and development fees</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w:t>
            </w:r>
          </w:p>
        </w:tc>
        <w:tc>
          <w:tcPr>
            <w:tcW w:w="346"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pPr>
            <w:r>
              <w:rPr/>
              <w:t>​</w:t>
            </w:r>
          </w:p>
        </w:tc>
        <w:tc>
          <w:tcPr>
            <w:tcW w:w="13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legal settlements and professional fees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c>
          <w:tcPr>
            <w:tcW w:w="346"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pPr>
            <w:r>
              <w:rPr/>
              <w:t> </w:t>
            </w:r>
          </w:p>
        </w:tc>
        <w:tc>
          <w:tcPr>
            <w:tcW w:w="13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pPr>
            <w:r>
              <w:rPr/>
              <w:t> </w:t>
            </w:r>
          </w:p>
        </w:tc>
        <w:tc>
          <w:tcPr>
            <w:tcW w:w="13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13,194</w:t>
            </w:r>
          </w:p>
        </w:tc>
        <w:tc>
          <w:tcPr>
            <w:tcW w:w="346" w:type="dxa"/>
            <w:tcBorders/>
            <w:shd w:fill="CCEEFF" w:val="clear"/>
            <w:vAlign w:val="center"/>
          </w:tcPr>
          <w:p>
            <w:pPr>
              <w:pStyle w:val="TableContents"/>
              <w:bidi w:val="0"/>
              <w:spacing w:before="0" w:after="0"/>
              <w:ind w:left="0" w:right="0" w:hanging="0"/>
              <w:jc w:val="left"/>
              <w:rPr/>
            </w:pPr>
            <w:r>
              <w:rPr/>
              <w:t>​</w:t>
            </w:r>
          </w:p>
        </w:tc>
        <w:tc>
          <w:tcPr>
            <w:tcW w:w="3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4,026</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accrued expenses and current liabilities</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47,272</w:t>
            </w:r>
          </w:p>
        </w:tc>
        <w:tc>
          <w:tcPr>
            <w:tcW w:w="346" w:type="dxa"/>
            <w:tcBorders/>
            <w:vAlign w:val="center"/>
          </w:tcPr>
          <w:p>
            <w:pPr>
              <w:pStyle w:val="TableContents"/>
              <w:bidi w:val="0"/>
              <w:spacing w:before="0" w:after="0"/>
              <w:ind w:left="0" w:right="0" w:hanging="0"/>
              <w:jc w:val="left"/>
              <w:rPr/>
            </w:pPr>
            <w:r>
              <w:rPr/>
              <w:t>​</w:t>
            </w:r>
          </w:p>
        </w:tc>
        <w:tc>
          <w:tcPr>
            <w:tcW w:w="37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8"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45,653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60" w:after="0"/>
        <w:ind w:left="0" w:right="0" w:hanging="0"/>
        <w:jc w:val="both"/>
        <w:rPr>
          <w:rFonts w:ascii="Times New Roman;Times;serif" w:hAnsi="Times New Roman;Times;serif"/>
          <w:b/>
          <w:sz w:val="20"/>
        </w:rPr>
      </w:pPr>
      <w:bookmarkStart w:id="853" w:name="Tc_NDsSAsNwmkewM4g2A8wZCA_4_5"/>
      <w:bookmarkStart w:id="854" w:name="Tc_FDdqyuiLDkGX0sSHMbZ4Jg_4_2"/>
      <w:bookmarkStart w:id="855" w:name="Tc_j4S9VUOHK0KkksDLeWpjDw_4_0"/>
      <w:bookmarkStart w:id="856" w:name="Tc_N7v8HB80Nke3Nb1v-Jfzvg_3_0"/>
      <w:bookmarkStart w:id="857" w:name="Tc_7cu1TwQ45Uyp8Dk4WvDOwg_2_5"/>
      <w:bookmarkStart w:id="858" w:name="Tc_7Zvz6ALiyEeyl3cxvq3nPA_2_2"/>
      <w:bookmarkStart w:id="859" w:name="Tc_cBjT_KbeJEO7B5ChipbMxw_2_0"/>
      <w:bookmarkStart w:id="860" w:name="Tc_0pLfGHjz1USzPSwyZhuRCQ_1_5"/>
      <w:bookmarkStart w:id="861" w:name="Tc_XOnidOUaokGoJElPv4cpGg_1_2"/>
      <w:bookmarkStart w:id="862" w:name="_2b00bec7_54c7_42d5_b9ba_b1bf68957360"/>
      <w:bookmarkEnd w:id="853"/>
      <w:bookmarkEnd w:id="854"/>
      <w:bookmarkEnd w:id="855"/>
      <w:bookmarkEnd w:id="856"/>
      <w:bookmarkEnd w:id="857"/>
      <w:bookmarkEnd w:id="858"/>
      <w:bookmarkEnd w:id="859"/>
      <w:bookmarkEnd w:id="860"/>
      <w:bookmarkEnd w:id="861"/>
      <w:bookmarkEnd w:id="862"/>
      <w:r>
        <w:rPr>
          <w:rFonts w:ascii="Times New Roman;Times;serif" w:hAnsi="Times New Roman;Times;serif"/>
          <w:b/>
          <w:sz w:val="20"/>
        </w:rPr>
        <w:t>7. OTHER NONCURRENT LIABILITIES</w:t>
      </w:r>
    </w:p>
    <w:p>
      <w:pPr>
        <w:pStyle w:val="TextBody"/>
        <w:bidi w:val="0"/>
        <w:spacing w:before="120" w:after="120"/>
        <w:ind w:left="0" w:right="0" w:firstLine="490"/>
        <w:jc w:val="both"/>
        <w:rPr>
          <w:rFonts w:ascii="Times New Roman;Times;serif" w:hAnsi="Times New Roman;Times;serif"/>
          <w:sz w:val="20"/>
        </w:rPr>
      </w:pPr>
      <w:r>
        <w:rPr>
          <w:rFonts w:ascii="Times New Roman;Times;serif" w:hAnsi="Times New Roman;Times;serif"/>
          <w:sz w:val="20"/>
        </w:rPr>
        <w:t>Other noncurrent liabilities consist of the following (in thousands):</w:t>
      </w:r>
    </w:p>
    <w:tbl>
      <w:tblPr>
        <w:tblW w:w="7009" w:type="dxa"/>
        <w:jc w:val="left"/>
        <w:tblInd w:w="0" w:type="dxa"/>
        <w:tblLayout w:type="fixed"/>
        <w:tblCellMar>
          <w:top w:w="0" w:type="dxa"/>
          <w:left w:w="0" w:type="dxa"/>
          <w:bottom w:w="0" w:type="dxa"/>
          <w:right w:w="0" w:type="dxa"/>
        </w:tblCellMar>
      </w:tblPr>
      <w:tblGrid>
        <w:gridCol w:w="3406"/>
        <w:gridCol w:w="346"/>
        <w:gridCol w:w="307"/>
        <w:gridCol w:w="834"/>
        <w:gridCol w:w="346"/>
        <w:gridCol w:w="416"/>
        <w:gridCol w:w="1354"/>
      </w:tblGrid>
      <w:tr>
        <w:trPr/>
        <w:tc>
          <w:tcPr>
            <w:tcW w:w="3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62810" cy="175260"/>
                      <wp:effectExtent l="0" t="0" r="0" b="0"/>
                      <wp:wrapNone/>
                      <wp:docPr id="124" name="Frame124"/>
                      <a:graphic xmlns:a="http://schemas.openxmlformats.org/drawingml/2006/main">
                        <a:graphicData uri="http://schemas.microsoft.com/office/word/2010/wordprocessingShape">
                          <wps:wsp>
                            <wps:cNvSpPr txBox="1"/>
                            <wps:spPr>
                              <a:xfrm>
                                <a:off x="0" y="0"/>
                                <a:ext cx="2162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94945" cy="175260"/>
                      <wp:effectExtent l="0" t="0" r="0" b="0"/>
                      <wp:wrapNone/>
                      <wp:docPr id="126" name="Frame126"/>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29590" cy="175260"/>
                      <wp:effectExtent l="0" t="0" r="0" b="0"/>
                      <wp:wrapNone/>
                      <wp:docPr id="127" name="Frame127"/>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8"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64160" cy="175260"/>
                      <wp:effectExtent l="0" t="0" r="0" b="0"/>
                      <wp:wrapNone/>
                      <wp:docPr id="129" name="Frame129"/>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859790" cy="175260"/>
                      <wp:effectExtent l="0" t="0" r="0" b="0"/>
                      <wp:wrapNone/>
                      <wp:docPr id="130" name="Frame130"/>
                      <a:graphic xmlns:a="http://schemas.openxmlformats.org/drawingml/2006/main">
                        <a:graphicData uri="http://schemas.microsoft.com/office/word/2010/wordprocessingShape">
                          <wps:wsp>
                            <wps:cNvSpPr txBox="1"/>
                            <wps:spPr>
                              <a:xfrm>
                                <a:off x="0" y="0"/>
                                <a:ext cx="859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July 1, 2026</w:t>
            </w:r>
          </w:p>
        </w:tc>
        <w:tc>
          <w:tcPr>
            <w:tcW w:w="346" w:type="dxa"/>
            <w:tcBorders/>
            <w:vAlign w:val="center"/>
          </w:tcPr>
          <w:p>
            <w:pPr>
              <w:pStyle w:val="TableContents"/>
              <w:bidi w:val="0"/>
              <w:spacing w:before="0" w:after="0"/>
              <w:ind w:left="0" w:right="0" w:hanging="0"/>
              <w:jc w:val="left"/>
              <w:rPr/>
            </w:pPr>
            <w:r>
              <w:rPr/>
              <w:t>  ​ ​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franchise and development fees</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5,604</w:t>
            </w:r>
          </w:p>
        </w:tc>
        <w:tc>
          <w:tcPr>
            <w:tcW w:w="346"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5,607</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0" w:after="0"/>
              <w:ind w:left="0" w:right="0" w:hanging="0"/>
              <w:jc w:val="left"/>
              <w:rPr/>
            </w:pPr>
            <w:r>
              <w:rPr/>
              <w:t>​</w:t>
            </w:r>
          </w:p>
        </w:tc>
        <w:tc>
          <w:tcPr>
            <w:tcW w:w="4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noncurrent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5,630</w:t>
            </w:r>
          </w:p>
        </w:tc>
        <w:tc>
          <w:tcPr>
            <w:tcW w:w="346" w:type="dxa"/>
            <w:tcBorders/>
            <w:shd w:fill="CCEEFF" w:val="clear"/>
            <w:vAlign w:val="center"/>
          </w:tcPr>
          <w:p>
            <w:pPr>
              <w:pStyle w:val="TableContents"/>
              <w:bidi w:val="0"/>
              <w:spacing w:before="0" w:after="0"/>
              <w:ind w:left="0" w:right="0" w:hanging="0"/>
              <w:jc w:val="left"/>
              <w:rPr/>
            </w:pPr>
            <w:r>
              <w:rPr/>
              <w:t>​</w:t>
            </w:r>
          </w:p>
        </w:tc>
        <w:tc>
          <w:tcPr>
            <w:tcW w:w="4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4"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5,633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60" w:after="0"/>
        <w:ind w:left="0" w:right="0" w:hanging="0"/>
        <w:jc w:val="both"/>
        <w:rPr>
          <w:rFonts w:ascii="Times New Roman;Times;serif" w:hAnsi="Times New Roman;Times;serif"/>
          <w:b/>
          <w:sz w:val="20"/>
        </w:rPr>
      </w:pPr>
      <w:r>
        <w:rPr>
          <w:rFonts w:ascii="Times New Roman;Times;serif" w:hAnsi="Times New Roman;Times;serif"/>
          <w:b/>
          <w:sz w:val="20"/>
        </w:rPr>
        <w:t>8. COMMITMENTS AND CONTINGENCIES</w:t>
      </w:r>
    </w:p>
    <w:p>
      <w:pPr>
        <w:pStyle w:val="TextBody"/>
        <w:bidi w:val="0"/>
        <w:spacing w:before="120" w:after="0"/>
        <w:ind w:left="0" w:right="0" w:firstLine="490"/>
        <w:jc w:val="both"/>
        <w:rPr>
          <w:rFonts w:ascii="Times New Roman;Times;serif" w:hAnsi="Times New Roman;Times;serif"/>
          <w:i/>
          <w:sz w:val="20"/>
        </w:rPr>
      </w:pPr>
      <w:r>
        <w:rPr>
          <w:rFonts w:ascii="Times New Roman;Times;serif" w:hAnsi="Times New Roman;Times;serif"/>
          <w:i/>
          <w:sz w:val="20"/>
        </w:rPr>
        <w:t>Legal Matters</w:t>
      </w:r>
    </w:p>
    <w:p>
      <w:pPr>
        <w:pStyle w:val="TextBody"/>
        <w:shd w:fill="FFFFFF" w:val="clear"/>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From time to time, the Company is involved in various claims such as wage and hour, consumer, and other legal actions that arise in the ordinary course of business. The outcomes of these actions are not predictable but the Company does not believe that the ultimate resolution of these actions will have a material adverse effect on its financial position, results of operations, liquidity, or capital resources. A significant increase in the number of claims, or an increase in amounts owing under successful claims, could materially and adversely affect the Company’s business, consolidated financial condition, results of operations, and cash flows.</w:t>
      </w:r>
    </w:p>
    <w:p>
      <w:pPr>
        <w:pStyle w:val="TextBody"/>
        <w:pBdr/>
        <w:bidi w:val="0"/>
        <w:spacing w:before="0" w:after="0"/>
        <w:ind w:left="0" w:right="0" w:firstLine="490"/>
        <w:jc w:val="both"/>
        <w:rPr>
          <w:rFonts w:ascii="Times New Roman;Times;serif" w:hAnsi="Times New Roman;Times;serif"/>
          <w:i/>
          <w:sz w:val="20"/>
        </w:rPr>
      </w:pPr>
      <w:r>
        <w:rPr>
          <w:rFonts w:ascii="Times New Roman;Times;serif" w:hAnsi="Times New Roman;Times;serif"/>
          <w:i/>
          <w:sz w:val="20"/>
        </w:rPr>
        <w:t>Purchase Commitments</w:t>
      </w:r>
    </w:p>
    <w:p>
      <w:pPr>
        <w:pStyle w:val="TextBody"/>
        <w:shd w:fill="FFFFFF" w:val="clear"/>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The Company has long-term beverage supply agreements with certain major beverage vendors. Pursuant to the terms of these arrangements, volume and marketing rebates are provided to the Company and its franchisees from the beverage vendors based upon the dollar volume of purchases for system-wide restaurants, which purchases will vary according to their demand for beverage syrup and fluctuations in the market rates for beverage syrup. These contracts have terms extending through the end of 2032.</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As of July 1, 2026, the Company’s total estimated commitment to purchase chicken was $4.9 million.</w:t>
      </w:r>
    </w:p>
    <w:p>
      <w:pPr>
        <w:pStyle w:val="TextBody"/>
        <w:pBdr/>
        <w:bidi w:val="0"/>
        <w:spacing w:before="0" w:after="240"/>
        <w:ind w:left="0" w:right="0" w:firstLine="49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i/>
          <w:sz w:val="20"/>
        </w:rPr>
      </w:pPr>
      <w:r>
        <w:rPr>
          <w:rFonts w:ascii="Times New Roman;Times;serif" w:hAnsi="Times New Roman;Times;serif"/>
          <w:i/>
          <w:sz w:val="20"/>
        </w:rPr>
        <w:t>Contingent Lease Obligations</w:t>
      </w:r>
    </w:p>
    <w:p>
      <w:pPr>
        <w:pStyle w:val="TextBody"/>
        <w:shd w:fill="FFFFFF" w:val="clear"/>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 xml:space="preserve">As a result of assigning the Company’s interest in obligations under real estate leases in connection with the sale of company-operated restaurants to some of the Company’s franchisees, the Company is contingently liable on these lease agreements. These leases have various terms, the latest of which expires in 2038. As of July 1, 2026, the potential amount of undiscounted payments the Company could be required to make in the event of non-payment by the primary lessees was $11.5 million. The present value of these potential payments discounted at the Company’s estimated pre-tax cost of debt at July 1, 2026 was $9.2 million. The Company’s franchisees are primarily liable on the leases. The Company has cross-default and indemnification provisions with these franchisees that would put them in default of their franchise agreements and require payment to the Company in the event of non-payment under the leases. The Company believes that these cross-default and indemnification provisions reduce the risk that payments will be required to be made by the Company under these leases. </w:t>
      </w:r>
    </w:p>
    <w:p>
      <w:pPr>
        <w:pStyle w:val="TextBody"/>
        <w:pBdr/>
        <w:bidi w:val="0"/>
        <w:spacing w:before="0" w:after="0"/>
        <w:ind w:left="0" w:right="0" w:firstLine="490"/>
        <w:jc w:val="both"/>
        <w:rPr>
          <w:rFonts w:ascii="Times New Roman;Times;serif" w:hAnsi="Times New Roman;Times;serif"/>
          <w:i/>
          <w:sz w:val="20"/>
        </w:rPr>
      </w:pPr>
      <w:r>
        <w:rPr>
          <w:rFonts w:ascii="Times New Roman;Times;serif" w:hAnsi="Times New Roman;Times;serif"/>
          <w:i/>
          <w:sz w:val="20"/>
        </w:rPr>
        <w:t>Employment Agreements</w:t>
      </w:r>
    </w:p>
    <w:p>
      <w:pPr>
        <w:pStyle w:val="TextBody"/>
        <w:shd w:fill="FFFFFF" w:val="clear"/>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As of July 1, 2026, the Company had employment agreements with three of the officers of the Company. These agreements provide for minimum salary levels, possible annual adjustments for cost-of-living changes, and incentive bonuses that are payable under certain business conditions.</w:t>
      </w:r>
    </w:p>
    <w:p>
      <w:pPr>
        <w:pStyle w:val="TextBody"/>
        <w:pBdr/>
        <w:bidi w:val="0"/>
        <w:spacing w:before="0" w:after="0"/>
        <w:ind w:left="0" w:right="0" w:firstLine="490"/>
        <w:jc w:val="both"/>
        <w:rPr>
          <w:rFonts w:ascii="Times New Roman;Times;serif" w:hAnsi="Times New Roman;Times;serif"/>
          <w:i/>
          <w:sz w:val="20"/>
        </w:rPr>
      </w:pPr>
      <w:r>
        <w:rPr>
          <w:rFonts w:ascii="Times New Roman;Times;serif" w:hAnsi="Times New Roman;Times;serif"/>
          <w:i/>
          <w:sz w:val="20"/>
        </w:rPr>
        <w:t>Indemnification Agreements</w:t>
      </w:r>
    </w:p>
    <w:p>
      <w:pPr>
        <w:pStyle w:val="TextBody"/>
        <w:shd w:fill="FFFFFF" w:val="clear"/>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The Company has entered into indemnification agreements with each of its current directors and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officers.</w:t>
      </w:r>
    </w:p>
    <w:p>
      <w:pPr>
        <w:pStyle w:val="TextBody"/>
        <w:pBdr/>
        <w:bidi w:val="0"/>
        <w:spacing w:before="0" w:after="0"/>
        <w:ind w:left="0" w:right="0" w:hanging="0"/>
        <w:jc w:val="both"/>
        <w:rPr>
          <w:rFonts w:ascii="Times New Roman;Times;serif" w:hAnsi="Times New Roman;Times;serif"/>
          <w:b/>
          <w:sz w:val="20"/>
        </w:rPr>
      </w:pPr>
      <w:bookmarkStart w:id="863" w:name="Tc_p2ZKonvyFkK70ft4AbnM7A_5_0"/>
      <w:bookmarkStart w:id="864" w:name="Tc_AGu3Y3xXhkyYoutVz39Acg_4_0"/>
      <w:bookmarkStart w:id="865" w:name="Tc_YxukYa6hHU6vnNa9Pszhow_3_0"/>
      <w:bookmarkStart w:id="866" w:name="Tc_QJ7NJJxfb0qsrIdgkkdzoQ_2_8"/>
      <w:bookmarkStart w:id="867" w:name="Tc__5UBEO9gFESL3gyey7BYjQ_2_6"/>
      <w:bookmarkStart w:id="868" w:name="Tc_iyxMBleKkEKZZTxy1j1h0Q_2_4"/>
      <w:bookmarkStart w:id="869" w:name="Tc_T9dKHhnMCUCtD6M9IC8TNg_2_2"/>
      <w:bookmarkStart w:id="870" w:name="Tc_HU5uvduK9EWMXLiipmoR8Q_1_6"/>
      <w:bookmarkStart w:id="871" w:name="Tc_ZUEAHGHGg0KVmFtKuKmttw_1_2"/>
      <w:bookmarkStart w:id="872" w:name="_48799ab0_99fe_4b71_b1ad_304413bd705f"/>
      <w:bookmarkStart w:id="873" w:name="Tc_f3yFF6WB6E2N9wQRQNLwGA_11_0"/>
      <w:bookmarkStart w:id="874" w:name="Tc_g4LgzpXCvkalgAdX3LJZ_A_10_11"/>
      <w:bookmarkStart w:id="875" w:name="Tc_-5aS5AkAQE2uYMPfgi3WoA_10_8"/>
      <w:bookmarkStart w:id="876" w:name="Tc_RWGYuiS5g0CnzRlDQTCwqw_10_5"/>
      <w:bookmarkStart w:id="877" w:name="Tc_q-txTMe7ukGQX8ntfOhEgg_10_2"/>
      <w:bookmarkStart w:id="878" w:name="Tc_E5IO-AWBL02gUJyQZRC4nQ_10_0"/>
      <w:bookmarkStart w:id="879" w:name="Tc_TB7XkzcMa02SWFLtsyFLVA_9_11"/>
      <w:bookmarkStart w:id="880" w:name="Tc_wifvHzkle0eyL7ZsIqjB0g_9_8"/>
      <w:bookmarkStart w:id="881" w:name="Tc_s2m0z_l3XEesdKnSTn3Gjg_9_5"/>
      <w:bookmarkStart w:id="882" w:name="Tc_kPHKX1wVcECPrIoM87pOVg_9_2"/>
      <w:bookmarkStart w:id="883" w:name="Tc_b15ulC7Z9kycD88aduWWNg_9_0"/>
      <w:bookmarkStart w:id="884" w:name="Tc_2Ph7hB0YB0GHRX_mUdlktA_8_0"/>
      <w:bookmarkStart w:id="885" w:name="Tc_mUPu4umbWUiIOcZ3qPM73g_7_0"/>
      <w:bookmarkStart w:id="886" w:name="Tc_8PgRf38NG0u0rkC93GD1cg_6_0"/>
      <w:bookmarkStart w:id="887" w:name="Tc_vUh14j7ytketeJBDp2GSkw_5_11"/>
      <w:bookmarkStart w:id="888" w:name="Tc_EAts_lQ6zUOs6izaKx24FQ_5_8"/>
      <w:bookmarkStart w:id="889" w:name="Tc_I7THUlaUZUWFZNOf57F2fw_5_5"/>
      <w:bookmarkStart w:id="890" w:name="Tc_Jv9dwlssCkOjxKnO5vb6wA_5_2"/>
      <w:bookmarkStart w:id="891" w:name="Tc_9NVXlk5r80KUUSTCLFC3Pw_5_0"/>
      <w:bookmarkStart w:id="892" w:name="Tc_4KAb6U8aK0ulS6J5FZCoeA_4_0"/>
      <w:bookmarkStart w:id="893" w:name="Tc_PGOg3wSXgESiPo66xVKIug_3_11"/>
      <w:bookmarkStart w:id="894" w:name="Tc_yn1MQofFG0SDMs7FHW2JbQ_3_8"/>
      <w:bookmarkStart w:id="895" w:name="Tc_4CaVt5jhck-jX5pkhf4IuA_3_5"/>
      <w:bookmarkStart w:id="896" w:name="Tc_cHoG_yLbzEuyjTfhslmR5w_3_2"/>
      <w:bookmarkStart w:id="897" w:name="Tc_4z2591K16ESQFQFPeQh0jg_2_8"/>
      <w:bookmarkStart w:id="898" w:name="Tc_hDHOrYho2EuiTIhDa-PQCw_2_2"/>
      <w:bookmarkStart w:id="899" w:name="_7525101f_5aec_478a_934a_947f2a559775"/>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r>
        <w:rPr>
          <w:rFonts w:ascii="Times New Roman;Times;serif" w:hAnsi="Times New Roman;Times;serif"/>
          <w:b/>
          <w:sz w:val="20"/>
        </w:rPr>
        <w:t>9. EARNINGS PER SHARE</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Basic earnings per share (“EPS”) is calculated using the weighted-average number of shares of common stock outstanding during the thirteen and twenty-six weeks ended July 1, 2026 and June 25, 2025. Diluted EPS is calculated using the weighted-average number of shares of common stock outstanding and potentially dilutive during the period, using the treasury stock method.</w:t>
      </w:r>
    </w:p>
    <w:p>
      <w:pPr>
        <w:pStyle w:val="TextBody"/>
        <w:bidi w:val="0"/>
        <w:spacing w:before="240" w:after="120"/>
        <w:ind w:left="0" w:right="0" w:firstLine="490"/>
        <w:jc w:val="both"/>
        <w:rPr>
          <w:rFonts w:ascii="Times New Roman;Times;serif" w:hAnsi="Times New Roman;Times;serif"/>
          <w:sz w:val="20"/>
        </w:rPr>
      </w:pPr>
      <w:r>
        <w:rPr>
          <w:rFonts w:ascii="Times New Roman;Times;serif" w:hAnsi="Times New Roman;Times;serif"/>
          <w:sz w:val="20"/>
        </w:rPr>
        <w:t>Below are basic and diluted EPS data for the periods indicated (in thousands except for share and per share data):</w:t>
      </w:r>
    </w:p>
    <w:tbl>
      <w:tblPr>
        <w:tblW w:w="10205" w:type="dxa"/>
        <w:jc w:val="left"/>
        <w:tblInd w:w="0" w:type="dxa"/>
        <w:tblLayout w:type="fixed"/>
        <w:tblCellMar>
          <w:top w:w="0" w:type="dxa"/>
          <w:left w:w="0" w:type="dxa"/>
          <w:bottom w:w="0" w:type="dxa"/>
          <w:right w:w="0" w:type="dxa"/>
        </w:tblCellMar>
      </w:tblPr>
      <w:tblGrid>
        <w:gridCol w:w="3730"/>
        <w:gridCol w:w="346"/>
        <w:gridCol w:w="211"/>
        <w:gridCol w:w="1036"/>
        <w:gridCol w:w="346"/>
        <w:gridCol w:w="215"/>
        <w:gridCol w:w="1061"/>
        <w:gridCol w:w="346"/>
        <w:gridCol w:w="211"/>
        <w:gridCol w:w="1036"/>
        <w:gridCol w:w="346"/>
        <w:gridCol w:w="215"/>
        <w:gridCol w:w="1106"/>
      </w:tblGrid>
      <w:tr>
        <w:trPr/>
        <w:tc>
          <w:tcPr>
            <w:tcW w:w="3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368550" cy="175260"/>
                      <wp:effectExtent l="0" t="0" r="0" b="0"/>
                      <wp:wrapNone/>
                      <wp:docPr id="131" name="Frame131"/>
                      <a:graphic xmlns:a="http://schemas.openxmlformats.org/drawingml/2006/main">
                        <a:graphicData uri="http://schemas.microsoft.com/office/word/2010/wordprocessingShape">
                          <wps:wsp>
                            <wps:cNvSpPr txBox="1"/>
                            <wps:spPr>
                              <a:xfrm>
                                <a:off x="0" y="0"/>
                                <a:ext cx="2368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2"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3"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57860" cy="175260"/>
                      <wp:effectExtent l="0" t="0" r="0" b="0"/>
                      <wp:wrapNone/>
                      <wp:docPr id="134" name="Frame13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35"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6525" cy="175260"/>
                      <wp:effectExtent l="0" t="0" r="0" b="0"/>
                      <wp:wrapNone/>
                      <wp:docPr id="136" name="Frame136"/>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73735" cy="175260"/>
                      <wp:effectExtent l="0" t="0" r="0" b="0"/>
                      <wp:wrapNone/>
                      <wp:docPr id="137" name="Frame137"/>
                      <a:graphic xmlns:a="http://schemas.openxmlformats.org/drawingml/2006/main">
                        <a:graphicData uri="http://schemas.microsoft.com/office/word/2010/wordprocessingShape">
                          <wps:wsp>
                            <wps:cNvSpPr txBox="1"/>
                            <wps:spPr>
                              <a:xfrm>
                                <a:off x="0" y="0"/>
                                <a:ext cx="673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39"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57860" cy="175260"/>
                      <wp:effectExtent l="0" t="0" r="0" b="0"/>
                      <wp:wrapNone/>
                      <wp:docPr id="140" name="Frame14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41"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6525" cy="175260"/>
                      <wp:effectExtent l="0" t="0" r="0" b="0"/>
                      <wp:wrapNone/>
                      <wp:docPr id="142" name="Frame142"/>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702310" cy="175260"/>
                      <wp:effectExtent l="0" t="0" r="0" b="0"/>
                      <wp:wrapNone/>
                      <wp:docPr id="143" name="Frame143"/>
                      <a:graphic xmlns:a="http://schemas.openxmlformats.org/drawingml/2006/main">
                        <a:graphicData uri="http://schemas.microsoft.com/office/word/2010/wordprocessingShape">
                          <wps:wsp>
                            <wps:cNvSpPr txBox="1"/>
                            <wps:spPr>
                              <a:xfrm>
                                <a:off x="0" y="0"/>
                                <a:ext cx="702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10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1106" w:type="dxa"/>
            <w:tcBorders/>
            <w:vAlign w:val="center"/>
          </w:tcPr>
          <w:p>
            <w:pPr>
              <w:pStyle w:val="TableContents"/>
              <w:bidi w:val="0"/>
              <w:spacing w:before="0" w:after="1"/>
              <w:ind w:left="0" w:right="0" w:hanging="0"/>
              <w:jc w:val="left"/>
              <w:rPr/>
            </w:pPr>
            <w:r>
              <w:rPr/>
              <w:t>​</w:t>
            </w:r>
          </w:p>
        </w:tc>
      </w:tr>
      <w:tr>
        <w:trPr/>
        <w:tc>
          <w:tcPr>
            <w:tcW w:w="37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6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Thirteen Weeks Ended</w:t>
            </w:r>
          </w:p>
        </w:tc>
        <w:tc>
          <w:tcPr>
            <w:tcW w:w="346" w:type="dxa"/>
            <w:tcBorders/>
            <w:vAlign w:val="center"/>
          </w:tcPr>
          <w:p>
            <w:pPr>
              <w:pStyle w:val="TableContents"/>
              <w:bidi w:val="0"/>
              <w:spacing w:before="0" w:after="1"/>
              <w:ind w:left="0" w:right="0" w:hanging="0"/>
              <w:jc w:val="left"/>
              <w:rPr/>
            </w:pPr>
            <w:r>
              <w:rPr/>
              <w:t>​</w:t>
            </w:r>
          </w:p>
        </w:tc>
        <w:tc>
          <w:tcPr>
            <w:tcW w:w="291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Twenty-Six Weeks Ended</w:t>
            </w:r>
          </w:p>
        </w:tc>
      </w:tr>
      <w:tr>
        <w:trPr/>
        <w:tc>
          <w:tcPr>
            <w:tcW w:w="37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July 1, 2026</w:t>
            </w:r>
          </w:p>
        </w:tc>
        <w:tc>
          <w:tcPr>
            <w:tcW w:w="346" w:type="dxa"/>
            <w:tcBorders/>
            <w:vAlign w:val="center"/>
          </w:tcPr>
          <w:p>
            <w:pPr>
              <w:pStyle w:val="TableContents"/>
              <w:bidi w:val="0"/>
              <w:spacing w:before="0" w:after="1"/>
              <w:ind w:left="0" w:right="0" w:hanging="0"/>
              <w:jc w:val="left"/>
              <w:rPr/>
            </w:pPr>
            <w:r>
              <w:rPr/>
              <w:t>  ​ ​ ​</w:t>
            </w:r>
          </w:p>
        </w:tc>
        <w:tc>
          <w:tcPr>
            <w:tcW w:w="12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25, 2025</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July 1, 2026</w:t>
            </w:r>
          </w:p>
        </w:tc>
        <w:tc>
          <w:tcPr>
            <w:tcW w:w="346" w:type="dxa"/>
            <w:tcBorders/>
            <w:vAlign w:val="center"/>
          </w:tcPr>
          <w:p>
            <w:pPr>
              <w:pStyle w:val="TableContents"/>
              <w:bidi w:val="0"/>
              <w:spacing w:before="0" w:after="1"/>
              <w:ind w:left="0" w:right="0" w:hanging="0"/>
              <w:jc w:val="left"/>
              <w:rPr/>
            </w:pPr>
            <w:r>
              <w:rPr/>
              <w:t>  ​ ​ ​</w:t>
            </w:r>
          </w:p>
        </w:tc>
        <w:tc>
          <w:tcPr>
            <w:tcW w:w="13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25, 2025</w:t>
            </w:r>
          </w:p>
        </w:tc>
      </w:tr>
      <w:tr>
        <w:trPr/>
        <w:tc>
          <w:tcPr>
            <w:tcW w:w="37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5" w:type="dxa"/>
            <w:tcBorders/>
            <w:shd w:fill="CCEEFF" w:val="clear"/>
            <w:vAlign w:val="center"/>
          </w:tcPr>
          <w:p>
            <w:pPr>
              <w:pStyle w:val="TableContents"/>
              <w:bidi w:val="0"/>
              <w:spacing w:before="0" w:after="1"/>
              <w:ind w:left="0" w:right="0" w:hanging="0"/>
              <w:jc w:val="left"/>
              <w:rPr/>
            </w:pPr>
            <w:r>
              <w:rPr/>
              <w:t>​</w:t>
            </w:r>
          </w:p>
        </w:tc>
        <w:tc>
          <w:tcPr>
            <w:tcW w:w="106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5" w:type="dxa"/>
            <w:tcBorders/>
            <w:shd w:fill="CCEEFF" w:val="clear"/>
            <w:vAlign w:val="center"/>
          </w:tcPr>
          <w:p>
            <w:pPr>
              <w:pStyle w:val="TableContents"/>
              <w:bidi w:val="0"/>
              <w:spacing w:before="0" w:after="1"/>
              <w:ind w:left="0" w:right="0" w:hanging="0"/>
              <w:jc w:val="left"/>
              <w:rPr/>
            </w:pPr>
            <w:r>
              <w:rPr/>
              <w:t>​</w:t>
            </w:r>
          </w:p>
        </w:tc>
        <w:tc>
          <w:tcPr>
            <w:tcW w:w="1106" w:type="dxa"/>
            <w:tcBorders/>
            <w:shd w:fill="CCEEFF" w:val="clear"/>
            <w:vAlign w:val="center"/>
          </w:tcPr>
          <w:p>
            <w:pPr>
              <w:pStyle w:val="TableContents"/>
              <w:bidi w:val="0"/>
              <w:spacing w:before="0" w:after="1"/>
              <w:ind w:left="0" w:right="0" w:hanging="0"/>
              <w:jc w:val="right"/>
              <w:rPr/>
            </w:pPr>
            <w:r>
              <w:rPr/>
              <w:t>  ​</w:t>
            </w:r>
          </w:p>
        </w:tc>
      </w:tr>
      <w:tr>
        <w:trPr/>
        <w:tc>
          <w:tcPr>
            <w:tcW w:w="37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12,807</w:t>
            </w:r>
          </w:p>
        </w:tc>
        <w:tc>
          <w:tcPr>
            <w:tcW w:w="346"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20,964</w:t>
            </w:r>
          </w:p>
        </w:tc>
        <w:tc>
          <w:tcPr>
            <w:tcW w:w="346"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12,588</w:t>
            </w:r>
          </w:p>
        </w:tc>
      </w:tr>
      <w:tr>
        <w:trPr/>
        <w:tc>
          <w:tcPr>
            <w:tcW w:w="37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106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1106" w:type="dxa"/>
            <w:tcBorders/>
            <w:shd w:fill="CCEEFF" w:val="clear"/>
            <w:vAlign w:val="center"/>
          </w:tcPr>
          <w:p>
            <w:pPr>
              <w:pStyle w:val="TableContents"/>
              <w:bidi w:val="0"/>
              <w:spacing w:before="0" w:after="1"/>
              <w:ind w:left="0" w:right="0" w:hanging="0"/>
              <w:jc w:val="right"/>
              <w:rPr/>
            </w:pPr>
            <w:r>
              <w:rPr/>
              <w:t>  ​</w:t>
            </w:r>
          </w:p>
        </w:tc>
      </w:tr>
      <w:tr>
        <w:trPr/>
        <w:tc>
          <w:tcPr>
            <w:tcW w:w="37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shares outstanding—basic</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29,727,656</w:t>
            </w:r>
          </w:p>
        </w:tc>
        <w:tc>
          <w:tcPr>
            <w:tcW w:w="3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10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29,097,871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29,574,499</w:t>
            </w:r>
          </w:p>
        </w:tc>
        <w:tc>
          <w:tcPr>
            <w:tcW w:w="3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11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29,092,409</w:t>
            </w:r>
          </w:p>
        </w:tc>
      </w:tr>
      <w:tr>
        <w:trPr/>
        <w:tc>
          <w:tcPr>
            <w:tcW w:w="37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shares outstanding—diluted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30,093,260</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29,272,394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29,882,457</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29,314,443</w:t>
            </w:r>
          </w:p>
        </w:tc>
      </w:tr>
      <w:tr>
        <w:trPr/>
        <w:tc>
          <w:tcPr>
            <w:tcW w:w="37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per share—basic</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0.43</w:t>
            </w:r>
          </w:p>
        </w:tc>
        <w:tc>
          <w:tcPr>
            <w:tcW w:w="3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0.71</w:t>
            </w:r>
          </w:p>
        </w:tc>
        <w:tc>
          <w:tcPr>
            <w:tcW w:w="3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0.43</w:t>
            </w:r>
          </w:p>
        </w:tc>
      </w:tr>
      <w:tr>
        <w:trPr/>
        <w:tc>
          <w:tcPr>
            <w:tcW w:w="37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per share—diluted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0.43</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0.70</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0.43</w:t>
            </w:r>
          </w:p>
        </w:tc>
      </w:tr>
      <w:tr>
        <w:trPr/>
        <w:tc>
          <w:tcPr>
            <w:tcW w:w="373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Anti-dilutive securities not considered in diluted EPS calculation</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399,278</w:t>
            </w:r>
          </w:p>
        </w:tc>
        <w:tc>
          <w:tcPr>
            <w:tcW w:w="346" w:type="dxa"/>
            <w:tcBorders/>
            <w:vAlign w:val="center"/>
          </w:tcPr>
          <w:p>
            <w:pPr>
              <w:pStyle w:val="TableContents"/>
              <w:bidi w:val="0"/>
              <w:spacing w:before="0" w:after="1"/>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0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1,365,912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349,442</w:t>
            </w:r>
          </w:p>
        </w:tc>
        <w:tc>
          <w:tcPr>
            <w:tcW w:w="346" w:type="dxa"/>
            <w:tcBorders/>
            <w:vAlign w:val="center"/>
          </w:tcPr>
          <w:p>
            <w:pPr>
              <w:pStyle w:val="TableContents"/>
              <w:bidi w:val="0"/>
              <w:spacing w:before="0" w:after="1"/>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10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991,831</w:t>
            </w:r>
          </w:p>
        </w:tc>
      </w:tr>
    </w:tbl>
    <w:p>
      <w:pPr>
        <w:pStyle w:val="TextBody"/>
        <w:bidi w:val="0"/>
        <w:spacing w:before="0" w:after="240"/>
        <w:ind w:left="0" w:right="0" w:hanging="0"/>
        <w:jc w:val="both"/>
        <w:rPr/>
      </w:pPr>
      <w:r>
        <w:rPr/>
        <w:t>​</w:t>
      </w:r>
    </w:p>
    <w:p>
      <w:pPr>
        <w:pStyle w:val="TextBody"/>
        <w:bidi w:val="0"/>
        <w:spacing w:before="0" w:after="120"/>
        <w:ind w:left="0" w:right="0" w:firstLine="490"/>
        <w:jc w:val="both"/>
        <w:rPr>
          <w:rFonts w:ascii="Times New Roman;Times;serif" w:hAnsi="Times New Roman;Times;serif"/>
          <w:sz w:val="20"/>
        </w:rPr>
      </w:pPr>
      <w:r>
        <w:rPr>
          <w:rFonts w:ascii="Times New Roman;Times;serif" w:hAnsi="Times New Roman;Times;serif"/>
          <w:sz w:val="20"/>
        </w:rPr>
        <w:t>Below is a reconciliation of basic and diluted share counts:</w:t>
      </w:r>
    </w:p>
    <w:tbl>
      <w:tblPr>
        <w:tblW w:w="10205" w:type="dxa"/>
        <w:jc w:val="left"/>
        <w:tblInd w:w="0" w:type="dxa"/>
        <w:tblLayout w:type="fixed"/>
        <w:tblCellMar>
          <w:top w:w="0" w:type="dxa"/>
          <w:left w:w="0" w:type="dxa"/>
          <w:bottom w:w="0" w:type="dxa"/>
          <w:right w:w="0" w:type="dxa"/>
        </w:tblCellMar>
      </w:tblPr>
      <w:tblGrid>
        <w:gridCol w:w="3942"/>
        <w:gridCol w:w="346"/>
        <w:gridCol w:w="1141"/>
        <w:gridCol w:w="346"/>
        <w:gridCol w:w="1276"/>
        <w:gridCol w:w="346"/>
        <w:gridCol w:w="1141"/>
        <w:gridCol w:w="346"/>
        <w:gridCol w:w="1321"/>
      </w:tblGrid>
      <w:tr>
        <w:trPr/>
        <w:tc>
          <w:tcPr>
            <w:tcW w:w="39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503170" cy="175260"/>
                      <wp:effectExtent l="0" t="0" r="0" b="0"/>
                      <wp:wrapNone/>
                      <wp:docPr id="144" name="Frame144"/>
                      <a:graphic xmlns:a="http://schemas.openxmlformats.org/drawingml/2006/main">
                        <a:graphicData uri="http://schemas.microsoft.com/office/word/2010/wordprocessingShape">
                          <wps:wsp>
                            <wps:cNvSpPr txBox="1"/>
                            <wps:spPr>
                              <a:xfrm>
                                <a:off x="0" y="0"/>
                                <a:ext cx="2503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5"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724535" cy="175260"/>
                      <wp:effectExtent l="0" t="0" r="0" b="0"/>
                      <wp:wrapNone/>
                      <wp:docPr id="146" name="Frame14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810260" cy="175260"/>
                      <wp:effectExtent l="0" t="0" r="0" b="0"/>
                      <wp:wrapNone/>
                      <wp:docPr id="148" name="Frame148"/>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724535" cy="175260"/>
                      <wp:effectExtent l="0" t="0" r="0" b="0"/>
                      <wp:wrapNone/>
                      <wp:docPr id="150" name="Frame15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51"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838835" cy="175260"/>
                      <wp:effectExtent l="0" t="0" r="0" b="0"/>
                      <wp:wrapNone/>
                      <wp:docPr id="152" name="Frame152"/>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76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Thirteen Weeks Ended</w:t>
            </w:r>
          </w:p>
        </w:tc>
        <w:tc>
          <w:tcPr>
            <w:tcW w:w="346" w:type="dxa"/>
            <w:tcBorders/>
            <w:vAlign w:val="center"/>
          </w:tcPr>
          <w:p>
            <w:pPr>
              <w:pStyle w:val="TableContents"/>
              <w:bidi w:val="0"/>
              <w:spacing w:before="0" w:after="0"/>
              <w:ind w:left="0" w:right="0" w:hanging="0"/>
              <w:jc w:val="left"/>
              <w:rPr/>
            </w:pPr>
            <w:r>
              <w:rPr/>
              <w:t>  ​ ​ ​</w:t>
            </w:r>
          </w:p>
        </w:tc>
        <w:tc>
          <w:tcPr>
            <w:tcW w:w="280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Twenty-Six Weeks Ended</w:t>
            </w:r>
          </w:p>
        </w:tc>
      </w:tr>
      <w:tr>
        <w:trPr/>
        <w:tc>
          <w:tcPr>
            <w:tcW w:w="39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July 1, 2026</w:t>
            </w:r>
          </w:p>
        </w:tc>
        <w:tc>
          <w:tcPr>
            <w:tcW w:w="346" w:type="dxa"/>
            <w:tcBorders/>
            <w:vAlign w:val="center"/>
          </w:tcPr>
          <w:p>
            <w:pPr>
              <w:pStyle w:val="TableContents"/>
              <w:bidi w:val="0"/>
              <w:spacing w:before="0" w:after="0"/>
              <w:ind w:left="0" w:right="0" w:hanging="0"/>
              <w:jc w:val="left"/>
              <w:rPr/>
            </w:pPr>
            <w:r>
              <w:rPr/>
              <w:t>  ​ ​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25, 2025</w:t>
            </w:r>
          </w:p>
        </w:tc>
        <w:tc>
          <w:tcPr>
            <w:tcW w:w="346" w:type="dxa"/>
            <w:tcBorders/>
            <w:vAlign w:val="center"/>
          </w:tcPr>
          <w:p>
            <w:pPr>
              <w:pStyle w:val="TableContents"/>
              <w:bidi w:val="0"/>
              <w:spacing w:before="0" w:after="0"/>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July 1, 2026</w:t>
            </w:r>
          </w:p>
        </w:tc>
        <w:tc>
          <w:tcPr>
            <w:tcW w:w="346" w:type="dxa"/>
            <w:tcBorders/>
            <w:vAlign w:val="center"/>
          </w:tcPr>
          <w:p>
            <w:pPr>
              <w:pStyle w:val="TableContents"/>
              <w:bidi w:val="0"/>
              <w:spacing w:before="0" w:after="0"/>
              <w:ind w:left="0" w:right="0" w:hanging="0"/>
              <w:jc w:val="left"/>
              <w:rPr/>
            </w:pPr>
            <w:r>
              <w:rPr/>
              <w:t>  ​ ​ ​</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25, 2025</w:t>
            </w:r>
          </w:p>
        </w:tc>
      </w:tr>
      <w:tr>
        <w:trPr/>
        <w:tc>
          <w:tcPr>
            <w:tcW w:w="39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outstanding—basic</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29,727,656</w:t>
            </w:r>
          </w:p>
        </w:tc>
        <w:tc>
          <w:tcPr>
            <w:tcW w:w="346"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29,097,871</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29,574,499</w:t>
            </w:r>
          </w:p>
        </w:tc>
        <w:tc>
          <w:tcPr>
            <w:tcW w:w="346" w:type="dxa"/>
            <w:tcBorders/>
            <w:shd w:fill="CCEEFF" w:val="clear"/>
            <w:vAlign w:val="center"/>
          </w:tcPr>
          <w:p>
            <w:pPr>
              <w:pStyle w:val="TableContents"/>
              <w:bidi w:val="0"/>
              <w:spacing w:before="0" w:after="0"/>
              <w:ind w:left="0" w:right="0" w:hanging="0"/>
              <w:jc w:val="left"/>
              <w:rPr/>
            </w:pPr>
            <w:r>
              <w:rPr/>
              <w:t> </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29,092,409</w:t>
            </w:r>
          </w:p>
        </w:tc>
      </w:tr>
      <w:tr>
        <w:trPr/>
        <w:tc>
          <w:tcPr>
            <w:tcW w:w="39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effect of stock options and restricted shares</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365,604</w:t>
            </w:r>
          </w:p>
        </w:tc>
        <w:tc>
          <w:tcPr>
            <w:tcW w:w="346" w:type="dxa"/>
            <w:tcBorders/>
            <w:vAlign w:val="center"/>
          </w:tcPr>
          <w:p>
            <w:pPr>
              <w:pStyle w:val="TableContents"/>
              <w:bidi w:val="0"/>
              <w:spacing w:before="0" w:after="0"/>
              <w:ind w:left="0" w:right="0" w:hanging="0"/>
              <w:jc w:val="left"/>
              <w:rPr/>
            </w:pPr>
            <w:r>
              <w:rPr/>
              <w:t>​</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174,523</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307,958</w:t>
            </w:r>
          </w:p>
        </w:tc>
        <w:tc>
          <w:tcPr>
            <w:tcW w:w="346" w:type="dxa"/>
            <w:tcBorders/>
            <w:vAlign w:val="center"/>
          </w:tcPr>
          <w:p>
            <w:pPr>
              <w:pStyle w:val="TableContents"/>
              <w:bidi w:val="0"/>
              <w:spacing w:before="0" w:after="0"/>
              <w:ind w:left="0" w:right="0" w:hanging="0"/>
              <w:jc w:val="left"/>
              <w:rPr/>
            </w:pPr>
            <w:r>
              <w:rPr/>
              <w:t> </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222,034</w:t>
            </w:r>
          </w:p>
        </w:tc>
      </w:tr>
      <w:tr>
        <w:trPr/>
        <w:tc>
          <w:tcPr>
            <w:tcW w:w="39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outstanding—diluted</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30,093,260</w:t>
            </w:r>
          </w:p>
        </w:tc>
        <w:tc>
          <w:tcPr>
            <w:tcW w:w="346" w:type="dxa"/>
            <w:tcBorders/>
            <w:shd w:fill="CCEEFF" w:val="clear"/>
            <w:vAlign w:val="center"/>
          </w:tcPr>
          <w:p>
            <w:pPr>
              <w:pStyle w:val="TableContents"/>
              <w:bidi w:val="0"/>
              <w:spacing w:before="0" w:after="0"/>
              <w:ind w:left="0" w:right="0" w:hanging="0"/>
              <w:jc w:val="left"/>
              <w:rPr/>
            </w:pPr>
            <w:r>
              <w:rPr/>
              <w:t>​</w:t>
            </w:r>
          </w:p>
        </w:tc>
        <w:tc>
          <w:tcPr>
            <w:tcW w:w="12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29,272,394</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29,882,457</w:t>
            </w:r>
          </w:p>
        </w:tc>
        <w:tc>
          <w:tcPr>
            <w:tcW w:w="346" w:type="dxa"/>
            <w:tcBorders/>
            <w:shd w:fill="CCEEFF" w:val="clear"/>
            <w:vAlign w:val="center"/>
          </w:tcPr>
          <w:p>
            <w:pPr>
              <w:pStyle w:val="TableContents"/>
              <w:bidi w:val="0"/>
              <w:spacing w:before="0" w:after="0"/>
              <w:ind w:left="0" w:right="0" w:hanging="0"/>
              <w:jc w:val="left"/>
              <w:rPr/>
            </w:pPr>
            <w:r>
              <w:rPr/>
              <w:t> </w:t>
            </w:r>
          </w:p>
        </w:tc>
        <w:tc>
          <w:tcPr>
            <w:tcW w:w="132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29,314,443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900" w:name="Tc_v7VBrpnJy0qsXDzuu_FYBg_2_5"/>
      <w:bookmarkStart w:id="901" w:name="Tc_W01hWBmFlk60g-Kdam_pOg_2_2"/>
      <w:bookmarkStart w:id="902" w:name="Tc_O1JRH_5YWUm3ZjXsaapaLg_2_0"/>
      <w:bookmarkStart w:id="903" w:name="Tc_laNVoni9CE-7wQn8nYnyrQ_1_5"/>
      <w:bookmarkStart w:id="904" w:name="Tc_vFhQiHFICkqqK1Uj_rFxLQ_1_2"/>
      <w:bookmarkStart w:id="905" w:name="_2e7c7c66_2f13_4c3c_8284_674ee2b7f4ed"/>
      <w:bookmarkStart w:id="906" w:name="Tc_0AQteXiz0E-YW1oKXgahDQ_5_5"/>
      <w:bookmarkStart w:id="907" w:name="Tc_YLnNU1PWa0iq5sANXjjJEA_5_2"/>
      <w:bookmarkStart w:id="908" w:name="Tc_xrZCwUpAC0KIfFyV7gMo5g_5_0"/>
      <w:bookmarkStart w:id="909" w:name="Tc_L9YEoqGKS0uiIERni_uJeA_4_0"/>
      <w:bookmarkStart w:id="910" w:name="Tc_Iz2hV-8rD0GJxaopY2ycyg_3_0"/>
      <w:bookmarkStart w:id="911" w:name="Tc_2Okh5KFOw0W2BFVlCNFTtw_2_5"/>
      <w:bookmarkStart w:id="912" w:name="Tc_UbS8jhuQFEC99bqOGAxdIg_2_2"/>
      <w:bookmarkStart w:id="913" w:name="Tc_SOOWk8XNfUqHL9wjVSMFAw_2_0"/>
      <w:bookmarkStart w:id="914" w:name="Tc_goW89Ny5gUCbReENgk7Taw_1_5"/>
      <w:bookmarkStart w:id="915" w:name="Tc_XUsjtRlQU0efpk9AYuc8rg_1_2"/>
      <w:bookmarkStart w:id="916" w:name="_b043d8f8_031b_414e_9697_41b20a0f32a8"/>
      <w:bookmarkStart w:id="917" w:name="Tc_S3kS1VtRWU6Y646x1-jDZQ_5_12"/>
      <w:bookmarkStart w:id="918" w:name="Tc_gG5tsjtqMkagFHVNt2RGlg_5_9"/>
      <w:bookmarkStart w:id="919" w:name="Tc_BUvC2vGHqUOaB3fZOJ_zsg_5_6"/>
      <w:bookmarkStart w:id="920" w:name="Tc_0W7jCv5xLE2Pihc5vAtpMw_5_3"/>
      <w:bookmarkStart w:id="921" w:name="Tc_Z8qYhauvr0O28f2WIktVqQ_5_0"/>
      <w:bookmarkStart w:id="922" w:name="Tc_rn4cwSOgc0q9y7XsYccpkw_4_12"/>
      <w:bookmarkStart w:id="923" w:name="Tc_CsCy_iYME0WpSz02gllJWw_4_9"/>
      <w:bookmarkStart w:id="924" w:name="Tc_j_ND8nkTx02gqG4JoYbf9g_4_6"/>
      <w:bookmarkStart w:id="925" w:name="Tc_lU5X_K1nsESDA6wv98LBow_4_3"/>
      <w:bookmarkStart w:id="926" w:name="Tc_67kYJeloFEm29RSYeuY4Ew_4_0"/>
      <w:bookmarkStart w:id="927" w:name="Tc_J0Jx4TxhCESSJ_sfvRjy_Q_3_12"/>
      <w:bookmarkStart w:id="928" w:name="Tc_QJo5FkIaa0uZVmezXBQ9eg_3_9"/>
      <w:bookmarkStart w:id="929" w:name="Tc_Rv2_DSO_QE2QQTwrhTgrQQ_3_6"/>
      <w:bookmarkStart w:id="930" w:name="Tc_PoLFEoLz-UCbwzzQ6BqKjw_3_3"/>
      <w:bookmarkStart w:id="931" w:name="Tc_eM1-eNvyYUaNv7ux9vGw5g_3_0"/>
      <w:bookmarkStart w:id="932" w:name="Tc_4bTsJGFgvEGQi-jNd2Y0xA_2_11"/>
      <w:bookmarkStart w:id="933" w:name="Tc_Nng855SOt0m7tB02PPWyDw_2_8"/>
      <w:bookmarkStart w:id="934" w:name="Tc_-0E67jduZEem_dafHvKX3g_2_5"/>
      <w:bookmarkStart w:id="935" w:name="Tc_FRo7dsDTPUeM_M72TwmDdw_2_2"/>
      <w:bookmarkStart w:id="936" w:name="Tc_FikUJEEpkUyuGGsmE9LXfQ_1_8"/>
      <w:bookmarkStart w:id="937" w:name="Tc_buOeRjOe7kOIQZxXQe2TBg_1_2"/>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r>
        <w:rPr>
          <w:rFonts w:ascii="Times New Roman;Times;serif" w:hAnsi="Times New Roman;Times;serif"/>
          <w:b/>
          <w:sz w:val="20"/>
        </w:rPr>
        <w:t>10. REVENUE FROM CONTRACTS WITH CUSTOMERS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The Company has two revenue streams, company-operated restaurant revenue and franchise-related revenue.</w:t>
      </w:r>
    </w:p>
    <w:p>
      <w:pPr>
        <w:pStyle w:val="TextBody"/>
        <w:bidi w:val="0"/>
        <w:spacing w:before="360" w:after="0"/>
        <w:ind w:left="0" w:right="0" w:firstLine="490"/>
        <w:jc w:val="both"/>
        <w:rPr>
          <w:rFonts w:ascii="Times New Roman;Times;serif" w:hAnsi="Times New Roman;Times;serif"/>
          <w:i/>
          <w:sz w:val="20"/>
        </w:rPr>
      </w:pPr>
      <w:r>
        <w:rPr>
          <w:rFonts w:ascii="Times New Roman;Times;serif" w:hAnsi="Times New Roman;Times;serif"/>
          <w:i/>
          <w:sz w:val="20"/>
        </w:rPr>
        <w:t>Company-Operated Restaurant Revenue</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Revenue from company-operated restaurants are recognized as food and beverage products are delivered to customers and payment is tendered at the time of sale. The Company presents revenue, net of sales-related taxes and promotional allowances.</w:t>
      </w:r>
    </w:p>
    <w:p>
      <w:pPr>
        <w:pStyle w:val="TextBody"/>
        <w:bidi w:val="0"/>
        <w:spacing w:before="240" w:after="120"/>
        <w:ind w:left="0" w:right="0" w:firstLine="490"/>
        <w:jc w:val="both"/>
        <w:rPr>
          <w:rFonts w:ascii="Times New Roman;Times;serif" w:hAnsi="Times New Roman;Times;serif"/>
          <w:sz w:val="20"/>
        </w:rPr>
      </w:pPr>
      <w:r>
        <w:rPr>
          <w:rFonts w:ascii="Times New Roman;Times;serif" w:hAnsi="Times New Roman;Times;serif"/>
          <w:sz w:val="20"/>
        </w:rPr>
        <w:t>The following table presents the Company-operated restaurant revenue with the Greater Los Angeles area geographic market disaggregated:</w:t>
      </w:r>
    </w:p>
    <w:p>
      <w:pPr>
        <w:pStyle w:val="TextBody"/>
        <w:bidi w:val="0"/>
        <w:spacing w:before="0" w:after="0"/>
        <w:ind w:left="0" w:right="0" w:hanging="0"/>
        <w:jc w:val="left"/>
        <w:rPr/>
      </w:pPr>
      <w:r>
        <w:rPr/>
        <w:t>​</w:t>
      </w:r>
    </w:p>
    <w:tbl>
      <w:tblPr>
        <w:tblW w:w="8994" w:type="dxa"/>
        <w:jc w:val="left"/>
        <w:tblInd w:w="0" w:type="dxa"/>
        <w:tblLayout w:type="fixed"/>
        <w:tblCellMar>
          <w:top w:w="0" w:type="dxa"/>
          <w:left w:w="0" w:type="dxa"/>
          <w:bottom w:w="0" w:type="dxa"/>
          <w:right w:w="0" w:type="dxa"/>
        </w:tblCellMar>
      </w:tblPr>
      <w:tblGrid>
        <w:gridCol w:w="2731"/>
        <w:gridCol w:w="346"/>
        <w:gridCol w:w="677"/>
        <w:gridCol w:w="464"/>
        <w:gridCol w:w="346"/>
        <w:gridCol w:w="757"/>
        <w:gridCol w:w="519"/>
        <w:gridCol w:w="346"/>
        <w:gridCol w:w="677"/>
        <w:gridCol w:w="464"/>
        <w:gridCol w:w="346"/>
        <w:gridCol w:w="749"/>
        <w:gridCol w:w="572"/>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734185" cy="175260"/>
                      <wp:effectExtent l="0" t="0" r="0" b="0"/>
                      <wp:wrapNone/>
                      <wp:docPr id="153" name="Frame153"/>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4"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29895" cy="175260"/>
                      <wp:effectExtent l="0" t="0" r="0" b="0"/>
                      <wp:wrapNone/>
                      <wp:docPr id="155" name="Frame155"/>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94640" cy="175260"/>
                      <wp:effectExtent l="0" t="0" r="0" b="0"/>
                      <wp:wrapNone/>
                      <wp:docPr id="156" name="Frame156"/>
                      <a:graphic xmlns:a="http://schemas.openxmlformats.org/drawingml/2006/main">
                        <a:graphicData uri="http://schemas.microsoft.com/office/word/2010/wordprocessingShape">
                          <wps:wsp>
                            <wps:cNvSpPr txBox="1"/>
                            <wps:spPr>
                              <a:xfrm>
                                <a:off x="0" y="0"/>
                                <a:ext cx="294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80695" cy="175260"/>
                      <wp:effectExtent l="0" t="0" r="0" b="0"/>
                      <wp:wrapNone/>
                      <wp:docPr id="158" name="Frame158"/>
                      <a:graphic xmlns:a="http://schemas.openxmlformats.org/drawingml/2006/main">
                        <a:graphicData uri="http://schemas.microsoft.com/office/word/2010/wordprocessingShape">
                          <wps:wsp>
                            <wps:cNvSpPr txBox="1"/>
                            <wps:spPr>
                              <a:xfrm>
                                <a:off x="0" y="0"/>
                                <a:ext cx="480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329565" cy="175260"/>
                      <wp:effectExtent l="0" t="0" r="0" b="0"/>
                      <wp:wrapNone/>
                      <wp:docPr id="159" name="Frame159"/>
                      <a:graphic xmlns:a="http://schemas.openxmlformats.org/drawingml/2006/main">
                        <a:graphicData uri="http://schemas.microsoft.com/office/word/2010/wordprocessingShape">
                          <wps:wsp>
                            <wps:cNvSpPr txBox="1"/>
                            <wps:spPr>
                              <a:xfrm>
                                <a:off x="0" y="0"/>
                                <a:ext cx="329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60"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29895" cy="175260"/>
                      <wp:effectExtent l="0" t="0" r="0" b="0"/>
                      <wp:wrapNone/>
                      <wp:docPr id="161" name="Frame161"/>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94640" cy="175260"/>
                      <wp:effectExtent l="0" t="0" r="0" b="0"/>
                      <wp:wrapNone/>
                      <wp:docPr id="162" name="Frame162"/>
                      <a:graphic xmlns:a="http://schemas.openxmlformats.org/drawingml/2006/main">
                        <a:graphicData uri="http://schemas.microsoft.com/office/word/2010/wordprocessingShape">
                          <wps:wsp>
                            <wps:cNvSpPr txBox="1"/>
                            <wps:spPr>
                              <a:xfrm>
                                <a:off x="0" y="0"/>
                                <a:ext cx="294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3"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75615" cy="175260"/>
                      <wp:effectExtent l="0" t="0" r="0" b="0"/>
                      <wp:wrapNone/>
                      <wp:docPr id="164" name="Frame164"/>
                      <a:graphic xmlns:a="http://schemas.openxmlformats.org/drawingml/2006/main">
                        <a:graphicData uri="http://schemas.microsoft.com/office/word/2010/wordprocessingShape">
                          <wps:wsp>
                            <wps:cNvSpPr txBox="1"/>
                            <wps:spPr>
                              <a:xfrm>
                                <a:off x="0" y="0"/>
                                <a:ext cx="475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63220" cy="175260"/>
                      <wp:effectExtent l="0" t="0" r="0" b="0"/>
                      <wp:wrapNone/>
                      <wp:docPr id="165" name="Frame165"/>
                      <a:graphic xmlns:a="http://schemas.openxmlformats.org/drawingml/2006/main">
                        <a:graphicData uri="http://schemas.microsoft.com/office/word/2010/wordprocessingShape">
                          <wps:wsp>
                            <wps:cNvSpPr txBox="1"/>
                            <wps:spPr>
                              <a:xfrm>
                                <a:off x="0" y="0"/>
                                <a:ext cx="363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6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Thirteen Weeks Ended</w:t>
            </w:r>
          </w:p>
        </w:tc>
        <w:tc>
          <w:tcPr>
            <w:tcW w:w="346" w:type="dxa"/>
            <w:tcBorders/>
            <w:vAlign w:val="center"/>
          </w:tcPr>
          <w:p>
            <w:pPr>
              <w:pStyle w:val="TableContents"/>
              <w:bidi w:val="0"/>
              <w:spacing w:before="0" w:after="1"/>
              <w:ind w:left="0" w:right="0" w:hanging="0"/>
              <w:jc w:val="left"/>
              <w:rPr/>
            </w:pPr>
            <w:r>
              <w:rPr/>
              <w:t>​</w:t>
            </w:r>
          </w:p>
        </w:tc>
        <w:tc>
          <w:tcPr>
            <w:tcW w:w="280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Twenty-Six Weeks Ended</w:t>
            </w:r>
          </w:p>
        </w:tc>
      </w:tr>
      <w:tr>
        <w:trPr/>
        <w:tc>
          <w:tcPr>
            <w:tcW w:w="27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July 1, 2026</w:t>
            </w:r>
          </w:p>
        </w:tc>
        <w:tc>
          <w:tcPr>
            <w:tcW w:w="346" w:type="dxa"/>
            <w:tcBorders/>
            <w:vAlign w:val="center"/>
          </w:tcPr>
          <w:p>
            <w:pPr>
              <w:pStyle w:val="TableContents"/>
              <w:bidi w:val="0"/>
              <w:spacing w:before="0" w:after="1"/>
              <w:ind w:left="0" w:right="0" w:hanging="0"/>
              <w:jc w:val="left"/>
              <w:rPr/>
            </w:pPr>
            <w:r>
              <w:rPr/>
              <w:t>  ​ ​ ​</w:t>
            </w:r>
          </w:p>
        </w:tc>
        <w:tc>
          <w:tcPr>
            <w:tcW w:w="12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25, 2025</w:t>
            </w:r>
          </w:p>
        </w:tc>
        <w:tc>
          <w:tcPr>
            <w:tcW w:w="346" w:type="dxa"/>
            <w:tcBorders/>
            <w:vAlign w:val="center"/>
          </w:tcPr>
          <w:p>
            <w:pPr>
              <w:pStyle w:val="TableContents"/>
              <w:bidi w:val="0"/>
              <w:spacing w:before="0" w:after="1"/>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July 1, 2026</w:t>
            </w:r>
          </w:p>
        </w:tc>
        <w:tc>
          <w:tcPr>
            <w:tcW w:w="346" w:type="dxa"/>
            <w:tcBorders/>
            <w:vAlign w:val="center"/>
          </w:tcPr>
          <w:p>
            <w:pPr>
              <w:pStyle w:val="TableContents"/>
              <w:bidi w:val="0"/>
              <w:spacing w:before="0" w:after="1"/>
              <w:ind w:left="0" w:right="0" w:hanging="0"/>
              <w:jc w:val="left"/>
              <w:rPr/>
            </w:pPr>
            <w:r>
              <w:rPr/>
              <w:t>  ​ ​ ​</w:t>
            </w:r>
          </w:p>
        </w:tc>
        <w:tc>
          <w:tcPr>
            <w:tcW w:w="13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25, 2025</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Greater Los Angeles area market</w:t>
            </w:r>
          </w:p>
        </w:tc>
        <w:tc>
          <w:tcPr>
            <w:tcW w:w="346" w:type="dxa"/>
            <w:tcBorders/>
            <w:shd w:fill="CCEEFF" w:val="clear"/>
            <w:vAlign w:val="center"/>
          </w:tcPr>
          <w:p>
            <w:pPr>
              <w:pStyle w:val="TableContents"/>
              <w:bidi w:val="0"/>
              <w:spacing w:before="0" w:after="1"/>
              <w:ind w:left="0" w:right="0" w:hanging="0"/>
              <w:jc w:val="left"/>
              <w:rPr/>
            </w:pPr>
            <w:r>
              <w:rPr/>
              <w:t> </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80.2</w:t>
            </w:r>
          </w:p>
        </w:tc>
        <w:tc>
          <w:tcPr>
            <w:tcW w:w="4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7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80.8</w:t>
            </w:r>
          </w:p>
        </w:tc>
        <w:tc>
          <w:tcPr>
            <w:tcW w:w="5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80.3</w:t>
            </w:r>
          </w:p>
        </w:tc>
        <w:tc>
          <w:tcPr>
            <w:tcW w:w="4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80.7</w:t>
            </w:r>
          </w:p>
        </w:tc>
        <w:tc>
          <w:tcPr>
            <w:tcW w:w="57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markets</w:t>
            </w:r>
          </w:p>
        </w:tc>
        <w:tc>
          <w:tcPr>
            <w:tcW w:w="346" w:type="dxa"/>
            <w:tcBorders/>
            <w:vAlign w:val="center"/>
          </w:tcPr>
          <w:p>
            <w:pPr>
              <w:pStyle w:val="TableContents"/>
              <w:bidi w:val="0"/>
              <w:spacing w:before="0" w:after="1"/>
              <w:ind w:left="0" w:right="0" w:hanging="0"/>
              <w:jc w:val="left"/>
              <w:rPr/>
            </w:pPr>
            <w:r>
              <w:rPr/>
              <w:t> </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w:t>
            </w:r>
          </w:p>
        </w:tc>
        <w:tc>
          <w:tcPr>
            <w:tcW w:w="464"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vAlign w:val="center"/>
          </w:tcPr>
          <w:p>
            <w:pPr>
              <w:pStyle w:val="TableContents"/>
              <w:bidi w:val="0"/>
              <w:spacing w:before="0" w:after="1"/>
              <w:ind w:left="0" w:right="0" w:hanging="0"/>
              <w:jc w:val="left"/>
              <w:rPr/>
            </w:pPr>
            <w:r>
              <w:rPr/>
              <w:t>​</w:t>
            </w:r>
          </w:p>
        </w:tc>
        <w:tc>
          <w:tcPr>
            <w:tcW w:w="7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w:t>
            </w:r>
          </w:p>
        </w:tc>
        <w:tc>
          <w:tcPr>
            <w:tcW w:w="51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vAlign w:val="center"/>
          </w:tcPr>
          <w:p>
            <w:pPr>
              <w:pStyle w:val="TableContents"/>
              <w:bidi w:val="0"/>
              <w:spacing w:before="0" w:after="1"/>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w:t>
            </w:r>
          </w:p>
        </w:tc>
        <w:tc>
          <w:tcPr>
            <w:tcW w:w="464"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vAlign w:val="center"/>
          </w:tcPr>
          <w:p>
            <w:pPr>
              <w:pStyle w:val="TableContents"/>
              <w:bidi w:val="0"/>
              <w:spacing w:before="0" w:after="1"/>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w:t>
            </w:r>
          </w:p>
        </w:tc>
        <w:tc>
          <w:tcPr>
            <w:tcW w:w="57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 </w:t>
            </w:r>
          </w:p>
        </w:tc>
        <w:tc>
          <w:tcPr>
            <w:tcW w:w="6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46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7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5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6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46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74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57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r>
    </w:tbl>
    <w:p>
      <w:pPr>
        <w:pStyle w:val="TextBody"/>
        <w:bidi w:val="0"/>
        <w:spacing w:before="0" w:after="0"/>
        <w:ind w:left="0" w:right="0" w:hanging="0"/>
        <w:jc w:val="left"/>
        <w:rPr/>
      </w:pPr>
      <w:r>
        <w:rPr/>
        <w:t>​</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The Company offers a loyalty rewards program, which awards a customer points for dollars spent. Customers earn points for each dollar spent and points can be redeemed for multiple redemption options. Points earned prior to January 26, 2026 expire 365 days after a customer completes an eligible transaction to earn them and points earned after January 26, 2026 expire 6 months after a customer completes an eligible transaction to earn them.  When a customer is part of the rewards program, the obligation to provide future discounts related to points earned is considered a separate performance obligation, to which a portion of the transaction price is allocated and recorded as deferred revenue on the balance sheet. The performance obligation related to loyalty points is deemed to have been satisfied, and the amount deferred in the balance sheet is recognized as revenue, when the points are transferred to a reward and redeemed, the reward or points have expired, or the likelihood of redemption is remote. A portion of the transaction price is then allocated to loyalty points, if necessary, on a pro-rata basis, based on stand-alone selling price, as determined by menu pricing and loyalty points terms. As of July 1, 2026 and December 31, 2025, the revenue allocated to loyalty points that have not been redeemed was $1.3 million and $1.1 million, respectively, which is reflected in the Company’s accompanying condensed consolidated balance sheets within other accrued expenses and current liabilities.</w:t>
      </w:r>
    </w:p>
    <w:p>
      <w:pPr>
        <w:pStyle w:val="TextBody"/>
        <w:bidi w:val="0"/>
        <w:spacing w:before="240" w:after="120"/>
        <w:ind w:left="0" w:right="0" w:firstLine="490"/>
        <w:jc w:val="both"/>
        <w:rPr>
          <w:rFonts w:ascii="Times New Roman;Times;serif" w:hAnsi="Times New Roman;Times;serif"/>
          <w:i w:val="false"/>
          <w:caps w:val="false"/>
          <w:smallCaps w:val="false"/>
          <w:sz w:val="20"/>
          <w:shd w:fill="FFFFFF" w:val="clear"/>
        </w:rPr>
      </w:pPr>
      <w:r>
        <w:rPr>
          <w:rFonts w:ascii="Times New Roman;Times;serif" w:hAnsi="Times New Roman;Times;serif"/>
          <w:i w:val="false"/>
          <w:caps w:val="false"/>
          <w:smallCaps w:val="false"/>
          <w:sz w:val="20"/>
          <w:shd w:fill="FFFFFF" w:val="clear"/>
        </w:rPr>
        <w:t>Changes in the loyalty rewards program liability included in deferred revenue within other accrued expenses and current liabilities on the condensed consolidated balance sheets were as follows (in thousands):</w:t>
      </w:r>
    </w:p>
    <w:tbl>
      <w:tblPr>
        <w:tblW w:w="7339" w:type="dxa"/>
        <w:jc w:val="left"/>
        <w:tblInd w:w="0" w:type="dxa"/>
        <w:tblLayout w:type="fixed"/>
        <w:tblCellMar>
          <w:top w:w="0" w:type="dxa"/>
          <w:left w:w="0" w:type="dxa"/>
          <w:bottom w:w="0" w:type="dxa"/>
          <w:right w:w="0" w:type="dxa"/>
        </w:tblCellMar>
      </w:tblPr>
      <w:tblGrid>
        <w:gridCol w:w="3736"/>
        <w:gridCol w:w="346"/>
        <w:gridCol w:w="285"/>
        <w:gridCol w:w="856"/>
        <w:gridCol w:w="346"/>
        <w:gridCol w:w="415"/>
        <w:gridCol w:w="1355"/>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372360" cy="175260"/>
                      <wp:effectExtent l="0" t="0" r="0" b="0"/>
                      <wp:wrapNone/>
                      <wp:docPr id="166" name="Frame166"/>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7"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80975" cy="175260"/>
                      <wp:effectExtent l="0" t="0" r="0" b="0"/>
                      <wp:wrapNone/>
                      <wp:docPr id="168" name="Frame168"/>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43560" cy="175260"/>
                      <wp:effectExtent l="0" t="0" r="0" b="0"/>
                      <wp:wrapNone/>
                      <wp:docPr id="169" name="Frame169"/>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70"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63525" cy="175260"/>
                      <wp:effectExtent l="0" t="0" r="0" b="0"/>
                      <wp:wrapNone/>
                      <wp:docPr id="171" name="Frame171"/>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860425" cy="175260"/>
                      <wp:effectExtent l="0" t="0" r="0" b="0"/>
                      <wp:wrapNone/>
                      <wp:docPr id="172" name="Frame172"/>
                      <a:graphic xmlns:a="http://schemas.openxmlformats.org/drawingml/2006/main">
                        <a:graphicData uri="http://schemas.microsoft.com/office/word/2010/wordprocessingShape">
                          <wps:wsp>
                            <wps:cNvSpPr txBox="1"/>
                            <wps:spPr>
                              <a:xfrm>
                                <a:off x="0" y="0"/>
                                <a:ext cx="860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July 1, 2026</w:t>
            </w:r>
          </w:p>
        </w:tc>
        <w:tc>
          <w:tcPr>
            <w:tcW w:w="346" w:type="dxa"/>
            <w:tcBorders/>
            <w:vAlign w:val="center"/>
          </w:tcPr>
          <w:p>
            <w:pPr>
              <w:pStyle w:val="TableContents"/>
              <w:bidi w:val="0"/>
              <w:spacing w:before="0" w:after="1"/>
              <w:ind w:left="0" w:right="0" w:hanging="0"/>
              <w:jc w:val="left"/>
              <w:rPr/>
            </w:pPr>
            <w:r>
              <w:rPr/>
              <w:t>  ​ ​ ​</w:t>
            </w:r>
          </w:p>
        </w:tc>
        <w:tc>
          <w:tcPr>
            <w:tcW w:w="17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Loyalty rewards liability, beginning balance</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1,106</w:t>
            </w:r>
          </w:p>
        </w:tc>
        <w:tc>
          <w:tcPr>
            <w:tcW w:w="34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844</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deferred</w:t>
            </w:r>
          </w:p>
        </w:tc>
        <w:tc>
          <w:tcPr>
            <w:tcW w:w="34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1,588</w:t>
            </w:r>
          </w:p>
        </w:tc>
        <w:tc>
          <w:tcPr>
            <w:tcW w:w="34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 </w:t>
            </w:r>
          </w:p>
        </w:tc>
        <w:tc>
          <w:tcPr>
            <w:tcW w:w="13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2,667</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recognized</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(1,385)</w:t>
            </w:r>
          </w:p>
        </w:tc>
        <w:tc>
          <w:tcPr>
            <w:tcW w:w="346" w:type="dxa"/>
            <w:tcBorders/>
            <w:shd w:fill="CCEEFF" w:val="clear"/>
            <w:vAlign w:val="center"/>
          </w:tcPr>
          <w:p>
            <w:pPr>
              <w:pStyle w:val="TableContents"/>
              <w:bidi w:val="0"/>
              <w:spacing w:before="0" w:after="1"/>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3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(2,405)</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Loyalty rewards liability, ending balance</w:t>
            </w:r>
          </w:p>
        </w:tc>
        <w:tc>
          <w:tcPr>
            <w:tcW w:w="346" w:type="dxa"/>
            <w:tcBorders/>
            <w:vAlign w:val="center"/>
          </w:tcPr>
          <w:p>
            <w:pPr>
              <w:pStyle w:val="TableContents"/>
              <w:bidi w:val="0"/>
              <w:spacing w:before="0" w:after="1"/>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1,309</w:t>
            </w:r>
          </w:p>
        </w:tc>
        <w:tc>
          <w:tcPr>
            <w:tcW w:w="346" w:type="dxa"/>
            <w:tcBorders/>
            <w:vAlign w:val="center"/>
          </w:tcPr>
          <w:p>
            <w:pPr>
              <w:pStyle w:val="TableContents"/>
              <w:bidi w:val="0"/>
              <w:spacing w:before="0" w:after="1"/>
              <w:ind w:left="0" w:right="0" w:hanging="0"/>
              <w:jc w:val="left"/>
              <w:rPr/>
            </w:pPr>
            <w:r>
              <w:rPr/>
              <w:t>​</w:t>
            </w:r>
          </w:p>
        </w:tc>
        <w:tc>
          <w:tcPr>
            <w:tcW w:w="41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355"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b/>
                <w:sz w:val="20"/>
              </w:rPr>
            </w:pPr>
            <w:r>
              <w:rPr>
                <w:rFonts w:ascii="Times New Roman;Times;serif" w:hAnsi="Times New Roman;Times;serif"/>
                <w:b/>
                <w:sz w:val="20"/>
              </w:rPr>
              <w:t>1,106</w:t>
            </w:r>
          </w:p>
        </w:tc>
      </w:tr>
    </w:tbl>
    <w:p>
      <w:pPr>
        <w:pStyle w:val="TextBody"/>
        <w:bidi w:val="0"/>
        <w:spacing w:before="0" w:after="240"/>
        <w:ind w:left="0" w:right="0" w:hanging="0"/>
        <w:jc w:val="both"/>
        <w:rPr>
          <w:shd w:fill="FFFFFF" w:val="clear"/>
        </w:rPr>
      </w:pPr>
      <w:r>
        <w:rPr>
          <w:shd w:fill="FFFFFF" w:val="clear"/>
        </w:rPr>
        <w:t>​</w:t>
      </w:r>
    </w:p>
    <w:p>
      <w:pPr>
        <w:pStyle w:val="TextBody"/>
        <w:bidi w:val="0"/>
        <w:spacing w:before="40" w:after="0"/>
        <w:ind w:left="0" w:right="0" w:firstLine="490"/>
        <w:jc w:val="both"/>
        <w:rPr>
          <w:rFonts w:ascii="Times New Roman;Times;serif" w:hAnsi="Times New Roman;Times;serif"/>
          <w:sz w:val="20"/>
          <w:shd w:fill="FFFFFF" w:val="clear"/>
        </w:rPr>
      </w:pPr>
      <w:r>
        <w:rPr>
          <w:rFonts w:ascii="Times New Roman;Times;serif" w:hAnsi="Times New Roman;Times;serif"/>
          <w:sz w:val="20"/>
          <w:shd w:fill="FFFFFF" w:val="clear"/>
        </w:rPr>
        <w:t>The Company expects all loyalty points revenue related to performance obligations that were unsatisfied as of July 1, 2026 to be recognized over a period exceeding six months but less than one year.</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The Company sells gift cards to its customers in the restaurants and through selected third parties. The gift cards sold to customers have no stated expiration dates and are subject to actual and/or potential escheatment rights in several of the jurisdictions in which the Company operates. Furthermore, due to these escheatment rights, the Company does not recognize breakage related to the sale of gift cards due to the immateriality of the amount remaining after escheatment. The Company recognizes income from gift cards when redeemed by the customer. Unredeemed gift card balances are deferred and recorded within other accrued expenses and current liabilities on the accompanying condensed consolidated balance sheets.</w:t>
      </w:r>
    </w:p>
    <w:p>
      <w:pPr>
        <w:pStyle w:val="TextBody"/>
        <w:shd w:fill="FFFFFF" w:val="clear"/>
        <w:bidi w:val="0"/>
        <w:spacing w:before="240" w:after="120"/>
        <w:ind w:left="0" w:right="0" w:firstLine="490"/>
        <w:jc w:val="both"/>
        <w:rPr>
          <w:rFonts w:ascii="Times New Roman;Times;serif" w:hAnsi="Times New Roman;Times;serif"/>
          <w:sz w:val="20"/>
        </w:rPr>
      </w:pPr>
      <w:r>
        <w:rPr>
          <w:rFonts w:ascii="Times New Roman;Times;serif" w:hAnsi="Times New Roman;Times;serif"/>
          <w:sz w:val="20"/>
        </w:rPr>
        <w:t>The gift card liability included in other accrued expenses and current liabilities on the condensed consolidated balance sheets was as follows (in thousands):</w:t>
      </w:r>
    </w:p>
    <w:tbl>
      <w:tblPr>
        <w:tblW w:w="4660" w:type="dxa"/>
        <w:jc w:val="left"/>
        <w:tblInd w:w="0" w:type="dxa"/>
        <w:tblLayout w:type="fixed"/>
        <w:tblCellMar>
          <w:top w:w="0" w:type="dxa"/>
          <w:left w:w="0" w:type="dxa"/>
          <w:bottom w:w="0" w:type="dxa"/>
          <w:right w:w="0" w:type="dxa"/>
        </w:tblCellMar>
      </w:tblPr>
      <w:tblGrid>
        <w:gridCol w:w="1531"/>
        <w:gridCol w:w="109"/>
        <w:gridCol w:w="307"/>
        <w:gridCol w:w="834"/>
        <w:gridCol w:w="109"/>
        <w:gridCol w:w="416"/>
        <w:gridCol w:w="1354"/>
      </w:tblGrid>
      <w:tr>
        <w:trPr/>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972185" cy="175260"/>
                      <wp:effectExtent l="0" t="0" r="0" b="0"/>
                      <wp:wrapNone/>
                      <wp:docPr id="173" name="Frame173"/>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9215" cy="175260"/>
                      <wp:effectExtent l="0" t="0" r="0" b="0"/>
                      <wp:wrapNone/>
                      <wp:docPr id="174" name="Frame1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94945" cy="175260"/>
                      <wp:effectExtent l="0" t="0" r="0" b="0"/>
                      <wp:wrapNone/>
                      <wp:docPr id="175" name="Frame175"/>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29590" cy="175260"/>
                      <wp:effectExtent l="0" t="0" r="0" b="0"/>
                      <wp:wrapNone/>
                      <wp:docPr id="176" name="Frame176"/>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9215" cy="175260"/>
                      <wp:effectExtent l="0" t="0" r="0" b="0"/>
                      <wp:wrapNone/>
                      <wp:docPr id="177" name="Frame1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64160" cy="175260"/>
                      <wp:effectExtent l="0" t="0" r="0" b="0"/>
                      <wp:wrapNone/>
                      <wp:docPr id="178" name="Frame178"/>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859790" cy="175260"/>
                      <wp:effectExtent l="0" t="0" r="0" b="0"/>
                      <wp:wrapNone/>
                      <wp:docPr id="179" name="Frame179"/>
                      <a:graphic xmlns:a="http://schemas.openxmlformats.org/drawingml/2006/main">
                        <a:graphicData uri="http://schemas.microsoft.com/office/word/2010/wordprocessingShape">
                          <wps:wsp>
                            <wps:cNvSpPr txBox="1"/>
                            <wps:spPr>
                              <a:xfrm>
                                <a:off x="0" y="0"/>
                                <a:ext cx="859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July 1, 2026</w:t>
            </w:r>
          </w:p>
        </w:tc>
        <w:tc>
          <w:tcPr>
            <w:tcW w:w="109" w:type="dxa"/>
            <w:tcBorders/>
            <w:vAlign w:val="center"/>
          </w:tcPr>
          <w:p>
            <w:pPr>
              <w:pStyle w:val="TableContents"/>
              <w:bidi w:val="0"/>
              <w:spacing w:before="0" w:after="0"/>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Gift card liability</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5,285</w:t>
            </w:r>
          </w:p>
        </w:tc>
        <w:tc>
          <w:tcPr>
            <w:tcW w:w="109" w:type="dxa"/>
            <w:tcBorders/>
            <w:shd w:fill="CCEEFF" w:val="clear"/>
            <w:vAlign w:val="center"/>
          </w:tcPr>
          <w:p>
            <w:pPr>
              <w:pStyle w:val="TableContents"/>
              <w:bidi w:val="0"/>
              <w:spacing w:before="0" w:after="0"/>
              <w:ind w:left="0" w:right="0" w:hanging="0"/>
              <w:jc w:val="left"/>
              <w:rPr/>
            </w:pPr>
            <w:r>
              <w:rPr/>
              <w:t>​</w:t>
            </w:r>
          </w:p>
        </w:tc>
        <w:tc>
          <w:tcPr>
            <w:tcW w:w="4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354"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5,559</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pPr>
      <w:bookmarkStart w:id="938" w:name="Tc_F7O6WxW17kO2bH8eGzzkPQ_3_11"/>
      <w:bookmarkStart w:id="939" w:name="Tc_ZpMZMyckjU62aEXii6vhcw_3_8"/>
      <w:bookmarkStart w:id="940" w:name="Tc_8nMp7bAf9kCZQu1BTk55Ow_3_5"/>
      <w:bookmarkStart w:id="941" w:name="Tc_OAXdLaPH8kSTAOVp8qTagg_3_2"/>
      <w:bookmarkStart w:id="942" w:name="Tc_6pT-u-BcsE-4qa7Tv6sxrA_3_0"/>
      <w:bookmarkStart w:id="943" w:name="Tc_LwhfYCeFP0SwPD1CULhLtw_2_11"/>
      <w:bookmarkStart w:id="944" w:name="Tc_YCj766Ww-EitH6wj5oNiwg_2_8"/>
      <w:bookmarkStart w:id="945" w:name="Tc_tg-VjsOII0ephXivDjYmsA_2_5"/>
      <w:bookmarkStart w:id="946" w:name="Tc_iOYV6mMBQEelHI3QrEadkA_2_2"/>
      <w:bookmarkStart w:id="947" w:name="Tc_bAftp0s8gU6Jd8J7T-IN_A_1_8"/>
      <w:bookmarkStart w:id="948" w:name="Tc_gQtGxYYxoEO4heSNHxiv4Q_1_2"/>
      <w:bookmarkStart w:id="949" w:name="_fb58c327_4eb6_4b35_a003_ba12f775000f"/>
      <w:bookmarkEnd w:id="938"/>
      <w:bookmarkEnd w:id="939"/>
      <w:bookmarkEnd w:id="940"/>
      <w:bookmarkEnd w:id="941"/>
      <w:bookmarkEnd w:id="942"/>
      <w:bookmarkEnd w:id="943"/>
      <w:bookmarkEnd w:id="944"/>
      <w:bookmarkEnd w:id="945"/>
      <w:bookmarkEnd w:id="946"/>
      <w:bookmarkEnd w:id="947"/>
      <w:bookmarkEnd w:id="948"/>
      <w:bookmarkEnd w:id="949"/>
      <w:r>
        <w:rPr/>
        <w:t>​</w:t>
      </w:r>
    </w:p>
    <w:p>
      <w:pPr>
        <w:pStyle w:val="TextBody"/>
        <w:shd w:fill="FFFFFF" w:val="clear"/>
        <w:bidi w:val="0"/>
        <w:spacing w:before="0" w:after="120"/>
        <w:ind w:left="0" w:right="0" w:firstLine="490"/>
        <w:jc w:val="both"/>
        <w:rPr>
          <w:rFonts w:ascii="Times New Roman;Times;serif" w:hAnsi="Times New Roman;Times;serif"/>
          <w:sz w:val="20"/>
        </w:rPr>
      </w:pPr>
      <w:r>
        <w:rPr>
          <w:rFonts w:ascii="Times New Roman;Times;serif" w:hAnsi="Times New Roman;Times;serif"/>
          <w:sz w:val="20"/>
        </w:rPr>
        <w:t>Revenue recognized from the redemption of gift cards that was included in other accrued expenses and current liabilities at the beginning of the year was as follows (in thousands):</w:t>
      </w:r>
    </w:p>
    <w:tbl>
      <w:tblPr>
        <w:tblW w:w="10205" w:type="dxa"/>
        <w:jc w:val="left"/>
        <w:tblInd w:w="0" w:type="dxa"/>
        <w:tblLayout w:type="fixed"/>
        <w:tblCellMar>
          <w:top w:w="0" w:type="dxa"/>
          <w:left w:w="0" w:type="dxa"/>
          <w:bottom w:w="0" w:type="dxa"/>
          <w:right w:w="0" w:type="dxa"/>
        </w:tblCellMar>
      </w:tblPr>
      <w:tblGrid>
        <w:gridCol w:w="4350"/>
        <w:gridCol w:w="346"/>
        <w:gridCol w:w="380"/>
        <w:gridCol w:w="761"/>
        <w:gridCol w:w="139"/>
        <w:gridCol w:w="426"/>
        <w:gridCol w:w="850"/>
        <w:gridCol w:w="346"/>
        <w:gridCol w:w="380"/>
        <w:gridCol w:w="761"/>
        <w:gridCol w:w="144"/>
        <w:gridCol w:w="373"/>
        <w:gridCol w:w="949"/>
      </w:tblGrid>
      <w:tr>
        <w:trPr/>
        <w:tc>
          <w:tcPr>
            <w:tcW w:w="4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762250" cy="175260"/>
                      <wp:effectExtent l="0" t="0" r="0" b="0"/>
                      <wp:wrapNone/>
                      <wp:docPr id="180" name="Frame180"/>
                      <a:graphic xmlns:a="http://schemas.openxmlformats.org/drawingml/2006/main">
                        <a:graphicData uri="http://schemas.microsoft.com/office/word/2010/wordprocessingShape">
                          <wps:wsp>
                            <wps:cNvSpPr txBox="1"/>
                            <wps:spPr>
                              <a:xfrm>
                                <a:off x="0" y="0"/>
                                <a:ext cx="2762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41300" cy="175260"/>
                      <wp:effectExtent l="0" t="0" r="0" b="0"/>
                      <wp:wrapNone/>
                      <wp:docPr id="182" name="Frame182"/>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83235" cy="175260"/>
                      <wp:effectExtent l="0" t="0" r="0" b="0"/>
                      <wp:wrapNone/>
                      <wp:docPr id="183" name="Frame183"/>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88265" cy="175260"/>
                      <wp:effectExtent l="0" t="0" r="0" b="0"/>
                      <wp:wrapNone/>
                      <wp:docPr id="184" name="Frame184"/>
                      <a:graphic xmlns:a="http://schemas.openxmlformats.org/drawingml/2006/main">
                        <a:graphicData uri="http://schemas.microsoft.com/office/word/2010/wordprocessingShape">
                          <wps:wsp>
                            <wps:cNvSpPr txBox="1"/>
                            <wps:spPr>
                              <a:xfrm>
                                <a:off x="0" y="0"/>
                                <a:ext cx="88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70510" cy="175260"/>
                      <wp:effectExtent l="0" t="0" r="0" b="0"/>
                      <wp:wrapNone/>
                      <wp:docPr id="185" name="Frame185"/>
                      <a:graphic xmlns:a="http://schemas.openxmlformats.org/drawingml/2006/main">
                        <a:graphicData uri="http://schemas.microsoft.com/office/word/2010/wordprocessingShape">
                          <wps:wsp>
                            <wps:cNvSpPr txBox="1"/>
                            <wps:spPr>
                              <a:xfrm>
                                <a:off x="0" y="0"/>
                                <a:ext cx="270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539750" cy="175260"/>
                      <wp:effectExtent l="0" t="0" r="0" b="0"/>
                      <wp:wrapNone/>
                      <wp:docPr id="186" name="Frame186"/>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7"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41300" cy="175260"/>
                      <wp:effectExtent l="0" t="0" r="0" b="0"/>
                      <wp:wrapNone/>
                      <wp:docPr id="188" name="Frame188"/>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483235" cy="175260"/>
                      <wp:effectExtent l="0" t="0" r="0" b="0"/>
                      <wp:wrapNone/>
                      <wp:docPr id="189" name="Frame189"/>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91440" cy="175260"/>
                      <wp:effectExtent l="0" t="0" r="0" b="0"/>
                      <wp:wrapNone/>
                      <wp:docPr id="190" name="Frame190"/>
                      <a:graphic xmlns:a="http://schemas.openxmlformats.org/drawingml/2006/main">
                        <a:graphicData uri="http://schemas.microsoft.com/office/word/2010/wordprocessingShape">
                          <wps:wsp>
                            <wps:cNvSpPr txBox="1"/>
                            <wps:spPr>
                              <a:xfrm>
                                <a:off x="0" y="0"/>
                                <a:ext cx="91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36855" cy="175260"/>
                      <wp:effectExtent l="0" t="0" r="0" b="0"/>
                      <wp:wrapNone/>
                      <wp:docPr id="191" name="Frame191"/>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02615" cy="175260"/>
                      <wp:effectExtent l="0" t="0" r="0" b="0"/>
                      <wp:wrapNone/>
                      <wp:docPr id="192" name="Frame192"/>
                      <a:graphic xmlns:a="http://schemas.openxmlformats.org/drawingml/2006/main">
                        <a:graphicData uri="http://schemas.microsoft.com/office/word/2010/wordprocessingShape">
                          <wps:wsp>
                            <wps:cNvSpPr txBox="1"/>
                            <wps:spPr>
                              <a:xfrm>
                                <a:off x="0" y="0"/>
                                <a:ext cx="602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5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5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Thirteen Weeks Ended</w:t>
            </w:r>
          </w:p>
        </w:tc>
        <w:tc>
          <w:tcPr>
            <w:tcW w:w="346" w:type="dxa"/>
            <w:tcBorders/>
            <w:vAlign w:val="center"/>
          </w:tcPr>
          <w:p>
            <w:pPr>
              <w:pStyle w:val="TableContents"/>
              <w:bidi w:val="0"/>
              <w:spacing w:before="0" w:after="1"/>
              <w:ind w:left="0" w:right="0" w:hanging="0"/>
              <w:jc w:val="left"/>
              <w:rPr/>
            </w:pPr>
            <w:r>
              <w:rPr/>
              <w:t>​</w:t>
            </w:r>
          </w:p>
        </w:tc>
        <w:tc>
          <w:tcPr>
            <w:tcW w:w="260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Twenty-Six Weeks Ended</w:t>
            </w:r>
          </w:p>
        </w:tc>
      </w:tr>
      <w:tr>
        <w:trPr/>
        <w:tc>
          <w:tcPr>
            <w:tcW w:w="435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July 1, 2026</w:t>
            </w:r>
          </w:p>
        </w:tc>
        <w:tc>
          <w:tcPr>
            <w:tcW w:w="139" w:type="dxa"/>
            <w:tcBorders/>
            <w:vAlign w:val="center"/>
          </w:tcPr>
          <w:p>
            <w:pPr>
              <w:pStyle w:val="TableContents"/>
              <w:bidi w:val="0"/>
              <w:spacing w:before="0" w:after="1"/>
              <w:ind w:left="0" w:right="0" w:hanging="0"/>
              <w:jc w:val="left"/>
              <w:rPr/>
            </w:pPr>
            <w:r>
              <w:rPr/>
              <w:t>​</w:t>
            </w:r>
          </w:p>
        </w:tc>
        <w:tc>
          <w:tcPr>
            <w:tcW w:w="12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25, 2025</w:t>
            </w:r>
          </w:p>
        </w:tc>
        <w:tc>
          <w:tcPr>
            <w:tcW w:w="346" w:type="dxa"/>
            <w:tcBorders/>
            <w:vAlign w:val="center"/>
          </w:tcPr>
          <w:p>
            <w:pPr>
              <w:pStyle w:val="TableContents"/>
              <w:bidi w:val="0"/>
              <w:spacing w:before="0" w:after="1"/>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July 1, 2026</w:t>
            </w:r>
          </w:p>
        </w:tc>
        <w:tc>
          <w:tcPr>
            <w:tcW w:w="144" w:type="dxa"/>
            <w:tcBorders/>
            <w:vAlign w:val="center"/>
          </w:tcPr>
          <w:p>
            <w:pPr>
              <w:pStyle w:val="TableContents"/>
              <w:bidi w:val="0"/>
              <w:spacing w:before="0" w:after="1"/>
              <w:ind w:left="0" w:right="0" w:hanging="0"/>
              <w:jc w:val="left"/>
              <w:rPr/>
            </w:pPr>
            <w:r>
              <w:rPr/>
              <w:t>​</w:t>
            </w:r>
          </w:p>
        </w:tc>
        <w:tc>
          <w:tcPr>
            <w:tcW w:w="13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25, 2025</w:t>
            </w:r>
          </w:p>
        </w:tc>
      </w:tr>
      <w:tr>
        <w:trPr/>
        <w:tc>
          <w:tcPr>
            <w:tcW w:w="435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recognized from gift card liability balance at the beginning of the year</w:t>
            </w:r>
          </w:p>
        </w:tc>
        <w:tc>
          <w:tcPr>
            <w:tcW w:w="346" w:type="dxa"/>
            <w:tcBorders/>
            <w:shd w:fill="CCEEFF" w:val="clear"/>
            <w:vAlign w:val="center"/>
          </w:tcPr>
          <w:p>
            <w:pPr>
              <w:pStyle w:val="TableContents"/>
              <w:bidi w:val="0"/>
              <w:spacing w:before="0" w:after="1"/>
              <w:ind w:left="0" w:right="0" w:hanging="0"/>
              <w:jc w:val="left"/>
              <w:rPr/>
            </w:pPr>
            <w:r>
              <w:rPr/>
              <w:t>​</w:t>
            </w:r>
          </w:p>
        </w:tc>
        <w:tc>
          <w:tcPr>
            <w:tcW w:w="38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w:t>
            </w:r>
          </w:p>
        </w:tc>
        <w:tc>
          <w:tcPr>
            <w:tcW w:w="139" w:type="dxa"/>
            <w:tcBorders/>
            <w:shd w:fill="CCEEFF" w:val="clear"/>
            <w:vAlign w:val="center"/>
          </w:tcPr>
          <w:p>
            <w:pPr>
              <w:pStyle w:val="TableContents"/>
              <w:bidi w:val="0"/>
              <w:spacing w:before="0" w:after="1"/>
              <w:ind w:left="0" w:right="0" w:hanging="0"/>
              <w:jc w:val="left"/>
              <w:rPr/>
            </w:pPr>
            <w:r>
              <w:rPr/>
              <w:t>​</w:t>
            </w:r>
          </w:p>
        </w:tc>
        <w:tc>
          <w:tcPr>
            <w:tcW w:w="4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w:t>
            </w:r>
          </w:p>
        </w:tc>
        <w:tc>
          <w:tcPr>
            <w:tcW w:w="346" w:type="dxa"/>
            <w:tcBorders/>
            <w:shd w:fill="CCEEFF" w:val="clear"/>
            <w:vAlign w:val="center"/>
          </w:tcPr>
          <w:p>
            <w:pPr>
              <w:pStyle w:val="TableContents"/>
              <w:bidi w:val="0"/>
              <w:spacing w:before="0" w:after="1"/>
              <w:ind w:left="0" w:right="0" w:hanging="0"/>
              <w:jc w:val="left"/>
              <w:rPr/>
            </w:pPr>
            <w:r>
              <w:rPr/>
              <w:t>​</w:t>
            </w:r>
          </w:p>
        </w:tc>
        <w:tc>
          <w:tcPr>
            <w:tcW w:w="38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w:t>
            </w:r>
          </w:p>
        </w:tc>
        <w:tc>
          <w:tcPr>
            <w:tcW w:w="144" w:type="dxa"/>
            <w:tcBorders/>
            <w:shd w:fill="CCEEFF" w:val="clear"/>
            <w:vAlign w:val="center"/>
          </w:tcPr>
          <w:p>
            <w:pPr>
              <w:pStyle w:val="TableContents"/>
              <w:bidi w:val="0"/>
              <w:spacing w:before="0" w:after="1"/>
              <w:ind w:left="0" w:right="0" w:hanging="0"/>
              <w:jc w:val="left"/>
              <w:rPr/>
            </w:pPr>
            <w:r>
              <w:rPr/>
              <w:t>​</w:t>
            </w:r>
          </w:p>
        </w:tc>
        <w:tc>
          <w:tcPr>
            <w:tcW w:w="37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49"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643</w:t>
            </w:r>
          </w:p>
        </w:tc>
      </w:tr>
    </w:tbl>
    <w:p>
      <w:pPr>
        <w:pStyle w:val="TextBody"/>
        <w:bidi w:val="0"/>
        <w:spacing w:before="0" w:after="0"/>
        <w:ind w:left="0" w:right="0" w:hanging="0"/>
        <w:jc w:val="left"/>
        <w:rPr/>
      </w:pPr>
      <w:r>
        <w:rPr/>
        <w:t>​</w:t>
      </w:r>
    </w:p>
    <w:p>
      <w:pPr>
        <w:pStyle w:val="TextBody"/>
        <w:bidi w:val="0"/>
        <w:spacing w:before="360" w:after="0"/>
        <w:ind w:left="0" w:right="0" w:firstLine="490"/>
        <w:jc w:val="both"/>
        <w:rPr>
          <w:rFonts w:ascii="Times New Roman;Times;serif" w:hAnsi="Times New Roman;Times;serif"/>
          <w:i/>
          <w:sz w:val="20"/>
        </w:rPr>
      </w:pPr>
      <w:r>
        <w:rPr>
          <w:rFonts w:ascii="Times New Roman;Times;serif" w:hAnsi="Times New Roman;Times;serif"/>
          <w:i/>
          <w:sz w:val="20"/>
        </w:rPr>
        <w:t>Franchise Revenue and Franchise Advertising Fee Revenue</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Franchise revenue consists of franchise royalties, initial and renewal franchise fees, license fees due from franchisees, IT support services, and rental income for subleases to franchisees. Franchise advertising fee revenue consists of advertising contributions received from franchisees. These revenue streams are made up of the following performance obligations: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Franchise license - inclusive of advertising services, development agreements, training, access to restaurant development plans and help desk services;</w:t>
            </w:r>
          </w:p>
        </w:tc>
      </w:tr>
    </w:tbl>
    <w:tbl>
      <w:tblPr>
        <w:tblW w:w="3126" w:type="dxa"/>
        <w:jc w:val="left"/>
        <w:tblInd w:w="0" w:type="dxa"/>
        <w:tblLayout w:type="fixed"/>
        <w:tblCellMar>
          <w:top w:w="28" w:type="dxa"/>
          <w:left w:w="28" w:type="dxa"/>
          <w:bottom w:w="28" w:type="dxa"/>
          <w:right w:w="28" w:type="dxa"/>
        </w:tblCellMar>
      </w:tblPr>
      <w:tblGrid>
        <w:gridCol w:w="124"/>
        <w:gridCol w:w="256"/>
        <w:gridCol w:w="2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Discounted renewal option; and</w:t>
            </w:r>
          </w:p>
        </w:tc>
      </w:tr>
    </w:tbl>
    <w:tbl>
      <w:tblPr>
        <w:tblW w:w="2031" w:type="dxa"/>
        <w:jc w:val="left"/>
        <w:tblInd w:w="0" w:type="dxa"/>
        <w:tblLayout w:type="fixed"/>
        <w:tblCellMar>
          <w:top w:w="28" w:type="dxa"/>
          <w:left w:w="28" w:type="dxa"/>
          <w:bottom w:w="28" w:type="dxa"/>
          <w:right w:w="28" w:type="dxa"/>
        </w:tblCellMar>
      </w:tblPr>
      <w:tblGrid>
        <w:gridCol w:w="124"/>
        <w:gridCol w:w="256"/>
        <w:gridCol w:w="1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Hardware services.</w:t>
            </w:r>
          </w:p>
        </w:tc>
      </w:tr>
    </w:tbl>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The Company satisfies the performance obligation related to the franchise license over the term of the franchise agreement, which is typically 20 years. Payment for the franchise license consists of three components, a fixed-fee related to the franchise/development agreement, a revenue-based royalty fee and a revenue-based advertising fee. The fixed fee, as determined by the signed development and/or franchise agreement, is due at the time the development agreement is entered into, and/or when the franchise agreement is signed, and does not include a finance component.</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The revenue-based royalty fee and revenue-based advertising fee are considered variable consideration and are recognized as franchise revenue as such revenue are earned by the franchisees. Both revenue-based fees qualify under the royalty constraint exception and do not require an estimate of future transaction price. Additionally, the Company is utilizing the practical expedient available under ASC Topic 606, </w:t>
      </w:r>
      <w:r>
        <w:rPr>
          <w:rFonts w:ascii="Times New Roman;Times;serif" w:hAnsi="Times New Roman;Times;serif"/>
          <w:i/>
          <w:sz w:val="20"/>
        </w:rPr>
        <w:t>Revenue from Contracts with Customers</w:t>
      </w:r>
      <w:r>
        <w:rPr>
          <w:rFonts w:ascii="Times New Roman;Times;serif" w:hAnsi="Times New Roman;Times;serif"/>
          <w:sz w:val="20"/>
        </w:rPr>
        <w:t xml:space="preserve"> (“Topic 606”) regarding disclosure of the aggregate amount of the transaction price allocated to the performance obligations that are unsatisfied for revenue-based royalties.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In certain franchise agreements, the Company offers a discounted renewal fee to incentivize future renewals after the end of the initial franchise term. As this is considered a separate performance obligation, the Company allocated a portion of the initial franchise fee to this discounted renewal, on a pro-rata basis, assuming a 20-year renewal. This performance obligation is satisfied over the renewal term, which is typically 10 or 20 years, while payment is fixed and due at the time the renewal is signed.</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The Company purchases hardware, such as scanners, printers, point-of-sale systems, kiosks, and tablets, from third party vendors, which it then sells to franchisees. As the Company is considered the principal in this relationship, payment received for the hardware is considered revenue and is received upon transfer of the goods from the Company to the franchisee. As of July 1, 2026, there were no performance obligations related to hardware services that were unsatisfied or partially satisfied.</w:t>
      </w:r>
    </w:p>
    <w:p>
      <w:pPr>
        <w:pStyle w:val="TextBody"/>
        <w:bidi w:val="0"/>
        <w:spacing w:before="360" w:after="0"/>
        <w:ind w:left="0" w:right="0" w:firstLine="490"/>
        <w:jc w:val="both"/>
        <w:rPr>
          <w:rFonts w:ascii="Times New Roman;Times;serif" w:hAnsi="Times New Roman;Times;serif"/>
          <w:i/>
          <w:sz w:val="20"/>
        </w:rPr>
      </w:pPr>
      <w:r>
        <w:rPr>
          <w:rFonts w:ascii="Times New Roman;Times;serif" w:hAnsi="Times New Roman;Times;serif"/>
          <w:i/>
          <w:sz w:val="20"/>
        </w:rPr>
        <w:t>Contract Balances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The Company’s franchise contract liability includes development fees, initial franchise and license fees, franchise renewal fees, lease subsidies and royalty discounts and is included within other accrued expenses and current liabilities and other noncurrent liabilities within the accompanying condensed consolidated balance sheets. The Company receives area development fees from franchisees when they execute multi-unit area development agreements. Initial franchise and license fees, or franchise renewal fees, are received from franchisees upon the execution of, or renewal of, a franchise agreement. Revenue is recognized from these agreements as the underlying performance obligation is satisfied, which is over the term of the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490"/>
        <w:jc w:val="both"/>
        <w:rPr>
          <w:rFonts w:ascii="Times New Roman;Times;serif" w:hAnsi="Times New Roman;Times;serif"/>
          <w:sz w:val="20"/>
        </w:rPr>
      </w:pPr>
      <w:bookmarkStart w:id="950" w:name="Tc_aRLm11oftUOFF8lOwQ2hyw_8_2"/>
      <w:bookmarkStart w:id="951" w:name="Tc_uj7BrWM8v0Kl6TFPyKmAuQ_8_0"/>
      <w:bookmarkStart w:id="952" w:name="Tc_zLhsRXvIjkebKse6dd3h4w_7_0"/>
      <w:bookmarkStart w:id="953" w:name="Tc_6pgR92nC0U2JOxNUszOxkw_2_2"/>
      <w:bookmarkStart w:id="954" w:name="Tc_BP5FTBBG0Eu4R0tmUSUGYQ_1_0"/>
      <w:bookmarkStart w:id="955" w:name="_481fa7a4_789c_4ba5_853b_4015a27c25e0"/>
      <w:bookmarkStart w:id="956" w:name="Tc_K8Y9WQgTaka_pSCsSNY9Cw_9_2"/>
      <w:bookmarkStart w:id="957" w:name="Tc_9VkL1DGwA0CJvyxhUerpgQ_9_0"/>
      <w:bookmarkStart w:id="958" w:name="Tc_CO6kA-NGPECJMxtkZhVoDQ_8_0"/>
      <w:bookmarkStart w:id="959" w:name="Tc_EKGqUNHhC0-Tko7U2rkzwg_7_0"/>
      <w:bookmarkStart w:id="960" w:name="Tc_LNXonDq4b0mqgBPvowoFgw_6_2"/>
      <w:bookmarkStart w:id="961" w:name="Tc_GR0bZaGqi0WYvdUZOKcAMg_6_0"/>
      <w:bookmarkStart w:id="962" w:name="Tc_LdtgVFDrd0KCRFDNw1988A_4_2"/>
      <w:bookmarkStart w:id="963" w:name="Tc_hgMIyiAX2UuJLgs5_0ZFrw_4_0"/>
      <w:bookmarkStart w:id="964" w:name="Tc_qVXnHTMZqk-BlmiAStxVRA_3_0"/>
      <w:bookmarkStart w:id="965" w:name="Tc_kw_-K10jckGhigvF0J9nqQ_2_0"/>
      <w:bookmarkStart w:id="966" w:name="Tc_alFH5bQCkEG3qGygxtSKNA_1_2"/>
      <w:bookmarkStart w:id="967" w:name="Tc_S8Pdfyw8K0GlfVZB89sWMg_1_0"/>
      <w:bookmarkStart w:id="968" w:name="_89b6a846_0751_4126_bdb3_f5ad5b4ae1f0"/>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r>
        <w:rPr>
          <w:rFonts w:ascii="Times New Roman;Times;serif" w:hAnsi="Times New Roman;Times;serif"/>
          <w:sz w:val="20"/>
        </w:rPr>
        <w:t>The following table provides information about the change in the franchise contract liability balances during the twenty-six weeks ended July 1, 2026 and June 25, 2025 (in thousands):</w:t>
      </w:r>
    </w:p>
    <w:tbl>
      <w:tblPr>
        <w:tblW w:w="3422" w:type="dxa"/>
        <w:jc w:val="left"/>
        <w:tblInd w:w="0" w:type="dxa"/>
        <w:tblLayout w:type="fixed"/>
        <w:tblCellMar>
          <w:top w:w="0" w:type="dxa"/>
          <w:left w:w="0" w:type="dxa"/>
          <w:bottom w:w="0" w:type="dxa"/>
          <w:right w:w="0" w:type="dxa"/>
        </w:tblCellMar>
      </w:tblPr>
      <w:tblGrid>
        <w:gridCol w:w="2416"/>
        <w:gridCol w:w="109"/>
        <w:gridCol w:w="211"/>
        <w:gridCol w:w="686"/>
      </w:tblGrid>
      <w:tr>
        <w:trPr/>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534160" cy="175260"/>
                      <wp:effectExtent l="0" t="0" r="0" b="0"/>
                      <wp:wrapNone/>
                      <wp:docPr id="193" name="Frame193"/>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9215" cy="175260"/>
                      <wp:effectExtent l="0" t="0" r="0" b="0"/>
                      <wp:wrapNone/>
                      <wp:docPr id="194" name="Frame1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95"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35610" cy="175260"/>
                      <wp:effectExtent l="0" t="0" r="0" b="0"/>
                      <wp:wrapNone/>
                      <wp:docPr id="196" name="Frame196"/>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December 31, 2025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6,153</w:t>
            </w:r>
          </w:p>
        </w:tc>
      </w:tr>
      <w:tr>
        <w:trPr/>
        <w:tc>
          <w:tcPr>
            <w:tcW w:w="24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contract liability</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w:t>
            </w:r>
          </w:p>
        </w:tc>
      </w:tr>
      <w:tr>
        <w:trPr/>
        <w:tc>
          <w:tcPr>
            <w:tcW w:w="24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recognized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w:t>
            </w:r>
          </w:p>
        </w:tc>
      </w:tr>
      <w:tr>
        <w:trPr/>
        <w:tc>
          <w:tcPr>
            <w:tcW w:w="24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July 1, 2026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6,150</w:t>
            </w:r>
          </w:p>
        </w:tc>
      </w:tr>
      <w:tr>
        <w:trPr/>
        <w:tc>
          <w:tcPr>
            <w:tcW w:w="241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right"/>
              <w:rPr/>
            </w:pPr>
            <w:r>
              <w:rPr/>
              <w:t>​</w:t>
            </w:r>
          </w:p>
        </w:tc>
      </w:tr>
      <w:tr>
        <w:trPr/>
        <w:tc>
          <w:tcPr>
            <w:tcW w:w="24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December 25, 2024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6,730</w:t>
            </w:r>
          </w:p>
        </w:tc>
      </w:tr>
      <w:tr>
        <w:trPr/>
        <w:tc>
          <w:tcPr>
            <w:tcW w:w="24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contract liability</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w:t>
            </w:r>
          </w:p>
        </w:tc>
      </w:tr>
      <w:tr>
        <w:trPr/>
        <w:tc>
          <w:tcPr>
            <w:tcW w:w="24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recognized</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w:t>
            </w:r>
          </w:p>
        </w:tc>
      </w:tr>
      <w:tr>
        <w:trPr/>
        <w:tc>
          <w:tcPr>
            <w:tcW w:w="24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June 25, 2025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b/>
                <w:sz w:val="20"/>
              </w:rPr>
            </w:pPr>
            <w:r>
              <w:rPr>
                <w:rFonts w:ascii="Times New Roman;Times;serif" w:hAnsi="Times New Roman;Times;serif"/>
                <w:b/>
                <w:sz w:val="20"/>
              </w:rPr>
              <w:t>6,679</w:t>
            </w:r>
          </w:p>
        </w:tc>
      </w:tr>
    </w:tbl>
    <w:p>
      <w:pPr>
        <w:pStyle w:val="TextBody"/>
        <w:bidi w:val="0"/>
        <w:spacing w:before="0" w:after="0"/>
        <w:ind w:left="0" w:right="0" w:hanging="0"/>
        <w:jc w:val="left"/>
        <w:rPr/>
      </w:pPr>
      <w:r>
        <w:rPr/>
        <w:t>​</w:t>
      </w:r>
    </w:p>
    <w:p>
      <w:pPr>
        <w:pStyle w:val="TextBody"/>
        <w:bidi w:val="0"/>
        <w:spacing w:before="240" w:after="120"/>
        <w:ind w:left="0" w:right="0" w:firstLine="490"/>
        <w:jc w:val="both"/>
        <w:rPr>
          <w:rFonts w:ascii="Times New Roman;Times;serif" w:hAnsi="Times New Roman;Times;serif"/>
          <w:sz w:val="20"/>
        </w:rPr>
      </w:pPr>
      <w:r>
        <w:rPr>
          <w:rFonts w:ascii="Times New Roman;Times;serif" w:hAnsi="Times New Roman;Times;serif"/>
          <w:sz w:val="20"/>
        </w:rPr>
        <w:t>The following table illustrates the estimated revenue to be recognized in future periods related to performance obligations under the applicable contracts that are unsatisfied as of July 1, 2026 (in thousands):</w:t>
      </w:r>
    </w:p>
    <w:tbl>
      <w:tblPr>
        <w:tblW w:w="3059" w:type="dxa"/>
        <w:jc w:val="left"/>
        <w:tblInd w:w="0" w:type="dxa"/>
        <w:tblLayout w:type="fixed"/>
        <w:tblCellMar>
          <w:top w:w="0" w:type="dxa"/>
          <w:left w:w="0" w:type="dxa"/>
          <w:bottom w:w="0" w:type="dxa"/>
          <w:right w:w="0" w:type="dxa"/>
        </w:tblCellMar>
      </w:tblPr>
      <w:tblGrid>
        <w:gridCol w:w="1816"/>
        <w:gridCol w:w="346"/>
        <w:gridCol w:w="211"/>
        <w:gridCol w:w="686"/>
      </w:tblGrid>
      <w:tr>
        <w:trPr/>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153160" cy="175260"/>
                      <wp:effectExtent l="0" t="0" r="0" b="0"/>
                      <wp:wrapNone/>
                      <wp:docPr id="197" name="Frame197"/>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710" cy="175260"/>
                      <wp:effectExtent l="0" t="0" r="0" b="0"/>
                      <wp:wrapNone/>
                      <wp:docPr id="198"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33985" cy="175260"/>
                      <wp:effectExtent l="0" t="0" r="0" b="0"/>
                      <wp:wrapNone/>
                      <wp:docPr id="199"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435610" cy="175260"/>
                      <wp:effectExtent l="0" t="0" r="0" b="0"/>
                      <wp:wrapNone/>
                      <wp:docPr id="200" name="Frame200"/>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Franchise revenues:</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  ​ ​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552</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3,737</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b/>
                <w:sz w:val="20"/>
              </w:rPr>
            </w:pPr>
            <w:r>
              <w:rPr>
                <w:rFonts w:ascii="Times New Roman;Times;serif" w:hAnsi="Times New Roman;Times;serif"/>
                <w:b/>
                <w:sz w:val="20"/>
              </w:rPr>
              <w:t>6,150</w:t>
            </w:r>
          </w:p>
        </w:tc>
      </w:tr>
    </w:tbl>
    <w:p>
      <w:pPr>
        <w:pStyle w:val="TextBody"/>
        <w:bidi w:val="0"/>
        <w:spacing w:before="0" w:after="0"/>
        <w:ind w:left="0" w:right="0" w:hanging="0"/>
        <w:jc w:val="left"/>
        <w:rPr/>
      </w:pPr>
      <w:r>
        <w:rPr/>
        <w:t>​</w:t>
      </w:r>
    </w:p>
    <w:p>
      <w:pPr>
        <w:pStyle w:val="TextBody"/>
        <w:bidi w:val="0"/>
        <w:spacing w:before="360" w:after="0"/>
        <w:ind w:left="0" w:right="0" w:firstLine="490"/>
        <w:jc w:val="both"/>
        <w:rPr>
          <w:rFonts w:ascii="Times New Roman;Times;serif" w:hAnsi="Times New Roman;Times;serif"/>
          <w:i/>
          <w:sz w:val="20"/>
        </w:rPr>
      </w:pPr>
      <w:r>
        <w:rPr>
          <w:rFonts w:ascii="Times New Roman;Times;serif" w:hAnsi="Times New Roman;Times;serif"/>
          <w:i/>
          <w:sz w:val="20"/>
        </w:rPr>
        <w:t>Contract Costs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The Company does not currently incur costs to obtain or fulfill a contract that would be considered contract assets under Topic 606.</w:t>
      </w:r>
    </w:p>
    <w:p>
      <w:pPr>
        <w:pStyle w:val="TextBody"/>
        <w:bidi w:val="0"/>
        <w:spacing w:before="360" w:after="0"/>
        <w:ind w:left="0" w:right="0" w:hanging="0"/>
        <w:jc w:val="both"/>
        <w:rPr>
          <w:rFonts w:ascii="Times New Roman;Times;serif" w:hAnsi="Times New Roman;Times;serif"/>
          <w:b/>
          <w:sz w:val="20"/>
        </w:rPr>
      </w:pPr>
      <w:r>
        <w:rPr>
          <w:rFonts w:ascii="Times New Roman;Times;serif" w:hAnsi="Times New Roman;Times;serif"/>
          <w:b/>
          <w:sz w:val="20"/>
        </w:rPr>
        <w:t>11. LEASES</w:t>
      </w:r>
    </w:p>
    <w:p>
      <w:pPr>
        <w:pStyle w:val="TextBody"/>
        <w:bidi w:val="0"/>
        <w:spacing w:before="120" w:after="0"/>
        <w:ind w:left="0" w:right="0" w:firstLine="490"/>
        <w:jc w:val="both"/>
        <w:rPr>
          <w:rFonts w:ascii="Times New Roman;Times;serif" w:hAnsi="Times New Roman;Times;serif"/>
          <w:i/>
          <w:sz w:val="20"/>
        </w:rPr>
      </w:pPr>
      <w:r>
        <w:rPr>
          <w:rFonts w:ascii="Times New Roman;Times;serif" w:hAnsi="Times New Roman;Times;serif"/>
          <w:i/>
          <w:sz w:val="20"/>
        </w:rPr>
        <w:t>Nature of Leases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The Company’s operations utilize property, facilities, equipment and vehicles leased from others. Additionally, the Company has various contracts with vendors that have been determined to contain an embedded lease in accordance with Topic 842.</w:t>
      </w:r>
    </w:p>
    <w:p>
      <w:pPr>
        <w:pStyle w:val="TextBody"/>
        <w:bidi w:val="0"/>
        <w:spacing w:before="360" w:after="0"/>
        <w:ind w:left="0" w:right="0" w:firstLine="490"/>
        <w:jc w:val="both"/>
        <w:rPr>
          <w:rFonts w:ascii="Times New Roman;Times;serif" w:hAnsi="Times New Roman;Times;serif"/>
          <w:i/>
          <w:sz w:val="20"/>
        </w:rPr>
      </w:pPr>
      <w:r>
        <w:rPr>
          <w:rFonts w:ascii="Times New Roman;Times;serif" w:hAnsi="Times New Roman;Times;serif"/>
          <w:i/>
          <w:sz w:val="20"/>
        </w:rPr>
        <w:t>Significant Assumptions and Judgments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In applying the requirements of Topic 842, the Company made significant assumptions and judgments related to determination of whether a contract contains a lease and the discount rate used for the lease.</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In determining if any of the Company’s contracts contain a lease, the Company made assumptions and judgments related to its ability to direct the use of any assets stated in the contract and the likelihood of renewing any short-term contracts for a period extending past twelve months.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also made significant assumptions and judgments in determining an appropriate discount rate for property leases. These included using a consistent discount rate for a portfolio of leases entered into at varying dates, using the full </w:t>
      </w:r>
      <w:r>
        <w:rPr>
          <w:rFonts w:ascii="Times New Roman;Times;serif" w:hAnsi="Times New Roman;Times;serif"/>
          <w:b w:val="false"/>
          <w:i w:val="false"/>
          <w:caps w:val="false"/>
          <w:smallCaps w:val="false"/>
          <w:sz w:val="20"/>
        </w:rPr>
        <w:t>20-year</w:t>
      </w:r>
      <w:r>
        <w:rPr>
          <w:rFonts w:ascii="Times New Roman;Times;serif" w:hAnsi="Times New Roman;Times;serif"/>
          <w:sz w:val="20"/>
        </w:rPr>
        <w:t xml:space="preserve"> term of the lease, excluding any options, and using the total minimum lease payments. The Company utilizes a third-party valuation firm in determining the discount rate, based on the above assumptions. For all other leases, the Company uses the discount rate implicit in the lease, or the Company’s incremental borrowing rate.</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As the Company has adopted the practical expedient not to separate lease and non-lease components, no significant assumptions or judgments were necessary in allocating consideration between these components, for all classes of underlying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i/>
          <w:sz w:val="20"/>
        </w:rPr>
      </w:pPr>
      <w:r>
        <w:rPr>
          <w:rFonts w:ascii="Times New Roman;Times;serif" w:hAnsi="Times New Roman;Times;serif"/>
          <w:i/>
          <w:sz w:val="20"/>
        </w:rPr>
        <w:t>Building and Facility Leases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The majority of the Company’s building and facilities leases are classified as operating leases; however, the Company currently has one facility and 11 equipment leases that are classified as finance leases.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Restaurants are operated under lease arrangements that generally provide for a fixed base rent and, in some instances, contingent rent based on a percentage of restaurant revenue in excess of a defined amount. Additionally, a number of the Company’s leases have payments that increase at pre-determined dates based on the change in the consumer price index. For all leases, the Company also reimburses the landlord for non-lease components, or items that are not considered components of a contract, such as common area maintenance, property tax and insurance costs. While the Company determined not to separate lease and non-lease components, these payments are based on actual costs, making them variable consideration and therefore excludes them from the calculations of the right-of-use (“ROU”) asset and lease liability.</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The initial terms of land and restaurant building leases are generally 20 years, exclusive of options to renew. These leases typically have four 5-year renewal options, which have generally been excluded in the calculation of the ROU asset and lease liability, as they are not considered reasonably certain to be exercised, unless there have been significant leasehold improvements that have a useful life that extend past the original lease term. Furthermore, there are no residual value guarantees and no restrictions imposed by the lease.</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During the thirteen and twenty-six weeks ended July 1, 2026, the Company reassessed the lease terms on seven restaurants and 14 restaurants, respectively, due to certain triggering events, such as the addition of significant leasehold improvements with useful lives that extend past the current lease expiration, the decision to terminate a lease, or the decision to renew or exercise an option. This reassessment resulted in an additional</w:t>
      </w:r>
      <w:r>
        <w:rPr>
          <w:rFonts w:ascii="Times New Roman;Times;serif" w:hAnsi="Times New Roman;Times;serif"/>
          <w:sz w:val="20"/>
          <w:shd w:fill="FFFFFF" w:val="clear"/>
        </w:rPr>
        <w:t xml:space="preserve"> $3.8 million and $9.1 million </w:t>
      </w:r>
      <w:r>
        <w:rPr>
          <w:rFonts w:ascii="Times New Roman;Times;serif" w:hAnsi="Times New Roman;Times;serif"/>
          <w:sz w:val="20"/>
        </w:rPr>
        <w:t>of ROU asset and lease liabilities for the thirteen and twenty-six weeks ended July 1, 2026, respectively. During the thirteen and twenty-six weeks ended June 25, 2025, the Company reassessed the lease terms on seven and nine restaurants, respectively, due to certain triggering events, such as the addition of significant leasehold improvements with useful lives that extend past the current lease expiration, the decision to terminate a lease, or the decision to renew or exercise an option. This reassessment resulted in an additional $5.7 million and $7.1 million of ROU asset and lease liabilities for the thirteen and twenty-six weeks ended June 25, 2025, respectively, which were recognized and will be amortized over the new lease term.</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The Company also subleases facilities to certain franchisees and other non-related parties which are also considered operating leases. Sublease income also includes contingent rental income based on net revenues. The vast majority of these leases have rights to extend terms via fixed rental increases. However, none of these leases have early termination rights, the right to purchase the premises or any residual value guarantees. The Company does not have any related party leases.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During the thirteen and twenty-six weeks ended July 1, 2026, the Company recorded a $0.2 million non-cash impairment charge related to one restaurant in Nevada. During both the thirteen and twenty-six weeks ended June 25, 2025, the Company did not record any non-cash </w:t>
      </w:r>
      <w:r>
        <w:rPr>
          <w:rFonts w:ascii="Times New Roman;Times;serif" w:hAnsi="Times New Roman;Times;serif"/>
          <w:color w:val="212529"/>
          <w:sz w:val="20"/>
          <w:shd w:fill="FFFFFF" w:val="clear"/>
        </w:rPr>
        <w:t>impairment</w:t>
      </w:r>
      <w:r>
        <w:rPr>
          <w:rFonts w:ascii="Times New Roman;Times;serif" w:hAnsi="Times New Roman;Times;serif"/>
          <w:sz w:val="20"/>
        </w:rPr>
        <w:t xml:space="preserve"> charges. </w:t>
      </w:r>
    </w:p>
    <w:p>
      <w:pPr>
        <w:pStyle w:val="TextBody"/>
        <w:bidi w:val="0"/>
        <w:spacing w:before="360" w:after="0"/>
        <w:ind w:left="0" w:right="0" w:firstLine="490"/>
        <w:jc w:val="both"/>
        <w:rPr>
          <w:rFonts w:ascii="Times New Roman;Times;serif" w:hAnsi="Times New Roman;Times;serif"/>
          <w:i/>
          <w:sz w:val="20"/>
        </w:rPr>
      </w:pPr>
      <w:r>
        <w:rPr>
          <w:rFonts w:ascii="Times New Roman;Times;serif" w:hAnsi="Times New Roman;Times;serif"/>
          <w:i/>
          <w:sz w:val="20"/>
        </w:rPr>
        <w:t>Equipment</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Leases of equipment primarily consist of restaurant equipment and vehicles. These leases are fixed payments with no variable component. Additionally, no optional renewal periods have been included in the calculation of the ROU asset, and there are no residual value guarantees and no restrictions imposed.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i/>
          <w:sz w:val="20"/>
        </w:rPr>
      </w:pPr>
      <w:bookmarkStart w:id="969" w:name="Tc_FCqP36tAEUuvWC_bKjg-9g_12_18"/>
      <w:bookmarkStart w:id="970" w:name="Tc_Q190ntAXREqohwp6aCZlaA_12_17"/>
      <w:bookmarkStart w:id="971" w:name="Tc_32TCCNSdJUaiwiEpkkztFQ_12_15"/>
      <w:bookmarkStart w:id="972" w:name="Tc_fbJ-G4OC8k6dINw8HiMI0w_12_14"/>
      <w:bookmarkStart w:id="973" w:name="Tc_MUEfx2co00S8tiPY8sItPw_12_12"/>
      <w:bookmarkStart w:id="974" w:name="Tc_rbjJnMwFPEuAebDSY6sizw_12_11"/>
      <w:bookmarkStart w:id="975" w:name="Tc_15vGVu1hKkOL_qJL8AmcqQ_12_9"/>
      <w:bookmarkStart w:id="976" w:name="Tc_U9HIjhgS006HXSU-SchRLg_12_8"/>
      <w:bookmarkStart w:id="977" w:name="Tc_p_M1KX7do0eXLv9LH_3ASQ_12_6"/>
      <w:bookmarkStart w:id="978" w:name="Tc_2z992InCdUyBRFrkbWEd2w_12_5"/>
      <w:bookmarkStart w:id="979" w:name="Tc_G2nvxJCHyUCDz1ToHK8laQ_12_3"/>
      <w:bookmarkStart w:id="980" w:name="Tc_szXl2z43okmpWCL4fO070g_12_2"/>
      <w:bookmarkStart w:id="981" w:name="Tc_n3gQ4JvvD0yEpa7VHSClqg_12_0"/>
      <w:bookmarkStart w:id="982" w:name="Tc_6v-PIFfJSEaL3b1EJrCsLQ_11_0"/>
      <w:bookmarkStart w:id="983" w:name="Tc_s7bb56pO_kOoYVmeTg-5yQ_10_17"/>
      <w:bookmarkStart w:id="984" w:name="Tc_TvlJYSRwCUiFT7OLWmlTFw_10_14"/>
      <w:bookmarkStart w:id="985" w:name="Tc_Z3U8LE85h0CpJ0iVi4FyRw_10_11"/>
      <w:bookmarkStart w:id="986" w:name="Tc_VHe7pbS9nUKQpAQyC05mJQ_10_8"/>
      <w:bookmarkStart w:id="987" w:name="Tc_SgmW3P_QzUOV1W7IE0mtAg_10_5"/>
      <w:bookmarkStart w:id="988" w:name="Tc_9-EujNnVykCBwX2MnoAvWA_10_2"/>
      <w:bookmarkStart w:id="989" w:name="Tc_7OwkXUGkXEG8dgJwgAeERA_10_0"/>
      <w:bookmarkStart w:id="990" w:name="Tc_X2EISnxZD0i1sYlgoVmREQ_9_0"/>
      <w:bookmarkStart w:id="991" w:name="Tc_kkUUGKLP60-Xbnvax9jOTA_8_0"/>
      <w:bookmarkStart w:id="992" w:name="Tc_bvZzkG1HHkquiNMr7le0DQ_6_17"/>
      <w:bookmarkStart w:id="993" w:name="Tc_B1isUZbvvEebntv8O7xjew_6_14"/>
      <w:bookmarkStart w:id="994" w:name="Tc_w9Q1Jfvh00SqGp8xPbOt3A_6_11"/>
      <w:bookmarkStart w:id="995" w:name="Tc_Tmhe5X9l20q093ZlnWDsqA_6_8"/>
      <w:bookmarkStart w:id="996" w:name="Tc_SoM_yylcWUuhskR3LARLyQ_6_5"/>
      <w:bookmarkStart w:id="997" w:name="Tc_OJYdxhrMlU6dy5Ir5rAQIQ_6_2"/>
      <w:bookmarkStart w:id="998" w:name="Tc_pr7wWmY3TEunbCxQQpPpAQ_6_0"/>
      <w:bookmarkStart w:id="999" w:name="Tc_UMVd0rSBhEO7kw_D5reDkA_5_17"/>
      <w:bookmarkStart w:id="1000" w:name="Tc_rhRb9CVJ6E2WO7gQxdW1yg_5_14"/>
      <w:bookmarkStart w:id="1001" w:name="Tc_24D9VfiB2EibS37wMCsfsA_5_11"/>
      <w:bookmarkStart w:id="1002" w:name="Tc_-OtmVFve40m79VwENxsvHA_5_8"/>
      <w:bookmarkStart w:id="1003" w:name="Tc_L_pr7BrgMk6Io_p7xfNLSw_5_5"/>
      <w:bookmarkStart w:id="1004" w:name="Tc_oHjOOJEwI0i36SIDjlOcOQ_5_2"/>
      <w:bookmarkStart w:id="1005" w:name="Tc_MVySIqC3eE6G-qAkyqJZEw_5_0"/>
      <w:bookmarkStart w:id="1006" w:name="Tc_H5VwrgfR8kKGsy5SagfU9Q_4_0"/>
      <w:bookmarkStart w:id="1007" w:name="Tc_phkywE48y0uIO5N3rsjpAg_3_17"/>
      <w:bookmarkStart w:id="1008" w:name="Tc_39Vs9PkhYEKD1D_z-7CLwQ_3_14"/>
      <w:bookmarkStart w:id="1009" w:name="Tc_IEVAGz5d1kK6DYIMsYBMqQ_3_11"/>
      <w:bookmarkStart w:id="1010" w:name="Tc_kV-JNchezkyATjXxQF73Cg_3_8"/>
      <w:bookmarkStart w:id="1011" w:name="Tc_kbVLBgH_CEKjhDjja-qrxw_3_5"/>
      <w:bookmarkStart w:id="1012" w:name="Tc_xEmExG3eOkuw1Y5z5g9o7A_3_2"/>
      <w:bookmarkStart w:id="1013" w:name="Tc_hUYMkqibGkaWbUeigpEP9Q_2_14"/>
      <w:bookmarkStart w:id="1014" w:name="Tc_PXFLdk3w_0eXyyECkYwdUQ_2_11"/>
      <w:bookmarkStart w:id="1015" w:name="Tc_KhhdTVNfC0yJaugUf6oC0A_2_5"/>
      <w:bookmarkStart w:id="1016" w:name="Tc_znEwlkxXgkmnKplr6rAQcw_2_2"/>
      <w:bookmarkStart w:id="1017" w:name="Tc_wnV4Wmas2E21XRcPBRjhDg_1_11"/>
      <w:bookmarkStart w:id="1018" w:name="Tc_A-_DsOsHxkaGdr-KGuhZ8Q_1_2"/>
      <w:bookmarkStart w:id="1019" w:name="_f32b0483_839a_46c2_abdf_2684ace836ba"/>
      <w:bookmarkStart w:id="1020" w:name="Tc_Vc5TFbEjB0CSK-xoNEV5zg_7_12"/>
      <w:bookmarkStart w:id="1021" w:name="Tc_BldZyjl6xEStk6dGzl4BAg_7_9"/>
      <w:bookmarkStart w:id="1022" w:name="Tc_LIxHkB-pMEm7zpNJVJ1q6A_7_5"/>
      <w:bookmarkStart w:id="1023" w:name="Tc_QDMRrp3UakqDsGufRA0h6Q_7_2"/>
      <w:bookmarkStart w:id="1024" w:name="Tc_CfN_eLeqVEyPgydYyLwgvg_7_0"/>
      <w:bookmarkStart w:id="1025" w:name="Tc_oPNeR-NkCkGKsT3nltHl5g_6_0"/>
      <w:bookmarkStart w:id="1026" w:name="Tc_UuoIej3PkEq73FO25QMI3Q_5_0"/>
      <w:bookmarkStart w:id="1027" w:name="Tc_UR_T3hqND06WJS-dIGvYPw_4_0"/>
      <w:bookmarkStart w:id="1028" w:name="Tc_gg920vj_JECiRAiLXGJT9A_3_12"/>
      <w:bookmarkStart w:id="1029" w:name="Tc_4NXEdrc4ikOhfCGEFk6mDw_3_9"/>
      <w:bookmarkStart w:id="1030" w:name="Tc_mROGJkjNoUSM0Sux_mIsww_3_5"/>
      <w:bookmarkStart w:id="1031" w:name="Tc_4JxsNlaieUOQY16MUjwrhg_3_2"/>
      <w:bookmarkStart w:id="1032" w:name="Tc_vIJKCfsjbkOjfSLDCvSD7g_3_0"/>
      <w:bookmarkStart w:id="1033" w:name="Tc_wCnA2pv95EKIJUoDwY1oXg_2_12"/>
      <w:bookmarkStart w:id="1034" w:name="Tc_bhugYo7USEiD4sABjVtvfQ_2_9"/>
      <w:bookmarkStart w:id="1035" w:name="Tc_cUwS3nmpsEy2EnteG0CayQ_2_5"/>
      <w:bookmarkStart w:id="1036" w:name="Tc_oDD_T2qX3katl3Mw5kaNqw_2_2"/>
      <w:bookmarkStart w:id="1037" w:name="Tc_sUGOyOjVXEmXyyTFEaYjoQ_1_9"/>
      <w:bookmarkStart w:id="1038" w:name="Tc_DPwqXesRBUmQ419P1_DxfA_1_2"/>
      <w:bookmarkStart w:id="1039" w:name="_73b627b9_d824_44a1_aa77_0db623e45990"/>
      <w:bookmarkStart w:id="1040" w:name="Tc_LUV75tDKe0CYhsHkoawiAA_13_17"/>
      <w:bookmarkStart w:id="1041" w:name="Tc_wUg0FKl_hUGVpXo5SAWaWQ_13_14"/>
      <w:bookmarkStart w:id="1042" w:name="Tc_T840fh23n0GS9pqwYTkUEw_13_11"/>
      <w:bookmarkStart w:id="1043" w:name="Tc_NNZ88_tW9ESjr7l_SYCVIA_13_8"/>
      <w:bookmarkStart w:id="1044" w:name="Tc_L-jLoGh1K06Xo0yGqa8Lqg_13_5"/>
      <w:bookmarkStart w:id="1045" w:name="Tc_Yh_rQ9nniEKvRpJHZU-aRQ_13_2"/>
      <w:bookmarkStart w:id="1046" w:name="Tc_l_cmmGDgIEmFoIdJlIapvg_13_0"/>
      <w:bookmarkStart w:id="1047" w:name="Tc_qL9YLxYpjEe9PhWA4FDsrQ_12_15"/>
      <w:bookmarkStart w:id="1048" w:name="Tc_FaBe-0VZbEKWS48PJl4PzA_12_6"/>
      <w:bookmarkStart w:id="1049" w:name="Tc_DaBxRdLYfU2WV45hsCEYag_12_0"/>
      <w:bookmarkStart w:id="1050" w:name="Tc_PpsWWiie5k2bClGMIGX9Bg_11_0"/>
      <w:bookmarkStart w:id="1051" w:name="Tc_vifYpo3n50Gwd8LRL3g3Vw_10_12"/>
      <w:bookmarkStart w:id="1052" w:name="Tc_gj5eFyxockCKSEiNC6xf9Q_10_3"/>
      <w:bookmarkStart w:id="1053" w:name="Tc_-jAVY0pelU2KE-HqMfr0hQ_10_0"/>
      <w:bookmarkStart w:id="1054" w:name="Tc_49fee-C5TkGZxt9_1xUOJw_9_0"/>
      <w:bookmarkStart w:id="1055" w:name="Tc_KU-7jFyo6E2LhgqQwvnkag_8_0"/>
      <w:bookmarkStart w:id="1056" w:name="Tc_mtPumQq4qEKSL07-MOZeow_7_0"/>
      <w:bookmarkStart w:id="1057" w:name="Tc_l2GNlZYzCUiy7BqgwkGeAQ_6_17"/>
      <w:bookmarkStart w:id="1058" w:name="Tc_XWDq0cKCQkGqo3r_KrS9gg_6_14"/>
      <w:bookmarkStart w:id="1059" w:name="Tc_ksHIN8zf1UeasBZNCrRKlQ_6_11"/>
      <w:bookmarkStart w:id="1060" w:name="Tc_GBCgFGbJoU-2-jlh0UHVcg_6_8"/>
      <w:bookmarkStart w:id="1061" w:name="Tc_cclk-3F_hUa8QA3Npm92Xw_6_5"/>
      <w:bookmarkStart w:id="1062" w:name="Tc_Z8phav-OG0CEz364W1bI_Q_6_2"/>
      <w:bookmarkStart w:id="1063" w:name="Tc_pBLVNrWPPUSpfrAOQATTsA_6_0"/>
      <w:bookmarkStart w:id="1064" w:name="Tc_9OgJhO5B6EaVF9Lt-8hkTw_5_0"/>
      <w:bookmarkStart w:id="1065" w:name="Tc_sh2xyiCykEuXX6v7rtmIAg_4_17"/>
      <w:bookmarkStart w:id="1066" w:name="Tc_BKFfGHrv3EWojj-mc-MLxQ_4_14"/>
      <w:bookmarkStart w:id="1067" w:name="Tc_j49ceny5EEKVgQS5YeuERA_4_11"/>
      <w:bookmarkStart w:id="1068" w:name="Tc_FDBAWcVGkEO_tpcElAnjTA_4_8"/>
      <w:bookmarkStart w:id="1069" w:name="Tc_uNRqRtWD2km-5ma0yj7BEQ_4_5"/>
      <w:bookmarkStart w:id="1070" w:name="Tc_W96lIfk8CkCgzTfJgCbwHQ_4_2"/>
      <w:bookmarkStart w:id="1071" w:name="Tc__JkfLDxQ4EeNl4iPeZg3rw_3_14"/>
      <w:bookmarkStart w:id="1072" w:name="Tc_6nvjy28HAEG0kCcDZZdinw_3_11"/>
      <w:bookmarkStart w:id="1073" w:name="Tc_ChvoABIGcUqCEvUCDmvFAQ_3_5"/>
      <w:bookmarkStart w:id="1074" w:name="Tc_6AGbVYP5KEuk3LykKjyfMQ_3_2"/>
      <w:bookmarkStart w:id="1075" w:name="Tc_qWHCuSdHYEiG-LG0DjYJyg_2_11"/>
      <w:bookmarkStart w:id="1076" w:name="Tc_wr2LWRZvO0-jTU0b3csGGw_2_2"/>
      <w:bookmarkStart w:id="1077" w:name="Tc_08q-INvEn0KCmi7c6AA9Ow_1_2"/>
      <w:bookmarkStart w:id="1078" w:name="_e05a9c07_a967_4e98_96b2_86cd5ff6a99c"/>
      <w:bookmarkStart w:id="1079" w:name="Tc_5FR68MjJO0yLf4U52PMXdg_13_17"/>
      <w:bookmarkStart w:id="1080" w:name="Tc_N6SoMIc9-Uip1JU8k319MA_13_14"/>
      <w:bookmarkStart w:id="1081" w:name="Tc_4IYviuMJfUOir0zpC0PC5Q_13_11"/>
      <w:bookmarkStart w:id="1082" w:name="Tc_W63aaP3-DUaZO3Wgvxo7JA_13_8"/>
      <w:bookmarkStart w:id="1083" w:name="Tc_upsaXKN5ykeGuL549oKcug_13_5"/>
      <w:bookmarkStart w:id="1084" w:name="Tc_ezi1mlhPB0WhB5hmKhDX6A_13_2"/>
      <w:bookmarkStart w:id="1085" w:name="Tc_rzKwMucjbkKZIzFWaIKF0Q_13_0"/>
      <w:bookmarkStart w:id="1086" w:name="Tc_QMF_dRq2dkW3nnYYoPZCfA_12_15"/>
      <w:bookmarkStart w:id="1087" w:name="Tc_ZZzcMx5tN0C-PaFjMj0TQA_12_6"/>
      <w:bookmarkStart w:id="1088" w:name="Tc_OjEEe_BHk0K4P5FixgVuWQ_12_0"/>
      <w:bookmarkStart w:id="1089" w:name="Tc_LCC4RVlFFkiPiYCxRGnUdA_11_0"/>
      <w:bookmarkStart w:id="1090" w:name="Tc_W4jo2HBVIUy3GuIcsgXO1w_10_12"/>
      <w:bookmarkStart w:id="1091" w:name="Tc_6Mbv0sKiVUevXgB-FyzKWg_10_3"/>
      <w:bookmarkStart w:id="1092" w:name="Tc_CwBNa7PoBkG9cUoIuLhkFg_10_0"/>
      <w:bookmarkStart w:id="1093" w:name="Tc_V2gGncxtQ02bq4BKUPkQkw_9_6"/>
      <w:bookmarkStart w:id="1094" w:name="Tc_VdLbq9s8yUWEWBw95C0odA_9_0"/>
      <w:bookmarkStart w:id="1095" w:name="Tc_WN-yx8SeOEe_0oo7tJ0x8A_8_0"/>
      <w:bookmarkStart w:id="1096" w:name="Tc_JdCkZHQL10W5U_msqJUOZQ_7_0"/>
      <w:bookmarkStart w:id="1097" w:name="Tc_d0td05vYWEuCuHRcTAS9Cw_6_17"/>
      <w:bookmarkStart w:id="1098" w:name="Tc_AZMm9WSSt0e05AgBmhqOVQ_6_14"/>
      <w:bookmarkStart w:id="1099" w:name="Tc_hjjI2AR--ESeuJC_jgfBCg_6_11"/>
      <w:bookmarkStart w:id="1100" w:name="Tc_-iA5l6G5LkOdPecf9KtB0A_6_8"/>
      <w:bookmarkStart w:id="1101" w:name="Tc_5uXvlBpD2k6XXBRLdx2sDw_6_5"/>
      <w:bookmarkStart w:id="1102" w:name="Tc_u4QlcZ4H602B5QYPq3gwVA_6_2"/>
      <w:bookmarkStart w:id="1103" w:name="Tc_yDdXZdxyB0abEUQP4s_IBg_6_0"/>
      <w:bookmarkStart w:id="1104" w:name="Tc_f633sere_UGC9Zh3bw2m7A_5_0"/>
      <w:bookmarkStart w:id="1105" w:name="Tc_OKCb_S92J0W4JRcGmDxUmw_4_17"/>
      <w:bookmarkStart w:id="1106" w:name="Tc_Li3sQ_vO8Euyt0IPcLnqhA_4_14"/>
      <w:bookmarkStart w:id="1107" w:name="Tc_JOVsgJIIdE-m5HX_NOctpA_4_11"/>
      <w:bookmarkStart w:id="1108" w:name="Tc_Tl2COkr1iEqpL36xDInGZA_4_8"/>
      <w:bookmarkStart w:id="1109" w:name="Tc_ur8Gc8x8f0qF66bLnGsSkA_4_5"/>
      <w:bookmarkStart w:id="1110" w:name="Tc_f6R7DtmtyEe7zo7m9sqmLg_4_2"/>
      <w:bookmarkStart w:id="1111" w:name="Tc_8mpRH-vzYkqxZMtMjkpGUw_3_14"/>
      <w:bookmarkStart w:id="1112" w:name="Tc_bdrkCixjYkK3VurNspG9Pg_3_11"/>
      <w:bookmarkStart w:id="1113" w:name="Tc_1kbDNgLwfEO-TAHL5Ij3jQ_3_5"/>
      <w:bookmarkStart w:id="1114" w:name="Tc_w6x6W6SgkUiFLRvo93b-iw_3_2"/>
      <w:bookmarkStart w:id="1115" w:name="Tc_SkB6qnZHJUOm9v7MteuZnA_2_11"/>
      <w:bookmarkStart w:id="1116" w:name="Tc_PgNUGY4hJEW4l9Q5HxwM_A_2_2"/>
      <w:bookmarkStart w:id="1117" w:name="Tc_3mcBPvN-Xk2p9WHCV0tHyg_1_2"/>
      <w:bookmarkStart w:id="1118" w:name="_6271ab90_b93f_4fbd_99d5_4a2836e428be"/>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r>
        <w:rPr>
          <w:rFonts w:ascii="Times New Roman;Times;serif" w:hAnsi="Times New Roman;Times;serif"/>
          <w:i/>
          <w:sz w:val="20"/>
        </w:rPr>
        <w:t>Lease Cost and Lease Activities</w:t>
      </w:r>
    </w:p>
    <w:p>
      <w:pPr>
        <w:pStyle w:val="TextBody"/>
        <w:bidi w:val="0"/>
        <w:spacing w:before="120" w:after="120"/>
        <w:ind w:left="0" w:right="0" w:firstLine="490"/>
        <w:jc w:val="both"/>
        <w:rPr>
          <w:rFonts w:ascii="Times New Roman;Times;serif" w:hAnsi="Times New Roman;Times;serif"/>
          <w:sz w:val="20"/>
        </w:rPr>
      </w:pPr>
      <w:r>
        <w:rPr>
          <w:rFonts w:ascii="Times New Roman;Times;serif" w:hAnsi="Times New Roman;Times;serif"/>
          <w:sz w:val="20"/>
        </w:rPr>
        <w:t>The following table presents the Company’s total lease cost, disaggregated by underlying asset (in thousands):</w:t>
      </w:r>
    </w:p>
    <w:tbl>
      <w:tblPr>
        <w:tblW w:w="9101" w:type="dxa"/>
        <w:jc w:val="left"/>
        <w:tblInd w:w="0" w:type="dxa"/>
        <w:tblLayout w:type="fixed"/>
        <w:tblCellMar>
          <w:top w:w="0" w:type="dxa"/>
          <w:left w:w="0" w:type="dxa"/>
          <w:bottom w:w="0" w:type="dxa"/>
          <w:right w:w="0" w:type="dxa"/>
        </w:tblCellMar>
      </w:tblPr>
      <w:tblGrid>
        <w:gridCol w:w="2596"/>
        <w:gridCol w:w="346"/>
        <w:gridCol w:w="211"/>
        <w:gridCol w:w="631"/>
        <w:gridCol w:w="346"/>
        <w:gridCol w:w="303"/>
        <w:gridCol w:w="583"/>
        <w:gridCol w:w="346"/>
        <w:gridCol w:w="196"/>
        <w:gridCol w:w="631"/>
        <w:gridCol w:w="109"/>
        <w:gridCol w:w="196"/>
        <w:gridCol w:w="631"/>
        <w:gridCol w:w="109"/>
        <w:gridCol w:w="303"/>
        <w:gridCol w:w="583"/>
        <w:gridCol w:w="109"/>
        <w:gridCol w:w="196"/>
        <w:gridCol w:w="67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648460" cy="175260"/>
                      <wp:effectExtent l="0" t="0" r="0" b="0"/>
                      <wp:wrapNone/>
                      <wp:docPr id="201" name="Frame201"/>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2"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3985" cy="175260"/>
                      <wp:effectExtent l="0" t="0" r="0" b="0"/>
                      <wp:wrapNone/>
                      <wp:docPr id="203" name="Frame2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00685" cy="175260"/>
                      <wp:effectExtent l="0" t="0" r="0" b="0"/>
                      <wp:wrapNone/>
                      <wp:docPr id="204" name="Frame204"/>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5"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92405" cy="175260"/>
                      <wp:effectExtent l="0" t="0" r="0" b="0"/>
                      <wp:wrapNone/>
                      <wp:docPr id="206" name="Frame206"/>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370205" cy="175260"/>
                      <wp:effectExtent l="0" t="0" r="0" b="0"/>
                      <wp:wrapNone/>
                      <wp:docPr id="207" name="Frame207"/>
                      <a:graphic xmlns:a="http://schemas.openxmlformats.org/drawingml/2006/main">
                        <a:graphicData uri="http://schemas.microsoft.com/office/word/2010/wordprocessingShape">
                          <wps:wsp>
                            <wps:cNvSpPr txBox="1"/>
                            <wps:spPr>
                              <a:xfrm>
                                <a:off x="0" y="0"/>
                                <a:ext cx="370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8"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24460" cy="175260"/>
                      <wp:effectExtent l="0" t="0" r="0" b="0"/>
                      <wp:wrapNone/>
                      <wp:docPr id="209" name="Frame20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00685" cy="175260"/>
                      <wp:effectExtent l="0" t="0" r="0" b="0"/>
                      <wp:wrapNone/>
                      <wp:docPr id="210" name="Frame21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9215" cy="175260"/>
                      <wp:effectExtent l="0" t="0" r="0" b="0"/>
                      <wp:wrapNone/>
                      <wp:docPr id="211" name="Frame2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24460" cy="175260"/>
                      <wp:effectExtent l="0" t="0" r="0" b="0"/>
                      <wp:wrapNone/>
                      <wp:docPr id="212" name="Frame21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400685" cy="175260"/>
                      <wp:effectExtent l="0" t="0" r="0" b="0"/>
                      <wp:wrapNone/>
                      <wp:docPr id="213" name="Frame21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9215" cy="175260"/>
                      <wp:effectExtent l="0" t="0" r="0" b="0"/>
                      <wp:wrapNone/>
                      <wp:docPr id="214" name="Frame2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92405" cy="175260"/>
                      <wp:effectExtent l="0" t="0" r="0" b="0"/>
                      <wp:wrapNone/>
                      <wp:docPr id="215" name="Frame215"/>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370205" cy="175260"/>
                      <wp:effectExtent l="0" t="0" r="0" b="0"/>
                      <wp:wrapNone/>
                      <wp:docPr id="216" name="Frame216"/>
                      <a:graphic xmlns:a="http://schemas.openxmlformats.org/drawingml/2006/main">
                        <a:graphicData uri="http://schemas.microsoft.com/office/word/2010/wordprocessingShape">
                          <wps:wsp>
                            <wps:cNvSpPr txBox="1"/>
                            <wps:spPr>
                              <a:xfrm>
                                <a:off x="0" y="0"/>
                                <a:ext cx="370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9215" cy="175260"/>
                      <wp:effectExtent l="0" t="0" r="0" b="0"/>
                      <wp:wrapNone/>
                      <wp:docPr id="217" name="Frame2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24460" cy="175260"/>
                      <wp:effectExtent l="0" t="0" r="0" b="0"/>
                      <wp:wrapNone/>
                      <wp:docPr id="218" name="Frame21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29260" cy="175260"/>
                      <wp:effectExtent l="0" t="0" r="0" b="0"/>
                      <wp:wrapNone/>
                      <wp:docPr id="219" name="Frame21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59"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24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1, 2026</w:t>
            </w:r>
          </w:p>
        </w:tc>
        <w:tc>
          <w:tcPr>
            <w:tcW w:w="109" w:type="dxa"/>
            <w:tcBorders/>
            <w:vAlign w:val="center"/>
          </w:tcPr>
          <w:p>
            <w:pPr>
              <w:pStyle w:val="TableContents"/>
              <w:bidi w:val="0"/>
              <w:spacing w:before="0" w:after="0"/>
              <w:ind w:left="0" w:right="0" w:hanging="0"/>
              <w:jc w:val="center"/>
              <w:rPr/>
            </w:pPr>
            <w:r>
              <w:rPr/>
              <w:t>​</w:t>
            </w:r>
          </w:p>
        </w:tc>
        <w:tc>
          <w:tcPr>
            <w:tcW w:w="280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25, 2025</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Property</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Property</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46" w:type="dxa"/>
            <w:tcBorders/>
            <w:vAlign w:val="center"/>
          </w:tcPr>
          <w:p>
            <w:pPr>
              <w:pStyle w:val="TableContents"/>
              <w:bidi w:val="0"/>
              <w:spacing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09" w:type="dxa"/>
            <w:tcBorders/>
            <w:vAlign w:val="center"/>
          </w:tcPr>
          <w:p>
            <w:pPr>
              <w:pStyle w:val="TableContents"/>
              <w:bidi w:val="0"/>
              <w:spacing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Finance lease cost: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03"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03" w:type="dxa"/>
            <w:tcBorders/>
            <w:shd w:fill="CCEEFF" w:val="clear"/>
            <w:vAlign w:val="center"/>
          </w:tcPr>
          <w:p>
            <w:pPr>
              <w:pStyle w:val="TableContents"/>
              <w:bidi w:val="0"/>
              <w:spacing w:before="0" w:after="0"/>
              <w:ind w:left="0" w:right="0" w:hanging="0"/>
              <w:jc w:val="right"/>
              <w:rPr/>
            </w:pPr>
            <w:r>
              <w:rPr/>
              <w:t>​</w:t>
            </w:r>
          </w:p>
        </w:tc>
        <w:tc>
          <w:tcPr>
            <w:tcW w:w="5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right-of-use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w:t>
            </w:r>
          </w:p>
        </w:tc>
        <w:tc>
          <w:tcPr>
            <w:tcW w:w="109" w:type="dxa"/>
            <w:tcBorders/>
            <w:vAlign w:val="center"/>
          </w:tcPr>
          <w:p>
            <w:pPr>
              <w:pStyle w:val="TableContents"/>
              <w:bidi w:val="0"/>
              <w:spacing w:before="0" w:after="0"/>
              <w:ind w:left="0" w:right="0" w:hanging="0"/>
              <w:jc w:val="righ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on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109" w:type="dxa"/>
            <w:tcBorders/>
            <w:shd w:fill="CCEEFF" w:val="clear"/>
            <w:vAlign w:val="center"/>
          </w:tcPr>
          <w:p>
            <w:pPr>
              <w:pStyle w:val="TableContents"/>
              <w:bidi w:val="0"/>
              <w:spacing w:before="0" w:after="0"/>
              <w:ind w:left="0" w:right="0" w:hanging="0"/>
              <w:jc w:val="righ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Operating lease cost: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03"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Fixed rent cost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7,326</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7,326</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7,213</w:t>
            </w:r>
          </w:p>
        </w:tc>
        <w:tc>
          <w:tcPr>
            <w:tcW w:w="109" w:type="dxa"/>
            <w:tcBorders/>
            <w:shd w:fill="CCEEFF" w:val="clear"/>
            <w:vAlign w:val="center"/>
          </w:tcPr>
          <w:p>
            <w:pPr>
              <w:pStyle w:val="TableContents"/>
              <w:bidi w:val="0"/>
              <w:spacing w:before="0" w:after="0"/>
              <w:ind w:left="0" w:right="0" w:hanging="0"/>
              <w:jc w:val="righ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7,318</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Short-term lease cost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03"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Variable lease cost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221</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478</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w:t>
            </w:r>
          </w:p>
        </w:tc>
        <w:tc>
          <w:tcPr>
            <w:tcW w:w="109" w:type="dxa"/>
            <w:tcBorders/>
            <w:shd w:fill="CCEEFF" w:val="clear"/>
            <w:vAlign w:val="center"/>
          </w:tcPr>
          <w:p>
            <w:pPr>
              <w:pStyle w:val="TableContents"/>
              <w:bidi w:val="0"/>
              <w:spacing w:before="0" w:after="0"/>
              <w:ind w:left="0" w:right="0" w:hanging="0"/>
              <w:jc w:val="righ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336</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499</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Sublease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(1,725)</w:t>
            </w:r>
          </w:p>
        </w:tc>
        <w:tc>
          <w:tcPr>
            <w:tcW w:w="346" w:type="dxa"/>
            <w:tcBorders/>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(1,725)</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(1,748)</w:t>
            </w:r>
          </w:p>
        </w:tc>
        <w:tc>
          <w:tcPr>
            <w:tcW w:w="109" w:type="dxa"/>
            <w:tcBorders/>
            <w:vAlign w:val="center"/>
          </w:tcPr>
          <w:p>
            <w:pPr>
              <w:pStyle w:val="TableContents"/>
              <w:bidi w:val="0"/>
              <w:spacing w:before="0" w:after="0"/>
              <w:ind w:left="0" w:right="0" w:hanging="0"/>
              <w:jc w:val="righ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(1,748)</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lease cost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5,850</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6,202</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5,657</w:t>
            </w:r>
          </w:p>
        </w:tc>
        <w:tc>
          <w:tcPr>
            <w:tcW w:w="109" w:type="dxa"/>
            <w:tcBorders/>
            <w:shd w:fill="CCEEFF" w:val="clear"/>
            <w:vAlign w:val="center"/>
          </w:tcPr>
          <w:p>
            <w:pPr>
              <w:pStyle w:val="TableContents"/>
              <w:bidi w:val="0"/>
              <w:spacing w:before="0" w:after="0"/>
              <w:ind w:left="0" w:right="0" w:hanging="0"/>
              <w:jc w:val="righ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481</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6,138</w:t>
            </w:r>
          </w:p>
        </w:tc>
      </w:tr>
    </w:tbl>
    <w:p>
      <w:pPr>
        <w:pStyle w:val="TextBody"/>
        <w:bidi w:val="0"/>
        <w:spacing w:before="0" w:after="0"/>
        <w:ind w:left="0" w:right="0" w:hanging="0"/>
        <w:jc w:val="both"/>
        <w:rPr/>
      </w:pPr>
      <w:r>
        <w:rPr/>
        <w:t>​</w:t>
      </w:r>
    </w:p>
    <w:tbl>
      <w:tblPr>
        <w:tblW w:w="9827" w:type="dxa"/>
        <w:jc w:val="left"/>
        <w:tblInd w:w="0" w:type="dxa"/>
        <w:tblLayout w:type="fixed"/>
        <w:tblCellMar>
          <w:top w:w="0" w:type="dxa"/>
          <w:left w:w="0" w:type="dxa"/>
          <w:bottom w:w="0" w:type="dxa"/>
          <w:right w:w="0" w:type="dxa"/>
        </w:tblCellMar>
      </w:tblPr>
      <w:tblGrid>
        <w:gridCol w:w="2596"/>
        <w:gridCol w:w="346"/>
        <w:gridCol w:w="196"/>
        <w:gridCol w:w="631"/>
        <w:gridCol w:w="346"/>
        <w:gridCol w:w="303"/>
        <w:gridCol w:w="583"/>
        <w:gridCol w:w="346"/>
        <w:gridCol w:w="196"/>
        <w:gridCol w:w="631"/>
        <w:gridCol w:w="346"/>
        <w:gridCol w:w="196"/>
        <w:gridCol w:w="631"/>
        <w:gridCol w:w="346"/>
        <w:gridCol w:w="303"/>
        <w:gridCol w:w="583"/>
        <w:gridCol w:w="346"/>
        <w:gridCol w:w="196"/>
        <w:gridCol w:w="70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648460" cy="175260"/>
                      <wp:effectExtent l="0" t="0" r="0" b="0"/>
                      <wp:wrapNone/>
                      <wp:docPr id="220" name="Frame220"/>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9710" cy="175260"/>
                      <wp:effectExtent l="0" t="0" r="0" b="0"/>
                      <wp:wrapNone/>
                      <wp:docPr id="221"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24460" cy="175260"/>
                      <wp:effectExtent l="0" t="0" r="0" b="0"/>
                      <wp:wrapNone/>
                      <wp:docPr id="222" name="Frame22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00685" cy="175260"/>
                      <wp:effectExtent l="0" t="0" r="0" b="0"/>
                      <wp:wrapNone/>
                      <wp:docPr id="223" name="Frame22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24"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92405" cy="175260"/>
                      <wp:effectExtent l="0" t="0" r="0" b="0"/>
                      <wp:wrapNone/>
                      <wp:docPr id="225" name="Frame225"/>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370205" cy="175260"/>
                      <wp:effectExtent l="0" t="0" r="0" b="0"/>
                      <wp:wrapNone/>
                      <wp:docPr id="226" name="Frame226"/>
                      <a:graphic xmlns:a="http://schemas.openxmlformats.org/drawingml/2006/main">
                        <a:graphicData uri="http://schemas.microsoft.com/office/word/2010/wordprocessingShape">
                          <wps:wsp>
                            <wps:cNvSpPr txBox="1"/>
                            <wps:spPr>
                              <a:xfrm>
                                <a:off x="0" y="0"/>
                                <a:ext cx="370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227"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24460" cy="175260"/>
                      <wp:effectExtent l="0" t="0" r="0" b="0"/>
                      <wp:wrapNone/>
                      <wp:docPr id="228" name="Frame2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00685" cy="175260"/>
                      <wp:effectExtent l="0" t="0" r="0" b="0"/>
                      <wp:wrapNone/>
                      <wp:docPr id="229" name="Frame22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30"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24460" cy="175260"/>
                      <wp:effectExtent l="0" t="0" r="0" b="0"/>
                      <wp:wrapNone/>
                      <wp:docPr id="231" name="Frame2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400685" cy="175260"/>
                      <wp:effectExtent l="0" t="0" r="0" b="0"/>
                      <wp:wrapNone/>
                      <wp:docPr id="232" name="Frame23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9710" cy="175260"/>
                      <wp:effectExtent l="0" t="0" r="0" b="0"/>
                      <wp:wrapNone/>
                      <wp:docPr id="233" name="Frame2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92405" cy="175260"/>
                      <wp:effectExtent l="0" t="0" r="0" b="0"/>
                      <wp:wrapNone/>
                      <wp:docPr id="234" name="Frame234"/>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370205" cy="175260"/>
                      <wp:effectExtent l="0" t="0" r="0" b="0"/>
                      <wp:wrapNone/>
                      <wp:docPr id="235" name="Frame235"/>
                      <a:graphic xmlns:a="http://schemas.openxmlformats.org/drawingml/2006/main">
                        <a:graphicData uri="http://schemas.microsoft.com/office/word/2010/wordprocessingShape">
                          <wps:wsp>
                            <wps:cNvSpPr txBox="1"/>
                            <wps:spPr>
                              <a:xfrm>
                                <a:off x="0" y="0"/>
                                <a:ext cx="370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260"/>
                      <wp:effectExtent l="0" t="0" r="0" b="0"/>
                      <wp:wrapNone/>
                      <wp:docPr id="236" name="Frame2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24460" cy="175260"/>
                      <wp:effectExtent l="0" t="0" r="0" b="0"/>
                      <wp:wrapNone/>
                      <wp:docPr id="237" name="Frame23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448310" cy="175260"/>
                      <wp:effectExtent l="0" t="0" r="0" b="0"/>
                      <wp:wrapNone/>
                      <wp:docPr id="238" name="Frame238"/>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85"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3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1, 2026</w:t>
            </w:r>
          </w:p>
        </w:tc>
        <w:tc>
          <w:tcPr>
            <w:tcW w:w="346" w:type="dxa"/>
            <w:tcBorders/>
            <w:vAlign w:val="center"/>
          </w:tcPr>
          <w:p>
            <w:pPr>
              <w:pStyle w:val="TableContents"/>
              <w:bidi w:val="0"/>
              <w:spacing w:before="0" w:after="0"/>
              <w:ind w:left="0" w:right="0" w:hanging="0"/>
              <w:jc w:val="center"/>
              <w:rPr/>
            </w:pPr>
            <w:r>
              <w:rPr/>
              <w:t>​</w:t>
            </w:r>
          </w:p>
        </w:tc>
        <w:tc>
          <w:tcPr>
            <w:tcW w:w="330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25, 2025</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Property</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Property</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46" w:type="dxa"/>
            <w:tcBorders/>
            <w:vAlign w:val="center"/>
          </w:tcPr>
          <w:p>
            <w:pPr>
              <w:pStyle w:val="TableContents"/>
              <w:bidi w:val="0"/>
              <w:spacing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Finance lease cost: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03"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03"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  ​</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right-of-use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on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Operating lease cost: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lef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Fixed rent cost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14,659</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14,734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14,397</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14,605</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Short-term lease cost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Variable lease cost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324</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302</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972</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Sublease income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(3,412)</w:t>
            </w:r>
          </w:p>
        </w:tc>
        <w:tc>
          <w:tcPr>
            <w:tcW w:w="346" w:type="dxa"/>
            <w:tcBorders/>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(3,412)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(3,463)</w:t>
            </w:r>
          </w:p>
        </w:tc>
        <w:tc>
          <w:tcPr>
            <w:tcW w:w="346" w:type="dxa"/>
            <w:tcBorders/>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(3,463)</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lease cost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11,625</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12,516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11,293</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12,274</w:t>
            </w:r>
          </w:p>
        </w:tc>
      </w:tr>
    </w:tbl>
    <w:p>
      <w:pPr>
        <w:pStyle w:val="TextBody"/>
        <w:bidi w:val="0"/>
        <w:spacing w:before="0" w:after="0"/>
        <w:ind w:left="0" w:right="0" w:hanging="0"/>
        <w:jc w:val="both"/>
        <w:rPr/>
      </w:pPr>
      <w:r>
        <w:rPr/>
        <w:t>​</w:t>
      </w:r>
    </w:p>
    <w:p>
      <w:pPr>
        <w:pStyle w:val="TextBody"/>
        <w:bidi w:val="0"/>
        <w:spacing w:before="240" w:after="120"/>
        <w:ind w:left="0" w:right="0" w:firstLine="490"/>
        <w:jc w:val="both"/>
        <w:rPr>
          <w:rFonts w:ascii="Times New Roman;Times;serif" w:hAnsi="Times New Roman;Times;serif"/>
          <w:sz w:val="20"/>
        </w:rPr>
      </w:pPr>
      <w:r>
        <w:rPr>
          <w:rFonts w:ascii="Times New Roman;Times;serif" w:hAnsi="Times New Roman;Times;serif"/>
          <w:sz w:val="20"/>
        </w:rPr>
        <w:t>The following table presents the Company’s total lease cost on the condensed consolidated statements of income (in thousands):</w:t>
      </w:r>
    </w:p>
    <w:tbl>
      <w:tblPr>
        <w:tblW w:w="9808" w:type="dxa"/>
        <w:jc w:val="left"/>
        <w:tblInd w:w="0" w:type="dxa"/>
        <w:tblLayout w:type="fixed"/>
        <w:tblCellMar>
          <w:top w:w="0" w:type="dxa"/>
          <w:left w:w="0" w:type="dxa"/>
          <w:bottom w:w="0" w:type="dxa"/>
          <w:right w:w="0" w:type="dxa"/>
        </w:tblCellMar>
      </w:tblPr>
      <w:tblGrid>
        <w:gridCol w:w="4486"/>
        <w:gridCol w:w="226"/>
        <w:gridCol w:w="271"/>
        <w:gridCol w:w="735"/>
        <w:gridCol w:w="226"/>
        <w:gridCol w:w="303"/>
        <w:gridCol w:w="823"/>
        <w:gridCol w:w="109"/>
        <w:gridCol w:w="226"/>
        <w:gridCol w:w="239"/>
        <w:gridCol w:w="767"/>
        <w:gridCol w:w="226"/>
        <w:gridCol w:w="249"/>
        <w:gridCol w:w="922"/>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848610" cy="175260"/>
                      <wp:effectExtent l="0" t="0" r="0" b="0"/>
                      <wp:wrapNone/>
                      <wp:docPr id="239" name="Frame239"/>
                      <a:graphic xmlns:a="http://schemas.openxmlformats.org/drawingml/2006/main">
                        <a:graphicData uri="http://schemas.microsoft.com/office/word/2010/wordprocessingShape">
                          <wps:wsp>
                            <wps:cNvSpPr txBox="1"/>
                            <wps:spPr>
                              <a:xfrm>
                                <a:off x="0" y="0"/>
                                <a:ext cx="284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43510" cy="175260"/>
                      <wp:effectExtent l="0" t="0" r="0" b="0"/>
                      <wp:wrapNone/>
                      <wp:docPr id="240" name="Frame24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72085" cy="175260"/>
                      <wp:effectExtent l="0" t="0" r="0" b="0"/>
                      <wp:wrapNone/>
                      <wp:docPr id="241" name="Frame24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466725" cy="175260"/>
                      <wp:effectExtent l="0" t="0" r="0" b="0"/>
                      <wp:wrapNone/>
                      <wp:docPr id="242" name="Frame242"/>
                      <a:graphic xmlns:a="http://schemas.openxmlformats.org/drawingml/2006/main">
                        <a:graphicData uri="http://schemas.microsoft.com/office/word/2010/wordprocessingShape">
                          <wps:wsp>
                            <wps:cNvSpPr txBox="1"/>
                            <wps:spPr>
                              <a:xfrm>
                                <a:off x="0" y="0"/>
                                <a:ext cx="466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43510" cy="175260"/>
                      <wp:effectExtent l="0" t="0" r="0" b="0"/>
                      <wp:wrapNone/>
                      <wp:docPr id="243" name="Frame24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92405" cy="175260"/>
                      <wp:effectExtent l="0" t="0" r="0" b="0"/>
                      <wp:wrapNone/>
                      <wp:docPr id="244" name="Frame244"/>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522605" cy="175260"/>
                      <wp:effectExtent l="0" t="0" r="0" b="0"/>
                      <wp:wrapNone/>
                      <wp:docPr id="245" name="Frame245"/>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9215" cy="175260"/>
                      <wp:effectExtent l="0" t="0" r="0" b="0"/>
                      <wp:wrapNone/>
                      <wp:docPr id="246" name="Frame2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43510" cy="175260"/>
                      <wp:effectExtent l="0" t="0" r="0" b="0"/>
                      <wp:wrapNone/>
                      <wp:docPr id="247" name="Frame24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51765" cy="175260"/>
                      <wp:effectExtent l="0" t="0" r="0" b="0"/>
                      <wp:wrapNone/>
                      <wp:docPr id="248" name="Frame248"/>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487045" cy="175260"/>
                      <wp:effectExtent l="0" t="0" r="0" b="0"/>
                      <wp:wrapNone/>
                      <wp:docPr id="249" name="Frame249"/>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43510" cy="175260"/>
                      <wp:effectExtent l="0" t="0" r="0" b="0"/>
                      <wp:wrapNone/>
                      <wp:docPr id="250" name="Frame25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58115" cy="175260"/>
                      <wp:effectExtent l="0" t="0" r="0" b="0"/>
                      <wp:wrapNone/>
                      <wp:docPr id="251" name="Frame251"/>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585470" cy="175260"/>
                      <wp:effectExtent l="0" t="0" r="0" b="0"/>
                      <wp:wrapNone/>
                      <wp:docPr id="252" name="Frame252"/>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8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3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40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r>
      <w:tr>
        <w:trPr/>
        <w:tc>
          <w:tcPr>
            <w:tcW w:w="448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1, 2026</w:t>
            </w:r>
          </w:p>
        </w:tc>
        <w:tc>
          <w:tcPr>
            <w:tcW w:w="226" w:type="dxa"/>
            <w:tcBorders/>
            <w:vAlign w:val="center"/>
          </w:tcPr>
          <w:p>
            <w:pPr>
              <w:pStyle w:val="TableContents"/>
              <w:bidi w:val="0"/>
              <w:spacing w:before="0" w:after="0"/>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25, 2025</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1, 2026</w:t>
            </w:r>
          </w:p>
        </w:tc>
        <w:tc>
          <w:tcPr>
            <w:tcW w:w="226" w:type="dxa"/>
            <w:tcBorders/>
            <w:vAlign w:val="center"/>
          </w:tcPr>
          <w:p>
            <w:pPr>
              <w:pStyle w:val="TableContents"/>
              <w:bidi w:val="0"/>
              <w:spacing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25, 2025</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cost – Occupancy and other operating expenses</w:t>
            </w:r>
          </w:p>
        </w:tc>
        <w:tc>
          <w:tcPr>
            <w:tcW w:w="2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6,011</w:t>
            </w:r>
          </w:p>
        </w:tc>
        <w:tc>
          <w:tcPr>
            <w:tcW w:w="226" w:type="dxa"/>
            <w:tcBorders/>
            <w:shd w:fill="CCEEFF" w:val="clear"/>
            <w:vAlign w:val="center"/>
          </w:tcPr>
          <w:p>
            <w:pPr>
              <w:pStyle w:val="TableContents"/>
              <w:bidi w:val="0"/>
              <w:spacing w:before="0" w:after="0"/>
              <w:ind w:left="0" w:right="0" w:hanging="0"/>
              <w:jc w:val="righ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5,970</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12,065</w:t>
            </w:r>
          </w:p>
        </w:tc>
        <w:tc>
          <w:tcPr>
            <w:tcW w:w="2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11,935</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cost – General &amp; administrative</w:t>
            </w:r>
          </w:p>
        </w:tc>
        <w:tc>
          <w:tcPr>
            <w:tcW w:w="2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226" w:type="dxa"/>
            <w:tcBorders/>
            <w:vAlign w:val="center"/>
          </w:tcPr>
          <w:p>
            <w:pPr>
              <w:pStyle w:val="TableContents"/>
              <w:bidi w:val="0"/>
              <w:spacing w:before="0" w:after="0"/>
              <w:ind w:left="0" w:right="0" w:hanging="0"/>
              <w:jc w:val="right"/>
              <w:rPr/>
            </w:pPr>
            <w:r>
              <w:rPr/>
              <w:t>​</w:t>
            </w:r>
          </w:p>
        </w:tc>
        <w:tc>
          <w:tcPr>
            <w:tcW w:w="303" w:type="dxa"/>
            <w:tcBorders/>
            <w:vAlign w:val="center"/>
          </w:tcPr>
          <w:p>
            <w:pPr>
              <w:pStyle w:val="TableContents"/>
              <w:bidi w:val="0"/>
              <w:spacing w:before="0" w:after="0"/>
              <w:ind w:left="0" w:right="0" w:hanging="0"/>
              <w:jc w:val="righ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2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cost – Depreciation and amortization</w:t>
            </w:r>
          </w:p>
        </w:tc>
        <w:tc>
          <w:tcPr>
            <w:tcW w:w="2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226" w:type="dxa"/>
            <w:tcBorders/>
            <w:shd w:fill="CCEEFF" w:val="clear"/>
            <w:vAlign w:val="center"/>
          </w:tcPr>
          <w:p>
            <w:pPr>
              <w:pStyle w:val="TableContents"/>
              <w:bidi w:val="0"/>
              <w:spacing w:before="0" w:after="0"/>
              <w:ind w:left="0" w:right="0" w:hanging="0"/>
              <w:jc w:val="right"/>
              <w:rPr/>
            </w:pPr>
            <w:r>
              <w:rPr/>
              <w:t>​</w:t>
            </w:r>
          </w:p>
        </w:tc>
        <w:tc>
          <w:tcPr>
            <w:tcW w:w="303" w:type="dxa"/>
            <w:tcBorders/>
            <w:shd w:fill="CCEEFF" w:val="clear"/>
            <w:vAlign w:val="center"/>
          </w:tcPr>
          <w:p>
            <w:pPr>
              <w:pStyle w:val="TableContents"/>
              <w:bidi w:val="0"/>
              <w:spacing w:before="0" w:after="0"/>
              <w:ind w:left="0" w:right="0" w:hanging="0"/>
              <w:jc w:val="righ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2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cost – Interest expense</w:t>
            </w:r>
          </w:p>
        </w:tc>
        <w:tc>
          <w:tcPr>
            <w:tcW w:w="2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226" w:type="dxa"/>
            <w:tcBorders/>
            <w:vAlign w:val="center"/>
          </w:tcPr>
          <w:p>
            <w:pPr>
              <w:pStyle w:val="TableContents"/>
              <w:bidi w:val="0"/>
              <w:spacing w:before="0" w:after="0"/>
              <w:ind w:left="0" w:right="0" w:hanging="0"/>
              <w:jc w:val="righ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22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226" w:type="dxa"/>
            <w:tcBorders/>
            <w:shd w:fill="CCEEFF" w:val="clear"/>
            <w:vAlign w:val="center"/>
          </w:tcPr>
          <w:p>
            <w:pPr>
              <w:pStyle w:val="TableContents"/>
              <w:bidi w:val="0"/>
              <w:spacing w:before="0" w:after="0"/>
              <w:ind w:left="0" w:right="0" w:hanging="0"/>
              <w:jc w:val="left"/>
              <w:rPr/>
            </w:pPr>
            <w:r>
              <w:rPr/>
              <w:t>​</w:t>
            </w:r>
          </w:p>
        </w:tc>
        <w:tc>
          <w:tcPr>
            <w:tcW w:w="27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6,202</w:t>
            </w:r>
          </w:p>
        </w:tc>
        <w:tc>
          <w:tcPr>
            <w:tcW w:w="226" w:type="dxa"/>
            <w:tcBorders/>
            <w:shd w:fill="CCEEFF" w:val="clear"/>
            <w:vAlign w:val="center"/>
          </w:tcPr>
          <w:p>
            <w:pPr>
              <w:pStyle w:val="TableContents"/>
              <w:bidi w:val="0"/>
              <w:spacing w:before="0" w:after="0"/>
              <w:ind w:left="0" w:right="0" w:hanging="0"/>
              <w:jc w:val="right"/>
              <w:rPr/>
            </w:pPr>
            <w:r>
              <w:rPr/>
              <w:t>​</w:t>
            </w:r>
          </w:p>
        </w:tc>
        <w:tc>
          <w:tcPr>
            <w:tcW w:w="30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6,138</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3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12,516</w:t>
            </w:r>
          </w:p>
        </w:tc>
        <w:tc>
          <w:tcPr>
            <w:tcW w:w="226" w:type="dxa"/>
            <w:tcBorders/>
            <w:shd w:fill="CCEEFF" w:val="clear"/>
            <w:vAlign w:val="center"/>
          </w:tcPr>
          <w:p>
            <w:pPr>
              <w:pStyle w:val="TableContents"/>
              <w:bidi w:val="0"/>
              <w:spacing w:before="0" w:after="0"/>
              <w:ind w:left="0" w:right="0" w:hanging="0"/>
              <w:jc w:val="left"/>
              <w:rPr/>
            </w:pPr>
            <w:r>
              <w:rPr/>
              <w:t>​</w:t>
            </w:r>
          </w:p>
        </w:tc>
        <w:tc>
          <w:tcPr>
            <w:tcW w:w="24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12,274</w:t>
            </w:r>
          </w:p>
        </w:tc>
      </w:tr>
    </w:tbl>
    <w:p>
      <w:pPr>
        <w:pStyle w:val="TextBody"/>
        <w:bidi w:val="0"/>
        <w:spacing w:before="360" w:after="120"/>
        <w:ind w:left="0" w:right="0" w:firstLine="490"/>
        <w:jc w:val="both"/>
        <w:rPr>
          <w:rFonts w:ascii="Times New Roman;Times;serif" w:hAnsi="Times New Roman;Times;serif"/>
          <w:sz w:val="20"/>
        </w:rPr>
      </w:pPr>
      <w:r>
        <w:rPr>
          <w:rFonts w:ascii="Times New Roman;Times;serif" w:hAnsi="Times New Roman;Times;serif"/>
          <w:sz w:val="20"/>
        </w:rPr>
        <w:t>During the twenty-six weeks ended July 1, 2026 and June 25, 2025, the Company had the following cash and non-cash activities associated with its leases (dollars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702"/>
        <w:gridCol w:w="146"/>
        <w:gridCol w:w="215"/>
        <w:gridCol w:w="661"/>
        <w:gridCol w:w="160"/>
        <w:gridCol w:w="303"/>
        <w:gridCol w:w="583"/>
        <w:gridCol w:w="160"/>
        <w:gridCol w:w="215"/>
        <w:gridCol w:w="661"/>
        <w:gridCol w:w="226"/>
        <w:gridCol w:w="214"/>
        <w:gridCol w:w="656"/>
        <w:gridCol w:w="246"/>
        <w:gridCol w:w="303"/>
        <w:gridCol w:w="583"/>
        <w:gridCol w:w="246"/>
        <w:gridCol w:w="214"/>
        <w:gridCol w:w="711"/>
      </w:tblGrid>
      <w:tr>
        <w:trPr/>
        <w:tc>
          <w:tcPr>
            <w:tcW w:w="3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350770" cy="175260"/>
                      <wp:effectExtent l="0" t="0" r="0" b="0"/>
                      <wp:wrapNone/>
                      <wp:docPr id="253" name="Frame253"/>
                      <a:graphic xmlns:a="http://schemas.openxmlformats.org/drawingml/2006/main">
                        <a:graphicData uri="http://schemas.microsoft.com/office/word/2010/wordprocessingShape">
                          <wps:wsp>
                            <wps:cNvSpPr txBox="1"/>
                            <wps:spPr>
                              <a:xfrm>
                                <a:off x="0" y="0"/>
                                <a:ext cx="2350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92710" cy="175260"/>
                      <wp:effectExtent l="0" t="0" r="0" b="0"/>
                      <wp:wrapNone/>
                      <wp:docPr id="254" name="Frame25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6525" cy="175260"/>
                      <wp:effectExtent l="0" t="0" r="0" b="0"/>
                      <wp:wrapNone/>
                      <wp:docPr id="255" name="Frame255"/>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419735" cy="175260"/>
                      <wp:effectExtent l="0" t="0" r="0" b="0"/>
                      <wp:wrapNone/>
                      <wp:docPr id="256" name="Frame256"/>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01600" cy="175260"/>
                      <wp:effectExtent l="0" t="0" r="0" b="0"/>
                      <wp:wrapNone/>
                      <wp:docPr id="257" name="Frame257"/>
                      <a:graphic xmlns:a="http://schemas.openxmlformats.org/drawingml/2006/main">
                        <a:graphicData uri="http://schemas.microsoft.com/office/word/2010/wordprocessingShape">
                          <wps:wsp>
                            <wps:cNvSpPr txBox="1"/>
                            <wps:spPr>
                              <a:xfrm>
                                <a:off x="0" y="0"/>
                                <a:ext cx="101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92405" cy="175260"/>
                      <wp:effectExtent l="0" t="0" r="0" b="0"/>
                      <wp:wrapNone/>
                      <wp:docPr id="258" name="Frame258"/>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370205" cy="175260"/>
                      <wp:effectExtent l="0" t="0" r="0" b="0"/>
                      <wp:wrapNone/>
                      <wp:docPr id="259" name="Frame259"/>
                      <a:graphic xmlns:a="http://schemas.openxmlformats.org/drawingml/2006/main">
                        <a:graphicData uri="http://schemas.microsoft.com/office/word/2010/wordprocessingShape">
                          <wps:wsp>
                            <wps:cNvSpPr txBox="1"/>
                            <wps:spPr>
                              <a:xfrm>
                                <a:off x="0" y="0"/>
                                <a:ext cx="370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01600" cy="175260"/>
                      <wp:effectExtent l="0" t="0" r="0" b="0"/>
                      <wp:wrapNone/>
                      <wp:docPr id="260" name="Frame260"/>
                      <a:graphic xmlns:a="http://schemas.openxmlformats.org/drawingml/2006/main">
                        <a:graphicData uri="http://schemas.microsoft.com/office/word/2010/wordprocessingShape">
                          <wps:wsp>
                            <wps:cNvSpPr txBox="1"/>
                            <wps:spPr>
                              <a:xfrm>
                                <a:off x="0" y="0"/>
                                <a:ext cx="101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36525" cy="175260"/>
                      <wp:effectExtent l="0" t="0" r="0" b="0"/>
                      <wp:wrapNone/>
                      <wp:docPr id="261" name="Frame261"/>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419735" cy="175260"/>
                      <wp:effectExtent l="0" t="0" r="0" b="0"/>
                      <wp:wrapNone/>
                      <wp:docPr id="262" name="Frame262"/>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43510" cy="175260"/>
                      <wp:effectExtent l="0" t="0" r="0" b="0"/>
                      <wp:wrapNone/>
                      <wp:docPr id="263" name="Frame26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35890" cy="175260"/>
                      <wp:effectExtent l="0" t="0" r="0" b="0"/>
                      <wp:wrapNone/>
                      <wp:docPr id="264" name="Frame264"/>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416560" cy="175260"/>
                      <wp:effectExtent l="0" t="0" r="0" b="0"/>
                      <wp:wrapNone/>
                      <wp:docPr id="265" name="Frame265"/>
                      <a:graphic xmlns:a="http://schemas.openxmlformats.org/drawingml/2006/main">
                        <a:graphicData uri="http://schemas.microsoft.com/office/word/2010/wordprocessingShape">
                          <wps:wsp>
                            <wps:cNvSpPr txBox="1"/>
                            <wps:spPr>
                              <a:xfrm>
                                <a:off x="0" y="0"/>
                                <a:ext cx="416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56210" cy="175260"/>
                      <wp:effectExtent l="0" t="0" r="0" b="0"/>
                      <wp:wrapNone/>
                      <wp:docPr id="266" name="Frame266"/>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92405" cy="175260"/>
                      <wp:effectExtent l="0" t="0" r="0" b="0"/>
                      <wp:wrapNone/>
                      <wp:docPr id="267" name="Frame267"/>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370205" cy="175260"/>
                      <wp:effectExtent l="0" t="0" r="0" b="0"/>
                      <wp:wrapNone/>
                      <wp:docPr id="268" name="Frame268"/>
                      <a:graphic xmlns:a="http://schemas.openxmlformats.org/drawingml/2006/main">
                        <a:graphicData uri="http://schemas.microsoft.com/office/word/2010/wordprocessingShape">
                          <wps:wsp>
                            <wps:cNvSpPr txBox="1"/>
                            <wps:spPr>
                              <a:xfrm>
                                <a:off x="0" y="0"/>
                                <a:ext cx="370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56210" cy="175260"/>
                      <wp:effectExtent l="0" t="0" r="0" b="0"/>
                      <wp:wrapNone/>
                      <wp:docPr id="269" name="Frame269"/>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35890" cy="175260"/>
                      <wp:effectExtent l="0" t="0" r="0" b="0"/>
                      <wp:wrapNone/>
                      <wp:docPr id="270" name="Frame270"/>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451485" cy="175260"/>
                      <wp:effectExtent l="0" t="0" r="0" b="0"/>
                      <wp:wrapNone/>
                      <wp:docPr id="271" name="Frame271"/>
                      <a:graphic xmlns:a="http://schemas.openxmlformats.org/drawingml/2006/main">
                        <a:graphicData uri="http://schemas.microsoft.com/office/word/2010/wordprocessingShape">
                          <wps:wsp>
                            <wps:cNvSpPr txBox="1"/>
                            <wps:spPr>
                              <a:xfrm>
                                <a:off x="0" y="0"/>
                                <a:ext cx="451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02"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95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Twenty-Six Weeks Ended July 1, 2026</w:t>
            </w:r>
          </w:p>
        </w:tc>
        <w:tc>
          <w:tcPr>
            <w:tcW w:w="226" w:type="dxa"/>
            <w:tcBorders/>
            <w:vAlign w:val="center"/>
          </w:tcPr>
          <w:p>
            <w:pPr>
              <w:pStyle w:val="TableContents"/>
              <w:bidi w:val="0"/>
              <w:spacing w:before="0" w:after="1"/>
              <w:ind w:left="0" w:right="0" w:hanging="0"/>
              <w:jc w:val="center"/>
              <w:rPr/>
            </w:pPr>
            <w:r>
              <w:rPr/>
              <w:t>​</w:t>
            </w:r>
          </w:p>
        </w:tc>
        <w:tc>
          <w:tcPr>
            <w:tcW w:w="317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Twenty-Six Weeks Ended June 25, 2025</w:t>
            </w:r>
          </w:p>
        </w:tc>
      </w:tr>
      <w:tr>
        <w:trPr/>
        <w:tc>
          <w:tcPr>
            <w:tcW w:w="3702"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7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Property</w:t>
            </w:r>
          </w:p>
        </w:tc>
        <w:tc>
          <w:tcPr>
            <w:tcW w:w="160" w:type="dxa"/>
            <w:tcBorders/>
            <w:vAlign w:val="center"/>
          </w:tcPr>
          <w:p>
            <w:pPr>
              <w:pStyle w:val="TableContents"/>
              <w:bidi w:val="0"/>
              <w:spacing w:before="0" w:after="1"/>
              <w:ind w:left="0" w:right="0" w:hanging="0"/>
              <w:jc w:val="left"/>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160"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  ​</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Property</w:t>
            </w:r>
          </w:p>
        </w:tc>
        <w:tc>
          <w:tcPr>
            <w:tcW w:w="246" w:type="dxa"/>
            <w:tcBorders/>
            <w:vAlign w:val="center"/>
          </w:tcPr>
          <w:p>
            <w:pPr>
              <w:pStyle w:val="TableContents"/>
              <w:bidi w:val="0"/>
              <w:spacing w:before="0" w:after="1"/>
              <w:ind w:left="0" w:right="0" w:hanging="0"/>
              <w:jc w:val="center"/>
              <w:rPr/>
            </w:pPr>
            <w:r>
              <w:rPr/>
              <w:t>  ​</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246" w:type="dxa"/>
            <w:tcBorders/>
            <w:vAlign w:val="center"/>
          </w:tcPr>
          <w:p>
            <w:pPr>
              <w:pStyle w:val="TableContents"/>
              <w:bidi w:val="0"/>
              <w:spacing w:before="0" w:after="1"/>
              <w:ind w:left="0" w:right="0" w:hanging="0"/>
              <w:jc w:val="center"/>
              <w:rPr/>
            </w:pPr>
            <w:r>
              <w:rPr/>
              <w:t>  ​</w:t>
            </w:r>
          </w:p>
        </w:tc>
        <w:tc>
          <w:tcPr>
            <w:tcW w:w="214" w:type="dxa"/>
            <w:tcBorders/>
            <w:vAlign w:val="center"/>
          </w:tcPr>
          <w:p>
            <w:pPr>
              <w:pStyle w:val="TableContents"/>
              <w:bidi w:val="0"/>
              <w:spacing w:before="0" w:after="1"/>
              <w:ind w:left="0" w:right="0" w:hanging="0"/>
              <w:jc w:val="center"/>
              <w:rPr/>
            </w:pPr>
            <w:r>
              <w:rPr/>
              <w:t>​</w:t>
            </w:r>
          </w:p>
        </w:tc>
        <w:tc>
          <w:tcPr>
            <w:tcW w:w="711" w:type="dxa"/>
            <w:tcBorders/>
            <w:vAlign w:val="center"/>
          </w:tcPr>
          <w:p>
            <w:pPr>
              <w:pStyle w:val="TableContents"/>
              <w:bidi w:val="0"/>
              <w:spacing w:before="0" w:after="1"/>
              <w:ind w:left="0" w:right="0" w:hanging="0"/>
              <w:jc w:val="center"/>
              <w:rPr/>
            </w:pPr>
            <w:r>
              <w:rPr/>
              <w:t>​</w:t>
            </w:r>
          </w:p>
        </w:tc>
      </w:tr>
      <w:tr>
        <w:trPr/>
        <w:tc>
          <w:tcPr>
            <w:tcW w:w="3702"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8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160" w:type="dxa"/>
            <w:tcBorders/>
            <w:vAlign w:val="center"/>
          </w:tcPr>
          <w:p>
            <w:pPr>
              <w:pStyle w:val="TableContents"/>
              <w:bidi w:val="0"/>
              <w:spacing w:before="0" w:after="1"/>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160" w:type="dxa"/>
            <w:tcBorders/>
            <w:vAlign w:val="center"/>
          </w:tcPr>
          <w:p>
            <w:pPr>
              <w:pStyle w:val="TableContents"/>
              <w:bidi w:val="0"/>
              <w:spacing w:before="0" w:after="1"/>
              <w:ind w:left="0" w:right="0" w:hanging="0"/>
              <w:jc w:val="left"/>
              <w:rPr/>
            </w:pPr>
            <w:r>
              <w:rPr/>
              <w:t>​</w:t>
            </w:r>
          </w:p>
        </w:tc>
        <w:tc>
          <w:tcPr>
            <w:tcW w:w="8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226" w:type="dxa"/>
            <w:tcBorders/>
            <w:vAlign w:val="center"/>
          </w:tcPr>
          <w:p>
            <w:pPr>
              <w:pStyle w:val="TableContents"/>
              <w:bidi w:val="0"/>
              <w:spacing w:before="0" w:after="1"/>
              <w:ind w:left="0" w:right="0" w:hanging="0"/>
              <w:jc w:val="center"/>
              <w:rPr/>
            </w:pPr>
            <w:r>
              <w:rPr/>
              <w:t>​</w:t>
            </w:r>
          </w:p>
        </w:tc>
        <w:tc>
          <w:tcPr>
            <w:tcW w:w="8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246" w:type="dxa"/>
            <w:tcBorders/>
            <w:vAlign w:val="center"/>
          </w:tcPr>
          <w:p>
            <w:pPr>
              <w:pStyle w:val="TableContents"/>
              <w:bidi w:val="0"/>
              <w:spacing w:before="0" w:after="1"/>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246" w:type="dxa"/>
            <w:tcBorders/>
            <w:vAlign w:val="center"/>
          </w:tcPr>
          <w:p>
            <w:pPr>
              <w:pStyle w:val="TableContents"/>
              <w:bidi w:val="0"/>
              <w:spacing w:before="0" w:after="1"/>
              <w:ind w:left="0" w:right="0" w:hanging="0"/>
              <w:jc w:val="center"/>
              <w:rPr/>
            </w:pPr>
            <w:r>
              <w:rPr/>
              <w:t>​</w:t>
            </w:r>
          </w:p>
        </w:tc>
        <w:tc>
          <w:tcPr>
            <w:tcW w:w="9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702"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paid for amounts included in the measurement of lease liabilities</w:t>
            </w:r>
          </w:p>
        </w:tc>
        <w:tc>
          <w:tcPr>
            <w:tcW w:w="146" w:type="dxa"/>
            <w:tcBorders/>
            <w:shd w:fill="CCEEFF" w:val="clear"/>
            <w:vAlign w:val="center"/>
          </w:tcPr>
          <w:p>
            <w:pPr>
              <w:pStyle w:val="TableContents"/>
              <w:bidi w:val="0"/>
              <w:spacing w:before="0" w:after="1"/>
              <w:ind w:left="0" w:right="0" w:hanging="0"/>
              <w:jc w:val="left"/>
              <w:rPr/>
            </w:pPr>
            <w:r>
              <w:rPr/>
              <w:t> </w:t>
            </w:r>
          </w:p>
        </w:tc>
        <w:tc>
          <w:tcPr>
            <w:tcW w:w="215"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  ​</w:t>
            </w:r>
          </w:p>
        </w:tc>
        <w:tc>
          <w:tcPr>
            <w:tcW w:w="160" w:type="dxa"/>
            <w:tcBorders/>
            <w:shd w:fill="CCEEFF" w:val="clear"/>
            <w:vAlign w:val="center"/>
          </w:tcPr>
          <w:p>
            <w:pPr>
              <w:pStyle w:val="TableContents"/>
              <w:bidi w:val="0"/>
              <w:spacing w:before="0" w:after="1"/>
              <w:ind w:left="0" w:right="0" w:hanging="0"/>
              <w:jc w:val="left"/>
              <w:rPr/>
            </w:pPr>
            <w:r>
              <w:rPr/>
              <w:t> </w:t>
            </w:r>
          </w:p>
        </w:tc>
        <w:tc>
          <w:tcPr>
            <w:tcW w:w="303" w:type="dxa"/>
            <w:tcBorders/>
            <w:shd w:fill="CCEEFF" w:val="clear"/>
            <w:vAlign w:val="center"/>
          </w:tcPr>
          <w:p>
            <w:pPr>
              <w:pStyle w:val="TableContents"/>
              <w:bidi w:val="0"/>
              <w:spacing w:before="0" w:after="1"/>
              <w:ind w:left="0" w:right="0" w:hanging="0"/>
              <w:jc w:val="left"/>
              <w:rPr/>
            </w:pPr>
            <w:r>
              <w:rPr/>
              <w:t>​</w:t>
            </w:r>
          </w:p>
        </w:tc>
        <w:tc>
          <w:tcPr>
            <w:tcW w:w="583" w:type="dxa"/>
            <w:tcBorders/>
            <w:shd w:fill="CCEEFF" w:val="clear"/>
            <w:vAlign w:val="center"/>
          </w:tcPr>
          <w:p>
            <w:pPr>
              <w:pStyle w:val="TableContents"/>
              <w:bidi w:val="0"/>
              <w:spacing w:before="0" w:after="1"/>
              <w:ind w:left="0" w:right="0" w:hanging="0"/>
              <w:jc w:val="right"/>
              <w:rPr/>
            </w:pPr>
            <w:r>
              <w:rPr/>
              <w:t>  ​</w:t>
            </w:r>
          </w:p>
        </w:tc>
        <w:tc>
          <w:tcPr>
            <w:tcW w:w="160" w:type="dxa"/>
            <w:tcBorders/>
            <w:shd w:fill="CCEEFF" w:val="clear"/>
            <w:vAlign w:val="center"/>
          </w:tcPr>
          <w:p>
            <w:pPr>
              <w:pStyle w:val="TableContents"/>
              <w:bidi w:val="0"/>
              <w:spacing w:before="0" w:after="1"/>
              <w:ind w:left="0" w:right="0" w:hanging="0"/>
              <w:jc w:val="left"/>
              <w:rPr/>
            </w:pPr>
            <w:r>
              <w:rPr/>
              <w:t> </w:t>
            </w:r>
          </w:p>
        </w:tc>
        <w:tc>
          <w:tcPr>
            <w:tcW w:w="215"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w:t>
            </w:r>
          </w:p>
        </w:tc>
        <w:tc>
          <w:tcPr>
            <w:tcW w:w="583"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711" w:type="dxa"/>
            <w:tcBorders/>
            <w:shd w:fill="CCEEFF" w:val="clear"/>
            <w:vAlign w:val="center"/>
          </w:tcPr>
          <w:p>
            <w:pPr>
              <w:pStyle w:val="TableContents"/>
              <w:bidi w:val="0"/>
              <w:spacing w:before="0" w:after="1"/>
              <w:ind w:left="0" w:right="0" w:hanging="0"/>
              <w:jc w:val="left"/>
              <w:rPr/>
            </w:pPr>
            <w:r>
              <w:rPr/>
              <w:t>​</w:t>
            </w:r>
          </w:p>
        </w:tc>
      </w:tr>
      <w:tr>
        <w:trPr/>
        <w:tc>
          <w:tcPr>
            <w:tcW w:w="370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cash flows used for operating leases</w:t>
            </w:r>
          </w:p>
        </w:tc>
        <w:tc>
          <w:tcPr>
            <w:tcW w:w="1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14,549</w:t>
            </w:r>
          </w:p>
        </w:tc>
        <w:tc>
          <w:tcPr>
            <w:tcW w:w="160"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219</w:t>
            </w:r>
          </w:p>
        </w:tc>
        <w:tc>
          <w:tcPr>
            <w:tcW w:w="160" w:type="dxa"/>
            <w:tcBorders/>
            <w:vAlign w:val="center"/>
          </w:tcPr>
          <w:p>
            <w:pPr>
              <w:pStyle w:val="TableContents"/>
              <w:bidi w:val="0"/>
              <w:spacing w:before="0" w:after="1"/>
              <w:ind w:left="0" w:right="0" w:hanging="0"/>
              <w:jc w:val="left"/>
              <w:rPr/>
            </w:pPr>
            <w:r>
              <w:rPr/>
              <w:t> </w:t>
            </w:r>
          </w:p>
        </w:tc>
        <w:tc>
          <w:tcPr>
            <w:tcW w:w="21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14,768</w:t>
            </w:r>
          </w:p>
        </w:tc>
        <w:tc>
          <w:tcPr>
            <w:tcW w:w="226" w:type="dxa"/>
            <w:tcBorders/>
            <w:vAlign w:val="center"/>
          </w:tcPr>
          <w:p>
            <w:pPr>
              <w:pStyle w:val="TableContents"/>
              <w:bidi w:val="0"/>
              <w:spacing w:before="0" w:after="1"/>
              <w:ind w:left="0" w:right="0" w:hanging="0"/>
              <w:jc w:val="righ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14,504</w:t>
            </w:r>
          </w:p>
        </w:tc>
        <w:tc>
          <w:tcPr>
            <w:tcW w:w="246" w:type="dxa"/>
            <w:tcBorders/>
            <w:vAlign w:val="center"/>
          </w:tcPr>
          <w:p>
            <w:pPr>
              <w:pStyle w:val="TableContents"/>
              <w:bidi w:val="0"/>
              <w:spacing w:before="0" w:after="1"/>
              <w:ind w:left="0" w:right="0" w:hanging="0"/>
              <w:jc w:val="right"/>
              <w:rPr/>
            </w:pPr>
            <w:r>
              <w:rPr/>
              <w:t>​</w:t>
            </w:r>
          </w:p>
        </w:tc>
        <w:tc>
          <w:tcPr>
            <w:tcW w:w="30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186</w:t>
            </w:r>
          </w:p>
        </w:tc>
        <w:tc>
          <w:tcPr>
            <w:tcW w:w="246" w:type="dxa"/>
            <w:tcBorders/>
            <w:vAlign w:val="center"/>
          </w:tcPr>
          <w:p>
            <w:pPr>
              <w:pStyle w:val="TableContents"/>
              <w:bidi w:val="0"/>
              <w:spacing w:before="0" w:after="1"/>
              <w:ind w:left="0" w:right="0" w:hanging="0"/>
              <w:jc w:val="righ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14,690</w:t>
            </w:r>
          </w:p>
        </w:tc>
      </w:tr>
      <w:tr>
        <w:trPr/>
        <w:tc>
          <w:tcPr>
            <w:tcW w:w="370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Financing cash flows used for finance leases</w:t>
            </w:r>
          </w:p>
        </w:tc>
        <w:tc>
          <w:tcPr>
            <w:tcW w:w="1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w:t>
            </w:r>
          </w:p>
        </w:tc>
        <w:tc>
          <w:tcPr>
            <w:tcW w:w="160"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w:t>
            </w:r>
          </w:p>
        </w:tc>
        <w:tc>
          <w:tcPr>
            <w:tcW w:w="160" w:type="dxa"/>
            <w:tcBorders/>
            <w:shd w:fill="CCEEFF" w:val="clear"/>
            <w:vAlign w:val="center"/>
          </w:tcPr>
          <w:p>
            <w:pPr>
              <w:pStyle w:val="TableContents"/>
              <w:bidi w:val="0"/>
              <w:spacing w:before="0" w:after="1"/>
              <w:ind w:left="0" w:right="0" w:hanging="0"/>
              <w:jc w:val="left"/>
              <w:rPr/>
            </w:pPr>
            <w:r>
              <w:rPr/>
              <w:t> </w:t>
            </w:r>
          </w:p>
        </w:tc>
        <w:tc>
          <w:tcPr>
            <w:tcW w:w="2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w:t>
            </w:r>
          </w:p>
        </w:tc>
        <w:tc>
          <w:tcPr>
            <w:tcW w:w="226" w:type="dxa"/>
            <w:tcBorders/>
            <w:shd w:fill="CCEEFF" w:val="clear"/>
            <w:vAlign w:val="center"/>
          </w:tcPr>
          <w:p>
            <w:pPr>
              <w:pStyle w:val="TableContents"/>
              <w:bidi w:val="0"/>
              <w:spacing w:before="0" w:after="1"/>
              <w:ind w:left="0" w:right="0" w:hanging="0"/>
              <w:jc w:val="righ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w:t>
            </w:r>
          </w:p>
        </w:tc>
        <w:tc>
          <w:tcPr>
            <w:tcW w:w="246" w:type="dxa"/>
            <w:tcBorders/>
            <w:shd w:fill="CCEEFF" w:val="clear"/>
            <w:vAlign w:val="center"/>
          </w:tcPr>
          <w:p>
            <w:pPr>
              <w:pStyle w:val="TableContents"/>
              <w:bidi w:val="0"/>
              <w:spacing w:before="0" w:after="1"/>
              <w:ind w:left="0" w:right="0" w:hanging="0"/>
              <w:jc w:val="right"/>
              <w:rPr/>
            </w:pPr>
            <w:r>
              <w:rPr/>
              <w:t>​</w:t>
            </w:r>
          </w:p>
        </w:tc>
        <w:tc>
          <w:tcPr>
            <w:tcW w:w="30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w:t>
            </w:r>
          </w:p>
        </w:tc>
        <w:tc>
          <w:tcPr>
            <w:tcW w:w="246" w:type="dxa"/>
            <w:tcBorders/>
            <w:shd w:fill="CCEEFF" w:val="clear"/>
            <w:vAlign w:val="center"/>
          </w:tcPr>
          <w:p>
            <w:pPr>
              <w:pStyle w:val="TableContents"/>
              <w:bidi w:val="0"/>
              <w:spacing w:before="0" w:after="1"/>
              <w:ind w:left="0" w:right="0" w:hanging="0"/>
              <w:jc w:val="righ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w:t>
            </w:r>
          </w:p>
        </w:tc>
      </w:tr>
      <w:tr>
        <w:trPr/>
        <w:tc>
          <w:tcPr>
            <w:tcW w:w="3702"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160"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w:t>
            </w:r>
          </w:p>
        </w:tc>
        <w:tc>
          <w:tcPr>
            <w:tcW w:w="583" w:type="dxa"/>
            <w:tcBorders/>
            <w:vAlign w:val="center"/>
          </w:tcPr>
          <w:p>
            <w:pPr>
              <w:pStyle w:val="TableContents"/>
              <w:bidi w:val="0"/>
              <w:spacing w:before="0" w:after="1"/>
              <w:ind w:left="0" w:right="0" w:hanging="0"/>
              <w:jc w:val="right"/>
              <w:rPr/>
            </w:pPr>
            <w:r>
              <w:rPr/>
              <w:t>​</w:t>
            </w:r>
          </w:p>
        </w:tc>
        <w:tc>
          <w:tcPr>
            <w:tcW w:w="160"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214" w:type="dxa"/>
            <w:tcBorders/>
            <w:vAlign w:val="center"/>
          </w:tcPr>
          <w:p>
            <w:pPr>
              <w:pStyle w:val="TableContents"/>
              <w:bidi w:val="0"/>
              <w:spacing w:before="0" w:after="1"/>
              <w:ind w:left="0" w:right="0" w:hanging="0"/>
              <w:jc w:val="right"/>
              <w:rPr/>
            </w:pPr>
            <w:r>
              <w:rPr/>
              <w:t>​</w:t>
            </w:r>
          </w:p>
        </w:tc>
        <w:tc>
          <w:tcPr>
            <w:tcW w:w="656" w:type="dxa"/>
            <w:tcBorders/>
            <w:vAlign w:val="center"/>
          </w:tcPr>
          <w:p>
            <w:pPr>
              <w:pStyle w:val="TableContents"/>
              <w:bidi w:val="0"/>
              <w:spacing w:before="0" w:after="1"/>
              <w:ind w:left="0" w:right="0" w:hanging="0"/>
              <w:jc w:val="right"/>
              <w:rPr/>
            </w:pPr>
            <w:r>
              <w:rPr/>
              <w:t>​</w:t>
            </w:r>
          </w:p>
        </w:tc>
        <w:tc>
          <w:tcPr>
            <w:tcW w:w="246" w:type="dxa"/>
            <w:tcBorders/>
            <w:vAlign w:val="center"/>
          </w:tcPr>
          <w:p>
            <w:pPr>
              <w:pStyle w:val="TableContents"/>
              <w:bidi w:val="0"/>
              <w:spacing w:before="0" w:after="1"/>
              <w:ind w:left="0" w:right="0" w:hanging="0"/>
              <w:jc w:val="right"/>
              <w:rPr/>
            </w:pPr>
            <w:r>
              <w:rPr/>
              <w:t>​</w:t>
            </w:r>
          </w:p>
        </w:tc>
        <w:tc>
          <w:tcPr>
            <w:tcW w:w="303" w:type="dxa"/>
            <w:tcBorders/>
            <w:vAlign w:val="center"/>
          </w:tcPr>
          <w:p>
            <w:pPr>
              <w:pStyle w:val="TableContents"/>
              <w:bidi w:val="0"/>
              <w:spacing w:before="0" w:after="1"/>
              <w:ind w:left="0" w:right="0" w:hanging="0"/>
              <w:jc w:val="right"/>
              <w:rPr/>
            </w:pPr>
            <w:r>
              <w:rPr/>
              <w:t>​</w:t>
            </w:r>
          </w:p>
        </w:tc>
        <w:tc>
          <w:tcPr>
            <w:tcW w:w="583" w:type="dxa"/>
            <w:tcBorders/>
            <w:vAlign w:val="center"/>
          </w:tcPr>
          <w:p>
            <w:pPr>
              <w:pStyle w:val="TableContents"/>
              <w:bidi w:val="0"/>
              <w:spacing w:before="0" w:after="1"/>
              <w:ind w:left="0" w:right="0" w:hanging="0"/>
              <w:jc w:val="right"/>
              <w:rPr/>
            </w:pPr>
            <w:r>
              <w:rPr/>
              <w:t>​</w:t>
            </w:r>
          </w:p>
        </w:tc>
        <w:tc>
          <w:tcPr>
            <w:tcW w:w="246" w:type="dxa"/>
            <w:tcBorders/>
            <w:vAlign w:val="center"/>
          </w:tcPr>
          <w:p>
            <w:pPr>
              <w:pStyle w:val="TableContents"/>
              <w:bidi w:val="0"/>
              <w:spacing w:before="0" w:after="1"/>
              <w:ind w:left="0" w:right="0" w:hanging="0"/>
              <w:jc w:val="right"/>
              <w:rPr/>
            </w:pPr>
            <w:r>
              <w:rPr/>
              <w:t>​</w:t>
            </w:r>
          </w:p>
        </w:tc>
        <w:tc>
          <w:tcPr>
            <w:tcW w:w="214"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left"/>
              <w:rPr/>
            </w:pPr>
            <w:r>
              <w:rPr/>
              <w:t>​</w:t>
            </w:r>
          </w:p>
        </w:tc>
      </w:tr>
      <w:tr>
        <w:trPr/>
        <w:tc>
          <w:tcPr>
            <w:tcW w:w="3702"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Non-cash investing and financing activities:</w:t>
            </w:r>
          </w:p>
        </w:tc>
        <w:tc>
          <w:tcPr>
            <w:tcW w:w="1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  ​</w:t>
            </w:r>
          </w:p>
        </w:tc>
        <w:tc>
          <w:tcPr>
            <w:tcW w:w="160"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 </w:t>
            </w:r>
          </w:p>
        </w:tc>
        <w:tc>
          <w:tcPr>
            <w:tcW w:w="583" w:type="dxa"/>
            <w:tcBorders/>
            <w:shd w:fill="CCEEFF" w:val="clear"/>
            <w:vAlign w:val="center"/>
          </w:tcPr>
          <w:p>
            <w:pPr>
              <w:pStyle w:val="TableContents"/>
              <w:bidi w:val="0"/>
              <w:spacing w:before="0" w:after="1"/>
              <w:ind w:left="0" w:right="0" w:hanging="0"/>
              <w:jc w:val="right"/>
              <w:rPr/>
            </w:pPr>
            <w:r>
              <w:rPr/>
              <w:t>  ​</w:t>
            </w:r>
          </w:p>
        </w:tc>
        <w:tc>
          <w:tcPr>
            <w:tcW w:w="160" w:type="dxa"/>
            <w:tcBorders/>
            <w:shd w:fill="CCEEFF" w:val="clear"/>
            <w:vAlign w:val="center"/>
          </w:tcPr>
          <w:p>
            <w:pPr>
              <w:pStyle w:val="TableContents"/>
              <w:bidi w:val="0"/>
              <w:spacing w:before="0" w:after="1"/>
              <w:ind w:left="0" w:right="0" w:hanging="0"/>
              <w:jc w:val="left"/>
              <w:rPr/>
            </w:pPr>
            <w:r>
              <w:rPr/>
              <w:t> </w:t>
            </w:r>
          </w:p>
        </w:tc>
        <w:tc>
          <w:tcPr>
            <w:tcW w:w="215"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  ​</w:t>
            </w:r>
          </w:p>
        </w:tc>
        <w:tc>
          <w:tcPr>
            <w:tcW w:w="226" w:type="dxa"/>
            <w:tcBorders/>
            <w:shd w:fill="CCEEFF" w:val="clear"/>
            <w:vAlign w:val="center"/>
          </w:tcPr>
          <w:p>
            <w:pPr>
              <w:pStyle w:val="TableContents"/>
              <w:bidi w:val="0"/>
              <w:spacing w:before="0" w:after="1"/>
              <w:ind w:left="0" w:right="0" w:hanging="0"/>
              <w:jc w:val="right"/>
              <w:rPr/>
            </w:pPr>
            <w:r>
              <w:rPr/>
              <w:t>​</w:t>
            </w:r>
          </w:p>
        </w:tc>
        <w:tc>
          <w:tcPr>
            <w:tcW w:w="214" w:type="dxa"/>
            <w:tcBorders/>
            <w:shd w:fill="CCEEFF" w:val="clear"/>
            <w:vAlign w:val="center"/>
          </w:tcPr>
          <w:p>
            <w:pPr>
              <w:pStyle w:val="TableContents"/>
              <w:bidi w:val="0"/>
              <w:spacing w:before="0" w:after="1"/>
              <w:ind w:left="0" w:right="0" w:hanging="0"/>
              <w:jc w:val="right"/>
              <w:rPr/>
            </w:pPr>
            <w:r>
              <w:rPr/>
              <w:t>​</w:t>
            </w:r>
          </w:p>
        </w:tc>
        <w:tc>
          <w:tcPr>
            <w:tcW w:w="656" w:type="dxa"/>
            <w:tcBorders/>
            <w:shd w:fill="CCEEFF" w:val="clear"/>
            <w:vAlign w:val="center"/>
          </w:tcPr>
          <w:p>
            <w:pPr>
              <w:pStyle w:val="TableContents"/>
              <w:bidi w:val="0"/>
              <w:spacing w:before="0" w:after="1"/>
              <w:ind w:left="0" w:right="0" w:hanging="0"/>
              <w:jc w:val="right"/>
              <w:rPr/>
            </w:pPr>
            <w:r>
              <w:rPr/>
              <w:t>​</w:t>
            </w:r>
          </w:p>
        </w:tc>
        <w:tc>
          <w:tcPr>
            <w:tcW w:w="246" w:type="dxa"/>
            <w:tcBorders/>
            <w:shd w:fill="CCEEFF" w:val="clear"/>
            <w:vAlign w:val="center"/>
          </w:tcPr>
          <w:p>
            <w:pPr>
              <w:pStyle w:val="TableContents"/>
              <w:bidi w:val="0"/>
              <w:spacing w:before="0" w:after="1"/>
              <w:ind w:left="0" w:right="0" w:hanging="0"/>
              <w:jc w:val="right"/>
              <w:rPr/>
            </w:pPr>
            <w:r>
              <w:rPr/>
              <w:t>​</w:t>
            </w:r>
          </w:p>
        </w:tc>
        <w:tc>
          <w:tcPr>
            <w:tcW w:w="303" w:type="dxa"/>
            <w:tcBorders/>
            <w:shd w:fill="CCEEFF" w:val="clear"/>
            <w:vAlign w:val="center"/>
          </w:tcPr>
          <w:p>
            <w:pPr>
              <w:pStyle w:val="TableContents"/>
              <w:bidi w:val="0"/>
              <w:spacing w:before="0" w:after="1"/>
              <w:ind w:left="0" w:right="0" w:hanging="0"/>
              <w:jc w:val="right"/>
              <w:rPr/>
            </w:pPr>
            <w:r>
              <w:rPr/>
              <w:t>​</w:t>
            </w:r>
          </w:p>
        </w:tc>
        <w:tc>
          <w:tcPr>
            <w:tcW w:w="583" w:type="dxa"/>
            <w:tcBorders/>
            <w:shd w:fill="CCEEFF" w:val="clear"/>
            <w:vAlign w:val="center"/>
          </w:tcPr>
          <w:p>
            <w:pPr>
              <w:pStyle w:val="TableContents"/>
              <w:bidi w:val="0"/>
              <w:spacing w:before="0" w:after="1"/>
              <w:ind w:left="0" w:right="0" w:hanging="0"/>
              <w:jc w:val="right"/>
              <w:rPr/>
            </w:pPr>
            <w:r>
              <w:rPr/>
              <w:t>​</w:t>
            </w:r>
          </w:p>
        </w:tc>
        <w:tc>
          <w:tcPr>
            <w:tcW w:w="246" w:type="dxa"/>
            <w:tcBorders/>
            <w:shd w:fill="CCEEFF" w:val="clear"/>
            <w:vAlign w:val="center"/>
          </w:tcPr>
          <w:p>
            <w:pPr>
              <w:pStyle w:val="TableContents"/>
              <w:bidi w:val="0"/>
              <w:spacing w:before="0" w:after="1"/>
              <w:ind w:left="0" w:right="0" w:hanging="0"/>
              <w:jc w:val="righ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711" w:type="dxa"/>
            <w:tcBorders/>
            <w:shd w:fill="CCEEFF" w:val="clear"/>
            <w:vAlign w:val="center"/>
          </w:tcPr>
          <w:p>
            <w:pPr>
              <w:pStyle w:val="TableContents"/>
              <w:bidi w:val="0"/>
              <w:spacing w:before="0" w:after="1"/>
              <w:ind w:left="0" w:right="0" w:hanging="0"/>
              <w:jc w:val="left"/>
              <w:rPr/>
            </w:pPr>
            <w:r>
              <w:rPr/>
              <w:t>​</w:t>
            </w:r>
          </w:p>
        </w:tc>
      </w:tr>
      <w:tr>
        <w:trPr/>
        <w:tc>
          <w:tcPr>
            <w:tcW w:w="3702"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ROU assets obtained in exchange for lease liabilities:</w:t>
            </w:r>
          </w:p>
        </w:tc>
        <w:tc>
          <w:tcPr>
            <w:tcW w:w="1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160"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 </w:t>
            </w:r>
          </w:p>
        </w:tc>
        <w:tc>
          <w:tcPr>
            <w:tcW w:w="583" w:type="dxa"/>
            <w:tcBorders/>
            <w:vAlign w:val="center"/>
          </w:tcPr>
          <w:p>
            <w:pPr>
              <w:pStyle w:val="TableContents"/>
              <w:bidi w:val="0"/>
              <w:spacing w:before="0" w:after="1"/>
              <w:ind w:left="0" w:right="0" w:hanging="0"/>
              <w:jc w:val="right"/>
              <w:rPr/>
            </w:pPr>
            <w:r>
              <w:rPr/>
              <w:t>  ​</w:t>
            </w:r>
          </w:p>
        </w:tc>
        <w:tc>
          <w:tcPr>
            <w:tcW w:w="160" w:type="dxa"/>
            <w:tcBorders/>
            <w:vAlign w:val="center"/>
          </w:tcPr>
          <w:p>
            <w:pPr>
              <w:pStyle w:val="TableContents"/>
              <w:bidi w:val="0"/>
              <w:spacing w:before="0" w:after="1"/>
              <w:ind w:left="0" w:right="0" w:hanging="0"/>
              <w:jc w:val="left"/>
              <w:rPr/>
            </w:pPr>
            <w:r>
              <w:rPr/>
              <w:t> </w:t>
            </w:r>
          </w:p>
        </w:tc>
        <w:tc>
          <w:tcPr>
            <w:tcW w:w="215"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  ​</w:t>
            </w:r>
          </w:p>
        </w:tc>
        <w:tc>
          <w:tcPr>
            <w:tcW w:w="226" w:type="dxa"/>
            <w:tcBorders/>
            <w:vAlign w:val="center"/>
          </w:tcPr>
          <w:p>
            <w:pPr>
              <w:pStyle w:val="TableContents"/>
              <w:bidi w:val="0"/>
              <w:spacing w:before="0" w:after="1"/>
              <w:ind w:left="0" w:right="0" w:hanging="0"/>
              <w:jc w:val="right"/>
              <w:rPr/>
            </w:pPr>
            <w:r>
              <w:rPr/>
              <w:t>​</w:t>
            </w:r>
          </w:p>
        </w:tc>
        <w:tc>
          <w:tcPr>
            <w:tcW w:w="214" w:type="dxa"/>
            <w:tcBorders/>
            <w:vAlign w:val="center"/>
          </w:tcPr>
          <w:p>
            <w:pPr>
              <w:pStyle w:val="TableContents"/>
              <w:bidi w:val="0"/>
              <w:spacing w:before="0" w:after="1"/>
              <w:ind w:left="0" w:right="0" w:hanging="0"/>
              <w:jc w:val="right"/>
              <w:rPr/>
            </w:pPr>
            <w:r>
              <w:rPr/>
              <w:t>​</w:t>
            </w:r>
          </w:p>
        </w:tc>
        <w:tc>
          <w:tcPr>
            <w:tcW w:w="656" w:type="dxa"/>
            <w:tcBorders/>
            <w:vAlign w:val="center"/>
          </w:tcPr>
          <w:p>
            <w:pPr>
              <w:pStyle w:val="TableContents"/>
              <w:bidi w:val="0"/>
              <w:spacing w:before="0" w:after="1"/>
              <w:ind w:left="0" w:right="0" w:hanging="0"/>
              <w:jc w:val="right"/>
              <w:rPr/>
            </w:pPr>
            <w:r>
              <w:rPr/>
              <w:t>​</w:t>
            </w:r>
          </w:p>
        </w:tc>
        <w:tc>
          <w:tcPr>
            <w:tcW w:w="246" w:type="dxa"/>
            <w:tcBorders/>
            <w:vAlign w:val="center"/>
          </w:tcPr>
          <w:p>
            <w:pPr>
              <w:pStyle w:val="TableContents"/>
              <w:bidi w:val="0"/>
              <w:spacing w:before="0" w:after="1"/>
              <w:ind w:left="0" w:right="0" w:hanging="0"/>
              <w:jc w:val="right"/>
              <w:rPr/>
            </w:pPr>
            <w:r>
              <w:rPr/>
              <w:t>​</w:t>
            </w:r>
          </w:p>
        </w:tc>
        <w:tc>
          <w:tcPr>
            <w:tcW w:w="303" w:type="dxa"/>
            <w:tcBorders/>
            <w:vAlign w:val="center"/>
          </w:tcPr>
          <w:p>
            <w:pPr>
              <w:pStyle w:val="TableContents"/>
              <w:bidi w:val="0"/>
              <w:spacing w:before="0" w:after="1"/>
              <w:ind w:left="0" w:right="0" w:hanging="0"/>
              <w:jc w:val="right"/>
              <w:rPr/>
            </w:pPr>
            <w:r>
              <w:rPr/>
              <w:t>​</w:t>
            </w:r>
          </w:p>
        </w:tc>
        <w:tc>
          <w:tcPr>
            <w:tcW w:w="583" w:type="dxa"/>
            <w:tcBorders/>
            <w:vAlign w:val="center"/>
          </w:tcPr>
          <w:p>
            <w:pPr>
              <w:pStyle w:val="TableContents"/>
              <w:bidi w:val="0"/>
              <w:spacing w:before="0" w:after="1"/>
              <w:ind w:left="0" w:right="0" w:hanging="0"/>
              <w:jc w:val="right"/>
              <w:rPr/>
            </w:pPr>
            <w:r>
              <w:rPr/>
              <w:t>​</w:t>
            </w:r>
          </w:p>
        </w:tc>
        <w:tc>
          <w:tcPr>
            <w:tcW w:w="246" w:type="dxa"/>
            <w:tcBorders/>
            <w:vAlign w:val="center"/>
          </w:tcPr>
          <w:p>
            <w:pPr>
              <w:pStyle w:val="TableContents"/>
              <w:bidi w:val="0"/>
              <w:spacing w:before="0" w:after="1"/>
              <w:ind w:left="0" w:right="0" w:hanging="0"/>
              <w:jc w:val="right"/>
              <w:rPr/>
            </w:pPr>
            <w:r>
              <w:rPr/>
              <w:t>​</w:t>
            </w:r>
          </w:p>
        </w:tc>
        <w:tc>
          <w:tcPr>
            <w:tcW w:w="214"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left"/>
              <w:rPr/>
            </w:pPr>
            <w:r>
              <w:rPr/>
              <w:t>​</w:t>
            </w:r>
          </w:p>
        </w:tc>
      </w:tr>
      <w:tr>
        <w:trPr/>
        <w:tc>
          <w:tcPr>
            <w:tcW w:w="370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ROU assets</w:t>
            </w:r>
          </w:p>
        </w:tc>
        <w:tc>
          <w:tcPr>
            <w:tcW w:w="1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9,194</w:t>
            </w:r>
          </w:p>
        </w:tc>
        <w:tc>
          <w:tcPr>
            <w:tcW w:w="160"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w:t>
            </w:r>
          </w:p>
        </w:tc>
        <w:tc>
          <w:tcPr>
            <w:tcW w:w="160" w:type="dxa"/>
            <w:tcBorders/>
            <w:shd w:fill="CCEEFF" w:val="clear"/>
            <w:vAlign w:val="center"/>
          </w:tcPr>
          <w:p>
            <w:pPr>
              <w:pStyle w:val="TableContents"/>
              <w:bidi w:val="0"/>
              <w:spacing w:before="0" w:after="1"/>
              <w:ind w:left="0" w:right="0" w:hanging="0"/>
              <w:jc w:val="left"/>
              <w:rPr/>
            </w:pPr>
            <w:r>
              <w:rPr/>
              <w:t> </w:t>
            </w:r>
          </w:p>
        </w:tc>
        <w:tc>
          <w:tcPr>
            <w:tcW w:w="2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9,133</w:t>
            </w:r>
          </w:p>
        </w:tc>
        <w:tc>
          <w:tcPr>
            <w:tcW w:w="226" w:type="dxa"/>
            <w:tcBorders/>
            <w:shd w:fill="CCEEFF" w:val="clear"/>
            <w:vAlign w:val="center"/>
          </w:tcPr>
          <w:p>
            <w:pPr>
              <w:pStyle w:val="TableContents"/>
              <w:bidi w:val="0"/>
              <w:spacing w:before="0" w:after="1"/>
              <w:ind w:left="0" w:right="0" w:hanging="0"/>
              <w:jc w:val="righ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7,070</w:t>
            </w:r>
          </w:p>
        </w:tc>
        <w:tc>
          <w:tcPr>
            <w:tcW w:w="246" w:type="dxa"/>
            <w:tcBorders/>
            <w:shd w:fill="CCEEFF" w:val="clear"/>
            <w:vAlign w:val="center"/>
          </w:tcPr>
          <w:p>
            <w:pPr>
              <w:pStyle w:val="TableContents"/>
              <w:bidi w:val="0"/>
              <w:spacing w:before="0" w:after="1"/>
              <w:ind w:left="0" w:right="0" w:hanging="0"/>
              <w:jc w:val="right"/>
              <w:rPr/>
            </w:pPr>
            <w:r>
              <w:rPr/>
              <w:t>​</w:t>
            </w:r>
          </w:p>
        </w:tc>
        <w:tc>
          <w:tcPr>
            <w:tcW w:w="30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w:t>
            </w:r>
          </w:p>
        </w:tc>
        <w:tc>
          <w:tcPr>
            <w:tcW w:w="246" w:type="dxa"/>
            <w:tcBorders/>
            <w:shd w:fill="CCEEFF" w:val="clear"/>
            <w:vAlign w:val="center"/>
          </w:tcPr>
          <w:p>
            <w:pPr>
              <w:pStyle w:val="TableContents"/>
              <w:bidi w:val="0"/>
              <w:spacing w:before="0" w:after="1"/>
              <w:ind w:left="0" w:right="0" w:hanging="0"/>
              <w:jc w:val="righ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7,085</w:t>
            </w:r>
          </w:p>
        </w:tc>
      </w:tr>
      <w:tr>
        <w:trPr/>
        <w:tc>
          <w:tcPr>
            <w:tcW w:w="3702"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Finance lease ROU assets obtained in exchange for lease liabilities:</w:t>
            </w:r>
          </w:p>
        </w:tc>
        <w:tc>
          <w:tcPr>
            <w:tcW w:w="1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160"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w:t>
            </w:r>
          </w:p>
        </w:tc>
        <w:tc>
          <w:tcPr>
            <w:tcW w:w="583" w:type="dxa"/>
            <w:tcBorders/>
            <w:vAlign w:val="center"/>
          </w:tcPr>
          <w:p>
            <w:pPr>
              <w:pStyle w:val="TableContents"/>
              <w:bidi w:val="0"/>
              <w:spacing w:before="0" w:after="1"/>
              <w:ind w:left="0" w:right="0" w:hanging="0"/>
              <w:jc w:val="right"/>
              <w:rPr/>
            </w:pPr>
            <w:r>
              <w:rPr/>
              <w:t>​</w:t>
            </w:r>
          </w:p>
        </w:tc>
        <w:tc>
          <w:tcPr>
            <w:tcW w:w="160"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214" w:type="dxa"/>
            <w:tcBorders/>
            <w:vAlign w:val="center"/>
          </w:tcPr>
          <w:p>
            <w:pPr>
              <w:pStyle w:val="TableContents"/>
              <w:bidi w:val="0"/>
              <w:spacing w:before="0" w:after="1"/>
              <w:ind w:left="0" w:right="0" w:hanging="0"/>
              <w:jc w:val="right"/>
              <w:rPr/>
            </w:pPr>
            <w:r>
              <w:rPr/>
              <w:t>​</w:t>
            </w:r>
          </w:p>
        </w:tc>
        <w:tc>
          <w:tcPr>
            <w:tcW w:w="656" w:type="dxa"/>
            <w:tcBorders/>
            <w:vAlign w:val="center"/>
          </w:tcPr>
          <w:p>
            <w:pPr>
              <w:pStyle w:val="TableContents"/>
              <w:bidi w:val="0"/>
              <w:spacing w:before="0" w:after="1"/>
              <w:ind w:left="0" w:right="0" w:hanging="0"/>
              <w:jc w:val="right"/>
              <w:rPr/>
            </w:pPr>
            <w:r>
              <w:rPr/>
              <w:t>​</w:t>
            </w:r>
          </w:p>
        </w:tc>
        <w:tc>
          <w:tcPr>
            <w:tcW w:w="246" w:type="dxa"/>
            <w:tcBorders/>
            <w:vAlign w:val="center"/>
          </w:tcPr>
          <w:p>
            <w:pPr>
              <w:pStyle w:val="TableContents"/>
              <w:bidi w:val="0"/>
              <w:spacing w:before="0" w:after="1"/>
              <w:ind w:left="0" w:right="0" w:hanging="0"/>
              <w:jc w:val="right"/>
              <w:rPr/>
            </w:pPr>
            <w:r>
              <w:rPr/>
              <w:t>​</w:t>
            </w:r>
          </w:p>
        </w:tc>
        <w:tc>
          <w:tcPr>
            <w:tcW w:w="303" w:type="dxa"/>
            <w:tcBorders/>
            <w:vAlign w:val="center"/>
          </w:tcPr>
          <w:p>
            <w:pPr>
              <w:pStyle w:val="TableContents"/>
              <w:bidi w:val="0"/>
              <w:spacing w:before="0" w:after="1"/>
              <w:ind w:left="0" w:right="0" w:hanging="0"/>
              <w:jc w:val="right"/>
              <w:rPr/>
            </w:pPr>
            <w:r>
              <w:rPr/>
              <w:t>​</w:t>
            </w:r>
          </w:p>
        </w:tc>
        <w:tc>
          <w:tcPr>
            <w:tcW w:w="583" w:type="dxa"/>
            <w:tcBorders/>
            <w:vAlign w:val="center"/>
          </w:tcPr>
          <w:p>
            <w:pPr>
              <w:pStyle w:val="TableContents"/>
              <w:bidi w:val="0"/>
              <w:spacing w:before="0" w:after="1"/>
              <w:ind w:left="0" w:right="0" w:hanging="0"/>
              <w:jc w:val="right"/>
              <w:rPr/>
            </w:pPr>
            <w:r>
              <w:rPr/>
              <w:t>​</w:t>
            </w:r>
          </w:p>
        </w:tc>
        <w:tc>
          <w:tcPr>
            <w:tcW w:w="246" w:type="dxa"/>
            <w:tcBorders/>
            <w:vAlign w:val="center"/>
          </w:tcPr>
          <w:p>
            <w:pPr>
              <w:pStyle w:val="TableContents"/>
              <w:bidi w:val="0"/>
              <w:spacing w:before="0" w:after="1"/>
              <w:ind w:left="0" w:right="0" w:hanging="0"/>
              <w:jc w:val="right"/>
              <w:rPr/>
            </w:pPr>
            <w:r>
              <w:rPr/>
              <w:t>​</w:t>
            </w:r>
          </w:p>
        </w:tc>
        <w:tc>
          <w:tcPr>
            <w:tcW w:w="214" w:type="dxa"/>
            <w:tcBorders/>
            <w:vAlign w:val="center"/>
          </w:tcPr>
          <w:p>
            <w:pPr>
              <w:pStyle w:val="TableContents"/>
              <w:bidi w:val="0"/>
              <w:spacing w:before="0" w:after="1"/>
              <w:ind w:left="0" w:right="0" w:hanging="0"/>
              <w:jc w:val="left"/>
              <w:rPr/>
            </w:pPr>
            <w:r>
              <w:rPr/>
              <w:t>​</w:t>
            </w:r>
          </w:p>
        </w:tc>
        <w:tc>
          <w:tcPr>
            <w:tcW w:w="711" w:type="dxa"/>
            <w:tcBorders/>
            <w:vAlign w:val="center"/>
          </w:tcPr>
          <w:p>
            <w:pPr>
              <w:pStyle w:val="TableContents"/>
              <w:bidi w:val="0"/>
              <w:spacing w:before="0" w:after="1"/>
              <w:ind w:left="0" w:right="0" w:hanging="0"/>
              <w:jc w:val="right"/>
              <w:rPr/>
            </w:pPr>
            <w:r>
              <w:rPr/>
              <w:t>​</w:t>
            </w:r>
          </w:p>
        </w:tc>
      </w:tr>
      <w:tr>
        <w:trPr/>
        <w:tc>
          <w:tcPr>
            <w:tcW w:w="370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Finance lease ROU assets</w:t>
            </w:r>
          </w:p>
        </w:tc>
        <w:tc>
          <w:tcPr>
            <w:tcW w:w="1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160"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83" w:type="dxa"/>
            <w:tcBorders/>
            <w:shd w:fill="CCEEFF" w:val="clear"/>
            <w:vAlign w:val="center"/>
          </w:tcPr>
          <w:p>
            <w:pPr>
              <w:pStyle w:val="TableContents"/>
              <w:bidi w:val="0"/>
              <w:spacing w:before="0" w:after="1"/>
              <w:ind w:left="0" w:right="0" w:hanging="0"/>
              <w:jc w:val="right"/>
              <w:rPr/>
            </w:pPr>
            <w:r>
              <w:rPr/>
              <w:t>—</w:t>
            </w:r>
          </w:p>
        </w:tc>
        <w:tc>
          <w:tcPr>
            <w:tcW w:w="160"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6" w:type="dxa"/>
            <w:tcBorders/>
            <w:shd w:fill="CCEEFF" w:val="clear"/>
            <w:vAlign w:val="center"/>
          </w:tcPr>
          <w:p>
            <w:pPr>
              <w:pStyle w:val="TableContents"/>
              <w:bidi w:val="0"/>
              <w:spacing w:before="0" w:after="1"/>
              <w:ind w:left="0" w:right="0" w:hanging="0"/>
              <w:jc w:val="right"/>
              <w:rPr/>
            </w:pPr>
            <w:r>
              <w:rPr/>
              <w:t>—</w:t>
            </w:r>
          </w:p>
        </w:tc>
        <w:tc>
          <w:tcPr>
            <w:tcW w:w="246" w:type="dxa"/>
            <w:tcBorders/>
            <w:shd w:fill="CCEEFF" w:val="clear"/>
            <w:vAlign w:val="center"/>
          </w:tcPr>
          <w:p>
            <w:pPr>
              <w:pStyle w:val="TableContents"/>
              <w:bidi w:val="0"/>
              <w:spacing w:before="0" w:after="1"/>
              <w:ind w:left="0" w:right="0" w:hanging="0"/>
              <w:jc w:val="right"/>
              <w:rPr/>
            </w:pPr>
            <w:r>
              <w:rPr/>
              <w:t>​</w:t>
            </w:r>
          </w:p>
        </w:tc>
        <w:tc>
          <w:tcPr>
            <w:tcW w:w="30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83" w:type="dxa"/>
            <w:tcBorders/>
            <w:shd w:fill="CCEEFF" w:val="clear"/>
            <w:vAlign w:val="center"/>
          </w:tcPr>
          <w:p>
            <w:pPr>
              <w:pStyle w:val="TableContents"/>
              <w:bidi w:val="0"/>
              <w:spacing w:before="0" w:after="1"/>
              <w:ind w:left="0" w:right="0" w:hanging="0"/>
              <w:jc w:val="right"/>
              <w:rPr/>
            </w:pPr>
            <w:r>
              <w:rPr/>
              <w:t>—</w:t>
            </w:r>
          </w:p>
        </w:tc>
        <w:tc>
          <w:tcPr>
            <w:tcW w:w="246" w:type="dxa"/>
            <w:tcBorders/>
            <w:shd w:fill="CCEEFF" w:val="clear"/>
            <w:vAlign w:val="center"/>
          </w:tcPr>
          <w:p>
            <w:pPr>
              <w:pStyle w:val="TableContents"/>
              <w:bidi w:val="0"/>
              <w:spacing w:before="0" w:after="1"/>
              <w:ind w:left="0" w:right="0" w:hanging="0"/>
              <w:jc w:val="righ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1" w:type="dxa"/>
            <w:tcBorders/>
            <w:shd w:fill="CCEEFF" w:val="clear"/>
            <w:vAlign w:val="center"/>
          </w:tcPr>
          <w:p>
            <w:pPr>
              <w:pStyle w:val="TableContents"/>
              <w:bidi w:val="0"/>
              <w:spacing w:before="0" w:after="1"/>
              <w:ind w:left="0" w:right="50" w:hanging="0"/>
              <w:jc w:val="righ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119" w:name="Tc_znfcXbwEZUy__735rfHkxg_15_5"/>
      <w:bookmarkStart w:id="1120" w:name="Tc_9aqU7LIMfECqJjpYpbLSFg_15_2"/>
      <w:bookmarkStart w:id="1121" w:name="Tc_-C12bgxM_k--EtBonhZNsA_15_0"/>
      <w:bookmarkStart w:id="1122" w:name="Tc_bMIT5YcsqUet-xGvS_2kig_14_0"/>
      <w:bookmarkStart w:id="1123" w:name="Tc_8msI8-K0qEq85sq_VHMr0g_13_0"/>
      <w:bookmarkStart w:id="1124" w:name="Tc_S_sg3hGgDkyJPj5-1nrZ_g_12_0"/>
      <w:bookmarkStart w:id="1125" w:name="Tc_oQg5xMros0q9-zi0ZDvCOg_11_8"/>
      <w:bookmarkStart w:id="1126" w:name="Tc_Z99d7G9EhEKbPnA46q0Qsg_11_5"/>
      <w:bookmarkStart w:id="1127" w:name="Tc_9e4xHOuygkSX-gA92eCjeQ_11_2"/>
      <w:bookmarkStart w:id="1128" w:name="Tc_9Rdlaml6K0izuhWPj2eWJA_11_0"/>
      <w:bookmarkStart w:id="1129" w:name="Tc_PAQBBRLW-Uyz5Q5sffnmXQ_10_0"/>
      <w:bookmarkStart w:id="1130" w:name="Tc_xkN72fdpQ0C8PixBCPA17A_9_0"/>
      <w:bookmarkStart w:id="1131" w:name="Tc_84e5250QgE-e2qIoHYrlPw_8_0"/>
      <w:bookmarkStart w:id="1132" w:name="Tc_8xvXbOo2MkKuXbi2VFM2Ng_7_0"/>
      <w:bookmarkStart w:id="1133" w:name="Tc_7dVYnibRJEmm5C04aHG1ug_6_0"/>
      <w:bookmarkStart w:id="1134" w:name="Tc_lTFYI6tzik2btZDBRlN6Lw_5_8"/>
      <w:bookmarkStart w:id="1135" w:name="Tc_D1aCcCMDREOaYRkbIaVE5A_5_5"/>
      <w:bookmarkStart w:id="1136" w:name="Tc_yKCu7V1_BU2aO6dixSS62w_5_2"/>
      <w:bookmarkStart w:id="1137" w:name="Tc_a8ry1nLyLk2tdAqrMcFkqQ_5_0"/>
      <w:bookmarkStart w:id="1138" w:name="Tc_cXFTRBA9ukKt8MyPWdZBKw_4_8"/>
      <w:bookmarkStart w:id="1139" w:name="Tc_dK9ta6Ac50a5PPpAlEsAGA_4_5"/>
      <w:bookmarkStart w:id="1140" w:name="Tc_irQXcXhqU0KHmZQFyez77Q_4_2"/>
      <w:bookmarkStart w:id="1141" w:name="Tc_6kN2yqAQmUu_UzfCiE3PmQ_4_0"/>
      <w:bookmarkStart w:id="1142" w:name="Tc_F8f92bVA8U2lMCOefqA5bA_3_8"/>
      <w:bookmarkStart w:id="1143" w:name="Tc_OxmyeypyoEu8J3AiOx6iLw_3_5"/>
      <w:bookmarkStart w:id="1144" w:name="Tc_LVwsvs11C02rEoSEiTgy6Q_3_2"/>
      <w:bookmarkStart w:id="1145" w:name="Tc_O6ugIKXDk0-xx5EcGpb-oQ_2_8"/>
      <w:bookmarkStart w:id="1146" w:name="Tc_1tQlJSngCUSyW5AZVVeT8g_2_5"/>
      <w:bookmarkStart w:id="1147" w:name="Tc_o0WaHiUJ6EuVaHng-mk9FA_2_2"/>
      <w:bookmarkStart w:id="1148" w:name="Tc_7NCSPiCyFk6zECA9fsx5ng_1_5"/>
      <w:bookmarkStart w:id="1149" w:name="Tc_ZNPoDyajxUKQdbk2BQtOeg_1_2"/>
      <w:bookmarkStart w:id="1150" w:name="_65affca2_7bf7_434d_86ca_b717bae683ac"/>
      <w:bookmarkStart w:id="1151" w:name="Tc_OQKfuWV4Q0OYF2xVO3G-oA_20_16"/>
      <w:bookmarkStart w:id="1152" w:name="Tc_Qe60N0yPMkSAX-cSqvgFJg_20_13"/>
      <w:bookmarkStart w:id="1153" w:name="Tc_Gej4ZK6KaUiqRS2gXoNQDw_20_7"/>
      <w:bookmarkStart w:id="1154" w:name="Tc_DtNW8xljKUGjC-dfkda9HQ_20_4"/>
      <w:bookmarkStart w:id="1155" w:name="Tc_btzd7yMCsEqkb-7L5WPCbA_20_0"/>
      <w:bookmarkStart w:id="1156" w:name="Tc_f8tyr1vqHk-sCjWEOlw-zA_19_16"/>
      <w:bookmarkStart w:id="1157" w:name="Tc_TQQGNe9-7ku1hWRDib79wg_19_13"/>
      <w:bookmarkStart w:id="1158" w:name="Tc_Hvy25xfZJ0CMsEts-E6t1g_19_7"/>
      <w:bookmarkStart w:id="1159" w:name="Tc_FKF9IzkEMEauP6IjWMrD6Q_19_4"/>
      <w:bookmarkStart w:id="1160" w:name="Tc_sfFA7avRBEeCnJl7IYv1Xw_19_0"/>
      <w:bookmarkStart w:id="1161" w:name="Tc_7exqKvzb3UG8908n_9KE5Q_18_0"/>
      <w:bookmarkStart w:id="1162" w:name="Tc_hbmKzVldnUW-9lnvB5OLHA_17_0"/>
      <w:bookmarkStart w:id="1163" w:name="Tc_8GauQ36Xv0ynlRqeVjRJ6A_16_0"/>
      <w:bookmarkStart w:id="1164" w:name="Tc_DiDoT9XizUWrbchM5wO8Jw_13_18"/>
      <w:bookmarkStart w:id="1165" w:name="Tc_D7J_-vBHAUqAFltnHL50zA_13_17"/>
      <w:bookmarkStart w:id="1166" w:name="Tc_T2STguVDNU27JqXstqG-Hw_13_15"/>
      <w:bookmarkStart w:id="1167" w:name="Tc_MfLV6hcvfU2CY9bd0b-5bA_13_14"/>
      <w:bookmarkStart w:id="1168" w:name="Tc_yMY1dcSmjUaA3hLyNnUJeg_13_12"/>
      <w:bookmarkStart w:id="1169" w:name="Tc_GOSW0G3hkU2XFE23uipxnA_13_11"/>
      <w:bookmarkStart w:id="1170" w:name="Tc_3NySY8QzfkmJM8VytJt5FQ_13_8"/>
      <w:bookmarkStart w:id="1171" w:name="Tc_1T6OoahTAk2V7Uc4J0a4kQ_13_6"/>
      <w:bookmarkStart w:id="1172" w:name="Tc_4ID8kg00fEug_wbxYpzcIg_13_5"/>
      <w:bookmarkStart w:id="1173" w:name="Tc_1fysa-xW1kiEORSXPhvmDQ_13_2"/>
      <w:bookmarkStart w:id="1174" w:name="Tc_CTp12tI7HU6bnEMkYf2IsA_13_0"/>
      <w:bookmarkStart w:id="1175" w:name="Tc_znfcXbwEZUy__735rfHkxg_15_5"/>
      <w:bookmarkStart w:id="1176" w:name="Tc_9aqU7LIMfECqJjpYpbLSFg_15_2"/>
      <w:bookmarkStart w:id="1177" w:name="Tc_-C12bgxM_k--EtBonhZNsA_15_0"/>
      <w:bookmarkStart w:id="1178" w:name="Tc_bMIT5YcsqUet-xGvS_2kig_14_0"/>
      <w:bookmarkStart w:id="1179" w:name="Tc_8msI8-K0qEq85sq_VHMr0g_13_0"/>
      <w:bookmarkStart w:id="1180" w:name="Tc_S_sg3hGgDkyJPj5-1nrZ_g_12_0"/>
      <w:bookmarkStart w:id="1181" w:name="Tc_oQg5xMros0q9-zi0ZDvCOg_11_8"/>
      <w:bookmarkStart w:id="1182" w:name="Tc_Z99d7G9EhEKbPnA46q0Qsg_11_5"/>
      <w:bookmarkStart w:id="1183" w:name="Tc_9e4xHOuygkSX-gA92eCjeQ_11_2"/>
      <w:bookmarkStart w:id="1184" w:name="Tc_9Rdlaml6K0izuhWPj2eWJA_11_0"/>
      <w:bookmarkStart w:id="1185" w:name="Tc_PAQBBRLW-Uyz5Q5sffnmXQ_10_0"/>
      <w:bookmarkStart w:id="1186" w:name="Tc_xkN72fdpQ0C8PixBCPA17A_9_0"/>
      <w:bookmarkStart w:id="1187" w:name="Tc_84e5250QgE-e2qIoHYrlPw_8_0"/>
      <w:bookmarkStart w:id="1188" w:name="Tc_8xvXbOo2MkKuXbi2VFM2Ng_7_0"/>
      <w:bookmarkStart w:id="1189" w:name="Tc_7dVYnibRJEmm5C04aHG1ug_6_0"/>
      <w:bookmarkStart w:id="1190" w:name="Tc_lTFYI6tzik2btZDBRlN6Lw_5_8"/>
      <w:bookmarkStart w:id="1191" w:name="Tc_D1aCcCMDREOaYRkbIaVE5A_5_5"/>
      <w:bookmarkStart w:id="1192" w:name="Tc_yKCu7V1_BU2aO6dixSS62w_5_2"/>
      <w:bookmarkStart w:id="1193" w:name="Tc_a8ry1nLyLk2tdAqrMcFkqQ_5_0"/>
      <w:bookmarkStart w:id="1194" w:name="Tc_cXFTRBA9ukKt8MyPWdZBKw_4_8"/>
      <w:bookmarkStart w:id="1195" w:name="Tc_dK9ta6Ac50a5PPpAlEsAGA_4_5"/>
      <w:bookmarkStart w:id="1196" w:name="Tc_irQXcXhqU0KHmZQFyez77Q_4_2"/>
      <w:bookmarkStart w:id="1197" w:name="Tc_6kN2yqAQmUu_UzfCiE3PmQ_4_0"/>
      <w:bookmarkStart w:id="1198" w:name="Tc_F8f92bVA8U2lMCOefqA5bA_3_8"/>
      <w:bookmarkStart w:id="1199" w:name="Tc_OxmyeypyoEu8J3AiOx6iLw_3_5"/>
      <w:bookmarkStart w:id="1200" w:name="Tc_LVwsvs11C02rEoSEiTgy6Q_3_2"/>
      <w:bookmarkStart w:id="1201" w:name="Tc_O6ugIKXDk0-xx5EcGpb-oQ_2_8"/>
      <w:bookmarkStart w:id="1202" w:name="Tc_1tQlJSngCUSyW5AZVVeT8g_2_5"/>
      <w:bookmarkStart w:id="1203" w:name="Tc_o0WaHiUJ6EuVaHng-mk9FA_2_2"/>
      <w:bookmarkStart w:id="1204" w:name="Tc_7NCSPiCyFk6zECA9fsx5ng_1_5"/>
      <w:bookmarkStart w:id="1205" w:name="Tc_ZNPoDyajxUKQdbk2BQtOeg_1_2"/>
      <w:bookmarkStart w:id="1206" w:name="_65affca2_7bf7_434d_86ca_b717bae683ac"/>
      <w:bookmarkStart w:id="1207" w:name="Tc_OQKfuWV4Q0OYF2xVO3G-oA_20_16"/>
      <w:bookmarkStart w:id="1208" w:name="Tc_Qe60N0yPMkSAX-cSqvgFJg_20_13"/>
      <w:bookmarkStart w:id="1209" w:name="Tc_Gej4ZK6KaUiqRS2gXoNQDw_20_7"/>
      <w:bookmarkStart w:id="1210" w:name="Tc_DtNW8xljKUGjC-dfkda9HQ_20_4"/>
      <w:bookmarkStart w:id="1211" w:name="Tc_btzd7yMCsEqkb-7L5WPCbA_20_0"/>
      <w:bookmarkStart w:id="1212" w:name="Tc_f8tyr1vqHk-sCjWEOlw-zA_19_16"/>
      <w:bookmarkStart w:id="1213" w:name="Tc_TQQGNe9-7ku1hWRDib79wg_19_13"/>
      <w:bookmarkStart w:id="1214" w:name="Tc_Hvy25xfZJ0CMsEts-E6t1g_19_7"/>
      <w:bookmarkStart w:id="1215" w:name="Tc_FKF9IzkEMEauP6IjWMrD6Q_19_4"/>
      <w:bookmarkStart w:id="1216" w:name="Tc_sfFA7avRBEeCnJl7IYv1Xw_19_0"/>
      <w:bookmarkStart w:id="1217" w:name="Tc_7exqKvzb3UG8908n_9KE5Q_18_0"/>
      <w:bookmarkStart w:id="1218" w:name="Tc_hbmKzVldnUW-9lnvB5OLHA_17_0"/>
      <w:bookmarkStart w:id="1219" w:name="Tc_8GauQ36Xv0ynlRqeVjRJ6A_16_0"/>
      <w:bookmarkStart w:id="1220" w:name="Tc_DiDoT9XizUWrbchM5wO8Jw_13_18"/>
      <w:bookmarkStart w:id="1221" w:name="Tc_D7J_-vBHAUqAFltnHL50zA_13_17"/>
      <w:bookmarkStart w:id="1222" w:name="Tc_T2STguVDNU27JqXstqG-Hw_13_15"/>
      <w:bookmarkStart w:id="1223" w:name="Tc_MfLV6hcvfU2CY9bd0b-5bA_13_14"/>
      <w:bookmarkStart w:id="1224" w:name="Tc_yMY1dcSmjUaA3hLyNnUJeg_13_12"/>
      <w:bookmarkStart w:id="1225" w:name="Tc_GOSW0G3hkU2XFE23uipxnA_13_11"/>
      <w:bookmarkStart w:id="1226" w:name="Tc_3NySY8QzfkmJM8VytJt5FQ_13_8"/>
      <w:bookmarkStart w:id="1227" w:name="Tc_1T6OoahTAk2V7Uc4J0a4kQ_13_6"/>
      <w:bookmarkStart w:id="1228" w:name="Tc_4ID8kg00fEug_wbxYpzcIg_13_5"/>
      <w:bookmarkStart w:id="1229" w:name="Tc_1fysa-xW1kiEORSXPhvmDQ_13_2"/>
      <w:bookmarkStart w:id="1230" w:name="Tc_CTp12tI7HU6bnEMkYf2IsA_13_0"/>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p>
    <w:tbl>
      <w:tblPr>
        <w:tblW w:w="10205" w:type="dxa"/>
        <w:jc w:val="left"/>
        <w:tblInd w:w="0" w:type="dxa"/>
        <w:tblLayout w:type="fixed"/>
        <w:tblCellMar>
          <w:top w:w="0" w:type="dxa"/>
          <w:left w:w="0" w:type="dxa"/>
          <w:bottom w:w="0" w:type="dxa"/>
          <w:right w:w="0" w:type="dxa"/>
        </w:tblCellMar>
      </w:tblPr>
      <w:tblGrid>
        <w:gridCol w:w="4856"/>
        <w:gridCol w:w="109"/>
        <w:gridCol w:w="196"/>
        <w:gridCol w:w="511"/>
        <w:gridCol w:w="331"/>
        <w:gridCol w:w="196"/>
        <w:gridCol w:w="421"/>
        <w:gridCol w:w="331"/>
        <w:gridCol w:w="196"/>
        <w:gridCol w:w="376"/>
        <w:gridCol w:w="109"/>
        <w:gridCol w:w="196"/>
        <w:gridCol w:w="511"/>
        <w:gridCol w:w="331"/>
        <w:gridCol w:w="196"/>
        <w:gridCol w:w="421"/>
        <w:gridCol w:w="331"/>
        <w:gridCol w:w="196"/>
        <w:gridCol w:w="391"/>
      </w:tblGrid>
      <w:tr>
        <w:trPr/>
        <w:tc>
          <w:tcPr>
            <w:tcW w:w="485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Derecognition of ROU assets due to terminations, impairment or modifications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w:t>
            </w:r>
          </w:p>
        </w:tc>
        <w:tc>
          <w:tcPr>
            <w:tcW w:w="33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21"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21"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91" w:type="dxa"/>
            <w:tcBorders/>
            <w:vAlign w:val="center"/>
          </w:tcPr>
          <w:p>
            <w:pPr>
              <w:pStyle w:val="TableContents"/>
              <w:bidi w:val="0"/>
              <w:spacing w:before="0" w:after="1"/>
              <w:ind w:left="0" w:right="0" w:hanging="0"/>
              <w:jc w:val="right"/>
              <w:rPr/>
            </w:pPr>
            <w:r>
              <w:rPr/>
              <w:t>—</w:t>
            </w:r>
          </w:p>
        </w:tc>
      </w:tr>
      <w:tr>
        <w:trPr/>
        <w:tc>
          <w:tcPr>
            <w:tcW w:w="485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511"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485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511"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485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Other Information</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  ​</w:t>
            </w:r>
          </w:p>
        </w:tc>
        <w:tc>
          <w:tcPr>
            <w:tcW w:w="33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right"/>
              <w:rPr/>
            </w:pPr>
            <w:r>
              <w:rPr/>
              <w:t>  ​</w:t>
            </w:r>
          </w:p>
        </w:tc>
        <w:tc>
          <w:tcPr>
            <w:tcW w:w="331"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3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33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48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Weighted-average remaining years in lease term—finance leases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14.36</w:t>
            </w:r>
          </w:p>
        </w:tc>
        <w:tc>
          <w:tcPr>
            <w:tcW w:w="33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1.96</w:t>
            </w:r>
          </w:p>
        </w:tc>
        <w:tc>
          <w:tcPr>
            <w:tcW w:w="33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15.38</w:t>
            </w:r>
          </w:p>
        </w:tc>
        <w:tc>
          <w:tcPr>
            <w:tcW w:w="33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2.95</w:t>
            </w:r>
          </w:p>
        </w:tc>
        <w:tc>
          <w:tcPr>
            <w:tcW w:w="331"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85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Weighted-average remaining years in lease term—operating leases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9.42</w:t>
            </w:r>
          </w:p>
        </w:tc>
        <w:tc>
          <w:tcPr>
            <w:tcW w:w="33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2.34</w:t>
            </w:r>
          </w:p>
        </w:tc>
        <w:tc>
          <w:tcPr>
            <w:tcW w:w="33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9.81</w:t>
            </w:r>
          </w:p>
        </w:tc>
        <w:tc>
          <w:tcPr>
            <w:tcW w:w="33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3.29</w:t>
            </w:r>
          </w:p>
        </w:tc>
        <w:tc>
          <w:tcPr>
            <w:tcW w:w="33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48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Weighted-average discount rate—finance leases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2.57</w:t>
            </w:r>
          </w:p>
        </w:tc>
        <w:tc>
          <w:tcPr>
            <w:tcW w:w="3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8.04</w:t>
            </w:r>
          </w:p>
        </w:tc>
        <w:tc>
          <w:tcPr>
            <w:tcW w:w="3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2.57</w:t>
            </w:r>
          </w:p>
        </w:tc>
        <w:tc>
          <w:tcPr>
            <w:tcW w:w="3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6.87</w:t>
            </w:r>
          </w:p>
        </w:tc>
        <w:tc>
          <w:tcPr>
            <w:tcW w:w="3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8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Weighted-average discount rate—operating leases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5.55</w:t>
            </w:r>
          </w:p>
        </w:tc>
        <w:tc>
          <w:tcPr>
            <w:tcW w:w="3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6.85</w:t>
            </w:r>
          </w:p>
        </w:tc>
        <w:tc>
          <w:tcPr>
            <w:tcW w:w="3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5.36</w:t>
            </w:r>
          </w:p>
        </w:tc>
        <w:tc>
          <w:tcPr>
            <w:tcW w:w="3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6.72</w:t>
            </w:r>
          </w:p>
        </w:tc>
        <w:tc>
          <w:tcPr>
            <w:tcW w:w="3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360" w:after="120"/>
        <w:ind w:left="0" w:right="0" w:firstLine="490"/>
        <w:jc w:val="both"/>
        <w:rPr>
          <w:rFonts w:ascii="Times New Roman;Times;serif" w:hAnsi="Times New Roman;Times;serif"/>
          <w:sz w:val="20"/>
        </w:rPr>
      </w:pPr>
      <w:r>
        <w:rPr>
          <w:rFonts w:ascii="Times New Roman;Times;serif" w:hAnsi="Times New Roman;Times;serif"/>
          <w:sz w:val="20"/>
        </w:rPr>
        <w:t>Information regarding the Company’s minimum future lease obligations as of July 1, 2026 is as follows (in thousands):</w:t>
      </w:r>
    </w:p>
    <w:tbl>
      <w:tblPr>
        <w:tblW w:w="7433" w:type="dxa"/>
        <w:jc w:val="left"/>
        <w:tblInd w:w="0" w:type="dxa"/>
        <w:tblLayout w:type="fixed"/>
        <w:tblCellMar>
          <w:top w:w="0" w:type="dxa"/>
          <w:left w:w="0" w:type="dxa"/>
          <w:bottom w:w="0" w:type="dxa"/>
          <w:right w:w="0" w:type="dxa"/>
        </w:tblCellMar>
      </w:tblPr>
      <w:tblGrid>
        <w:gridCol w:w="3271"/>
        <w:gridCol w:w="346"/>
        <w:gridCol w:w="320"/>
        <w:gridCol w:w="865"/>
        <w:gridCol w:w="346"/>
        <w:gridCol w:w="211"/>
        <w:gridCol w:w="796"/>
        <w:gridCol w:w="346"/>
        <w:gridCol w:w="211"/>
        <w:gridCol w:w="721"/>
      </w:tblGrid>
      <w:tr>
        <w:trPr/>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7085" cy="175260"/>
                      <wp:effectExtent l="0" t="0" r="0" b="0"/>
                      <wp:wrapNone/>
                      <wp:docPr id="272" name="Frame272"/>
                      <a:graphic xmlns:a="http://schemas.openxmlformats.org/drawingml/2006/main">
                        <a:graphicData uri="http://schemas.microsoft.com/office/word/2010/wordprocessingShape">
                          <wps:wsp>
                            <wps:cNvSpPr txBox="1"/>
                            <wps:spPr>
                              <a:xfrm>
                                <a:off x="0" y="0"/>
                                <a:ext cx="2077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19710" cy="175260"/>
                      <wp:effectExtent l="0" t="0" r="0" b="0"/>
                      <wp:wrapNone/>
                      <wp:docPr id="273" name="Frame2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3200" cy="175260"/>
                      <wp:effectExtent l="0" t="0" r="0" b="0"/>
                      <wp:wrapNone/>
                      <wp:docPr id="274" name="Frame274"/>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549275" cy="175260"/>
                      <wp:effectExtent l="0" t="0" r="0" b="0"/>
                      <wp:wrapNone/>
                      <wp:docPr id="275" name="Frame275"/>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9710" cy="175260"/>
                      <wp:effectExtent l="0" t="0" r="0" b="0"/>
                      <wp:wrapNone/>
                      <wp:docPr id="276" name="Frame2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33985" cy="175260"/>
                      <wp:effectExtent l="0" t="0" r="0" b="0"/>
                      <wp:wrapNone/>
                      <wp:docPr id="277" name="Frame2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505460" cy="175260"/>
                      <wp:effectExtent l="0" t="0" r="0" b="0"/>
                      <wp:wrapNone/>
                      <wp:docPr id="278" name="Frame27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279" name="Frame2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33985" cy="175260"/>
                      <wp:effectExtent l="0" t="0" r="0" b="0"/>
                      <wp:wrapNone/>
                      <wp:docPr id="280" name="Frame2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457835" cy="175260"/>
                      <wp:effectExtent l="0" t="0" r="0" b="0"/>
                      <wp:wrapNone/>
                      <wp:docPr id="281" name="Frame28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Finance Leases</w:t>
            </w:r>
          </w:p>
        </w:tc>
        <w:tc>
          <w:tcPr>
            <w:tcW w:w="346" w:type="dxa"/>
            <w:tcBorders/>
            <w:vAlign w:val="center"/>
          </w:tcPr>
          <w:p>
            <w:pPr>
              <w:pStyle w:val="TableContents"/>
              <w:bidi w:val="0"/>
              <w:spacing w:before="0" w:after="1"/>
              <w:ind w:left="0" w:right="0" w:hanging="0"/>
              <w:jc w:val="left"/>
              <w:rPr/>
            </w:pPr>
            <w:r>
              <w:rPr/>
              <w:t>​</w:t>
            </w:r>
          </w:p>
        </w:tc>
        <w:tc>
          <w:tcPr>
            <w:tcW w:w="22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 Leases</w:t>
            </w:r>
          </w:p>
        </w:tc>
      </w:tr>
      <w:tr>
        <w:trPr/>
        <w:tc>
          <w:tcPr>
            <w:tcW w:w="3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Minimum</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Minimum</w:t>
            </w:r>
          </w:p>
        </w:tc>
        <w:tc>
          <w:tcPr>
            <w:tcW w:w="346" w:type="dxa"/>
            <w:tcBorders/>
            <w:vAlign w:val="center"/>
          </w:tcPr>
          <w:p>
            <w:pPr>
              <w:pStyle w:val="TableContents"/>
              <w:bidi w:val="0"/>
              <w:spacing w:before="0" w:after="1"/>
              <w:ind w:left="0" w:right="0" w:hanging="0"/>
              <w:jc w:val="left"/>
              <w:rPr/>
            </w:pPr>
            <w:r>
              <w:rPr/>
              <w:t>  ​ ​ ​</w:t>
            </w:r>
          </w:p>
        </w:tc>
        <w:tc>
          <w:tcPr>
            <w:tcW w:w="93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Minimum</w:t>
            </w:r>
          </w:p>
        </w:tc>
      </w:tr>
      <w:tr>
        <w:trPr/>
        <w:tc>
          <w:tcPr>
            <w:tcW w:w="3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w:t>
            </w:r>
          </w:p>
        </w:tc>
        <w:tc>
          <w:tcPr>
            <w:tcW w:w="346" w:type="dxa"/>
            <w:tcBorders/>
            <w:vAlign w:val="center"/>
          </w:tcPr>
          <w:p>
            <w:pPr>
              <w:pStyle w:val="TableContents"/>
              <w:bidi w:val="0"/>
              <w:spacing w:before="0" w:after="1"/>
              <w:ind w:left="0" w:right="0" w:hanging="0"/>
              <w:jc w:val="left"/>
              <w:rPr/>
            </w:pPr>
            <w:r>
              <w:rPr/>
              <w:t>​</w:t>
            </w:r>
          </w:p>
        </w:tc>
        <w:tc>
          <w:tcPr>
            <w:tcW w:w="10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w:t>
            </w:r>
          </w:p>
        </w:tc>
        <w:tc>
          <w:tcPr>
            <w:tcW w:w="346" w:type="dxa"/>
            <w:tcBorders/>
            <w:vAlign w:val="center"/>
          </w:tcPr>
          <w:p>
            <w:pPr>
              <w:pStyle w:val="TableContents"/>
              <w:bidi w:val="0"/>
              <w:spacing w:before="0" w:after="1"/>
              <w:ind w:left="0" w:right="0" w:hanging="0"/>
              <w:jc w:val="left"/>
              <w:rPr/>
            </w:pPr>
            <w:r>
              <w:rPr/>
              <w:t>​</w:t>
            </w:r>
          </w:p>
        </w:tc>
        <w:tc>
          <w:tcPr>
            <w:tcW w:w="93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Sublease</w:t>
            </w:r>
          </w:p>
        </w:tc>
      </w:tr>
      <w:tr>
        <w:trPr/>
        <w:tc>
          <w:tcPr>
            <w:tcW w:w="32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For the Years Ending</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Payments</w:t>
            </w:r>
          </w:p>
        </w:tc>
        <w:tc>
          <w:tcPr>
            <w:tcW w:w="346"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Payments</w:t>
            </w:r>
          </w:p>
        </w:tc>
        <w:tc>
          <w:tcPr>
            <w:tcW w:w="346" w:type="dxa"/>
            <w:tcBorders/>
            <w:vAlign w:val="center"/>
          </w:tcPr>
          <w:p>
            <w:pPr>
              <w:pStyle w:val="TableContents"/>
              <w:bidi w:val="0"/>
              <w:spacing w:before="0" w:after="1"/>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30, 2026</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2,829</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29, 2027</w:t>
            </w:r>
          </w:p>
        </w:tc>
        <w:tc>
          <w:tcPr>
            <w:tcW w:w="34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 </w:t>
            </w:r>
          </w:p>
        </w:tc>
        <w:tc>
          <w:tcPr>
            <w:tcW w:w="8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30,907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5,553</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27, 2028</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 </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28,912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5,335</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26, 2029</w:t>
            </w:r>
          </w:p>
        </w:tc>
        <w:tc>
          <w:tcPr>
            <w:tcW w:w="34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 </w:t>
            </w:r>
          </w:p>
        </w:tc>
        <w:tc>
          <w:tcPr>
            <w:tcW w:w="8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27,073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4,835</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25, 2030</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 </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4,487</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121,756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27,616</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246,188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50,655</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imputed interest (2.57% - 8.04%)</w:t>
            </w:r>
          </w:p>
        </w:tc>
        <w:tc>
          <w:tcPr>
            <w:tcW w:w="346"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(58,230)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of lease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 </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187,958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current maturities</w:t>
            </w:r>
          </w:p>
        </w:tc>
        <w:tc>
          <w:tcPr>
            <w:tcW w:w="346"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(18,334)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portion</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169,624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r>
    </w:tbl>
    <w:p>
      <w:pPr>
        <w:pStyle w:val="TextBody"/>
        <w:bidi w:val="0"/>
        <w:spacing w:before="0" w:after="0"/>
        <w:ind w:left="0" w:right="0" w:hanging="0"/>
        <w:jc w:val="left"/>
        <w:rPr/>
      </w:pPr>
      <w:r>
        <w:rPr/>
        <w:t>​</w:t>
      </w:r>
    </w:p>
    <w:p>
      <w:pPr>
        <w:pStyle w:val="TextBody"/>
        <w:bidi w:val="0"/>
        <w:spacing w:before="360" w:after="0"/>
        <w:ind w:left="0" w:right="0" w:firstLine="490"/>
        <w:jc w:val="both"/>
        <w:rPr>
          <w:rFonts w:ascii="Times New Roman;Times;serif" w:hAnsi="Times New Roman;Times;serif"/>
          <w:i/>
          <w:sz w:val="20"/>
        </w:rPr>
      </w:pPr>
      <w:r>
        <w:rPr>
          <w:rFonts w:ascii="Times New Roman;Times;serif" w:hAnsi="Times New Roman;Times;serif"/>
          <w:i/>
          <w:sz w:val="20"/>
        </w:rPr>
        <w:t>Short-Term Leases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The Company has multiple short-term leases, which have terms of less than 12 months, and thus were excluded from the recognition requirements of Topic 842. The Company has recognized these lease payments in its condensed consolidated statements of income on a straight-line basis over the lease term and variable lease payments in the period in which the obligation for those payments was incurred.</w:t>
      </w:r>
    </w:p>
    <w:p>
      <w:pPr>
        <w:pStyle w:val="TextBody"/>
        <w:bidi w:val="0"/>
        <w:spacing w:before="360" w:after="0"/>
        <w:ind w:left="0" w:right="0" w:firstLine="490"/>
        <w:jc w:val="both"/>
        <w:rPr>
          <w:rFonts w:ascii="Times New Roman;Times;serif" w:hAnsi="Times New Roman;Times;serif"/>
          <w:i/>
          <w:sz w:val="20"/>
        </w:rPr>
      </w:pPr>
      <w:r>
        <w:rPr>
          <w:rFonts w:ascii="Times New Roman;Times;serif" w:hAnsi="Times New Roman;Times;serif"/>
          <w:i/>
          <w:sz w:val="20"/>
        </w:rPr>
        <w:t>Lessor</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is a lessor for certain property and facilities owned by the Company and leased to others, principally franchisees, under non-cancelable leases with initial terms ranging from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20 years. These lease agreements generally provide for a fixed base rent and, in some instances, contingent rent based on a percentage of gross operating profit or net revenues. All leases are considered operating leases.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For the leases in which the Company is the lessor, there are options to extend the lease. However, there are no terms and conditions to terminate the lease, no right to purchase premises and no residual value guarantees. Additionally, there are no related party leases.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received $0.1 million and $0.1 million of lease income from company-owned locations for the thirteen weeks ended July 1, 2026 and June 25, 2025, respectively. The Company received $0.1 million and $0.2 million of lease income from company-owned locations for the twenty-six weeks ended July 1, 2026 and June 25, 2025, respectively. </w:t>
      </w:r>
    </w:p>
    <w:p>
      <w:pPr>
        <w:pStyle w:val="TextBody"/>
        <w:bidi w:val="0"/>
        <w:spacing w:before="360" w:after="0"/>
        <w:ind w:left="0" w:right="0" w:hanging="0"/>
        <w:jc w:val="both"/>
        <w:rPr>
          <w:rFonts w:ascii="Times New Roman;Times;serif" w:hAnsi="Times New Roman;Times;serif"/>
          <w:b/>
          <w:sz w:val="20"/>
        </w:rPr>
      </w:pPr>
      <w:r>
        <w:rPr>
          <w:rFonts w:ascii="Times New Roman;Times;serif" w:hAnsi="Times New Roman;Times;serif"/>
          <w:b/>
          <w:sz w:val="20"/>
        </w:rPr>
        <w:t>12. SEGMENT REPORTING</w:t>
      </w:r>
    </w:p>
    <w:p>
      <w:pPr>
        <w:pStyle w:val="TextBody"/>
        <w:bidi w:val="0"/>
        <w:spacing w:before="120" w:after="0"/>
        <w:ind w:left="0" w:right="0" w:firstLine="490"/>
        <w:jc w:val="both"/>
        <w:rPr>
          <w:rFonts w:ascii="Times New Roman;Times;serif" w:hAnsi="Times New Roman;Times;serif"/>
          <w:sz w:val="20"/>
          <w:shd w:fill="FFFFFF" w:val="clear"/>
        </w:rPr>
      </w:pPr>
      <w:r>
        <w:rPr>
          <w:rFonts w:ascii="Times New Roman;Times;serif" w:hAnsi="Times New Roman;Times;serif"/>
          <w:sz w:val="20"/>
          <w:shd w:fill="FFFFFF" w:val="clear"/>
        </w:rPr>
        <w:t>Operating segments are defined as components of a company that engage in business activities from which it may earn revenue and incur expenses, and for which separate financial information is available and is regularly reviewed by the chief operating decision maker (“CODM”) to assess the performance of the individual segments and make decisions about company resources such as personnel and working capital to be allocated to the segments.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bookmarkStart w:id="1231" w:name="Tc_Ta4wSKb0fU6WTuccoP_ujQ_17_10"/>
      <w:bookmarkStart w:id="1232" w:name="Tc_H2xkRQl3Dke0NiuxTQzs5A_17_7"/>
      <w:bookmarkStart w:id="1233" w:name="Tc_Lu03yek9k0Of4VFiAIMsaw_17_4"/>
      <w:bookmarkStart w:id="1234" w:name="Tc_RdjPvZ7SLUWcvES5PHkw3A_17_1"/>
      <w:bookmarkStart w:id="1235" w:name="Tc_mMY_xDZebkepVjN0h_XFpg_17_0"/>
      <w:bookmarkStart w:id="1236" w:name="Tc_QUw5iMD9iECYESK2_UWoTw_16_0"/>
      <w:bookmarkStart w:id="1237" w:name="Tc_s0qOLhaIukastyrvVDigLg_15_0"/>
      <w:bookmarkStart w:id="1238" w:name="Tc_uER2AqldyU-VoNZR7fQRxQ_14_0"/>
      <w:bookmarkStart w:id="1239" w:name="Tc_Ivc1Sn-eXE-9MKaiR74fRw_13_0"/>
      <w:bookmarkStart w:id="1240" w:name="Tc_1uq9LQwX4kGAiwLhqUvx0Q_12_0"/>
      <w:bookmarkStart w:id="1241" w:name="Tc_qcGcTk4omk-0W2OCLkM52A_11_0"/>
      <w:bookmarkStart w:id="1242" w:name="Tc_vmsuAEJeNkKSlcA1isLRhw_10_0"/>
      <w:bookmarkStart w:id="1243" w:name="Tc__Rmtt5YHd0aRurX7Wck-uw_9_0"/>
      <w:bookmarkStart w:id="1244" w:name="Tc_pHS9zX-IT0GHo2nKtXUgQg_8_0"/>
      <w:bookmarkStart w:id="1245" w:name="Tc_1ykerapHxkK3oipEiNSoOA_7_0"/>
      <w:bookmarkStart w:id="1246" w:name="Tc_A799pcVWGkSs5DEatJ9kgg_6_0"/>
      <w:bookmarkStart w:id="1247" w:name="Tc_GxQfpuOtM0CFpPYi0S3lTw_5_0"/>
      <w:bookmarkStart w:id="1248" w:name="Tc_w1hHrCs_yU6uYniLeemiRg_4_0"/>
      <w:bookmarkStart w:id="1249" w:name="Tc_Ar_g9cIzbUuAmImU5r8jyw_3_10"/>
      <w:bookmarkStart w:id="1250" w:name="Tc__xXsTB5jrUuCk6O1TdYorg_3_7"/>
      <w:bookmarkStart w:id="1251" w:name="Tc_73Gm2q7y8UmGuC4IIVId8Q_3_4"/>
      <w:bookmarkStart w:id="1252" w:name="Tc_Ap1lqQdHF02f8_4TMDOc5Q_3_1"/>
      <w:bookmarkStart w:id="1253" w:name="Tc_QUT7clNIL0m4w1YRfMtqqg_3_0"/>
      <w:bookmarkStart w:id="1254" w:name="Tc_EkBCYByBbkyLDz3H28iRFQ_2_10"/>
      <w:bookmarkStart w:id="1255" w:name="Tc_KKKaoiKDWESvKHcq1MKznQ_2_7"/>
      <w:bookmarkStart w:id="1256" w:name="Tc_yED5xdoayEC-N6vZljDccg_2_4"/>
      <w:bookmarkStart w:id="1257" w:name="Tc_5FogfS1btEWp36yx6LeJSA_2_1"/>
      <w:bookmarkStart w:id="1258" w:name="Tc_Pb5Hft3wFkSOZb0SNM88Tg_1_7"/>
      <w:bookmarkStart w:id="1259" w:name="Tc_iJyTyiqVtEGDZ66XcEQz1w_1_1"/>
      <w:bookmarkStart w:id="1260" w:name="_83c5432f_e0f0_4726_a29c_e1eca2f26048"/>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r>
        <w:rPr>
          <w:rFonts w:ascii="Times New Roman;Times;serif" w:hAnsi="Times New Roman;Times;serif"/>
          <w:sz w:val="20"/>
        </w:rPr>
        <w:t>The Company derives revenue</w:t>
      </w:r>
      <w:r>
        <w:rPr>
          <w:rFonts w:ascii="Times New Roman;Times;serif" w:hAnsi="Times New Roman;Times;serif"/>
          <w:sz w:val="20"/>
          <w:shd w:fill="FFFFFF" w:val="clear"/>
        </w:rPr>
        <w:t xml:space="preserve"> from three primary sources: (1) company-operated restaurant revenue, (2) franchise revenue, which is comprised primarily of franchise royalties and, to a lesser extent, franchise fees and sublease rental income, and (3) franchise advertising fee revenue.</w:t>
      </w:r>
      <w:r>
        <w:rPr>
          <w:rFonts w:ascii="Times New Roman;Times;serif" w:hAnsi="Times New Roman;Times;serif"/>
          <w:sz w:val="20"/>
        </w:rPr>
        <w:t xml:space="preserve"> All significant revenues relate to retail sales of food and beverages through either company-operated or franchise-operated restaurants.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color w:val="212529"/>
          <w:sz w:val="20"/>
          <w:shd w:fill="FFFFFF" w:val="clear"/>
        </w:rPr>
        <w:t>The Company determined that it has one operating segment and one reportable segment which is reflected in the Company’s current organizational and management structure.</w:t>
      </w:r>
      <w:r>
        <w:rPr>
          <w:rFonts w:ascii="Times New Roman;Times;serif" w:hAnsi="Times New Roman;Times;serif"/>
          <w:sz w:val="20"/>
          <w:shd w:fill="FFFFFF" w:val="clear"/>
        </w:rPr>
        <w:t xml:space="preserve">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shd w:fill="FFFFFF" w:val="clear"/>
        </w:rPr>
        <w:t xml:space="preserve">The Company’s CODM is the Chief Executive Officer who manages the Company’s operations on a reportable segment basis. </w:t>
      </w:r>
      <w:r>
        <w:rPr>
          <w:rFonts w:ascii="Times New Roman;Times;serif" w:hAnsi="Times New Roman;Times;serif"/>
          <w:color w:val="212529"/>
          <w:sz w:val="20"/>
          <w:shd w:fill="FFFFFF" w:val="clear"/>
        </w:rPr>
        <w:t xml:space="preserve">The Company’s CODM reviews its operations and financial performance at a consolidated level by comparing actual results to budgeted figures and prior year results. This approach allows the CODM to assess whether the Company’s operating segment is meeting its financial goals, identify trends and make more informed decisions about resource allocation and performance targets. </w:t>
      </w:r>
    </w:p>
    <w:p>
      <w:pPr>
        <w:pStyle w:val="TextBody"/>
        <w:bidi w:val="0"/>
        <w:spacing w:before="240" w:after="0"/>
        <w:ind w:left="0" w:right="0" w:firstLine="490"/>
        <w:jc w:val="both"/>
        <w:rPr>
          <w:rFonts w:ascii="Times New Roman;Times;serif" w:hAnsi="Times New Roman;Times;serif"/>
          <w:sz w:val="20"/>
          <w:shd w:fill="FFFFFF" w:val="clear"/>
        </w:rPr>
      </w:pPr>
      <w:r>
        <w:rPr>
          <w:rFonts w:ascii="Times New Roman;Times;serif" w:hAnsi="Times New Roman;Times;serif"/>
          <w:sz w:val="20"/>
          <w:shd w:fill="FFFFFF" w:val="clear"/>
        </w:rPr>
        <w:t>When evaluating the Company’s financial performance, the CODM regularly reviews total revenue, segment expenses, and consolidated net income as reported on the Consolidated Statements of Income as well as non-GAAP measures such as restaurant contribution margin and Adjusted EBITDA to allocate Company resources and assess the performance of the Company. Segment asset information is not used by the CODM to assess performance and allocate resources.</w:t>
      </w:r>
    </w:p>
    <w:p>
      <w:pPr>
        <w:pStyle w:val="TextBody"/>
        <w:bidi w:val="0"/>
        <w:spacing w:before="0" w:after="0"/>
        <w:ind w:left="0" w:right="0" w:hanging="0"/>
        <w:jc w:val="left"/>
        <w:rPr/>
      </w:pPr>
      <w:r>
        <w:rPr/>
        <w:t>​</w:t>
      </w:r>
    </w:p>
    <w:p>
      <w:pPr>
        <w:pStyle w:val="TextBody"/>
        <w:bidi w:val="0"/>
        <w:spacing w:before="0" w:after="120"/>
        <w:ind w:left="0" w:right="0" w:firstLine="490"/>
        <w:jc w:val="both"/>
        <w:rPr>
          <w:rFonts w:ascii="Times New Roman;Times;serif" w:hAnsi="Times New Roman;Times;serif"/>
          <w:sz w:val="20"/>
        </w:rPr>
      </w:pPr>
      <w:r>
        <w:rPr>
          <w:rFonts w:ascii="Times New Roman;Times;serif" w:hAnsi="Times New Roman;Times;serif"/>
          <w:sz w:val="20"/>
        </w:rPr>
        <w:t>The table below is a summary of the segment net income, including significant segment expenses for the thirteen and twenty-six weeks ended July 1, 2026 and June 25, 2025 (in thousands):</w:t>
      </w:r>
    </w:p>
    <w:tbl>
      <w:tblPr>
        <w:tblW w:w="8542" w:type="dxa"/>
        <w:jc w:val="left"/>
        <w:tblInd w:w="0" w:type="dxa"/>
        <w:tblLayout w:type="fixed"/>
        <w:tblCellMar>
          <w:top w:w="0" w:type="dxa"/>
          <w:left w:w="0" w:type="dxa"/>
          <w:bottom w:w="0" w:type="dxa"/>
          <w:right w:w="0" w:type="dxa"/>
        </w:tblCellMar>
      </w:tblPr>
      <w:tblGrid>
        <w:gridCol w:w="3091"/>
        <w:gridCol w:w="242"/>
        <w:gridCol w:w="899"/>
        <w:gridCol w:w="109"/>
        <w:gridCol w:w="271"/>
        <w:gridCol w:w="1005"/>
        <w:gridCol w:w="346"/>
        <w:gridCol w:w="242"/>
        <w:gridCol w:w="899"/>
        <w:gridCol w:w="117"/>
        <w:gridCol w:w="268"/>
        <w:gridCol w:w="1053"/>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962785" cy="175260"/>
                      <wp:effectExtent l="0" t="0" r="0" b="0"/>
                      <wp:wrapNone/>
                      <wp:docPr id="282" name="Frame282"/>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53670" cy="175260"/>
                      <wp:effectExtent l="0" t="0" r="0" b="0"/>
                      <wp:wrapNone/>
                      <wp:docPr id="283" name="Frame283"/>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570865" cy="175260"/>
                      <wp:effectExtent l="0" t="0" r="0" b="0"/>
                      <wp:wrapNone/>
                      <wp:docPr id="284" name="Frame284"/>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9215" cy="175260"/>
                      <wp:effectExtent l="0" t="0" r="0" b="0"/>
                      <wp:wrapNone/>
                      <wp:docPr id="285" name="Frame2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72085" cy="175260"/>
                      <wp:effectExtent l="0" t="0" r="0" b="0"/>
                      <wp:wrapNone/>
                      <wp:docPr id="286" name="Frame286"/>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38175" cy="175260"/>
                      <wp:effectExtent l="0" t="0" r="0" b="0"/>
                      <wp:wrapNone/>
                      <wp:docPr id="287" name="Frame287"/>
                      <a:graphic xmlns:a="http://schemas.openxmlformats.org/drawingml/2006/main">
                        <a:graphicData uri="http://schemas.microsoft.com/office/word/2010/wordprocessingShape">
                          <wps:wsp>
                            <wps:cNvSpPr txBox="1"/>
                            <wps:spPr>
                              <a:xfrm>
                                <a:off x="0" y="0"/>
                                <a:ext cx="638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88" name="Frame2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53670" cy="175260"/>
                      <wp:effectExtent l="0" t="0" r="0" b="0"/>
                      <wp:wrapNone/>
                      <wp:docPr id="289" name="Frame289"/>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570865" cy="175260"/>
                      <wp:effectExtent l="0" t="0" r="0" b="0"/>
                      <wp:wrapNone/>
                      <wp:docPr id="290" name="Frame290"/>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74295" cy="175260"/>
                      <wp:effectExtent l="0" t="0" r="0" b="0"/>
                      <wp:wrapNone/>
                      <wp:docPr id="291" name="Frame291"/>
                      <a:graphic xmlns:a="http://schemas.openxmlformats.org/drawingml/2006/main">
                        <a:graphicData uri="http://schemas.microsoft.com/office/word/2010/wordprocessingShape">
                          <wps:wsp>
                            <wps:cNvSpPr txBox="1"/>
                            <wps:spPr>
                              <a:xfrm>
                                <a:off x="0" y="0"/>
                                <a:ext cx="74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70180" cy="175260"/>
                      <wp:effectExtent l="0" t="0" r="0" b="0"/>
                      <wp:wrapNone/>
                      <wp:docPr id="292" name="Frame292"/>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68655" cy="175260"/>
                      <wp:effectExtent l="0" t="0" r="0" b="0"/>
                      <wp:wrapNone/>
                      <wp:docPr id="293" name="Frame293"/>
                      <a:graphic xmlns:a="http://schemas.openxmlformats.org/drawingml/2006/main">
                        <a:graphicData uri="http://schemas.microsoft.com/office/word/2010/wordprocessingShape">
                          <wps:wsp>
                            <wps:cNvSpPr txBox="1"/>
                            <wps:spPr>
                              <a:xfrm>
                                <a:off x="0" y="0"/>
                                <a:ext cx="668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252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Thirteen Weeks Ended</w:t>
            </w:r>
          </w:p>
        </w:tc>
        <w:tc>
          <w:tcPr>
            <w:tcW w:w="346" w:type="dxa"/>
            <w:tcBorders/>
            <w:vAlign w:val="center"/>
          </w:tcPr>
          <w:p>
            <w:pPr>
              <w:pStyle w:val="TableContents"/>
              <w:bidi w:val="0"/>
              <w:spacing w:before="0" w:after="0"/>
              <w:ind w:left="0" w:right="0" w:hanging="0"/>
              <w:jc w:val="left"/>
              <w:rPr/>
            </w:pPr>
            <w:r>
              <w:rPr/>
              <w:t>​</w:t>
            </w:r>
          </w:p>
        </w:tc>
        <w:tc>
          <w:tcPr>
            <w:tcW w:w="257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Twenty-Six Weeks Ended</w:t>
            </w:r>
          </w:p>
        </w:tc>
      </w:tr>
      <w:tr>
        <w:trPr/>
        <w:tc>
          <w:tcPr>
            <w:tcW w:w="3091" w:type="dxa"/>
            <w:tcBorders/>
            <w:vAlign w:val="center"/>
          </w:tcPr>
          <w:p>
            <w:pPr>
              <w:pStyle w:val="TableContents"/>
              <w:bidi w:val="0"/>
              <w:spacing w:before="0" w:after="0"/>
              <w:ind w:left="0" w:right="0" w:hanging="0"/>
              <w:jc w:val="left"/>
              <w:rPr/>
            </w:pPr>
            <w:r>
              <w:rPr/>
              <w:t>​</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July 1, 2026</w:t>
            </w:r>
          </w:p>
        </w:tc>
        <w:tc>
          <w:tcPr>
            <w:tcW w:w="109" w:type="dxa"/>
            <w:tcBorders/>
            <w:vAlign w:val="center"/>
          </w:tcPr>
          <w:p>
            <w:pPr>
              <w:pStyle w:val="TableContents"/>
              <w:bidi w:val="0"/>
              <w:spacing w:before="0" w:after="0"/>
              <w:ind w:left="0" w:right="0" w:hanging="0"/>
              <w:jc w:val="left"/>
              <w:rPr/>
            </w:pPr>
            <w:r>
              <w:rPr/>
              <w:t>​</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25, 2025</w:t>
            </w:r>
          </w:p>
        </w:tc>
        <w:tc>
          <w:tcPr>
            <w:tcW w:w="346" w:type="dxa"/>
            <w:tcBorders/>
            <w:vAlign w:val="center"/>
          </w:tcPr>
          <w:p>
            <w:pPr>
              <w:pStyle w:val="TableContents"/>
              <w:bidi w:val="0"/>
              <w:spacing w:before="0" w:after="0"/>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July 1, 2026</w:t>
            </w:r>
          </w:p>
        </w:tc>
        <w:tc>
          <w:tcPr>
            <w:tcW w:w="117" w:type="dxa"/>
            <w:tcBorders/>
            <w:vAlign w:val="center"/>
          </w:tcPr>
          <w:p>
            <w:pPr>
              <w:pStyle w:val="TableContents"/>
              <w:bidi w:val="0"/>
              <w:spacing w:before="0" w:after="0"/>
              <w:ind w:left="0" w:right="0" w:hanging="0"/>
              <w:jc w:val="left"/>
              <w:rPr/>
            </w:pPr>
            <w:r>
              <w:rPr/>
              <w:t>​</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25, 2025</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129,572</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125,834</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255,754</w:t>
            </w:r>
          </w:p>
        </w:tc>
        <w:tc>
          <w:tcPr>
            <w:tcW w:w="117"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245,011</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24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left"/>
              <w:rPr/>
            </w:pPr>
            <w:r>
              <w:rPr/>
              <w:t>​</w:t>
            </w:r>
          </w:p>
        </w:tc>
        <w:tc>
          <w:tcPr>
            <w:tcW w:w="117"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053"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Food and paper costs</w:t>
            </w:r>
          </w:p>
        </w:tc>
        <w:tc>
          <w:tcPr>
            <w:tcW w:w="24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27,466</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25,496</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53,855</w:t>
            </w:r>
          </w:p>
        </w:tc>
        <w:tc>
          <w:tcPr>
            <w:tcW w:w="117"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50,235</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 and related expenses</w:t>
            </w:r>
          </w:p>
        </w:tc>
        <w:tc>
          <w:tcPr>
            <w:tcW w:w="24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32,293</w:t>
            </w:r>
          </w:p>
        </w:tc>
        <w:tc>
          <w:tcPr>
            <w:tcW w:w="109"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32,155</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64,132</w:t>
            </w:r>
          </w:p>
        </w:tc>
        <w:tc>
          <w:tcPr>
            <w:tcW w:w="117"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64,334</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24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7,054</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13,532</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19,848</w:t>
            </w:r>
          </w:p>
        </w:tc>
        <w:tc>
          <w:tcPr>
            <w:tcW w:w="117"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24,795</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expenses</w:t>
            </w:r>
          </w:p>
        </w:tc>
        <w:tc>
          <w:tcPr>
            <w:tcW w:w="24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11,870</w:t>
            </w:r>
          </w:p>
        </w:tc>
        <w:tc>
          <w:tcPr>
            <w:tcW w:w="109"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12,627</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23,059</w:t>
            </w:r>
          </w:p>
        </w:tc>
        <w:tc>
          <w:tcPr>
            <w:tcW w:w="117"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25,069</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Occupancy expenses</w:t>
            </w:r>
          </w:p>
        </w:tc>
        <w:tc>
          <w:tcPr>
            <w:tcW w:w="24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7,948</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8,114</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16,031</w:t>
            </w:r>
          </w:p>
        </w:tc>
        <w:tc>
          <w:tcPr>
            <w:tcW w:w="117"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16,043</w:t>
            </w:r>
          </w:p>
        </w:tc>
      </w:tr>
      <w:tr>
        <w:trPr/>
        <w:tc>
          <w:tcPr>
            <w:tcW w:w="309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operating expenses</w:t>
            </w:r>
            <w:r>
              <w:rPr>
                <w:rFonts w:ascii="Times New Roman;Times;serif" w:hAnsi="Times New Roman;Times;serif"/>
                <w:sz w:val="15"/>
              </w:rPr>
              <w:t>(1)</w:t>
            </w:r>
          </w:p>
        </w:tc>
        <w:tc>
          <w:tcPr>
            <w:tcW w:w="24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19,367</w:t>
            </w:r>
          </w:p>
        </w:tc>
        <w:tc>
          <w:tcPr>
            <w:tcW w:w="109"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18,627</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38,614</w:t>
            </w:r>
          </w:p>
        </w:tc>
        <w:tc>
          <w:tcPr>
            <w:tcW w:w="117"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36,371</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24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4,166</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3,929</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8,480</w:t>
            </w:r>
          </w:p>
        </w:tc>
        <w:tc>
          <w:tcPr>
            <w:tcW w:w="117"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7,816</w:t>
            </w:r>
          </w:p>
        </w:tc>
      </w:tr>
      <w:tr>
        <w:trPr/>
        <w:tc>
          <w:tcPr>
            <w:tcW w:w="309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expenses</w:t>
            </w:r>
            <w:r>
              <w:rPr>
                <w:rFonts w:ascii="Times New Roman;Times;serif" w:hAnsi="Times New Roman;Times;serif"/>
                <w:sz w:val="15"/>
              </w:rPr>
              <w:t>(2)</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w:t>
            </w:r>
          </w:p>
        </w:tc>
        <w:tc>
          <w:tcPr>
            <w:tcW w:w="109"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w:t>
            </w:r>
          </w:p>
        </w:tc>
        <w:tc>
          <w:tcPr>
            <w:tcW w:w="117"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24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110,889</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10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114,529</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224,854</w:t>
            </w:r>
          </w:p>
        </w:tc>
        <w:tc>
          <w:tcPr>
            <w:tcW w:w="117" w:type="dxa"/>
            <w:tcBorders/>
            <w:shd w:fill="CCEEFF" w:val="clear"/>
            <w:vAlign w:val="center"/>
          </w:tcPr>
          <w:p>
            <w:pPr>
              <w:pStyle w:val="TableContents"/>
              <w:bidi w:val="0"/>
              <w:spacing w:before="0" w:after="0"/>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224,734</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from operations</w:t>
            </w:r>
          </w:p>
        </w:tc>
        <w:tc>
          <w:tcPr>
            <w:tcW w:w="24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18,683</w:t>
            </w:r>
          </w:p>
        </w:tc>
        <w:tc>
          <w:tcPr>
            <w:tcW w:w="109" w:type="dxa"/>
            <w:tcBorders/>
            <w:vAlign w:val="center"/>
          </w:tcPr>
          <w:p>
            <w:pPr>
              <w:pStyle w:val="TableContents"/>
              <w:bidi w:val="0"/>
              <w:spacing w:before="0" w:after="0"/>
              <w:ind w:left="0" w:right="0" w:hanging="0"/>
              <w:jc w:val="left"/>
              <w:rPr/>
            </w:pPr>
            <w:r>
              <w:rPr/>
              <w:t>​</w:t>
            </w:r>
          </w:p>
        </w:tc>
        <w:tc>
          <w:tcPr>
            <w:tcW w:w="27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11,305</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30,900</w:t>
            </w:r>
          </w:p>
        </w:tc>
        <w:tc>
          <w:tcPr>
            <w:tcW w:w="117"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20,277</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expenses, net</w:t>
            </w:r>
          </w:p>
        </w:tc>
        <w:tc>
          <w:tcPr>
            <w:tcW w:w="24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1,207</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1,437</w:t>
            </w:r>
          </w:p>
        </w:tc>
        <w:tc>
          <w:tcPr>
            <w:tcW w:w="117"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2,383</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5,170</w:t>
            </w:r>
          </w:p>
        </w:tc>
        <w:tc>
          <w:tcPr>
            <w:tcW w:w="109"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2,991</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8,499</w:t>
            </w:r>
          </w:p>
        </w:tc>
        <w:tc>
          <w:tcPr>
            <w:tcW w:w="117"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5,306</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segment net income</w:t>
            </w:r>
          </w:p>
        </w:tc>
        <w:tc>
          <w:tcPr>
            <w:tcW w:w="24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12,807</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7,107</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20,964</w:t>
            </w:r>
          </w:p>
        </w:tc>
        <w:tc>
          <w:tcPr>
            <w:tcW w:w="117" w:type="dxa"/>
            <w:tcBorders/>
            <w:shd w:fill="CCEEFF" w:val="clear"/>
            <w:vAlign w:val="center"/>
          </w:tcPr>
          <w:p>
            <w:pPr>
              <w:pStyle w:val="TableContents"/>
              <w:bidi w:val="0"/>
              <w:spacing w:before="0" w:after="0"/>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53"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12,588</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3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Other operating expenses are comprised of utilities, repairs and maintenance, advertising, credit card processing fees, delivery service provider fees, restaurant supplies and other restaurant operating costs</w:t>
            </w:r>
            <w:r>
              <w:rPr>
                <w:rFonts w:ascii="Times New Roman;Times;serif" w:hAnsi="Times New Roman;Times;serif"/>
                <w:b w:val="false"/>
                <w:i w:val="false"/>
                <w:caps w:val="false"/>
                <w:smallCaps w:val="false"/>
                <w:sz w:val="20"/>
              </w:rPr>
              <w:t xml:space="preserve">. </w:t>
            </w:r>
          </w:p>
        </w:tc>
      </w:tr>
    </w:tbl>
    <w:tbl>
      <w:tblPr>
        <w:tblW w:w="7337" w:type="dxa"/>
        <w:jc w:val="left"/>
        <w:tblInd w:w="0" w:type="dxa"/>
        <w:tblLayout w:type="fixed"/>
        <w:tblCellMar>
          <w:top w:w="0" w:type="dxa"/>
          <w:left w:w="0" w:type="dxa"/>
          <w:bottom w:w="0" w:type="dxa"/>
          <w:right w:w="0" w:type="dxa"/>
        </w:tblCellMar>
      </w:tblPr>
      <w:tblGrid>
        <w:gridCol w:w="286"/>
        <w:gridCol w:w="7051"/>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70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segment expenses include loss on disposal of assets, and impairment and closed-store reserve.</w:t>
            </w:r>
          </w:p>
        </w:tc>
      </w:tr>
    </w:tbl>
    <w:p>
      <w:pPr>
        <w:pStyle w:val="TextBody"/>
        <w:bidi w:val="0"/>
        <w:spacing w:before="0" w:after="0"/>
        <w:ind w:left="360" w:right="0" w:hanging="0"/>
        <w:jc w:val="left"/>
        <w:rPr/>
      </w:pPr>
      <w:r>
        <w:rPr/>
        <w:t>​</w:t>
      </w:r>
    </w:p>
    <w:p>
      <w:pPr>
        <w:pStyle w:val="TextBody"/>
        <w:bidi w:val="0"/>
        <w:spacing w:before="0" w:after="0"/>
        <w:ind w:left="36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13. SUBSEQUENT EVENTS </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val="false"/>
          <w:sz w:val="20"/>
        </w:rPr>
        <w:t>Subsequent to the quarter-end, the Company paid down $4.0</w:t>
      </w:r>
      <w:r>
        <w:rPr>
          <w:rFonts w:ascii="Times New Roman;Times;serif" w:hAnsi="Times New Roman;Times;serif"/>
          <w:b/>
          <w:sz w:val="20"/>
        </w:rPr>
        <w:t xml:space="preserve"> </w:t>
      </w:r>
      <w:r>
        <w:rPr>
          <w:rFonts w:ascii="Times New Roman;Times;serif" w:hAnsi="Times New Roman;Times;serif"/>
          <w:b w:val="false"/>
          <w:sz w:val="20"/>
        </w:rPr>
        <w:t>million on its 2022 Revolver, resulting in outstanding borrowings of $26.0</w:t>
      </w:r>
      <w:r>
        <w:rPr>
          <w:rFonts w:ascii="Times New Roman;Times;serif" w:hAnsi="Times New Roman;Times;serif"/>
          <w:b/>
          <w:sz w:val="20"/>
        </w:rPr>
        <w:t xml:space="preserve"> </w:t>
      </w:r>
      <w:r>
        <w:rPr>
          <w:rFonts w:ascii="Times New Roman;Times;serif" w:hAnsi="Times New Roman;Times;serif"/>
          <w:b w:val="false"/>
          <w:sz w:val="20"/>
        </w:rPr>
        <w:t>million as of July 29, 2026.</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val="false"/>
          <w:sz w:val="20"/>
        </w:rPr>
        <w:t>Subsequent to the quarter end, on August 4, 2026 the company amended its $150.0</w:t>
      </w:r>
      <w:r>
        <w:rPr>
          <w:rFonts w:ascii="Times New Roman;Times;serif" w:hAnsi="Times New Roman;Times;serif"/>
          <w:b/>
          <w:sz w:val="20"/>
        </w:rPr>
        <w:t xml:space="preserve"> </w:t>
      </w:r>
      <w:r>
        <w:rPr>
          <w:rFonts w:ascii="Times New Roman;Times;serif" w:hAnsi="Times New Roman;Times;serif"/>
          <w:b w:val="false"/>
          <w:sz w:val="20"/>
        </w:rPr>
        <w:t>million credit facility, extending the term to August 4, 2031.</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261" w:name="Item2ManagementsDiscussionandAnalysisofF"/>
      <w:bookmarkStart w:id="1262" w:name="_c20bfd03_644e_43d4_ac15_0af0ba2be40c"/>
      <w:bookmarkEnd w:id="1261"/>
      <w:bookmarkEnd w:id="1262"/>
      <w:r>
        <w:rPr>
          <w:rFonts w:ascii="Times New Roman;Times;serif" w:hAnsi="Times New Roman;Times;serif"/>
          <w:b/>
          <w:i w:val="false"/>
          <w:caps w:val="false"/>
          <w:smallCaps w:val="false"/>
          <w:sz w:val="20"/>
        </w:rPr>
        <w:t>Item 2.</w:t>
      </w:r>
      <w:r>
        <w:rPr>
          <w:rFonts w:ascii="Times New Roman;Times;serif" w:hAnsi="Times New Roman;Times;serif"/>
          <w:b/>
          <w:sz w:val="20"/>
        </w:rPr>
        <w:t>Management’s Discussion and Analysis of Financial Condition and Results of Operations.</w:t>
      </w:r>
    </w:p>
    <w:p>
      <w:pPr>
        <w:pStyle w:val="TextBody"/>
        <w:bidi w:val="0"/>
        <w:spacing w:before="120" w:after="240"/>
        <w:ind w:left="0" w:right="0" w:hanging="0"/>
        <w:jc w:val="both"/>
        <w:rPr>
          <w:rFonts w:ascii="Times New Roman;Times;serif" w:hAnsi="Times New Roman;Times;serif"/>
          <w:i/>
          <w:sz w:val="20"/>
        </w:rPr>
      </w:pPr>
      <w:r>
        <w:rPr>
          <w:rFonts w:ascii="Times New Roman;Times;serif" w:hAnsi="Times New Roman;Times;serif"/>
          <w:i/>
          <w:sz w:val="20"/>
        </w:rPr>
        <w:t>The following discussion should be read in conjunction with our “Condensed Consolidated Financial Statements (Unaudited)” and accompanying “Notes to Condensed Consolidated Financial Statements (Unaudited)” included elsewhere in this Quarterly Report on Form 10-Q. In addition to historical information, this discussion may contain forward-looking statements that involve risks, uncertainties, and assumptions that could cause actual results to differ materially from management’s expectations. See “Cautionary Statement Concerning Forward-Looking Statements” below.  We assume no obligation to update any such forward-looking statements.</w:t>
      </w:r>
    </w:p>
    <w:p>
      <w:pPr>
        <w:pStyle w:val="TextBody"/>
        <w:bidi w:val="0"/>
        <w:spacing w:before="360" w:after="0"/>
        <w:ind w:left="490" w:right="0" w:hanging="0"/>
        <w:jc w:val="both"/>
        <w:rPr>
          <w:rFonts w:ascii="Times New Roman;Times;serif" w:hAnsi="Times New Roman;Times;serif"/>
          <w:b/>
          <w:sz w:val="20"/>
        </w:rPr>
      </w:pPr>
      <w:r>
        <w:rPr>
          <w:rFonts w:ascii="Times New Roman;Times;serif" w:hAnsi="Times New Roman;Times;serif"/>
          <w:b/>
          <w:sz w:val="20"/>
        </w:rPr>
        <w:t>Cautionary Statement Concerning Forward-Looking Statements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This report contains forward-looking statements within the meaning of federal securities laws that are subject to risks and uncertainties. All statements other than statements of historical fact included in this report are forward-looking statements. Examples of forward-looking statements in this report include, but are not limited to, discussions of our current expectations, projections, intentions, or beliefs relating to our financial condition, results of operations, liquidity, prospects, growth, trends, strategies, and the industry in which we operate. You can identify forward-looking statements because they do not relate strictly to historical or current facts. These statements may include words such as “aim,” “anticipate,” “believe,” “estimate,” “expect,” “forecast,” “outlook,” “potential,” “project,” “projection,” “plan,” “intend,” “seek,” “may,” “could,” “would,” “will,” “should,” “can,” “can have,” “likely,” the negatives thereof and other words and terms of similar meaning used in connection with any discussion of the timing or nature of future operating or financial performance or other events. All forward-looking statements are subject to risks and uncertainties that could cause actual results to differ materially from those that we expected. While we believe that our assumptions are reasonable, 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report in the context of the factors that could cause outcomes to differ materially from our expectations. These factors include, but are not limited to: our ability to open new restaurants in new and existing markets; our ability to compete successfully; global economic or other business conditions, including trade policies, tariff and import regulations by the United States, as well as consumer preferences; our ability to attract, develop, assimilate, and retain employees; our vulnerability to regional geographic conditions; our ability to maintain business continuity in the event of a disaster or disruption; impairment of our assets; changes in food and supply costs, especially for chicken, labor, construction and utilities; the impacts of public health crises; potential negative publicity; our ability to continue to expand our digital business, delivery orders and catering; concerns about food safety and quality and about food-borne illness; dependence on frequent and timely deliveries of food and supplies; our ability to service our level of indebtedness; the success of our marketing programs, new menu items, advertising campaigns and restaurant designs and remodels; risks related to our dependence on our franchisees, including their vulnerability to economic changes; exposure from our self-insurance programs; obligations under long-term and non-cancelable leases, and our ability to renew leases at the end of their terms; our ability to achieve our corporate responsibility goals; information technology system failures, cybersecurity breaches, or failure to protect our customers’ data or personal information; our ability to enforce and maintain our intellectual property; the impact of federal, state and local laws, including those governing our relationships with our employees fluctuations in our quarterly operating results due to seasonality and other factors; any future offerings of debt or equity securities that may impact the market price of our common stock or dilute existing shareholders’ ownership; the possibility that Delaware law, our organizational documents, our shareholder rights agreement, and our existing and future debt agreements may impede or discourage a takeover; the impact of shareholder activism on our expenses, business and stock price; and the risks set forth in our filings with the SEC from time to time, including under Item 1A, Risk Factors in our Annual Report on Form 10-K for the year ended December 31, 2025, which filings are available online at www.sec.gov. 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ways that we expect. The forward-looking statements included in this report are made only as of the date hereof, and we caution you to not place undue reliance on any forward-looking statement made in this report. We undertake no obligation to publicly update or revise any forward-looking statement as a result of new information, future events or otherwise, except as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1263" w:name="_69f1b419_63a2_468a_8719_f702a64f8d97"/>
      <w:bookmarkEnd w:id="1263"/>
      <w:r>
        <w:rPr>
          <w:rFonts w:ascii="Times New Roman;Times;serif" w:hAnsi="Times New Roman;Times;serif"/>
          <w:b/>
          <w:sz w:val="20"/>
        </w:rPr>
        <w:t>Overview</w:t>
      </w:r>
    </w:p>
    <w:p>
      <w:pPr>
        <w:pStyle w:val="TextBody"/>
        <w:bidi w:val="0"/>
        <w:spacing w:before="120" w:after="0"/>
        <w:ind w:left="0" w:right="0" w:firstLine="490"/>
        <w:jc w:val="both"/>
        <w:rPr>
          <w:rFonts w:ascii="Times New Roman;Times;serif" w:hAnsi="Times New Roman;Times;serif"/>
          <w:sz w:val="20"/>
          <w:shd w:fill="FFFFFF" w:val="clear"/>
        </w:rPr>
      </w:pPr>
      <w:r>
        <w:rPr>
          <w:rFonts w:ascii="Times New Roman;Times;serif" w:hAnsi="Times New Roman;Times;serif"/>
          <w:sz w:val="20"/>
          <w:shd w:fill="FFFFFF" w:val="clear"/>
        </w:rPr>
        <w:t>El Pollo Loco is a differentiated and growing restaurant concept that specializes in fire-grilling citrus-marinated chicken and operates in the limited service restaurant segment. We strive to offer quality chicken served fast and easy. Our distinctive menu features our signature product—citrus-marinated fire-grilled chicken—and a variety of contemporary entrees that we create from our chicken. We serve individual and family-sized chicken meals, including a variety of entrees like our Double Chicken Tostada, Guacamole Chicken Burrito, and Salsa Verde Chicken Quesadilla. Our famous Creamy Cilantro dressings and salsas are prepared fresh daily, allowing our customers to create their favorite flavor profiles to enhance their culinary experience. We believe that our distinctive menu that features quality chicken is a flavorful and affordable option that appeals to consumers across a wide variety of socio-economic backgrounds and drives our balanced composition of sales throughout the day, including at lunch and dinner. In 2025, El Pollo Loco launched a brand refresh, inclusive of a new advertising campaign, restaurant design, new products, and an emphasis on hospitality in our restaurants. All these elements reinforce our position in the market of “Quality Chicken, Fast &amp; Easy.”</w:t>
      </w:r>
    </w:p>
    <w:p>
      <w:pPr>
        <w:pStyle w:val="TextBody"/>
        <w:bidi w:val="0"/>
        <w:spacing w:before="360" w:after="0"/>
        <w:ind w:left="0" w:right="0" w:hanging="0"/>
        <w:jc w:val="both"/>
        <w:rPr>
          <w:rFonts w:ascii="Times New Roman;Times;serif" w:hAnsi="Times New Roman;Times;serif"/>
          <w:b/>
          <w:sz w:val="20"/>
        </w:rPr>
      </w:pPr>
      <w:r>
        <w:rPr>
          <w:rFonts w:ascii="Times New Roman;Times;serif" w:hAnsi="Times New Roman;Times;serif"/>
          <w:b/>
          <w:sz w:val="20"/>
        </w:rPr>
        <w:t>Market Trends and Uncertainties</w:t>
      </w:r>
    </w:p>
    <w:p>
      <w:pPr>
        <w:pStyle w:val="TextBody"/>
        <w:pBdr/>
        <w:shd w:fill="FFFFFF" w:val="clear"/>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As a result of California legislation increasing wages of fast food workers, we experienced an increase in our labor and regulatory compliance costs in recent periods. Although we have been able to substantially offset these cost pressures through various actions, such as increasing menu prices, managing menu mix, and productivity improvements, we expect these cost pressures to continue in 2026.</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Furthermore, recent California legislation may establish further requirements for responsible packaging and single-use plastic food service ware which could affect our operations and compliance costs in that state. For additional information, see “Item 1A. Risk Factors,” in our Annual Report on Form 10-K for the year ended December 31, 2025, including the risk factor titled “</w:t>
      </w:r>
      <w:r>
        <w:rPr>
          <w:rFonts w:ascii="Times New Roman;Times;serif" w:hAnsi="Times New Roman;Times;serif"/>
          <w:i/>
          <w:sz w:val="20"/>
        </w:rPr>
        <w:t>We are subject to extensive laws, government regulation, and other legal requirements and our failure to comply with existing or new laws and regulations could adversely affect our operational efficiencies and results of operations.”</w:t>
      </w:r>
    </w:p>
    <w:p>
      <w:pPr>
        <w:pStyle w:val="TextBody"/>
        <w:shd w:fill="FFFFFF" w:val="clear"/>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Additionally, we are impacted by macroeconomic challenges, such as inflationary pressures and changes in trade policies, that have in the past affected, and may continue in the future, to affect our operations in certain areas such as food cost, labor costs, construction costs and other restaurant operating costs. We have been able to substantially offset these inflationary and other cost pressures through various actions, such as increasing menu prices, managing menu mix, and productivity improvements. However, we expect these inflationary and other cost pressures to continue in 2026 and we may not be able to offset cost increases in the future. Global events, such as the ongoing war in Iran, may also impact our business costs, including the costs of transportation and energy.</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shd w:fill="FFFFFF" w:val="clear"/>
        </w:rPr>
        <w:t xml:space="preserve">There is ongoing uncertainty regarding increased tariff duties on goods imported into the United States, which has </w:t>
      </w:r>
      <w:r>
        <w:rPr>
          <w:rFonts w:ascii="Times New Roman;Times;serif" w:hAnsi="Times New Roman;Times;serif"/>
          <w:sz w:val="20"/>
        </w:rPr>
        <w:t>caused substantial market uncertainty and in certain cases, retaliatory measures by trading partners.  Such changes include the imposition of tariffs under the authority of the International Emergency Economic Powers Act, which the U.S. Supreme Court found unlawful in February 2026, the creation of a refund process for such tariff duties, and, most recently, the imposition of new tariffs under Section 301 of the Trade Act of 1974 on imports from numerous trading partners, effective July 24, 2026.</w:t>
      </w:r>
      <w:r>
        <w:rPr>
          <w:rFonts w:ascii="Times New Roman;Times;serif" w:hAnsi="Times New Roman;Times;serif"/>
          <w:sz w:val="20"/>
          <w:shd w:fill="FFFFFF" w:val="clear"/>
        </w:rPr>
        <w:t xml:space="preserve"> Certain of the produce, packaging materials, and other items procured by our Company are sourced from outside the United States, including from Canada, Mexico and Asia. Current and proposed tariff rates range widely, depending on the country of origin and the availability of product-specific exemptions.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shd w:fill="FFFFFF" w:val="clear"/>
        </w:rPr>
        <w:t>Although the United States-Mexico-Canada Agreement (“USMCA”) remains in force, the United States did not agree to renew the agreement in its current form following the July 2026 joint review, and certain goods from Canada and Mexico, including USMCA-compliant goods, may be subject to new tariffs unless an exemption applies. While we continue to evaluate the potential impacts of increased tariff rates, as well as our ability to mitigate any related impacts, the imposition of tariffs on goods we import into the United States may increase our foods and paper costs and adversely impact our financial results. Any new or increased import duties, tariffs, or taxes, or other changes in U.S. trade or tax policy could result in further increases to our food and paper costs and other restaurant operating costs that would adversely impact our financial results.</w:t>
      </w:r>
      <w:r>
        <w:rPr>
          <w:rFonts w:ascii="Times New Roman;Times;serif" w:hAnsi="Times New Roman;Times;serif"/>
          <w:sz w:val="20"/>
        </w:rPr>
        <w:t xml:space="preserve"> For additional information, see “Item 1A. Risk Factors,” in our Annual Report on Form 10-K for the year ended December 31, 2025, including the risk factor titled “</w:t>
      </w:r>
      <w:r>
        <w:rPr>
          <w:rFonts w:ascii="Times New Roman;Times;serif" w:hAnsi="Times New Roman;Times;serif"/>
          <w:i/>
          <w:sz w:val="20"/>
        </w:rPr>
        <w:t>We are vulnerable to changes in political and economic conditions, such as trade policies, tariff and import regulations by the United States, as well as consumer preferences.”</w:t>
      </w:r>
      <w:r>
        <w:rPr>
          <w:rFonts w:ascii="Times New Roman;Times;serif" w:hAnsi="Times New Roman;Times;serif"/>
          <w:sz w:val="20"/>
        </w:rPr>
        <w:t xml:space="preser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Seasonality</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Seasonal factors, including weather and the timing of holidays, cause our revenue to fluctuate from quarter to quarter. Our revenue per restaurant is typically lower in the first and fourth quarters due to reduced January and December transactions, and higher in the second and third quarters. As a result of seasonality, our quarterly and annual results of operations and key performance indicators, such as company-operated restaurant revenue and comparable restaurant sales, may fluctuate.</w:t>
      </w:r>
    </w:p>
    <w:p>
      <w:pPr>
        <w:pStyle w:val="TextBody"/>
        <w:bidi w:val="0"/>
        <w:spacing w:before="360" w:after="0"/>
        <w:ind w:left="0" w:right="0" w:hanging="0"/>
        <w:jc w:val="both"/>
        <w:rPr>
          <w:rFonts w:ascii="Times New Roman;Times;serif" w:hAnsi="Times New Roman;Times;serif"/>
          <w:b/>
          <w:sz w:val="20"/>
        </w:rPr>
      </w:pPr>
      <w:r>
        <w:rPr>
          <w:rFonts w:ascii="Times New Roman;Times;serif" w:hAnsi="Times New Roman;Times;serif"/>
          <w:b/>
          <w:sz w:val="20"/>
        </w:rPr>
        <w:t>Growth Strategies and Outlook</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 xml:space="preserve">As of July 1, 2026, we had 511 locations in ten states. For the twenty-six weeks ended July 1, 2026, our franchisees opened six new restaurants, two in Colorado and one in each of the following states: California, Arizona, Idaho, and Texas, and the Company opened one new restaurant in California and one new restaurant in Texas. In fiscal 2025, we opened one new company-operated restaurant in California, and our franchisees opened eight new restaurants, two in California, two in Arizona, and one in each of the following states: Colorado, Texas, New Mexico and Washington.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We plan to continue to expand our business, drive restaurant sales growth, and enhance our competitive positioning by executing the following five key strategies:</w:t>
      </w:r>
    </w:p>
    <w:tbl>
      <w:tblPr>
        <w:tblW w:w="1971" w:type="dxa"/>
        <w:jc w:val="left"/>
        <w:tblInd w:w="0" w:type="dxa"/>
        <w:tblLayout w:type="fixed"/>
        <w:tblCellMar>
          <w:top w:w="28" w:type="dxa"/>
          <w:left w:w="28" w:type="dxa"/>
          <w:bottom w:w="28" w:type="dxa"/>
          <w:right w:w="28" w:type="dxa"/>
        </w:tblCellMar>
      </w:tblPr>
      <w:tblGrid>
        <w:gridCol w:w="124"/>
        <w:gridCol w:w="256"/>
        <w:gridCol w:w="1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 That Wins;</w:t>
            </w:r>
          </w:p>
        </w:tc>
      </w:tr>
    </w:tbl>
    <w:tbl>
      <w:tblPr>
        <w:tblW w:w="2226" w:type="dxa"/>
        <w:jc w:val="left"/>
        <w:tblInd w:w="0" w:type="dxa"/>
        <w:tblLayout w:type="fixed"/>
        <w:tblCellMar>
          <w:top w:w="28" w:type="dxa"/>
          <w:left w:w="28" w:type="dxa"/>
          <w:bottom w:w="28" w:type="dxa"/>
          <w:right w:w="28" w:type="dxa"/>
        </w:tblCellMar>
      </w:tblPr>
      <w:tblGrid>
        <w:gridCol w:w="124"/>
        <w:gridCol w:w="256"/>
        <w:gridCol w:w="1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Hospitality Mindset;</w:t>
            </w:r>
          </w:p>
        </w:tc>
      </w:tr>
    </w:tbl>
    <w:tbl>
      <w:tblPr>
        <w:tblW w:w="1566" w:type="dxa"/>
        <w:jc w:val="left"/>
        <w:tblInd w:w="0" w:type="dxa"/>
        <w:tblLayout w:type="fixed"/>
        <w:tblCellMar>
          <w:top w:w="28" w:type="dxa"/>
          <w:left w:w="28" w:type="dxa"/>
          <w:bottom w:w="28" w:type="dxa"/>
          <w:right w:w="28" w:type="dxa"/>
        </w:tblCellMar>
      </w:tblPr>
      <w:tblGrid>
        <w:gridCol w:w="124"/>
        <w:gridCol w:w="256"/>
        <w:gridCol w:w="1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First;</w:t>
            </w:r>
          </w:p>
        </w:tc>
      </w:tr>
    </w:tbl>
    <w:tbl>
      <w:tblPr>
        <w:tblW w:w="3006" w:type="dxa"/>
        <w:jc w:val="left"/>
        <w:tblInd w:w="0" w:type="dxa"/>
        <w:tblLayout w:type="fixed"/>
        <w:tblCellMar>
          <w:top w:w="28" w:type="dxa"/>
          <w:left w:w="28" w:type="dxa"/>
          <w:bottom w:w="28" w:type="dxa"/>
          <w:right w:w="28" w:type="dxa"/>
        </w:tblCellMar>
      </w:tblPr>
      <w:tblGrid>
        <w:gridCol w:w="124"/>
        <w:gridCol w:w="256"/>
        <w:gridCol w:w="2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Winning Unit Economics; and</w:t>
            </w:r>
          </w:p>
        </w:tc>
      </w:tr>
    </w:tbl>
    <w:tbl>
      <w:tblPr>
        <w:tblW w:w="4686" w:type="dxa"/>
        <w:jc w:val="left"/>
        <w:tblInd w:w="0" w:type="dxa"/>
        <w:tblLayout w:type="fixed"/>
        <w:tblCellMar>
          <w:top w:w="28" w:type="dxa"/>
          <w:left w:w="28" w:type="dxa"/>
          <w:bottom w:w="28" w:type="dxa"/>
          <w:right w:w="28" w:type="dxa"/>
        </w:tblCellMar>
      </w:tblPr>
      <w:tblGrid>
        <w:gridCol w:w="124"/>
        <w:gridCol w:w="256"/>
        <w:gridCol w:w="4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Drive Unit Growth Again with National Expansion.</w:t>
            </w:r>
          </w:p>
        </w:tc>
      </w:tr>
    </w:tbl>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shd w:fill="FFFFFF" w:val="clear"/>
        </w:rPr>
        <w:t>To increase comparable restaurant sales, we plan to increase customer frequency, attract new customers, and improve per-person spend.</w:t>
      </w:r>
      <w:r>
        <w:rPr>
          <w:rFonts w:ascii="Times New Roman;Times;serif" w:hAnsi="Times New Roman;Times;serif"/>
          <w:sz w:val="20"/>
        </w:rPr>
        <w:t xml:space="preserve"> The success of these growth plans is not guaranteed.</w:t>
      </w:r>
    </w:p>
    <w:p>
      <w:pPr>
        <w:pStyle w:val="TextBody"/>
        <w:bidi w:val="0"/>
        <w:spacing w:before="360" w:after="0"/>
        <w:ind w:left="0" w:right="0" w:hanging="0"/>
        <w:jc w:val="both"/>
        <w:rPr>
          <w:rFonts w:ascii="Times New Roman;Times;serif" w:hAnsi="Times New Roman;Times;serif"/>
          <w:b/>
          <w:sz w:val="20"/>
        </w:rPr>
      </w:pPr>
      <w:r>
        <w:rPr>
          <w:rFonts w:ascii="Times New Roman;Times;serif" w:hAnsi="Times New Roman;Times;serif"/>
          <w:b/>
          <w:sz w:val="20"/>
        </w:rPr>
        <w:t>Highlights and Trends</w:t>
      </w:r>
    </w:p>
    <w:p>
      <w:pPr>
        <w:pStyle w:val="TextBody"/>
        <w:bidi w:val="0"/>
        <w:spacing w:before="120" w:after="0"/>
        <w:ind w:left="490" w:right="0" w:hanging="0"/>
        <w:jc w:val="both"/>
        <w:rPr>
          <w:rFonts w:ascii="Times New Roman;Times;serif" w:hAnsi="Times New Roman;Times;serif"/>
          <w:i/>
          <w:sz w:val="20"/>
        </w:rPr>
      </w:pPr>
      <w:r>
        <w:rPr>
          <w:rFonts w:ascii="Times New Roman;Times;serif" w:hAnsi="Times New Roman;Times;serif"/>
          <w:i/>
          <w:sz w:val="20"/>
        </w:rPr>
        <w:t>Revenue Overview</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For the thirteen and twenty-six weeks ended July 1, 2026, our total revenue was $129.6 million and $255.8 million, respectively. For the thirteen weeks ended July 1, 2026, our company-operated restaurant revenue was $108.1 million, and our franchise revenue and franchise advertising fee revenue was $21.5 million. For the twenty-six weeks ended July 1, 2026, our company-operated restaurant revenue was $214.1 million, and our franchise revenue and franchise advertising fee revenue was $41.7 million.</w:t>
      </w:r>
    </w:p>
    <w:p>
      <w:pPr>
        <w:pStyle w:val="TextBody"/>
        <w:bidi w:val="0"/>
        <w:spacing w:before="360" w:after="0"/>
        <w:ind w:left="490" w:right="0" w:hanging="0"/>
        <w:jc w:val="both"/>
        <w:rPr>
          <w:rFonts w:ascii="Times New Roman;Times;serif" w:hAnsi="Times New Roman;Times;serif"/>
          <w:i/>
          <w:sz w:val="20"/>
        </w:rPr>
      </w:pPr>
      <w:r>
        <w:rPr>
          <w:rFonts w:ascii="Times New Roman;Times;serif" w:hAnsi="Times New Roman;Times;serif"/>
          <w:i/>
          <w:sz w:val="20"/>
        </w:rPr>
        <w:t>Comparable Restaurant Sales</w:t>
      </w:r>
    </w:p>
    <w:p>
      <w:pPr>
        <w:pStyle w:val="TextBody"/>
        <w:bidi w:val="0"/>
        <w:spacing w:before="120" w:after="120"/>
        <w:ind w:left="0" w:right="0" w:firstLine="490"/>
        <w:jc w:val="both"/>
        <w:rPr>
          <w:rFonts w:ascii="Times New Roman;Times;serif" w:hAnsi="Times New Roman;Times;serif"/>
          <w:sz w:val="20"/>
        </w:rPr>
      </w:pPr>
      <w:r>
        <w:rPr>
          <w:rFonts w:ascii="Times New Roman;Times;serif" w:hAnsi="Times New Roman;Times;serif"/>
          <w:sz w:val="20"/>
        </w:rPr>
        <w:t>For the thirteen and twenty-six weeks ended July 1, 2026, system-wide comparable restaurant sales increased by 3.9% and 4.9%, respectively, from the comparable period in the prior year. For company-operated restaurants, comparable restaurant sales for the thirteen and twenty-six weeks ended July 1, 2026 increased by 3.0% and 4.2%, respectively. For franchise-operated restaurants, comparable restaurant sales increased by 4.5% and 5.2% for the thirteen and twenty-six weeks ended July 1, 2026, respectively. A restaurant enters our comparable restaurant base the first full week after its 15-month anniversary. System-wide comparable restaurant sales include restaurant sales at all comparable company-operated restaurants and at all comparable franchise-operated restaurants, as reported by franchisees. Refer to “Comparable Restaurant Sales” definition in the section titled “Key Performance Indicators” below.</w:t>
      </w:r>
    </w:p>
    <w:tbl>
      <w:tblPr>
        <w:tblW w:w="8459" w:type="dxa"/>
        <w:jc w:val="left"/>
        <w:tblInd w:w="0" w:type="dxa"/>
        <w:tblLayout w:type="fixed"/>
        <w:tblCellMar>
          <w:top w:w="0" w:type="dxa"/>
          <w:left w:w="0" w:type="dxa"/>
          <w:bottom w:w="0" w:type="dxa"/>
          <w:right w:w="0" w:type="dxa"/>
        </w:tblCellMar>
      </w:tblPr>
      <w:tblGrid>
        <w:gridCol w:w="3001"/>
        <w:gridCol w:w="346"/>
        <w:gridCol w:w="503"/>
        <w:gridCol w:w="503"/>
        <w:gridCol w:w="346"/>
        <w:gridCol w:w="643"/>
        <w:gridCol w:w="482"/>
        <w:gridCol w:w="109"/>
        <w:gridCol w:w="503"/>
        <w:gridCol w:w="503"/>
        <w:gridCol w:w="350"/>
        <w:gridCol w:w="635"/>
        <w:gridCol w:w="535"/>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905635" cy="175260"/>
                      <wp:effectExtent l="0" t="0" r="0" b="0"/>
                      <wp:wrapNone/>
                      <wp:docPr id="294" name="Frame294"/>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9710" cy="175260"/>
                      <wp:effectExtent l="0" t="0" r="0" b="0"/>
                      <wp:wrapNone/>
                      <wp:docPr id="295" name="Frame2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319405" cy="175260"/>
                      <wp:effectExtent l="0" t="0" r="0" b="0"/>
                      <wp:wrapNone/>
                      <wp:docPr id="296" name="Frame296"/>
                      <a:graphic xmlns:a="http://schemas.openxmlformats.org/drawingml/2006/main">
                        <a:graphicData uri="http://schemas.microsoft.com/office/word/2010/wordprocessingShape">
                          <wps:wsp>
                            <wps:cNvSpPr txBox="1"/>
                            <wps:spPr>
                              <a:xfrm>
                                <a:off x="0" y="0"/>
                                <a:ext cx="319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319405" cy="175260"/>
                      <wp:effectExtent l="0" t="0" r="0" b="0"/>
                      <wp:wrapNone/>
                      <wp:docPr id="297" name="Frame297"/>
                      <a:graphic xmlns:a="http://schemas.openxmlformats.org/drawingml/2006/main">
                        <a:graphicData uri="http://schemas.microsoft.com/office/word/2010/wordprocessingShape">
                          <wps:wsp>
                            <wps:cNvSpPr txBox="1"/>
                            <wps:spPr>
                              <a:xfrm>
                                <a:off x="0" y="0"/>
                                <a:ext cx="319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19710" cy="175260"/>
                      <wp:effectExtent l="0" t="0" r="0" b="0"/>
                      <wp:wrapNone/>
                      <wp:docPr id="298" name="Frame2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408305" cy="175260"/>
                      <wp:effectExtent l="0" t="0" r="0" b="0"/>
                      <wp:wrapNone/>
                      <wp:docPr id="299" name="Frame299"/>
                      <a:graphic xmlns:a="http://schemas.openxmlformats.org/drawingml/2006/main">
                        <a:graphicData uri="http://schemas.microsoft.com/office/word/2010/wordprocessingShape">
                          <wps:wsp>
                            <wps:cNvSpPr txBox="1"/>
                            <wps:spPr>
                              <a:xfrm>
                                <a:off x="0" y="0"/>
                                <a:ext cx="408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306070" cy="175260"/>
                      <wp:effectExtent l="0" t="0" r="0" b="0"/>
                      <wp:wrapNone/>
                      <wp:docPr id="300" name="Frame300"/>
                      <a:graphic xmlns:a="http://schemas.openxmlformats.org/drawingml/2006/main">
                        <a:graphicData uri="http://schemas.microsoft.com/office/word/2010/wordprocessingShape">
                          <wps:wsp>
                            <wps:cNvSpPr txBox="1"/>
                            <wps:spPr>
                              <a:xfrm>
                                <a:off x="0" y="0"/>
                                <a:ext cx="306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9215" cy="175260"/>
                      <wp:effectExtent l="0" t="0" r="0" b="0"/>
                      <wp:wrapNone/>
                      <wp:docPr id="301" name="Frame3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319405" cy="175260"/>
                      <wp:effectExtent l="0" t="0" r="0" b="0"/>
                      <wp:wrapNone/>
                      <wp:docPr id="302" name="Frame302"/>
                      <a:graphic xmlns:a="http://schemas.openxmlformats.org/drawingml/2006/main">
                        <a:graphicData uri="http://schemas.microsoft.com/office/word/2010/wordprocessingShape">
                          <wps:wsp>
                            <wps:cNvSpPr txBox="1"/>
                            <wps:spPr>
                              <a:xfrm>
                                <a:off x="0" y="0"/>
                                <a:ext cx="319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319405" cy="175260"/>
                      <wp:effectExtent l="0" t="0" r="0" b="0"/>
                      <wp:wrapNone/>
                      <wp:docPr id="303" name="Frame303"/>
                      <a:graphic xmlns:a="http://schemas.openxmlformats.org/drawingml/2006/main">
                        <a:graphicData uri="http://schemas.microsoft.com/office/word/2010/wordprocessingShape">
                          <wps:wsp>
                            <wps:cNvSpPr txBox="1"/>
                            <wps:spPr>
                              <a:xfrm>
                                <a:off x="0" y="0"/>
                                <a:ext cx="319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22250" cy="175260"/>
                      <wp:effectExtent l="0" t="0" r="0" b="0"/>
                      <wp:wrapNone/>
                      <wp:docPr id="304" name="Frame304"/>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403225" cy="175260"/>
                      <wp:effectExtent l="0" t="0" r="0" b="0"/>
                      <wp:wrapNone/>
                      <wp:docPr id="305" name="Frame305"/>
                      <a:graphic xmlns:a="http://schemas.openxmlformats.org/drawingml/2006/main">
                        <a:graphicData uri="http://schemas.microsoft.com/office/word/2010/wordprocessingShape">
                          <wps:wsp>
                            <wps:cNvSpPr txBox="1"/>
                            <wps:spPr>
                              <a:xfrm>
                                <a:off x="0" y="0"/>
                                <a:ext cx="403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339725" cy="175260"/>
                      <wp:effectExtent l="0" t="0" r="0" b="0"/>
                      <wp:wrapNone/>
                      <wp:docPr id="306" name="Frame306"/>
                      <a:graphic xmlns:a="http://schemas.openxmlformats.org/drawingml/2006/main">
                        <a:graphicData uri="http://schemas.microsoft.com/office/word/2010/wordprocessingShape">
                          <wps:wsp>
                            <wps:cNvSpPr txBox="1"/>
                            <wps:spPr>
                              <a:xfrm>
                                <a:off x="0" y="0"/>
                                <a:ext cx="339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7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09" w:type="dxa"/>
            <w:tcBorders/>
            <w:vAlign w:val="center"/>
          </w:tcPr>
          <w:p>
            <w:pPr>
              <w:pStyle w:val="TableContents"/>
              <w:bidi w:val="0"/>
              <w:spacing w:before="0" w:after="1"/>
              <w:ind w:left="0" w:right="0" w:hanging="0"/>
              <w:jc w:val="left"/>
              <w:rPr/>
            </w:pPr>
            <w:r>
              <w:rPr/>
              <w:t>​</w:t>
            </w:r>
          </w:p>
        </w:tc>
        <w:tc>
          <w:tcPr>
            <w:tcW w:w="252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r>
      <w:tr>
        <w:trPr/>
        <w:tc>
          <w:tcPr>
            <w:tcW w:w="30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1, 2026</w:t>
            </w:r>
          </w:p>
        </w:tc>
        <w:tc>
          <w:tcPr>
            <w:tcW w:w="346" w:type="dxa"/>
            <w:tcBorders/>
            <w:vAlign w:val="center"/>
          </w:tcPr>
          <w:p>
            <w:pPr>
              <w:pStyle w:val="TableContents"/>
              <w:bidi w:val="0"/>
              <w:spacing w:before="0" w:after="1"/>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25, 2025</w:t>
            </w:r>
          </w:p>
        </w:tc>
        <w:tc>
          <w:tcPr>
            <w:tcW w:w="109" w:type="dxa"/>
            <w:tcBorders/>
            <w:vAlign w:val="center"/>
          </w:tcPr>
          <w:p>
            <w:pPr>
              <w:pStyle w:val="TableContents"/>
              <w:bidi w:val="0"/>
              <w:spacing w:before="0" w:after="1"/>
              <w:ind w:left="0" w:right="0" w:hanging="0"/>
              <w:jc w:val="center"/>
              <w:rPr/>
            </w:pPr>
            <w:r>
              <w:rPr/>
              <w:t>​</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1, 2026</w:t>
            </w:r>
          </w:p>
        </w:tc>
        <w:tc>
          <w:tcPr>
            <w:tcW w:w="350" w:type="dxa"/>
            <w:tcBorders/>
            <w:vAlign w:val="center"/>
          </w:tcPr>
          <w:p>
            <w:pPr>
              <w:pStyle w:val="TableContents"/>
              <w:bidi w:val="0"/>
              <w:spacing w:before="0" w:after="1"/>
              <w:ind w:left="0" w:right="0" w:hanging="0"/>
              <w:jc w:val="left"/>
              <w:rPr/>
            </w:pPr>
            <w:r>
              <w:rPr/>
              <w:t>  ​ ​ ​</w:t>
            </w:r>
          </w:p>
        </w:tc>
        <w:tc>
          <w:tcPr>
            <w:tcW w:w="11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25, 2025</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Company-operated same store sales</w:t>
            </w:r>
          </w:p>
        </w:tc>
        <w:tc>
          <w:tcPr>
            <w:tcW w:w="346" w:type="dxa"/>
            <w:tcBorders/>
            <w:shd w:fill="CCEEFF" w:val="clear"/>
            <w:vAlign w:val="center"/>
          </w:tcPr>
          <w:p>
            <w:pPr>
              <w:pStyle w:val="TableContents"/>
              <w:bidi w:val="0"/>
              <w:spacing w:before="0" w:after="1"/>
              <w:ind w:left="0" w:right="0" w:hanging="0"/>
              <w:jc w:val="left"/>
              <w:rPr/>
            </w:pPr>
            <w:r>
              <w:rPr/>
              <w:t> </w:t>
            </w:r>
          </w:p>
        </w:tc>
        <w:tc>
          <w:tcPr>
            <w:tcW w:w="5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5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6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4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5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5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50" w:type="dxa"/>
            <w:tcBorders/>
            <w:shd w:fill="CCEEFF" w:val="clear"/>
            <w:vAlign w:val="center"/>
          </w:tcPr>
          <w:p>
            <w:pPr>
              <w:pStyle w:val="TableContents"/>
              <w:bidi w:val="0"/>
              <w:spacing w:before="0" w:after="1"/>
              <w:ind w:left="0" w:right="0" w:hanging="0"/>
              <w:jc w:val="left"/>
              <w:rPr/>
            </w:pPr>
            <w:r>
              <w:rPr/>
              <w:t>​</w:t>
            </w:r>
          </w:p>
        </w:tc>
        <w:tc>
          <w:tcPr>
            <w:tcW w:w="6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w:t>
            </w:r>
          </w:p>
        </w:tc>
        <w:tc>
          <w:tcPr>
            <w:tcW w:w="5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0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Franchise-operated same store sales</w:t>
            </w:r>
          </w:p>
        </w:tc>
        <w:tc>
          <w:tcPr>
            <w:tcW w:w="346"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50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vAlign w:val="center"/>
          </w:tcPr>
          <w:p>
            <w:pPr>
              <w:pStyle w:val="TableContents"/>
              <w:bidi w:val="0"/>
              <w:spacing w:before="0" w:after="1"/>
              <w:ind w:left="0" w:right="0" w:hanging="0"/>
              <w:jc w:val="left"/>
              <w:rPr/>
            </w:pPr>
            <w:r>
              <w:rPr/>
              <w:t>​</w:t>
            </w:r>
          </w:p>
        </w:tc>
        <w:tc>
          <w:tcPr>
            <w:tcW w:w="64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4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50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50"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5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System-wide same store sales</w:t>
            </w:r>
          </w:p>
        </w:tc>
        <w:tc>
          <w:tcPr>
            <w:tcW w:w="346" w:type="dxa"/>
            <w:tcBorders/>
            <w:shd w:fill="CCEEFF" w:val="clear"/>
            <w:vAlign w:val="center"/>
          </w:tcPr>
          <w:p>
            <w:pPr>
              <w:pStyle w:val="TableContents"/>
              <w:bidi w:val="0"/>
              <w:spacing w:before="0" w:after="1"/>
              <w:ind w:left="0" w:right="0" w:hanging="0"/>
              <w:jc w:val="left"/>
              <w:rPr/>
            </w:pPr>
            <w:r>
              <w:rPr/>
              <w:t> </w:t>
            </w:r>
          </w:p>
        </w:tc>
        <w:tc>
          <w:tcPr>
            <w:tcW w:w="5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5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6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4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5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5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50" w:type="dxa"/>
            <w:tcBorders/>
            <w:shd w:fill="CCEEFF" w:val="clear"/>
            <w:vAlign w:val="center"/>
          </w:tcPr>
          <w:p>
            <w:pPr>
              <w:pStyle w:val="TableContents"/>
              <w:bidi w:val="0"/>
              <w:spacing w:before="0" w:after="1"/>
              <w:ind w:left="0" w:right="0" w:hanging="0"/>
              <w:jc w:val="left"/>
              <w:rPr/>
            </w:pPr>
            <w:r>
              <w:rPr/>
              <w:t>​</w:t>
            </w:r>
          </w:p>
        </w:tc>
        <w:tc>
          <w:tcPr>
            <w:tcW w:w="6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5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490" w:right="0" w:hanging="0"/>
        <w:jc w:val="both"/>
        <w:rPr>
          <w:rFonts w:ascii="Times New Roman;Times;serif" w:hAnsi="Times New Roman;Times;serif"/>
          <w:i/>
          <w:sz w:val="20"/>
        </w:rPr>
      </w:pPr>
      <w:r>
        <w:rPr>
          <w:rFonts w:ascii="Times New Roman;Times;serif" w:hAnsi="Times New Roman;Times;serif"/>
          <w:i/>
          <w:sz w:val="20"/>
        </w:rPr>
        <w:t>Restaurant Development</w:t>
      </w:r>
    </w:p>
    <w:p>
      <w:pPr>
        <w:pStyle w:val="TextBody"/>
        <w:bidi w:val="0"/>
        <w:spacing w:before="120" w:after="120"/>
        <w:ind w:left="0" w:right="0" w:firstLine="490"/>
        <w:jc w:val="both"/>
        <w:rPr>
          <w:rFonts w:ascii="Times New Roman;Times;serif" w:hAnsi="Times New Roman;Times;serif"/>
          <w:sz w:val="20"/>
        </w:rPr>
      </w:pPr>
      <w:r>
        <w:rPr>
          <w:rFonts w:ascii="Times New Roman;Times;serif" w:hAnsi="Times New Roman;Times;serif"/>
          <w:sz w:val="20"/>
        </w:rPr>
        <w:t>Our restaurant counts at the beginning and end of each of the twenty-six weeks ended July 1, 2026 and June 25, 2025 were as follows:</w:t>
      </w:r>
    </w:p>
    <w:tbl>
      <w:tblPr>
        <w:tblW w:w="6470" w:type="dxa"/>
        <w:jc w:val="left"/>
        <w:tblInd w:w="0" w:type="dxa"/>
        <w:tblLayout w:type="fixed"/>
        <w:tblCellMar>
          <w:top w:w="0" w:type="dxa"/>
          <w:left w:w="0" w:type="dxa"/>
          <w:bottom w:w="0" w:type="dxa"/>
          <w:right w:w="0" w:type="dxa"/>
        </w:tblCellMar>
      </w:tblPr>
      <w:tblGrid>
        <w:gridCol w:w="3601"/>
        <w:gridCol w:w="346"/>
        <w:gridCol w:w="1006"/>
        <w:gridCol w:w="346"/>
        <w:gridCol w:w="1171"/>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286635" cy="175260"/>
                      <wp:effectExtent l="0" t="0" r="0" b="0"/>
                      <wp:wrapNone/>
                      <wp:docPr id="307" name="Frame307"/>
                      <a:graphic xmlns:a="http://schemas.openxmlformats.org/drawingml/2006/main">
                        <a:graphicData uri="http://schemas.microsoft.com/office/word/2010/wordprocessingShape">
                          <wps:wsp>
                            <wps:cNvSpPr txBox="1"/>
                            <wps:spPr>
                              <a:xfrm>
                                <a:off x="0" y="0"/>
                                <a:ext cx="2286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9710" cy="175260"/>
                      <wp:effectExtent l="0" t="0" r="0" b="0"/>
                      <wp:wrapNone/>
                      <wp:docPr id="308" name="Frame3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38810" cy="175260"/>
                      <wp:effectExtent l="0" t="0" r="0" b="0"/>
                      <wp:wrapNone/>
                      <wp:docPr id="309" name="Frame309"/>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260"/>
                      <wp:effectExtent l="0" t="0" r="0" b="0"/>
                      <wp:wrapNone/>
                      <wp:docPr id="310"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743585" cy="175260"/>
                      <wp:effectExtent l="0" t="0" r="0" b="0"/>
                      <wp:wrapNone/>
                      <wp:docPr id="311" name="Frame311"/>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52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r>
      <w:tr>
        <w:trPr/>
        <w:tc>
          <w:tcPr>
            <w:tcW w:w="3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1, 2026</w:t>
            </w:r>
          </w:p>
        </w:tc>
        <w:tc>
          <w:tcPr>
            <w:tcW w:w="346" w:type="dxa"/>
            <w:tcBorders/>
            <w:vAlign w:val="center"/>
          </w:tcPr>
          <w:p>
            <w:pPr>
              <w:pStyle w:val="TableContents"/>
              <w:bidi w:val="0"/>
              <w:spacing w:before="0" w:after="1"/>
              <w:ind w:left="0" w:right="0" w:hanging="0"/>
              <w:jc w:val="center"/>
              <w:rPr/>
            </w:pPr>
            <w:r>
              <w:rPr/>
              <w:t>  ​ ​ ​</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25, 2025</w:t>
            </w:r>
          </w:p>
        </w:tc>
      </w:tr>
      <w:tr>
        <w:trPr/>
        <w:tc>
          <w:tcPr>
            <w:tcW w:w="360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Company-operated restaurant activity</w:t>
            </w:r>
            <w:r>
              <w:rPr>
                <w:rFonts w:ascii="Times New Roman;Times;serif" w:hAnsi="Times New Roman;Times;serif"/>
                <w:b/>
                <w:sz w:val="15"/>
              </w:rPr>
              <w:t>(1)</w:t>
            </w:r>
            <w:r>
              <w:rPr>
                <w:rFonts w:ascii="Times New Roman;Times;serif" w:hAnsi="Times New Roman;Times;serif"/>
                <w:b/>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pPr>
            <w:r>
              <w:rPr/>
              <w:t>  ​</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Beginning of period</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Openings</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pPr>
            <w:r>
              <w:rPr/>
              <w:t>—</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Restaurant sale to Company</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Restaurant sale to franchisee</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pPr>
            <w:r>
              <w:rPr/>
              <w:t>—</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Closures</w:t>
            </w:r>
          </w:p>
        </w:tc>
        <w:tc>
          <w:tcPr>
            <w:tcW w:w="346"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Restaurants at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Franchise-operated restaurant activity:</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right"/>
              <w:rPr/>
            </w:pPr>
            <w:r>
              <w:rPr/>
              <w:t>  ​</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Openings</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Restaurant sale to Company</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Restaurant sale to franchisee</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right"/>
              <w:rPr/>
            </w:pPr>
            <w:r>
              <w:rPr/>
              <w:t>—</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Closures</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Restaurants at end of period</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System-wide restaurant activity:</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pPr>
            <w:r>
              <w:rPr/>
              <w:t>  ​</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Beginning of period</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Openings</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Closures</w:t>
            </w:r>
          </w:p>
        </w:tc>
        <w:tc>
          <w:tcPr>
            <w:tcW w:w="346"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Restaurants at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511</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499</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Our restaurant count includes 511 domestic restaurants and excludes the eight licensed restaurants in the Philippines, as well as the two previously licensed restaurants in the Philippines that were closed during the twenty-six weeks ended June 25, 2025. </w:t>
            </w:r>
          </w:p>
        </w:tc>
      </w:tr>
    </w:tbl>
    <w:p>
      <w:pPr>
        <w:pStyle w:val="TextBody"/>
        <w:bidi w:val="0"/>
        <w:spacing w:before="360" w:after="0"/>
        <w:ind w:left="490" w:right="0" w:hanging="0"/>
        <w:jc w:val="both"/>
        <w:rPr>
          <w:rFonts w:ascii="Times New Roman;Times;serif" w:hAnsi="Times New Roman;Times;serif"/>
          <w:i/>
          <w:sz w:val="20"/>
        </w:rPr>
      </w:pPr>
      <w:r>
        <w:rPr>
          <w:rFonts w:ascii="Times New Roman;Times;serif" w:hAnsi="Times New Roman;Times;serif"/>
          <w:i/>
          <w:sz w:val="20"/>
        </w:rPr>
        <w:t>Restaurant Remodeling</w:t>
      </w:r>
    </w:p>
    <w:p>
      <w:pPr>
        <w:pStyle w:val="TextBody"/>
        <w:bidi w:val="0"/>
        <w:spacing w:before="120" w:after="0"/>
        <w:ind w:left="0" w:right="0" w:firstLine="490"/>
        <w:jc w:val="both"/>
        <w:rPr>
          <w:rFonts w:ascii="Times New Roman;Times;serif" w:hAnsi="Times New Roman;Times;serif"/>
          <w:sz w:val="20"/>
          <w:shd w:fill="FFFFFF" w:val="clear"/>
        </w:rPr>
      </w:pPr>
      <w:r>
        <w:rPr>
          <w:rFonts w:ascii="Times New Roman;Times;serif" w:hAnsi="Times New Roman;Times;serif"/>
          <w:sz w:val="20"/>
          <w:shd w:fill="FFFFFF" w:val="clear"/>
        </w:rPr>
        <w:t>During the twenty-six weeks ended July 1, 2026, we completed a total of 24 remodels of which 12 were company-operated restaurant remodels. In fiscal 2026, we plan to continue our standard practices for remodels, which includes a goal of completing a total of 25 to 35 company-operated restaurant remodels and 30 to 40 franchise-operated restaurant remodels. Remodeling is a use of cash and has implications for our net property and depreciation line items on our consolidated balance sheets and consolidated statements of income, among others. The cost of our restaurant remodels varies depending on the scope of the work required, but on average the investment is approximately $0.4 million per restaurant.</w:t>
      </w:r>
    </w:p>
    <w:p>
      <w:pPr>
        <w:pStyle w:val="TextBody"/>
        <w:bidi w:val="0"/>
        <w:spacing w:before="360" w:after="0"/>
        <w:ind w:left="490" w:right="0" w:hanging="0"/>
        <w:jc w:val="both"/>
        <w:rPr>
          <w:rFonts w:ascii="Times New Roman;Times;serif" w:hAnsi="Times New Roman;Times;serif"/>
          <w:i/>
          <w:sz w:val="20"/>
        </w:rPr>
      </w:pPr>
      <w:r>
        <w:rPr>
          <w:rFonts w:ascii="Times New Roman;Times;serif" w:hAnsi="Times New Roman;Times;serif"/>
          <w:i/>
          <w:sz w:val="20"/>
        </w:rPr>
        <w:t>Loco Rewards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Our Loco Rewards loyalty program is designed to increase customer engagement and visit frequency by allowing members to earn points on qualifying purchases that can be redeemed for a variety of rewards. We defer a portion of the revenue associated with qualifying purchases until the related rewards are redeemed or expire. See Note 10, “</w:t>
      </w:r>
      <w:r>
        <w:rPr>
          <w:rFonts w:ascii="Times New Roman;Times;serif" w:hAnsi="Times New Roman;Times;serif"/>
          <w:i/>
          <w:sz w:val="20"/>
        </w:rPr>
        <w:t>Revenue from Contracts with Customers</w:t>
      </w:r>
      <w:r>
        <w:rPr>
          <w:rFonts w:ascii="Times New Roman;Times;serif" w:hAnsi="Times New Roman;Times;serif"/>
          <w:sz w:val="20"/>
        </w:rPr>
        <w:t>,” to the Condensed Consolidated Financial Statements above for additional information regarding our accounting for the program.</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As of July 1, 2026 and December 31, 2025, the revenue allocated to loyalty points that had not been redeemed was $1.3 million and $1.1 million, respectively, which is reflected in our accompanying condensed consolidated balance sheets within other accrued expenses and current liabilities. We had over 5.6 million loyalty program members as of July 1,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Critical Accounting Policies and Use of Estimates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The preparation of our condensed consolidated financial statements in accordance with U.S. generally accepted accounting principles (“GAAP”) requires us to make estimates and judgments that affect our reported amounts of assets, liabilities, revenue, and expenses, and related disclosures of contingent assets and liabilities. We base our estimates on historical experience and on various other assumptions that we believe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Accounting policies are an integral part of our condensed consolidated financial statements. A thorough understanding of these accounting policies is essential when reviewing our reported results of operations and our financial position. Management believes that our critical accounting policies and estimates involve the most difficult management judgments, due to the sensitivity of the methods and assumptions used. For a summary of our critical accounting policies and a discussion of our use of estimates, see “</w:t>
      </w:r>
      <w:r>
        <w:rPr>
          <w:rFonts w:ascii="Times New Roman;Times;serif" w:hAnsi="Times New Roman;Times;serif"/>
          <w:i/>
          <w:sz w:val="20"/>
        </w:rPr>
        <w:t>Critical Accounting Policies and Estimates</w:t>
      </w:r>
      <w:r>
        <w:rPr>
          <w:rFonts w:ascii="Times New Roman;Times;serif" w:hAnsi="Times New Roman;Times;serif"/>
          <w:sz w:val="20"/>
        </w:rPr>
        <w:t>” in Item 7, “Management’s Discussion and Analysis of Financial Condition and Results of Operations” in our Annual Report on Form 10-K for the year ended December 31, 2025.</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There have been no material changes to our critical accounting policies or uses of estimates since our Annual Report on Form 10-K for the year ended December 31, 2025.</w:t>
      </w:r>
    </w:p>
    <w:p>
      <w:pPr>
        <w:pStyle w:val="TextBody"/>
        <w:bidi w:val="0"/>
        <w:spacing w:before="360" w:after="0"/>
        <w:ind w:left="0" w:right="0" w:hanging="0"/>
        <w:jc w:val="both"/>
        <w:rPr>
          <w:rFonts w:ascii="Times New Roman;Times;serif" w:hAnsi="Times New Roman;Times;serif"/>
          <w:b/>
          <w:sz w:val="20"/>
        </w:rPr>
      </w:pPr>
      <w:r>
        <w:rPr>
          <w:rFonts w:ascii="Times New Roman;Times;serif" w:hAnsi="Times New Roman;Times;serif"/>
          <w:b/>
          <w:sz w:val="20"/>
        </w:rPr>
        <w:t>Key Financial Definitions</w:t>
      </w:r>
    </w:p>
    <w:p>
      <w:pPr>
        <w:pStyle w:val="TextBody"/>
        <w:bidi w:val="0"/>
        <w:spacing w:before="120" w:after="0"/>
        <w:ind w:left="490" w:right="0" w:hanging="0"/>
        <w:jc w:val="both"/>
        <w:rPr>
          <w:rFonts w:ascii="Times New Roman;Times;serif" w:hAnsi="Times New Roman;Times;serif"/>
          <w:i/>
          <w:sz w:val="20"/>
        </w:rPr>
      </w:pPr>
      <w:r>
        <w:rPr>
          <w:rFonts w:ascii="Times New Roman;Times;serif" w:hAnsi="Times New Roman;Times;serif"/>
          <w:i/>
          <w:sz w:val="20"/>
        </w:rPr>
        <w:t>Revenue</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Our revenue is derived from three primary sources: company-operated restaurant revenue, franchise revenue, which is comprised primarily of franchise royalties and, to a lesser extent, franchise fees and sublease rental income, and franchise advertising fee revenue. See Note 10, “</w:t>
      </w:r>
      <w:r>
        <w:rPr>
          <w:rFonts w:ascii="Times New Roman;Times;serif" w:hAnsi="Times New Roman;Times;serif"/>
          <w:i/>
          <w:sz w:val="20"/>
        </w:rPr>
        <w:t>Revenue from Contracts with Customers</w:t>
      </w:r>
      <w:r>
        <w:rPr>
          <w:rFonts w:ascii="Times New Roman;Times;serif" w:hAnsi="Times New Roman;Times;serif"/>
          <w:sz w:val="20"/>
        </w:rPr>
        <w:t xml:space="preserve">” </w:t>
      </w:r>
      <w:r>
        <w:rPr>
          <w:rFonts w:ascii="Times New Roman;Times;serif" w:hAnsi="Times New Roman;Times;serif"/>
          <w:sz w:val="20"/>
          <w:shd w:fill="FFFFFF" w:val="clear"/>
        </w:rPr>
        <w:t>to the Condensed Consolidated Financial Statements</w:t>
      </w:r>
      <w:r>
        <w:rPr>
          <w:rFonts w:ascii="Times New Roman;Times;serif" w:hAnsi="Times New Roman;Times;serif"/>
          <w:sz w:val="20"/>
        </w:rPr>
        <w:t xml:space="preserve"> above for further details regarding our revenue recognition policy.</w:t>
      </w:r>
    </w:p>
    <w:p>
      <w:pPr>
        <w:pStyle w:val="TextBody"/>
        <w:bidi w:val="0"/>
        <w:spacing w:before="360" w:after="0"/>
        <w:ind w:left="490" w:right="0" w:hanging="0"/>
        <w:jc w:val="both"/>
        <w:rPr>
          <w:rFonts w:ascii="Times New Roman;Times;serif" w:hAnsi="Times New Roman;Times;serif"/>
          <w:i/>
          <w:sz w:val="20"/>
        </w:rPr>
      </w:pPr>
      <w:r>
        <w:rPr>
          <w:rFonts w:ascii="Times New Roman;Times;serif" w:hAnsi="Times New Roman;Times;serif"/>
          <w:i/>
          <w:sz w:val="20"/>
        </w:rPr>
        <w:t>Food and Paper Costs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 xml:space="preserve">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 </w:t>
      </w:r>
    </w:p>
    <w:p>
      <w:pPr>
        <w:pStyle w:val="TextBody"/>
        <w:bidi w:val="0"/>
        <w:spacing w:before="360" w:after="0"/>
        <w:ind w:left="490" w:right="0" w:hanging="0"/>
        <w:jc w:val="both"/>
        <w:rPr>
          <w:rFonts w:ascii="Times New Roman;Times;serif" w:hAnsi="Times New Roman;Times;serif"/>
          <w:i/>
          <w:sz w:val="20"/>
        </w:rPr>
      </w:pPr>
      <w:r>
        <w:rPr>
          <w:rFonts w:ascii="Times New Roman;Times;serif" w:hAnsi="Times New Roman;Times;serif"/>
          <w:i/>
          <w:sz w:val="20"/>
        </w:rPr>
        <w:t>Labor and Related Expenses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Labor and related expenses include wages, payroll taxes, workers’ compensation expense, benefits, and bonuses paid to our restaurant management teams. Like other expense items, we expect labor costs to grow proportionately as our restaurant revenue grows. Factors that influence labor costs include minimum wage and payroll tax legislation, state labor laws (which, in California, includes AB 1228), overtime, wage inflation, the frequency and severity of workers’ compensation claims, health care costs, and the performance of our restaurants.</w:t>
      </w:r>
    </w:p>
    <w:p>
      <w:pPr>
        <w:pStyle w:val="TextBody"/>
        <w:bidi w:val="0"/>
        <w:spacing w:before="360" w:after="0"/>
        <w:ind w:left="490" w:right="0" w:hanging="0"/>
        <w:jc w:val="both"/>
        <w:rPr>
          <w:rFonts w:ascii="Times New Roman;Times;serif" w:hAnsi="Times New Roman;Times;serif"/>
          <w:i/>
          <w:sz w:val="20"/>
        </w:rPr>
      </w:pPr>
      <w:r>
        <w:rPr>
          <w:rFonts w:ascii="Times New Roman;Times;serif" w:hAnsi="Times New Roman;Times;serif"/>
          <w:i/>
          <w:sz w:val="20"/>
        </w:rPr>
        <w:t>Occupancy Costs and Other Operating Expenses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Occupancy costs include rent, common area maintenance (“CAM”), and real estate taxes. Other restaurant operating expenses include the costs of utilities, advertising, credit card processing fees, delivery service provider fees, restaurant supplies, repairs and maintenance, and other restaurant operating costs.</w:t>
      </w:r>
    </w:p>
    <w:p>
      <w:pPr>
        <w:pStyle w:val="TextBody"/>
        <w:bidi w:val="0"/>
        <w:spacing w:before="360" w:after="0"/>
        <w:ind w:left="490" w:right="0" w:hanging="0"/>
        <w:jc w:val="both"/>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General and administrative expenses are comprised of expenses associated with corporate and administrative functions that support the development and operations of our restaurants, including compensation and benefits, travel expenses, stock-based compensation expense, legal and professional fees, and other related corporate costs. Also included are pre-opening costs, and expenses above the restaurant level, including salaries for field management, such as area and regional managers, and franchise field operational support.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490" w:right="0" w:hanging="0"/>
        <w:jc w:val="both"/>
        <w:rPr>
          <w:rFonts w:ascii="Times New Roman;Times;serif" w:hAnsi="Times New Roman;Times;serif"/>
          <w:i/>
          <w:sz w:val="20"/>
        </w:rPr>
      </w:pPr>
      <w:r>
        <w:rPr>
          <w:rFonts w:ascii="Times New Roman;Times;serif" w:hAnsi="Times New Roman;Times;serif"/>
          <w:i/>
          <w:sz w:val="20"/>
        </w:rPr>
        <w:t>Franchise Expenses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Franchise expenses are primarily comprised of rent expenses incurred on properties leased or owned by us and then sublet to franchisees, expenses incurred in support of franchisee information technology systems, and the franchisee’s portion of advertising expenses.</w:t>
      </w:r>
    </w:p>
    <w:p>
      <w:pPr>
        <w:pStyle w:val="TextBody"/>
        <w:bidi w:val="0"/>
        <w:spacing w:before="360" w:after="0"/>
        <w:ind w:left="490" w:right="0" w:hanging="0"/>
        <w:jc w:val="both"/>
        <w:rPr>
          <w:rFonts w:ascii="Times New Roman;Times;serif" w:hAnsi="Times New Roman;Times;serif"/>
          <w:i/>
          <w:sz w:val="20"/>
        </w:rPr>
      </w:pPr>
      <w:r>
        <w:rPr>
          <w:rFonts w:ascii="Times New Roman;Times;serif" w:hAnsi="Times New Roman;Times;serif"/>
          <w:i/>
          <w:sz w:val="20"/>
        </w:rPr>
        <w:t>Depreciation and Amortization</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Depreciation and amortization primarily consists of the depreciation of property and equipment, including leasehold improvements and equipment.</w:t>
      </w:r>
    </w:p>
    <w:p>
      <w:pPr>
        <w:pStyle w:val="TextBody"/>
        <w:bidi w:val="0"/>
        <w:spacing w:before="360" w:after="0"/>
        <w:ind w:left="490" w:right="0" w:hanging="0"/>
        <w:jc w:val="both"/>
        <w:rPr>
          <w:rFonts w:ascii="Times New Roman;Times;serif" w:hAnsi="Times New Roman;Times;serif"/>
          <w:i/>
          <w:sz w:val="20"/>
        </w:rPr>
      </w:pPr>
      <w:r>
        <w:rPr>
          <w:rFonts w:ascii="Times New Roman;Times;serif" w:hAnsi="Times New Roman;Times;serif"/>
          <w:i/>
          <w:sz w:val="20"/>
        </w:rPr>
        <w:t>Loss on Disposal of Assets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Loss on disposal of assets includes the loss on disposal of assets related to retirements and replacement or write-off of leasehold improvements or equipment.</w:t>
      </w:r>
    </w:p>
    <w:p>
      <w:pPr>
        <w:pStyle w:val="TextBody"/>
        <w:bidi w:val="0"/>
        <w:spacing w:before="360" w:after="0"/>
        <w:ind w:left="490" w:right="0" w:hanging="0"/>
        <w:jc w:val="both"/>
        <w:rPr>
          <w:rFonts w:ascii="Times New Roman;Times;serif" w:hAnsi="Times New Roman;Times;serif"/>
          <w:i/>
          <w:sz w:val="20"/>
        </w:rPr>
      </w:pPr>
      <w:r>
        <w:rPr>
          <w:rFonts w:ascii="Times New Roman;Times;serif" w:hAnsi="Times New Roman;Times;serif"/>
          <w:i/>
          <w:sz w:val="20"/>
        </w:rPr>
        <w:t>Impairment and Closed-Store Reserves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We review long-lived assets such as property, and equipment, right-of-use (“ROU”) assets and intangibles on a unit-by-unit basis for impairment when events or circumstances indicate the carrying value of the assets may not be recoverable. We determine if there is impairment at the restaurant level by comparing undiscounted future cash flows from the related long-lived assets to their respective carrying values and record an impairment charge when appropriate. In determining future cash flows, significant estimates are made by us with respect to future operating results of each restaurant over its remaining lease term, including sales trends, labor rates, commodity costs and other operating cost assumptions. If assets are determined to be impaired, the impairment charge is measured by calculating the amount by which the asset’s carrying amount exceeds its fair value. This process of assessing fair values requires the use of estimates and assumptions, including our ability to sell or reuse the related assets and market conditions, which are subject to a high degree of judgment. If these assumptions change in the future, we may be required to record impairment charges for these assets and these charges could be material.</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When we close a restaurant, we will evaluate the ROU asset for impairment, based on anticipated sublease recoveries. The remaining value of the ROU asset is amortized on a straight-line basis, with the expense recognized in closed-store reserve expense, in addition to property tax and CAM expenses for our closed restaurants.</w:t>
      </w:r>
    </w:p>
    <w:p>
      <w:pPr>
        <w:pStyle w:val="TextBody"/>
        <w:bidi w:val="0"/>
        <w:spacing w:before="360" w:after="0"/>
        <w:ind w:left="490" w:right="0" w:hanging="0"/>
        <w:jc w:val="both"/>
        <w:rPr>
          <w:rFonts w:ascii="Times New Roman;Times;serif" w:hAnsi="Times New Roman;Times;serif"/>
          <w:i/>
          <w:sz w:val="20"/>
        </w:rPr>
      </w:pPr>
      <w:r>
        <w:rPr>
          <w:rFonts w:ascii="Times New Roman;Times;serif" w:hAnsi="Times New Roman;Times;serif"/>
          <w:i/>
          <w:sz w:val="20"/>
        </w:rPr>
        <w:t>Interest Expense, Net</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Interest expense, net, consists primarily of interest on our outstanding debt. Debt issuance costs are amortized at cost over the life of the related debt.</w:t>
      </w:r>
    </w:p>
    <w:p>
      <w:pPr>
        <w:pStyle w:val="TextBody"/>
        <w:bidi w:val="0"/>
        <w:spacing w:before="360" w:after="0"/>
        <w:ind w:left="490" w:right="0" w:hanging="0"/>
        <w:jc w:val="both"/>
        <w:rPr>
          <w:rFonts w:ascii="Times New Roman;Times;serif" w:hAnsi="Times New Roman;Times;serif"/>
          <w:i/>
          <w:sz w:val="20"/>
        </w:rPr>
      </w:pPr>
      <w:r>
        <w:rPr>
          <w:rFonts w:ascii="Times New Roman;Times;serif" w:hAnsi="Times New Roman;Times;serif"/>
          <w:i/>
          <w:sz w:val="20"/>
        </w:rPr>
        <w:t>Provision for Income Taxes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Provision for income taxes consists of federal and state taxes on our pre-tax income.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1264" w:name="_38bd9fbe_881d_4e68_92f9_58b50d9d7444"/>
      <w:bookmarkEnd w:id="1264"/>
      <w:r>
        <w:rPr>
          <w:rFonts w:ascii="Times New Roman;Times;serif" w:hAnsi="Times New Roman;Times;serif"/>
          <w:b/>
          <w:sz w:val="20"/>
        </w:rPr>
        <w:t>Comparison of Results of Operations</w:t>
      </w:r>
    </w:p>
    <w:p>
      <w:pPr>
        <w:pStyle w:val="TextBody"/>
        <w:bidi w:val="0"/>
        <w:spacing w:before="120" w:after="120"/>
        <w:ind w:left="0" w:right="0" w:firstLine="490"/>
        <w:jc w:val="both"/>
        <w:rPr>
          <w:rFonts w:ascii="Times New Roman;Times;serif" w:hAnsi="Times New Roman;Times;serif"/>
          <w:sz w:val="20"/>
          <w:shd w:fill="FFFFFF" w:val="clear"/>
        </w:rPr>
      </w:pPr>
      <w:r>
        <w:rPr>
          <w:rFonts w:ascii="Times New Roman;Times;serif" w:hAnsi="Times New Roman;Times;serif"/>
          <w:sz w:val="20"/>
          <w:shd w:fill="FFFFFF" w:val="clear"/>
        </w:rPr>
        <w:t>Our operating results for the thirteen and twenty-six weeks ended July 1, 2026 and June 25, 2025 are expressed as percentages of total revenue, with the exception of cost of operations and company restaurant expenses, which are expressed as percentages of company-operated restaurant revenue, and are compared in the tables below.</w:t>
      </w:r>
    </w:p>
    <w:tbl>
      <w:tblPr>
        <w:tblW w:w="10205" w:type="dxa"/>
        <w:jc w:val="left"/>
        <w:tblInd w:w="0" w:type="dxa"/>
        <w:tblLayout w:type="fixed"/>
        <w:tblCellMar>
          <w:top w:w="0" w:type="dxa"/>
          <w:left w:w="0" w:type="dxa"/>
          <w:bottom w:w="0" w:type="dxa"/>
          <w:right w:w="0" w:type="dxa"/>
        </w:tblCellMar>
      </w:tblPr>
      <w:tblGrid>
        <w:gridCol w:w="3343"/>
        <w:gridCol w:w="346"/>
        <w:gridCol w:w="211"/>
        <w:gridCol w:w="781"/>
        <w:gridCol w:w="346"/>
        <w:gridCol w:w="571"/>
        <w:gridCol w:w="346"/>
        <w:gridCol w:w="211"/>
        <w:gridCol w:w="781"/>
        <w:gridCol w:w="346"/>
        <w:gridCol w:w="571"/>
        <w:gridCol w:w="346"/>
        <w:gridCol w:w="211"/>
        <w:gridCol w:w="682"/>
        <w:gridCol w:w="346"/>
        <w:gridCol w:w="767"/>
      </w:tblGrid>
      <w:tr>
        <w:trPr/>
        <w:tc>
          <w:tcPr>
            <w:tcW w:w="3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122805" cy="175260"/>
                      <wp:effectExtent l="0" t="0" r="0" b="0"/>
                      <wp:wrapNone/>
                      <wp:docPr id="312" name="Frame312"/>
                      <a:graphic xmlns:a="http://schemas.openxmlformats.org/drawingml/2006/main">
                        <a:graphicData uri="http://schemas.microsoft.com/office/word/2010/wordprocessingShape">
                          <wps:wsp>
                            <wps:cNvSpPr txBox="1"/>
                            <wps:spPr>
                              <a:xfrm>
                                <a:off x="0" y="0"/>
                                <a:ext cx="2122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19710" cy="175260"/>
                      <wp:effectExtent l="0" t="0" r="0" b="0"/>
                      <wp:wrapNone/>
                      <wp:docPr id="313" name="Frame3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33985" cy="175260"/>
                      <wp:effectExtent l="0" t="0" r="0" b="0"/>
                      <wp:wrapNone/>
                      <wp:docPr id="314" name="Frame3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495935" cy="175260"/>
                      <wp:effectExtent l="0" t="0" r="0" b="0"/>
                      <wp:wrapNone/>
                      <wp:docPr id="315" name="Frame31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9710" cy="175260"/>
                      <wp:effectExtent l="0" t="0" r="0" b="0"/>
                      <wp:wrapNone/>
                      <wp:docPr id="316" name="Frame3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362585" cy="175260"/>
                      <wp:effectExtent l="0" t="0" r="0" b="0"/>
                      <wp:wrapNone/>
                      <wp:docPr id="317" name="Frame31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19710" cy="175260"/>
                      <wp:effectExtent l="0" t="0" r="0" b="0"/>
                      <wp:wrapNone/>
                      <wp:docPr id="318" name="Frame3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33985" cy="175260"/>
                      <wp:effectExtent l="0" t="0" r="0" b="0"/>
                      <wp:wrapNone/>
                      <wp:docPr id="319" name="Frame3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495935" cy="175260"/>
                      <wp:effectExtent l="0" t="0" r="0" b="0"/>
                      <wp:wrapNone/>
                      <wp:docPr id="320" name="Frame32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19710" cy="175260"/>
                      <wp:effectExtent l="0" t="0" r="0" b="0"/>
                      <wp:wrapNone/>
                      <wp:docPr id="321" name="Frame3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362585" cy="175260"/>
                      <wp:effectExtent l="0" t="0" r="0" b="0"/>
                      <wp:wrapNone/>
                      <wp:docPr id="322" name="Frame32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9710" cy="175260"/>
                      <wp:effectExtent l="0" t="0" r="0" b="0"/>
                      <wp:wrapNone/>
                      <wp:docPr id="323" name="Frame3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33985" cy="175260"/>
                      <wp:effectExtent l="0" t="0" r="0" b="0"/>
                      <wp:wrapNone/>
                      <wp:docPr id="324" name="Frame3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433070" cy="175260"/>
                      <wp:effectExtent l="0" t="0" r="0" b="0"/>
                      <wp:wrapNone/>
                      <wp:docPr id="325" name="Frame325"/>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19710" cy="175260"/>
                      <wp:effectExtent l="0" t="0" r="0" b="0"/>
                      <wp:wrapNone/>
                      <wp:docPr id="326" name="Frame3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487045" cy="175260"/>
                      <wp:effectExtent l="0" t="0" r="0" b="0"/>
                      <wp:wrapNone/>
                      <wp:docPr id="327" name="Frame327"/>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51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33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0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1, 2026</w:t>
            </w:r>
          </w:p>
        </w:tc>
        <w:tc>
          <w:tcPr>
            <w:tcW w:w="346" w:type="dxa"/>
            <w:tcBorders/>
            <w:vAlign w:val="center"/>
          </w:tcPr>
          <w:p>
            <w:pPr>
              <w:pStyle w:val="TableContents"/>
              <w:bidi w:val="0"/>
              <w:spacing w:before="0" w:after="0"/>
              <w:ind w:left="0" w:right="0" w:hanging="0"/>
              <w:jc w:val="center"/>
              <w:rPr/>
            </w:pPr>
            <w:r>
              <w:rPr/>
              <w:t>​</w:t>
            </w:r>
          </w:p>
        </w:tc>
        <w:tc>
          <w:tcPr>
            <w:tcW w:w="190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25, 2025</w:t>
            </w:r>
          </w:p>
        </w:tc>
        <w:tc>
          <w:tcPr>
            <w:tcW w:w="346" w:type="dxa"/>
            <w:tcBorders/>
            <w:vAlign w:val="center"/>
          </w:tcPr>
          <w:p>
            <w:pPr>
              <w:pStyle w:val="TableContents"/>
              <w:bidi w:val="0"/>
              <w:spacing w:before="0" w:after="0"/>
              <w:ind w:left="0" w:right="0" w:hanging="0"/>
              <w:jc w:val="center"/>
              <w:rPr/>
            </w:pPr>
            <w:r>
              <w:rPr/>
              <w:t>​</w:t>
            </w:r>
          </w:p>
        </w:tc>
        <w:tc>
          <w:tcPr>
            <w:tcW w:w="200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 (Decrease)</w:t>
            </w:r>
          </w:p>
        </w:tc>
      </w:tr>
      <w:tr>
        <w:trPr/>
        <w:tc>
          <w:tcPr>
            <w:tcW w:w="33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($,000)</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($,000)</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 ​ ​</w:t>
            </w:r>
          </w:p>
        </w:tc>
        <w:tc>
          <w:tcPr>
            <w:tcW w:w="8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($,000)</w:t>
            </w:r>
          </w:p>
        </w:tc>
        <w:tc>
          <w:tcPr>
            <w:tcW w:w="346" w:type="dxa"/>
            <w:tcBorders/>
            <w:vAlign w:val="center"/>
          </w:tcPr>
          <w:p>
            <w:pPr>
              <w:pStyle w:val="TableContents"/>
              <w:bidi w:val="0"/>
              <w:spacing w:before="0" w:after="0"/>
              <w:ind w:left="0" w:right="0" w:hanging="0"/>
              <w:jc w:val="center"/>
              <w:rPr/>
            </w:pPr>
            <w:r>
              <w:rPr/>
              <w:t>  ​ ​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334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Statements of Income Data</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82"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67" w:type="dxa"/>
            <w:tcBorders/>
            <w:shd w:fill="CCEEFF" w:val="clear"/>
            <w:vAlign w:val="center"/>
          </w:tcPr>
          <w:p>
            <w:pPr>
              <w:pStyle w:val="TableContents"/>
              <w:bidi w:val="0"/>
              <w:spacing w:before="0" w:after="0"/>
              <w:ind w:left="0" w:right="0" w:hanging="0"/>
              <w:jc w:val="center"/>
              <w:rPr/>
            </w:pPr>
            <w:r>
              <w:rPr/>
              <w:t>​</w:t>
            </w:r>
          </w:p>
        </w:tc>
      </w:tr>
      <w:tr>
        <w:trPr/>
        <w:tc>
          <w:tcPr>
            <w:tcW w:w="33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Company-operated restaurant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108,136</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104,318</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3,818</w:t>
            </w:r>
          </w:p>
        </w:tc>
        <w:tc>
          <w:tcPr>
            <w:tcW w:w="346"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3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12,862</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13,372</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w:t>
            </w:r>
          </w:p>
        </w:tc>
        <w:tc>
          <w:tcPr>
            <w:tcW w:w="346"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33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8,574</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8,144</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c>
          <w:tcPr>
            <w:tcW w:w="346" w:type="dxa"/>
            <w:tcBorders/>
            <w:vAlign w:val="center"/>
          </w:tcPr>
          <w:p>
            <w:pPr>
              <w:pStyle w:val="TableContents"/>
              <w:bidi w:val="0"/>
              <w:spacing w:before="0" w:after="0"/>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334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129,572</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125,834</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3,738</w:t>
            </w:r>
          </w:p>
        </w:tc>
        <w:tc>
          <w:tcPr>
            <w:tcW w:w="346"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w:t>
            </w:r>
          </w:p>
        </w:tc>
      </w:tr>
      <w:tr>
        <w:trPr/>
        <w:tc>
          <w:tcPr>
            <w:tcW w:w="3343"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Cost of operations</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pPr>
            <w:r>
              <w:rPr/>
              <w:t>​</w:t>
            </w:r>
          </w:p>
        </w:tc>
      </w:tr>
      <w:tr>
        <w:trPr/>
        <w:tc>
          <w:tcPr>
            <w:tcW w:w="3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Food and paper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27,466</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25,496</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1,970</w:t>
            </w:r>
          </w:p>
        </w:tc>
        <w:tc>
          <w:tcPr>
            <w:tcW w:w="346"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33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 and related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32,293</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32,155</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46"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3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Occupancy and other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27,315</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26,741</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w:t>
            </w:r>
          </w:p>
        </w:tc>
        <w:tc>
          <w:tcPr>
            <w:tcW w:w="346" w:type="dxa"/>
            <w:tcBorders/>
            <w:shd w:fill="CCEEFF" w:val="clear"/>
            <w:vAlign w:val="center"/>
          </w:tcPr>
          <w:p>
            <w:pPr>
              <w:pStyle w:val="TableContents"/>
              <w:bidi w:val="0"/>
              <w:spacing w:before="0" w:after="0"/>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3343"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Company restaurant expenses</w:t>
            </w:r>
            <w:r>
              <w:rPr>
                <w:rFonts w:ascii="Times New Roman;Times;serif" w:hAnsi="Times New Roman;Times;serif"/>
                <w:b/>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87,074</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84,392</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2,682</w:t>
            </w:r>
          </w:p>
        </w:tc>
        <w:tc>
          <w:tcPr>
            <w:tcW w:w="346"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w:t>
            </w:r>
          </w:p>
        </w:tc>
      </w:tr>
      <w:tr>
        <w:trPr/>
        <w:tc>
          <w:tcPr>
            <w:tcW w:w="3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7,054</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13,532</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(6,478)</w:t>
            </w:r>
          </w:p>
        </w:tc>
        <w:tc>
          <w:tcPr>
            <w:tcW w:w="346"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r>
      <w:tr>
        <w:trPr/>
        <w:tc>
          <w:tcPr>
            <w:tcW w:w="33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11,870</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12,627</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w:t>
            </w:r>
          </w:p>
        </w:tc>
        <w:tc>
          <w:tcPr>
            <w:tcW w:w="346"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3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4,166</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3,929</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c>
          <w:tcPr>
            <w:tcW w:w="346"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33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w:t>
            </w:r>
          </w:p>
        </w:tc>
        <w:tc>
          <w:tcPr>
            <w:tcW w:w="346"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1,100.0</w:t>
            </w:r>
          </w:p>
        </w:tc>
      </w:tr>
      <w:tr>
        <w:trPr/>
        <w:tc>
          <w:tcPr>
            <w:tcW w:w="3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and closed-store reserves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346" w:type="dxa"/>
            <w:tcBorders/>
            <w:shd w:fill="CCEEFF" w:val="clear"/>
            <w:vAlign w:val="center"/>
          </w:tcPr>
          <w:p>
            <w:pPr>
              <w:pStyle w:val="TableContents"/>
              <w:bidi w:val="0"/>
              <w:spacing w:before="0" w:after="0"/>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3,383.3</w:t>
            </w:r>
          </w:p>
        </w:tc>
      </w:tr>
      <w:tr>
        <w:trPr/>
        <w:tc>
          <w:tcPr>
            <w:tcW w:w="334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110,889</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85.6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114,529</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(3,640)</w:t>
            </w:r>
          </w:p>
        </w:tc>
        <w:tc>
          <w:tcPr>
            <w:tcW w:w="346" w:type="dxa"/>
            <w:tcBorders/>
            <w:vAlign w:val="center"/>
          </w:tcPr>
          <w:p>
            <w:pPr>
              <w:pStyle w:val="TableContents"/>
              <w:bidi w:val="0"/>
              <w:spacing w:before="0" w:after="0"/>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w:t>
            </w:r>
          </w:p>
        </w:tc>
      </w:tr>
      <w:tr>
        <w:trPr/>
        <w:tc>
          <w:tcPr>
            <w:tcW w:w="334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18,683</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11,305</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7,378</w:t>
            </w:r>
          </w:p>
        </w:tc>
        <w:tc>
          <w:tcPr>
            <w:tcW w:w="346"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65.3</w:t>
            </w:r>
          </w:p>
        </w:tc>
      </w:tr>
      <w:tr>
        <w:trPr/>
        <w:tc>
          <w:tcPr>
            <w:tcW w:w="33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 of interest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1,207</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w:t>
            </w:r>
          </w:p>
        </w:tc>
        <w:tc>
          <w:tcPr>
            <w:tcW w:w="346" w:type="dxa"/>
            <w:tcBorders/>
            <w:vAlign w:val="center"/>
          </w:tcPr>
          <w:p>
            <w:pPr>
              <w:pStyle w:val="TableContents"/>
              <w:bidi w:val="0"/>
              <w:spacing w:before="0" w:after="0"/>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w:t>
            </w:r>
          </w:p>
        </w:tc>
      </w:tr>
      <w:tr>
        <w:trPr/>
        <w:tc>
          <w:tcPr>
            <w:tcW w:w="334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provision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17,977</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10,098</w:t>
            </w:r>
          </w:p>
        </w:tc>
        <w:tc>
          <w:tcPr>
            <w:tcW w:w="346"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7,879</w:t>
            </w:r>
          </w:p>
        </w:tc>
        <w:tc>
          <w:tcPr>
            <w:tcW w:w="346"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78.0</w:t>
            </w:r>
          </w:p>
        </w:tc>
      </w:tr>
      <w:tr>
        <w:trPr/>
        <w:tc>
          <w:tcPr>
            <w:tcW w:w="33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5,170</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2,991</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2,179</w:t>
            </w:r>
          </w:p>
        </w:tc>
        <w:tc>
          <w:tcPr>
            <w:tcW w:w="346" w:type="dxa"/>
            <w:tcBorders/>
            <w:vAlign w:val="center"/>
          </w:tcPr>
          <w:p>
            <w:pPr>
              <w:pStyle w:val="TableContents"/>
              <w:bidi w:val="0"/>
              <w:spacing w:before="0" w:after="0"/>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w:t>
            </w:r>
          </w:p>
        </w:tc>
      </w:tr>
      <w:tr>
        <w:trPr/>
        <w:tc>
          <w:tcPr>
            <w:tcW w:w="334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12,807</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7,107</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5,700</w:t>
            </w:r>
          </w:p>
        </w:tc>
        <w:tc>
          <w:tcPr>
            <w:tcW w:w="346" w:type="dxa"/>
            <w:tcBorders/>
            <w:shd w:fill="CCEEFF" w:val="clear"/>
            <w:vAlign w:val="center"/>
          </w:tcPr>
          <w:p>
            <w:pPr>
              <w:pStyle w:val="TableContents"/>
              <w:bidi w:val="0"/>
              <w:spacing w:before="0" w:after="0"/>
              <w:ind w:left="0" w:right="0" w:hanging="0"/>
              <w:jc w:val="left"/>
              <w:rPr/>
            </w:pPr>
            <w:r>
              <w:rPr/>
              <w:t> </w:t>
            </w:r>
          </w:p>
        </w:tc>
        <w:tc>
          <w:tcPr>
            <w:tcW w:w="76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80.2</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Percentages for line items relating to cost of operations and company restaurant expenses are calculated with company-operated restaurant revenue as the denominator. All other percentages use total revenue.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337"/>
        <w:gridCol w:w="346"/>
        <w:gridCol w:w="211"/>
        <w:gridCol w:w="781"/>
        <w:gridCol w:w="346"/>
        <w:gridCol w:w="571"/>
        <w:gridCol w:w="346"/>
        <w:gridCol w:w="211"/>
        <w:gridCol w:w="781"/>
        <w:gridCol w:w="346"/>
        <w:gridCol w:w="571"/>
        <w:gridCol w:w="346"/>
        <w:gridCol w:w="211"/>
        <w:gridCol w:w="688"/>
        <w:gridCol w:w="346"/>
        <w:gridCol w:w="767"/>
      </w:tblGrid>
      <w:tr>
        <w:trPr/>
        <w:tc>
          <w:tcPr>
            <w:tcW w:w="3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118995" cy="175260"/>
                      <wp:effectExtent l="0" t="0" r="0" b="0"/>
                      <wp:wrapNone/>
                      <wp:docPr id="328" name="Frame328"/>
                      <a:graphic xmlns:a="http://schemas.openxmlformats.org/drawingml/2006/main">
                        <a:graphicData uri="http://schemas.microsoft.com/office/word/2010/wordprocessingShape">
                          <wps:wsp>
                            <wps:cNvSpPr txBox="1"/>
                            <wps:spPr>
                              <a:xfrm>
                                <a:off x="0" y="0"/>
                                <a:ext cx="2118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19710" cy="175260"/>
                      <wp:effectExtent l="0" t="0" r="0" b="0"/>
                      <wp:wrapNone/>
                      <wp:docPr id="329" name="Frame3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33985" cy="175260"/>
                      <wp:effectExtent l="0" t="0" r="0" b="0"/>
                      <wp:wrapNone/>
                      <wp:docPr id="330" name="Frame3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495935" cy="175260"/>
                      <wp:effectExtent l="0" t="0" r="0" b="0"/>
                      <wp:wrapNone/>
                      <wp:docPr id="331" name="Frame33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19710" cy="175260"/>
                      <wp:effectExtent l="0" t="0" r="0" b="0"/>
                      <wp:wrapNone/>
                      <wp:docPr id="332" name="Frame3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362585" cy="175260"/>
                      <wp:effectExtent l="0" t="0" r="0" b="0"/>
                      <wp:wrapNone/>
                      <wp:docPr id="333" name="Frame33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19710" cy="175260"/>
                      <wp:effectExtent l="0" t="0" r="0" b="0"/>
                      <wp:wrapNone/>
                      <wp:docPr id="334" name="Frame3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33985" cy="175260"/>
                      <wp:effectExtent l="0" t="0" r="0" b="0"/>
                      <wp:wrapNone/>
                      <wp:docPr id="335" name="Frame3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495935" cy="175260"/>
                      <wp:effectExtent l="0" t="0" r="0" b="0"/>
                      <wp:wrapNone/>
                      <wp:docPr id="336" name="Frame33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19710" cy="175260"/>
                      <wp:effectExtent l="0" t="0" r="0" b="0"/>
                      <wp:wrapNone/>
                      <wp:docPr id="337" name="Frame3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362585" cy="175260"/>
                      <wp:effectExtent l="0" t="0" r="0" b="0"/>
                      <wp:wrapNone/>
                      <wp:docPr id="338" name="Frame33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19710" cy="175260"/>
                      <wp:effectExtent l="0" t="0" r="0" b="0"/>
                      <wp:wrapNone/>
                      <wp:docPr id="339" name="Frame3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33985" cy="175260"/>
                      <wp:effectExtent l="0" t="0" r="0" b="0"/>
                      <wp:wrapNone/>
                      <wp:docPr id="340" name="Frame3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436880" cy="175260"/>
                      <wp:effectExtent l="0" t="0" r="0" b="0"/>
                      <wp:wrapNone/>
                      <wp:docPr id="341" name="Frame341"/>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19710" cy="175260"/>
                      <wp:effectExtent l="0" t="0" r="0" b="0"/>
                      <wp:wrapNone/>
                      <wp:docPr id="342" name="Frame3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487045" cy="175260"/>
                      <wp:effectExtent l="0" t="0" r="0" b="0"/>
                      <wp:wrapNone/>
                      <wp:docPr id="343" name="Frame343"/>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3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6522"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Twenty-Six Weeks Ended </w:t>
            </w:r>
          </w:p>
        </w:tc>
      </w:tr>
      <w:tr>
        <w:trPr/>
        <w:tc>
          <w:tcPr>
            <w:tcW w:w="333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0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1, 2026</w:t>
            </w:r>
          </w:p>
        </w:tc>
        <w:tc>
          <w:tcPr>
            <w:tcW w:w="346" w:type="dxa"/>
            <w:tcBorders/>
            <w:vAlign w:val="center"/>
          </w:tcPr>
          <w:p>
            <w:pPr>
              <w:pStyle w:val="TableContents"/>
              <w:bidi w:val="0"/>
              <w:spacing w:before="0" w:after="1"/>
              <w:ind w:left="0" w:right="0" w:hanging="0"/>
              <w:jc w:val="center"/>
              <w:rPr/>
            </w:pPr>
            <w:r>
              <w:rPr/>
              <w:t>​</w:t>
            </w:r>
          </w:p>
        </w:tc>
        <w:tc>
          <w:tcPr>
            <w:tcW w:w="190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25, 2025</w:t>
            </w:r>
          </w:p>
        </w:tc>
        <w:tc>
          <w:tcPr>
            <w:tcW w:w="346" w:type="dxa"/>
            <w:tcBorders/>
            <w:vAlign w:val="center"/>
          </w:tcPr>
          <w:p>
            <w:pPr>
              <w:pStyle w:val="TableContents"/>
              <w:bidi w:val="0"/>
              <w:spacing w:before="0" w:after="1"/>
              <w:ind w:left="0" w:right="0" w:hanging="0"/>
              <w:jc w:val="center"/>
              <w:rPr/>
            </w:pPr>
            <w:r>
              <w:rPr/>
              <w:t>​</w:t>
            </w:r>
          </w:p>
        </w:tc>
        <w:tc>
          <w:tcPr>
            <w:tcW w:w="2012"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Increase / (Decrease)</w:t>
            </w:r>
          </w:p>
        </w:tc>
      </w:tr>
      <w:tr>
        <w:trPr/>
        <w:tc>
          <w:tcPr>
            <w:tcW w:w="333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($,000)</w:t>
            </w:r>
          </w:p>
        </w:tc>
        <w:tc>
          <w:tcPr>
            <w:tcW w:w="346" w:type="dxa"/>
            <w:tcBorders/>
            <w:vAlign w:val="center"/>
          </w:tcPr>
          <w:p>
            <w:pPr>
              <w:pStyle w:val="TableContents"/>
              <w:bidi w:val="0"/>
              <w:spacing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($,000)</w:t>
            </w:r>
          </w:p>
        </w:tc>
        <w:tc>
          <w:tcPr>
            <w:tcW w:w="346" w:type="dxa"/>
            <w:tcBorders/>
            <w:vAlign w:val="center"/>
          </w:tcPr>
          <w:p>
            <w:pPr>
              <w:pStyle w:val="TableContents"/>
              <w:bidi w:val="0"/>
              <w:spacing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  ​ ​ ​</w:t>
            </w:r>
          </w:p>
        </w:tc>
        <w:tc>
          <w:tcPr>
            <w:tcW w:w="8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($,000)</w:t>
            </w:r>
          </w:p>
        </w:tc>
        <w:tc>
          <w:tcPr>
            <w:tcW w:w="346" w:type="dxa"/>
            <w:tcBorders/>
            <w:vAlign w:val="center"/>
          </w:tcPr>
          <w:p>
            <w:pPr>
              <w:pStyle w:val="TableContents"/>
              <w:bidi w:val="0"/>
              <w:spacing w:before="0" w:after="1"/>
              <w:ind w:left="0" w:right="0" w:hanging="0"/>
              <w:jc w:val="center"/>
              <w:rPr/>
            </w:pPr>
            <w:r>
              <w:rPr/>
              <w:t>  ​ ​ ​</w:t>
            </w:r>
          </w:p>
        </w:tc>
        <w:tc>
          <w:tcPr>
            <w:tcW w:w="76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333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Statements of Income Data</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57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57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88"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767" w:type="dxa"/>
            <w:tcBorders/>
            <w:shd w:fill="CCEEFF" w:val="clear"/>
            <w:vAlign w:val="center"/>
          </w:tcPr>
          <w:p>
            <w:pPr>
              <w:pStyle w:val="TableContents"/>
              <w:bidi w:val="0"/>
              <w:spacing w:before="0" w:after="1"/>
              <w:ind w:left="0" w:right="0" w:hanging="0"/>
              <w:jc w:val="center"/>
              <w:rPr/>
            </w:pPr>
            <w:r>
              <w:rPr/>
              <w:t>​</w:t>
            </w:r>
          </w:p>
        </w:tc>
      </w:tr>
      <w:tr>
        <w:trPr/>
        <w:tc>
          <w:tcPr>
            <w:tcW w:w="33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Company-operated restaurant revenue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214,051</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202,683</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11,368</w:t>
            </w:r>
          </w:p>
        </w:tc>
        <w:tc>
          <w:tcPr>
            <w:tcW w:w="346" w:type="dxa"/>
            <w:tcBorders/>
            <w:vAlign w:val="center"/>
          </w:tcPr>
          <w:p>
            <w:pPr>
              <w:pStyle w:val="TableContents"/>
              <w:bidi w:val="0"/>
              <w:spacing w:before="0" w:after="1"/>
              <w:ind w:left="0" w:right="0" w:hanging="0"/>
              <w:jc w:val="left"/>
              <w:rPr/>
            </w:pPr>
            <w:r>
              <w:rPr/>
              <w:t> </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3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24,890</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26,555</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(1,665)</w:t>
            </w:r>
          </w:p>
        </w:tc>
        <w:tc>
          <w:tcPr>
            <w:tcW w:w="346" w:type="dxa"/>
            <w:tcBorders/>
            <w:shd w:fill="CCEEFF" w:val="clear"/>
            <w:vAlign w:val="center"/>
          </w:tcPr>
          <w:p>
            <w:pPr>
              <w:pStyle w:val="TableContents"/>
              <w:bidi w:val="0"/>
              <w:spacing w:before="0" w:after="1"/>
              <w:ind w:left="0" w:right="0" w:hanging="0"/>
              <w:jc w:val="left"/>
              <w:rPr/>
            </w:pPr>
            <w:r>
              <w:rPr/>
              <w:t> </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33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16,813</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15,773</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1,040</w:t>
            </w:r>
          </w:p>
        </w:tc>
        <w:tc>
          <w:tcPr>
            <w:tcW w:w="346" w:type="dxa"/>
            <w:tcBorders/>
            <w:vAlign w:val="center"/>
          </w:tcPr>
          <w:p>
            <w:pPr>
              <w:pStyle w:val="TableContents"/>
              <w:bidi w:val="0"/>
              <w:spacing w:before="0" w:after="1"/>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333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255,754</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245,011</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10,743</w:t>
            </w:r>
          </w:p>
        </w:tc>
        <w:tc>
          <w:tcPr>
            <w:tcW w:w="346" w:type="dxa"/>
            <w:tcBorders/>
            <w:shd w:fill="CCEEFF" w:val="clear"/>
            <w:vAlign w:val="center"/>
          </w:tcPr>
          <w:p>
            <w:pPr>
              <w:pStyle w:val="TableContents"/>
              <w:bidi w:val="0"/>
              <w:spacing w:before="0" w:after="1"/>
              <w:ind w:left="0" w:right="0" w:hanging="0"/>
              <w:jc w:val="left"/>
              <w:rPr/>
            </w:pPr>
            <w:r>
              <w:rPr/>
              <w:t> </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w:t>
            </w:r>
          </w:p>
        </w:tc>
      </w:tr>
      <w:tr>
        <w:trPr/>
        <w:tc>
          <w:tcPr>
            <w:tcW w:w="3337"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Cost of operations</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767" w:type="dxa"/>
            <w:tcBorders/>
            <w:vAlign w:val="center"/>
          </w:tcPr>
          <w:p>
            <w:pPr>
              <w:pStyle w:val="TableContents"/>
              <w:bidi w:val="0"/>
              <w:spacing w:before="0" w:after="1"/>
              <w:ind w:left="0" w:right="0" w:hanging="0"/>
              <w:jc w:val="right"/>
              <w:rPr/>
            </w:pPr>
            <w:r>
              <w:rPr/>
              <w:t>​</w:t>
            </w:r>
          </w:p>
        </w:tc>
      </w:tr>
      <w:tr>
        <w:trPr/>
        <w:tc>
          <w:tcPr>
            <w:tcW w:w="3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Food and paper costs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53,855</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50,235</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3,620</w:t>
            </w:r>
          </w:p>
        </w:tc>
        <w:tc>
          <w:tcPr>
            <w:tcW w:w="346" w:type="dxa"/>
            <w:tcBorders/>
            <w:shd w:fill="CCEEFF" w:val="clear"/>
            <w:vAlign w:val="center"/>
          </w:tcPr>
          <w:p>
            <w:pPr>
              <w:pStyle w:val="TableContents"/>
              <w:bidi w:val="0"/>
              <w:spacing w:before="0" w:after="1"/>
              <w:ind w:left="0" w:right="0" w:hanging="0"/>
              <w:jc w:val="left"/>
              <w:rPr/>
            </w:pPr>
            <w:r>
              <w:rPr/>
              <w:t> </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33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Labor and related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64,132</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64,334</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w:t>
            </w:r>
          </w:p>
        </w:tc>
        <w:tc>
          <w:tcPr>
            <w:tcW w:w="346" w:type="dxa"/>
            <w:tcBorders/>
            <w:vAlign w:val="center"/>
          </w:tcPr>
          <w:p>
            <w:pPr>
              <w:pStyle w:val="TableContents"/>
              <w:bidi w:val="0"/>
              <w:spacing w:before="0" w:after="1"/>
              <w:ind w:left="0" w:right="0" w:hanging="0"/>
              <w:jc w:val="left"/>
              <w:rPr/>
            </w:pPr>
            <w:r>
              <w:rPr/>
              <w:t> </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3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Occupancy and other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54,645</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52,414</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2,231</w:t>
            </w:r>
          </w:p>
        </w:tc>
        <w:tc>
          <w:tcPr>
            <w:tcW w:w="346" w:type="dxa"/>
            <w:tcBorders/>
            <w:shd w:fill="CCEEFF" w:val="clear"/>
            <w:vAlign w:val="center"/>
          </w:tcPr>
          <w:p>
            <w:pPr>
              <w:pStyle w:val="TableContents"/>
              <w:bidi w:val="0"/>
              <w:spacing w:before="0" w:after="1"/>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3337"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Company restaurant expenses</w:t>
            </w:r>
            <w:r>
              <w:rPr>
                <w:rFonts w:ascii="Times New Roman;Times;serif" w:hAnsi="Times New Roman;Times;serif"/>
                <w:b/>
                <w:sz w:val="15"/>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172,632</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80.7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166,983</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82.4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5,649</w:t>
            </w:r>
          </w:p>
        </w:tc>
        <w:tc>
          <w:tcPr>
            <w:tcW w:w="346" w:type="dxa"/>
            <w:tcBorders/>
            <w:vAlign w:val="center"/>
          </w:tcPr>
          <w:p>
            <w:pPr>
              <w:pStyle w:val="TableContents"/>
              <w:bidi w:val="0"/>
              <w:spacing w:before="0" w:after="1"/>
              <w:ind w:left="0" w:right="0" w:hanging="0"/>
              <w:jc w:val="left"/>
              <w:rPr/>
            </w:pPr>
            <w:r>
              <w:rPr/>
              <w:t> </w:t>
            </w:r>
          </w:p>
        </w:tc>
        <w:tc>
          <w:tcPr>
            <w:tcW w:w="76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w:t>
            </w:r>
          </w:p>
        </w:tc>
      </w:tr>
      <w:tr>
        <w:trPr/>
        <w:tc>
          <w:tcPr>
            <w:tcW w:w="3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19,848</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24,795</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(4,947)</w:t>
            </w:r>
          </w:p>
        </w:tc>
        <w:tc>
          <w:tcPr>
            <w:tcW w:w="346" w:type="dxa"/>
            <w:tcBorders/>
            <w:shd w:fill="CCEEFF" w:val="clear"/>
            <w:vAlign w:val="center"/>
          </w:tcPr>
          <w:p>
            <w:pPr>
              <w:pStyle w:val="TableContents"/>
              <w:bidi w:val="0"/>
              <w:spacing w:before="0" w:after="1"/>
              <w:ind w:left="0" w:right="0" w:hanging="0"/>
              <w:jc w:val="left"/>
              <w:rPr/>
            </w:pPr>
            <w:r>
              <w:rPr/>
              <w:t> </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r>
      <w:tr>
        <w:trPr/>
        <w:tc>
          <w:tcPr>
            <w:tcW w:w="33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Franchise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23,059</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25,069</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(2,010)</w:t>
            </w:r>
          </w:p>
        </w:tc>
        <w:tc>
          <w:tcPr>
            <w:tcW w:w="346" w:type="dxa"/>
            <w:tcBorders/>
            <w:vAlign w:val="center"/>
          </w:tcPr>
          <w:p>
            <w:pPr>
              <w:pStyle w:val="TableContents"/>
              <w:bidi w:val="0"/>
              <w:spacing w:before="0" w:after="1"/>
              <w:ind w:left="0" w:right="0" w:hanging="0"/>
              <w:jc w:val="left"/>
              <w:rPr/>
            </w:pPr>
            <w:r>
              <w:rPr/>
              <w:t> </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3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8,480</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7,816</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664</w:t>
            </w:r>
          </w:p>
        </w:tc>
        <w:tc>
          <w:tcPr>
            <w:tcW w:w="346" w:type="dxa"/>
            <w:tcBorders/>
            <w:shd w:fill="CCEEFF" w:val="clear"/>
            <w:vAlign w:val="center"/>
          </w:tcPr>
          <w:p>
            <w:pPr>
              <w:pStyle w:val="TableContents"/>
              <w:bidi w:val="0"/>
              <w:spacing w:before="0" w:after="1"/>
              <w:ind w:left="0" w:right="0" w:hanging="0"/>
              <w:jc w:val="left"/>
              <w:rPr/>
            </w:pPr>
            <w:r>
              <w:rPr/>
              <w:t> </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33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disposal of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612</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558</w:t>
            </w:r>
          </w:p>
        </w:tc>
        <w:tc>
          <w:tcPr>
            <w:tcW w:w="346" w:type="dxa"/>
            <w:tcBorders/>
            <w:vAlign w:val="center"/>
          </w:tcPr>
          <w:p>
            <w:pPr>
              <w:pStyle w:val="TableContents"/>
              <w:bidi w:val="0"/>
              <w:spacing w:before="0" w:after="1"/>
              <w:ind w:left="0" w:right="0" w:hanging="0"/>
              <w:jc w:val="left"/>
              <w:rPr/>
            </w:pPr>
            <w:r>
              <w:rPr/>
              <w:t> </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1,033.3</w:t>
            </w:r>
          </w:p>
        </w:tc>
      </w:tr>
      <w:tr>
        <w:trPr/>
        <w:tc>
          <w:tcPr>
            <w:tcW w:w="3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 and closed-store reserves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w:t>
            </w:r>
          </w:p>
        </w:tc>
        <w:tc>
          <w:tcPr>
            <w:tcW w:w="346" w:type="dxa"/>
            <w:tcBorders/>
            <w:shd w:fill="CCEEFF" w:val="clear"/>
            <w:vAlign w:val="center"/>
          </w:tcPr>
          <w:p>
            <w:pPr>
              <w:pStyle w:val="TableContents"/>
              <w:bidi w:val="0"/>
              <w:spacing w:before="0" w:after="1"/>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1,211.8</w:t>
            </w:r>
          </w:p>
        </w:tc>
      </w:tr>
      <w:tr>
        <w:trPr/>
        <w:tc>
          <w:tcPr>
            <w:tcW w:w="333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224,854</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87.9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224,734</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91.7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120</w:t>
            </w:r>
          </w:p>
        </w:tc>
        <w:tc>
          <w:tcPr>
            <w:tcW w:w="346" w:type="dxa"/>
            <w:tcBorders/>
            <w:vAlign w:val="center"/>
          </w:tcPr>
          <w:p>
            <w:pPr>
              <w:pStyle w:val="TableContents"/>
              <w:bidi w:val="0"/>
              <w:spacing w:before="0" w:after="1"/>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0.1</w:t>
            </w:r>
          </w:p>
        </w:tc>
      </w:tr>
      <w:tr>
        <w:trPr/>
        <w:tc>
          <w:tcPr>
            <w:tcW w:w="333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Income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30,900</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20,277</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10,623</w:t>
            </w:r>
          </w:p>
        </w:tc>
        <w:tc>
          <w:tcPr>
            <w:tcW w:w="346" w:type="dxa"/>
            <w:tcBorders/>
            <w:shd w:fill="CCEEFF" w:val="clear"/>
            <w:vAlign w:val="center"/>
          </w:tcPr>
          <w:p>
            <w:pPr>
              <w:pStyle w:val="TableContents"/>
              <w:bidi w:val="0"/>
              <w:spacing w:before="0" w:after="1"/>
              <w:ind w:left="0" w:right="0" w:hanging="0"/>
              <w:jc w:val="left"/>
              <w:rPr/>
            </w:pPr>
            <w:r>
              <w:rPr/>
              <w:t> </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52.4</w:t>
            </w:r>
          </w:p>
        </w:tc>
      </w:tr>
      <w:tr>
        <w:trPr/>
        <w:tc>
          <w:tcPr>
            <w:tcW w:w="33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net of interest income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1,437</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2,383</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(946)</w:t>
            </w:r>
          </w:p>
        </w:tc>
        <w:tc>
          <w:tcPr>
            <w:tcW w:w="346" w:type="dxa"/>
            <w:tcBorders/>
            <w:vAlign w:val="center"/>
          </w:tcPr>
          <w:p>
            <w:pPr>
              <w:pStyle w:val="TableContents"/>
              <w:bidi w:val="0"/>
              <w:spacing w:before="0" w:after="1"/>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333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Income before provision for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29,463</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17,894</w:t>
            </w:r>
          </w:p>
        </w:tc>
        <w:tc>
          <w:tcPr>
            <w:tcW w:w="346" w:type="dxa"/>
            <w:tcBorders/>
            <w:shd w:fill="CCEEFF" w:val="clear"/>
            <w:vAlign w:val="center"/>
          </w:tcPr>
          <w:p>
            <w:pPr>
              <w:pStyle w:val="TableContents"/>
              <w:bidi w:val="0"/>
              <w:spacing w:before="0" w:after="1"/>
              <w:ind w:left="0" w:right="0" w:hanging="0"/>
              <w:jc w:val="righ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11,569</w:t>
            </w:r>
          </w:p>
        </w:tc>
        <w:tc>
          <w:tcPr>
            <w:tcW w:w="346" w:type="dxa"/>
            <w:tcBorders/>
            <w:shd w:fill="CCEEFF" w:val="clear"/>
            <w:vAlign w:val="center"/>
          </w:tcPr>
          <w:p>
            <w:pPr>
              <w:pStyle w:val="TableContents"/>
              <w:bidi w:val="0"/>
              <w:spacing w:before="0" w:after="1"/>
              <w:ind w:left="0" w:right="0" w:hanging="0"/>
              <w:jc w:val="left"/>
              <w:rPr/>
            </w:pPr>
            <w:r>
              <w:rPr/>
              <w:t> </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64.7</w:t>
            </w:r>
          </w:p>
        </w:tc>
      </w:tr>
      <w:tr>
        <w:trPr/>
        <w:tc>
          <w:tcPr>
            <w:tcW w:w="33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8,499</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5,306</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3,193</w:t>
            </w:r>
          </w:p>
        </w:tc>
        <w:tc>
          <w:tcPr>
            <w:tcW w:w="346" w:type="dxa"/>
            <w:tcBorders/>
            <w:vAlign w:val="center"/>
          </w:tcPr>
          <w:p>
            <w:pPr>
              <w:pStyle w:val="TableContents"/>
              <w:bidi w:val="0"/>
              <w:spacing w:before="0" w:after="1"/>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60.2</w:t>
            </w:r>
          </w:p>
        </w:tc>
      </w:tr>
      <w:tr>
        <w:trPr/>
        <w:tc>
          <w:tcPr>
            <w:tcW w:w="333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20,964</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12,588</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8,376</w:t>
            </w:r>
          </w:p>
        </w:tc>
        <w:tc>
          <w:tcPr>
            <w:tcW w:w="346" w:type="dxa"/>
            <w:tcBorders/>
            <w:shd w:fill="CCEEFF" w:val="clear"/>
            <w:vAlign w:val="center"/>
          </w:tcPr>
          <w:p>
            <w:pPr>
              <w:pStyle w:val="TableContents"/>
              <w:bidi w:val="0"/>
              <w:spacing w:before="0" w:after="1"/>
              <w:ind w:left="0" w:right="0" w:hanging="0"/>
              <w:jc w:val="left"/>
              <w:rPr/>
            </w:pPr>
            <w:r>
              <w:rPr/>
              <w:t> </w:t>
            </w:r>
          </w:p>
        </w:tc>
        <w:tc>
          <w:tcPr>
            <w:tcW w:w="767"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b/>
                <w:sz w:val="20"/>
              </w:rPr>
            </w:pPr>
            <w:r>
              <w:rPr>
                <w:rFonts w:ascii="Times New Roman;Times;serif" w:hAnsi="Times New Roman;Times;serif"/>
                <w:b/>
                <w:sz w:val="20"/>
              </w:rPr>
              <w:t>66.5</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Percentages for line items relating to cost of operations and company restaurant expenses are calculated with company-operated restaurant revenue as the denominator. All other percentages use total revenue.</w:t>
            </w:r>
          </w:p>
        </w:tc>
      </w:tr>
    </w:tbl>
    <w:p>
      <w:pPr>
        <w:pStyle w:val="TextBody"/>
        <w:bidi w:val="0"/>
        <w:spacing w:before="360" w:after="0"/>
        <w:ind w:left="490" w:right="0" w:hanging="0"/>
        <w:jc w:val="both"/>
        <w:rPr>
          <w:rFonts w:ascii="Times New Roman;Times;serif" w:hAnsi="Times New Roman;Times;serif"/>
          <w:i/>
          <w:sz w:val="20"/>
        </w:rPr>
      </w:pPr>
      <w:r>
        <w:rPr>
          <w:rFonts w:ascii="Times New Roman;Times;serif" w:hAnsi="Times New Roman;Times;serif"/>
          <w:i/>
          <w:sz w:val="20"/>
        </w:rPr>
        <w:t>Company-Operated Restaurant Revenue</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For the quarter ended July 1, 2026, company-operated restaurant revenue increased $3.8 million, or 3.7% from the comparable period in the prior year. The increase in company-operated restaurant revenue was mainly due to an increase in company-operated comparable restaurant revenue of $3.1 million, or 3.0%, as well as $1.0 million of additional sales from the opening of three restaurants after the second quarter of 2025. This company-operated restaurant revenue increase was partially offset by $0.3 million of higher discounts and net revenue deferrals associated with our Loco Rewards loyalty program. The company-operated comparable restaurant sales increase consisted of a 4.2% increase in average check size, partially offset by a 1.1% decrease in transactions.</w:t>
      </w:r>
      <w:r>
        <w:rPr>
          <w:rFonts w:ascii="Times New Roman;Times;serif" w:hAnsi="Times New Roman;Times;serif"/>
          <w:sz w:val="20"/>
          <w:shd w:fill="FFFFFF" w:val="clear"/>
        </w:rPr>
        <w:t xml:space="preserve">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For the year-to-date period ended July 1, 2026, company-operated restaurant revenue increased $11.4 million, or 5.6% from the comparable period in the prior year. The increase in company-operated restaurant revenue was mainly due to an increase in company-operated comparable restaurant revenue of $8.5 million, or 4.2%, as well as $1.7 million of additional sales from the opening of three restaurants after the second quarter of 2025. The company-operated comparable restaurant sales increase consisted of a 4.9% increase in average check size, partially offset by a 0.7% decrease in transactions.</w:t>
      </w:r>
      <w:r>
        <w:rPr>
          <w:rFonts w:ascii="Times New Roman;Times;serif" w:hAnsi="Times New Roman;Times;serif"/>
          <w:sz w:val="20"/>
          <w:shd w:fill="FFFFFF" w:val="clear"/>
        </w:rPr>
        <w:t xml:space="preserve"> </w:t>
      </w:r>
    </w:p>
    <w:p>
      <w:pPr>
        <w:pStyle w:val="TextBody"/>
        <w:bidi w:val="0"/>
        <w:spacing w:before="360" w:after="0"/>
        <w:ind w:left="490" w:right="0" w:hanging="0"/>
        <w:jc w:val="both"/>
        <w:rPr>
          <w:rFonts w:ascii="Times New Roman;Times;serif" w:hAnsi="Times New Roman;Times;serif"/>
          <w:i/>
          <w:sz w:val="20"/>
        </w:rPr>
      </w:pPr>
      <w:r>
        <w:rPr>
          <w:rFonts w:ascii="Times New Roman;Times;serif" w:hAnsi="Times New Roman;Times;serif"/>
          <w:i/>
          <w:sz w:val="20"/>
        </w:rPr>
        <w:t>Franchise Revenue</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 xml:space="preserve">For the quarter ended July 1, 2026, franchise revenue decreased $0.5 million, or 3.8% from the comparable period in the prior year. This decrease was primarily due to a $1.1 million decrease in franchisee information technology (“IT”) pass-through revenue related to the franchise rollout of the new Point of Sale (“POS”) system completed in 2025, which was partially offset by a corresponding decrease in related franchise expenses. The decrease was also partially offset by the increase in franchise revenue related to the 11 franchise-operated restaurant openings during or subsequent to the second quarter of 2025 and a franchise comparable restaurant sales increase of 4.5%. The franchise comparable restaurant sales increase consisted of a 5.3% increase in average check size, partially offset by a 0.8% decrease in transactions.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For the year-to-date period ended July 1, 2026, franchise revenue decreased $1.7 million, or 6.3% from the comparable period in the prior year. This decrease was primarily due to a $3.0 million decrease in franchisee IT pass-through revenue related to the franchise rollout of the new POS system completed in 2025, which was partially offset by a corresponding decrease in related franchise expenses. The decrease was also partially offset by the increase in franchise revenue related to the 11 franchise-operated restaurant openings during or subsequent to the second quarter of 2025 and a franchise comparable restaurant sales increase of 5.2%. The franchise comparable restaurant sales increase consisted of a 5.1% increase in average check size, combined with a 0.1% increase in transactions. </w:t>
      </w:r>
    </w:p>
    <w:p>
      <w:pPr>
        <w:pStyle w:val="TextBody"/>
        <w:bidi w:val="0"/>
        <w:spacing w:before="360" w:after="0"/>
        <w:ind w:left="490" w:right="0" w:hanging="0"/>
        <w:jc w:val="both"/>
        <w:rPr>
          <w:rFonts w:ascii="Times New Roman;Times;serif" w:hAnsi="Times New Roman;Times;serif"/>
          <w:i/>
          <w:sz w:val="20"/>
        </w:rPr>
      </w:pPr>
      <w:r>
        <w:rPr>
          <w:rFonts w:ascii="Times New Roman;Times;serif" w:hAnsi="Times New Roman;Times;serif"/>
          <w:i/>
          <w:sz w:val="20"/>
        </w:rPr>
        <w:t>Franchise Advertising Fee Revenue</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For the quarter ended July 1, 2026, franchise advertising fee revenue increased $0.4 million, or 5.3% from the comparable period in the prior year. As advertising fee revenue is a percentage of franchisees’ revenue, the fluctuations for the quarter were due to the increases and decreases noted in franchise revenue above.</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For the year-to-date period ended July 1, 2026, franchise advertising fee revenue increased $1.0 million, or 6.6% from the comparable period in the prior year. As advertising fee revenue is a percentage of franchisees’ revenue, the fluctuations for the year-to-date period were due to the increases and decreases noted in franchise revenue above.</w:t>
      </w:r>
    </w:p>
    <w:p>
      <w:pPr>
        <w:pStyle w:val="TextBody"/>
        <w:bidi w:val="0"/>
        <w:spacing w:before="360" w:after="0"/>
        <w:ind w:left="490" w:right="0" w:hanging="0"/>
        <w:jc w:val="both"/>
        <w:rPr>
          <w:rFonts w:ascii="Times New Roman;Times;serif" w:hAnsi="Times New Roman;Times;serif"/>
          <w:i/>
          <w:sz w:val="20"/>
        </w:rPr>
      </w:pPr>
      <w:r>
        <w:rPr>
          <w:rFonts w:ascii="Times New Roman;Times;serif" w:hAnsi="Times New Roman;Times;serif"/>
          <w:i/>
          <w:sz w:val="20"/>
        </w:rPr>
        <w:t>Food and Paper Costs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 xml:space="preserve">For the quarter ended July 1, 2026, food and paper costs increased $2.0 million, or 7.7%, </w:t>
      </w:r>
      <w:r>
        <w:rPr>
          <w:rFonts w:ascii="Times New Roman;Times;serif" w:hAnsi="Times New Roman;Times;serif"/>
          <w:sz w:val="20"/>
          <w:shd w:fill="FFFFFF" w:val="clear"/>
        </w:rPr>
        <w:t xml:space="preserve">from the comparable </w:t>
      </w:r>
      <w:r>
        <w:rPr>
          <w:rFonts w:ascii="Times New Roman;Times;serif" w:hAnsi="Times New Roman;Times;serif"/>
          <w:sz w:val="20"/>
        </w:rPr>
        <w:t>period</w:t>
      </w:r>
      <w:r>
        <w:rPr>
          <w:rFonts w:ascii="Times New Roman;Times;serif" w:hAnsi="Times New Roman;Times;serif"/>
          <w:sz w:val="20"/>
          <w:shd w:fill="FFFFFF" w:val="clear"/>
        </w:rPr>
        <w:t xml:space="preserve"> in the prior year. </w:t>
      </w:r>
      <w:r>
        <w:rPr>
          <w:rFonts w:ascii="Times New Roman;Times;serif" w:hAnsi="Times New Roman;Times;serif"/>
          <w:sz w:val="20"/>
        </w:rPr>
        <w:t>The increase in food and paper costs was primarily due to higher sales, higher commodity costs, increased discounts, and menu-mix shifts. For the quarter, food and paper costs as a percentage of company-operated restaurant revenue were 25.4%, up from 24.5% in the comparable period of the prior year.</w:t>
      </w:r>
      <w:r>
        <w:rPr>
          <w:rFonts w:ascii="Times New Roman;Times;serif" w:hAnsi="Times New Roman;Times;serif"/>
          <w:sz w:val="20"/>
          <w:shd w:fill="FFFFFF" w:val="clear"/>
        </w:rPr>
        <w:t xml:space="preserve"> </w:t>
      </w:r>
      <w:r>
        <w:rPr>
          <w:rFonts w:ascii="Times New Roman;Times;serif" w:hAnsi="Times New Roman;Times;serif"/>
          <w:sz w:val="20"/>
        </w:rPr>
        <w:t>The percentage increase was primarily due to higher commodity costs, increased discounts, and menu-mix shifts highlighted above, partially offset by menu price increases and cost-management initiatives</w:t>
      </w:r>
      <w:r>
        <w:rPr>
          <w:rFonts w:ascii="Times New Roman;Times;serif" w:hAnsi="Times New Roman;Times;serif"/>
          <w:sz w:val="20"/>
          <w:shd w:fill="FFFFFF" w:val="clear"/>
        </w:rPr>
        <w:t>.</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For the year-to-date period ended July 1, 2026, food and paper costs increased $3.6 million, or 7.2%, </w:t>
      </w:r>
      <w:r>
        <w:rPr>
          <w:rFonts w:ascii="Times New Roman;Times;serif" w:hAnsi="Times New Roman;Times;serif"/>
          <w:sz w:val="20"/>
          <w:shd w:fill="FFFFFF" w:val="clear"/>
        </w:rPr>
        <w:t xml:space="preserve">from the comparable </w:t>
      </w:r>
      <w:r>
        <w:rPr>
          <w:rFonts w:ascii="Times New Roman;Times;serif" w:hAnsi="Times New Roman;Times;serif"/>
          <w:sz w:val="20"/>
        </w:rPr>
        <w:t>period</w:t>
      </w:r>
      <w:r>
        <w:rPr>
          <w:rFonts w:ascii="Times New Roman;Times;serif" w:hAnsi="Times New Roman;Times;serif"/>
          <w:sz w:val="20"/>
          <w:shd w:fill="FFFFFF" w:val="clear"/>
        </w:rPr>
        <w:t xml:space="preserve"> in the prior year. </w:t>
      </w:r>
      <w:r>
        <w:rPr>
          <w:rFonts w:ascii="Times New Roman;Times;serif" w:hAnsi="Times New Roman;Times;serif"/>
          <w:sz w:val="20"/>
        </w:rPr>
        <w:t>The increase in food and paper costs was primarily due to higher sales, increased discounts, and higher commodity costs. For the year-to-date period ended July 1, 2026, food and paper costs as a percentage of company-operated restaurant revenue were 25.2%, up from 24.8% in the comparable period of the prior year.</w:t>
      </w:r>
      <w:r>
        <w:rPr>
          <w:rFonts w:ascii="Times New Roman;Times;serif" w:hAnsi="Times New Roman;Times;serif"/>
          <w:sz w:val="20"/>
          <w:shd w:fill="FFFFFF" w:val="clear"/>
        </w:rPr>
        <w:t xml:space="preserve"> </w:t>
      </w:r>
      <w:r>
        <w:rPr>
          <w:rFonts w:ascii="Times New Roman;Times;serif" w:hAnsi="Times New Roman;Times;serif"/>
          <w:sz w:val="20"/>
        </w:rPr>
        <w:t>The percentage increase was primarily due to the increased discounts and commodity cost increases, partially offset by menu price increases and cost-management initiatives</w:t>
      </w:r>
      <w:r>
        <w:rPr>
          <w:rFonts w:ascii="Times New Roman;Times;serif" w:hAnsi="Times New Roman;Times;serif"/>
          <w:sz w:val="20"/>
          <w:shd w:fill="FFFFFF" w:val="clear"/>
        </w:rPr>
        <w:t>.</w:t>
      </w:r>
    </w:p>
    <w:p>
      <w:pPr>
        <w:pStyle w:val="TextBody"/>
        <w:bidi w:val="0"/>
        <w:spacing w:before="360" w:after="0"/>
        <w:ind w:left="490" w:right="0" w:hanging="0"/>
        <w:jc w:val="both"/>
        <w:rPr>
          <w:rFonts w:ascii="Times New Roman;Times;serif" w:hAnsi="Times New Roman;Times;serif"/>
          <w:i/>
          <w:sz w:val="20"/>
        </w:rPr>
      </w:pPr>
      <w:r>
        <w:rPr>
          <w:rFonts w:ascii="Times New Roman;Times;serif" w:hAnsi="Times New Roman;Times;serif"/>
          <w:i/>
          <w:sz w:val="20"/>
        </w:rPr>
        <w:t>Labor and Related Expenses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 xml:space="preserve">For the quarter ended July 1, 2026, labor and related expenses increased $0.1 million, or 0.4%, from the comparable period in the prior year. The increase in labor and related expenses was primarily due to a $0.7 million increase in labor associated with the opening of three new restaurants after the second quarter of 2025, combined with higher wage inflation, higher management incentive expense, and higher overtime expense. These increases were partially offset by a $0.6 million reduction in group insurance and worker’s compensation expense. For the quarter ended July 1, 2026, labor and related expenses as a percentage of company-operated restaurant revenue were 29.9%, down from 30.8% in the comparable period in the prior year. </w:t>
      </w:r>
      <w:r>
        <w:rPr>
          <w:rFonts w:ascii="Times New Roman;Times;serif" w:hAnsi="Times New Roman;Times;serif"/>
          <w:sz w:val="20"/>
          <w:shd w:fill="FFFFFF" w:val="clear"/>
        </w:rPr>
        <w:t>The percentage change was driven by leverage on higher company-operated restaurant sales, reduced group insurance, and workers’ compensation claim expenses.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For the year-to-date period ended July 1, 2026, labor and related expenses decreased $0.2 million, or 0.3%, from the comparable period in the prior year. The decrease in labor and related expenses was primarily due to a $1.2 million reduction in group insurance and workers’ compensation claim expenses and other benefit-related costs, partially offset by a $1.0 million increase in direct labor-related costs, including restaurant labor and management incentive compensation, an increase in overtime and wage inflation and labor associated with the opening of three restaurants after the second quarter of 2025. For the year-to-date period ended July 1, 2026, labor and related expenses as a percentage of company-operated restaurant revenue were 30.0%, down from 31.7% in the comparable period in the prior year. The percentage change was driven by leverage on higher company-operated restaurant sales, reduced group insurance and workers’ compensation claims and improved labor efficiencies, partially offset by higher other labor-related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490" w:right="0" w:hanging="0"/>
        <w:jc w:val="both"/>
        <w:rPr>
          <w:rFonts w:ascii="Times New Roman;Times;serif" w:hAnsi="Times New Roman;Times;serif"/>
          <w:i/>
          <w:sz w:val="20"/>
        </w:rPr>
      </w:pPr>
      <w:r>
        <w:rPr>
          <w:rFonts w:ascii="Times New Roman;Times;serif" w:hAnsi="Times New Roman;Times;serif"/>
          <w:i/>
          <w:sz w:val="20"/>
        </w:rPr>
        <w:t>Occupancy and Other Operating Expenses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 xml:space="preserve">For the quarter ended July 1, 2026, occupancy and other operating expenses increased $0.6 million, or 2.1%, from the comparable period in the prior year. </w:t>
      </w:r>
      <w:r>
        <w:rPr>
          <w:rFonts w:ascii="Times New Roman;Times;serif" w:hAnsi="Times New Roman;Times;serif"/>
          <w:sz w:val="20"/>
          <w:shd w:fill="FFFFFF" w:val="clear"/>
        </w:rPr>
        <w:t xml:space="preserve">The increase was primarily due to a $0.4 million increase in other operating expenses, primarily from delivery fees, mobile order fees and credit card fees, and a $0.4 million increase in repairs and maintenance costs. These increases were partially offset by a $0.2 million decrease in utility costs and other controllable expenses. </w:t>
      </w:r>
      <w:r>
        <w:rPr>
          <w:rFonts w:ascii="Times New Roman;Times;serif" w:hAnsi="Times New Roman;Times;serif"/>
          <w:sz w:val="20"/>
        </w:rPr>
        <w:t xml:space="preserve">For the quarter ended July 1, 2026, occupancy and other operating expenses as a percentage of company-operated restaurant revenue </w:t>
      </w:r>
      <w:r>
        <w:rPr>
          <w:rFonts w:ascii="Times New Roman;Times;serif" w:hAnsi="Times New Roman;Times;serif"/>
          <w:sz w:val="20"/>
          <w:shd w:fill="FFFFFF" w:val="clear"/>
        </w:rPr>
        <w:t xml:space="preserve">were 25.3%, down from 25.6% in the comparable period in the prior year. The decrease as a percentage of sales resulted primarily from leverage on higher company-operated restaurant sales.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For the year-to-date period ended July 1, 2026, occupancy and other operating expenses increased $2.2 million, or 4.3%, from the comparable period in the prior year. The increase was primarily due to a $1.1 million increase in other operating expenses, primarily from delivery fees, mobile order fees and credit card fees, a $0.8 million increase in utilities and repairs and maintenance costs, and a $0.3 million increase in other operating expenses. For the year-to-date period ended July 1, 2026, occupancy and other operating expenses as a percentage of company-operated restaurant revenue </w:t>
      </w:r>
      <w:r>
        <w:rPr>
          <w:rFonts w:ascii="Times New Roman;Times;serif" w:hAnsi="Times New Roman;Times;serif"/>
          <w:sz w:val="20"/>
          <w:shd w:fill="FFFFFF" w:val="clear"/>
        </w:rPr>
        <w:t>were 25.5%, down from 25.9% in the comparable period in the prior year. The decrease as a percentage of sales resulted from leverage on higher company-operated restaurant sales.</w:t>
      </w:r>
    </w:p>
    <w:p>
      <w:pPr>
        <w:pStyle w:val="TextBody"/>
        <w:bidi w:val="0"/>
        <w:spacing w:before="360" w:after="0"/>
        <w:ind w:left="0" w:right="0" w:firstLine="490"/>
        <w:jc w:val="both"/>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For the quarter ended July 1, 2026, general and administrative expenses decreased $6.5 million, or 47.9%, from the comparable period in the prior year. The decrease for the quarter was primarily due to $6.3 million received from a legal settlement, net of legal expenses, in the current year, a $0.8 million decrease in legal and professional fee costs related to shareholder activism and related matters in the prior year, and a $0.7 million decrease related to restructuring and executive transition costs in the prior year. The general and administrative expenses decrease was partially offset by a $0.3 million increase in legal fees, a $0.5 million increase in outside services and software maintenance, a $0.2 million increase in store pre-opening costs and a $0.3 million increase in other general and administrative expenses.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For the year-to-date period ended July 1, 2026, general and administrative expenses decreased $4.9 million, or 20.0%, from the comparable period in the prior year. The decrease was primarily due to a $5.7 million favorable change related to legal settlements, reflecting $6.3 million received from a legal settlement, net of legal expenses, in the current-year period compared with $0.6 million received in the prior-year period, net of legal expenses, a $1.4 million decrease in legal and professional fee costs related to shareholder activism, and a $0.7 million decrease in restructuring and executive transition costs in the prior year. The general and administrative expenses decrease was partially offset by a $0.8 million increase in outside services and software maintenance, a $0.6 million increase in other legal costs, a $0.3 million increase in store pre-opening costs, a combined $0.2 million increased related to our corporate office relocation and the implementation of a new enterprise resource planning system, and a $1.0 million increase in other general and administrative expenses.</w:t>
      </w:r>
    </w:p>
    <w:p>
      <w:pPr>
        <w:pStyle w:val="TextBody"/>
        <w:bidi w:val="0"/>
        <w:spacing w:before="360" w:after="0"/>
        <w:ind w:left="490" w:right="0" w:hanging="0"/>
        <w:jc w:val="both"/>
        <w:rPr>
          <w:rFonts w:ascii="Times New Roman;Times;serif" w:hAnsi="Times New Roman;Times;serif"/>
          <w:i/>
          <w:sz w:val="20"/>
        </w:rPr>
      </w:pPr>
      <w:r>
        <w:rPr>
          <w:rFonts w:ascii="Times New Roman;Times;serif" w:hAnsi="Times New Roman;Times;serif"/>
          <w:i/>
          <w:sz w:val="20"/>
        </w:rPr>
        <w:t>Franchise Expenses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 xml:space="preserve">For the quarter ended July 1, 2026, </w:t>
      </w:r>
      <w:r>
        <w:rPr>
          <w:rFonts w:ascii="Times New Roman;Times;serif" w:hAnsi="Times New Roman;Times;serif"/>
          <w:color w:val="212529"/>
          <w:sz w:val="20"/>
          <w:shd w:fill="FFFFFF" w:val="clear"/>
        </w:rPr>
        <w:t xml:space="preserve">franchise expenses decreased $0.8 million, or 6.0%, </w:t>
      </w:r>
      <w:r>
        <w:rPr>
          <w:rFonts w:ascii="Times New Roman;Times;serif" w:hAnsi="Times New Roman;Times;serif"/>
          <w:sz w:val="20"/>
        </w:rPr>
        <w:t>from the comparable period in the prior year</w:t>
      </w:r>
      <w:r>
        <w:rPr>
          <w:rFonts w:ascii="Times New Roman;Times;serif" w:hAnsi="Times New Roman;Times;serif"/>
          <w:color w:val="212529"/>
          <w:sz w:val="20"/>
          <w:shd w:fill="FFFFFF" w:val="clear"/>
        </w:rPr>
        <w:t xml:space="preserve">. </w:t>
      </w:r>
      <w:r>
        <w:rPr>
          <w:rFonts w:ascii="Times New Roman;Times;serif" w:hAnsi="Times New Roman;Times;serif"/>
          <w:sz w:val="20"/>
          <w:shd w:fill="FFFFFF" w:val="clear"/>
        </w:rPr>
        <w:t>The decrease was primarily due to a $1.2 million decrease in franchise IT pass-through expense related to the franchise rollout of the new POS system completed in 2025, partially offset by a $0.4 million increase in advertising expenses.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For the year-to-date period ended July 1, 2026, </w:t>
      </w:r>
      <w:r>
        <w:rPr>
          <w:rFonts w:ascii="Times New Roman;Times;serif" w:hAnsi="Times New Roman;Times;serif"/>
          <w:color w:val="212529"/>
          <w:sz w:val="20"/>
          <w:shd w:fill="FFFFFF" w:val="clear"/>
        </w:rPr>
        <w:t xml:space="preserve">franchise expenses decreased $2.0 million, or 8.0%, </w:t>
      </w:r>
      <w:r>
        <w:rPr>
          <w:rFonts w:ascii="Times New Roman;Times;serif" w:hAnsi="Times New Roman;Times;serif"/>
          <w:sz w:val="20"/>
        </w:rPr>
        <w:t>from the comparable period in the prior year</w:t>
      </w:r>
      <w:r>
        <w:rPr>
          <w:rFonts w:ascii="Times New Roman;Times;serif" w:hAnsi="Times New Roman;Times;serif"/>
          <w:color w:val="212529"/>
          <w:sz w:val="20"/>
          <w:shd w:fill="FFFFFF" w:val="clear"/>
        </w:rPr>
        <w:t xml:space="preserve">. </w:t>
      </w:r>
      <w:r>
        <w:rPr>
          <w:rFonts w:ascii="Times New Roman;Times;serif" w:hAnsi="Times New Roman;Times;serif"/>
          <w:sz w:val="20"/>
          <w:shd w:fill="FFFFFF" w:val="clear"/>
        </w:rPr>
        <w:t>The decrease was primarily due to a $3.2 million decrease in franchise IT pass-through expense related to the franchise rollout of the new POS system completed in 2025, partially offset by a $1.0 million increase in advertising expenses and a $0.2 million increase in other franchise expenses.</w:t>
      </w:r>
    </w:p>
    <w:p>
      <w:pPr>
        <w:pStyle w:val="TextBody"/>
        <w:bidi w:val="0"/>
        <w:spacing w:before="360" w:after="0"/>
        <w:ind w:left="0" w:right="0" w:firstLine="490"/>
        <w:jc w:val="both"/>
        <w:rPr>
          <w:rFonts w:ascii="Times New Roman;Times;serif" w:hAnsi="Times New Roman;Times;serif"/>
          <w:i/>
          <w:sz w:val="20"/>
        </w:rPr>
      </w:pPr>
      <w:r>
        <w:rPr>
          <w:rFonts w:ascii="Times New Roman;Times;serif" w:hAnsi="Times New Roman;Times;serif"/>
          <w:i/>
          <w:sz w:val="20"/>
        </w:rPr>
        <w:t>Depreciation and Amortization</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 xml:space="preserve">For the quarter ended July 1, 2026, </w:t>
      </w:r>
      <w:r>
        <w:rPr>
          <w:rFonts w:ascii="Times New Roman;Times;serif" w:hAnsi="Times New Roman;Times;serif"/>
          <w:color w:val="212529"/>
          <w:sz w:val="20"/>
          <w:shd w:fill="FFFFFF" w:val="clear"/>
        </w:rPr>
        <w:t xml:space="preserve">depreciation and amortization increased $0.2 million, or 6.1%, </w:t>
      </w:r>
      <w:r>
        <w:rPr>
          <w:rFonts w:ascii="Times New Roman;Times;serif" w:hAnsi="Times New Roman;Times;serif"/>
          <w:sz w:val="20"/>
        </w:rPr>
        <w:t>from the comparable period in the prior year</w:t>
      </w:r>
      <w:r>
        <w:rPr>
          <w:rFonts w:ascii="Times New Roman;Times;serif" w:hAnsi="Times New Roman;Times;serif"/>
          <w:color w:val="212529"/>
          <w:sz w:val="20"/>
          <w:shd w:fill="FFFFFF" w:val="clear"/>
        </w:rPr>
        <w:t xml:space="preserve">. </w:t>
      </w:r>
      <w:r>
        <w:rPr>
          <w:rFonts w:ascii="Times New Roman;Times;serif" w:hAnsi="Times New Roman;Times;serif"/>
          <w:sz w:val="20"/>
          <w:shd w:fill="FFFFFF" w:val="clear"/>
        </w:rPr>
        <w:t>The increase was</w:t>
      </w:r>
      <w:r>
        <w:rPr>
          <w:rFonts w:ascii="Times New Roman;Times;serif" w:hAnsi="Times New Roman;Times;serif"/>
          <w:color w:val="212529"/>
          <w:sz w:val="20"/>
          <w:shd w:fill="FFFFFF" w:val="clear"/>
        </w:rPr>
        <w:t xml:space="preserve"> primarily due to the completion of 17 company-operated restaurant remodels in 2025 and 5 company-operated restaurant remodels in 2026, along with the rollout of the new POS system to company-operated restaurants completed in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For the year-to-date period ended July 1, 2026, </w:t>
      </w:r>
      <w:r>
        <w:rPr>
          <w:rFonts w:ascii="Times New Roman;Times;serif" w:hAnsi="Times New Roman;Times;serif"/>
          <w:color w:val="212529"/>
          <w:sz w:val="20"/>
          <w:shd w:fill="FFFFFF" w:val="clear"/>
        </w:rPr>
        <w:t xml:space="preserve">depreciation and amortization increased $0.7 million, or 8.5%, </w:t>
      </w:r>
      <w:r>
        <w:rPr>
          <w:rFonts w:ascii="Times New Roman;Times;serif" w:hAnsi="Times New Roman;Times;serif"/>
          <w:sz w:val="20"/>
        </w:rPr>
        <w:t>from the comparable period in the prior year</w:t>
      </w:r>
      <w:r>
        <w:rPr>
          <w:rFonts w:ascii="Times New Roman;Times;serif" w:hAnsi="Times New Roman;Times;serif"/>
          <w:color w:val="212529"/>
          <w:sz w:val="20"/>
          <w:shd w:fill="FFFFFF" w:val="clear"/>
        </w:rPr>
        <w:t xml:space="preserve">. </w:t>
      </w:r>
      <w:r>
        <w:rPr>
          <w:rFonts w:ascii="Times New Roman;Times;serif" w:hAnsi="Times New Roman;Times;serif"/>
          <w:sz w:val="20"/>
          <w:shd w:fill="FFFFFF" w:val="clear"/>
        </w:rPr>
        <w:t>The increase was</w:t>
      </w:r>
      <w:r>
        <w:rPr>
          <w:rFonts w:ascii="Times New Roman;Times;serif" w:hAnsi="Times New Roman;Times;serif"/>
          <w:color w:val="212529"/>
          <w:sz w:val="20"/>
          <w:shd w:fill="FFFFFF" w:val="clear"/>
        </w:rPr>
        <w:t xml:space="preserve"> primarily due to the completion of 17 company-operated restaurant remodels in 2025 and 12 company-operated restaurant remodels in 2026, along with the rollout of the new POS system to company-operated restaurants completed in 2025.</w:t>
      </w:r>
    </w:p>
    <w:p>
      <w:pPr>
        <w:pStyle w:val="TextBody"/>
        <w:bidi w:val="0"/>
        <w:spacing w:before="360" w:after="0"/>
        <w:ind w:left="490" w:right="0" w:hanging="0"/>
        <w:jc w:val="both"/>
        <w:rPr>
          <w:rFonts w:ascii="Times New Roman;Times;serif" w:hAnsi="Times New Roman;Times;serif"/>
          <w:i/>
          <w:sz w:val="20"/>
        </w:rPr>
      </w:pPr>
      <w:r>
        <w:rPr>
          <w:rFonts w:ascii="Times New Roman;Times;serif" w:hAnsi="Times New Roman;Times;serif"/>
          <w:i/>
          <w:sz w:val="20"/>
        </w:rPr>
        <w:t>Impairment and Closed-Store Reserves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 xml:space="preserve">During both the thirteen and twenty-six weeks ended July 1, 2026, we recorded $0.2 million in non-cash impairment charges related to the carrying value of the ROU assets of one restaurant in Nevada. During both the thirteen and twenty-six weeks ended June 25, 2025, we did not record any non-cash </w:t>
      </w:r>
      <w:r>
        <w:rPr>
          <w:rFonts w:ascii="Times New Roman;Times;serif" w:hAnsi="Times New Roman;Times;serif"/>
          <w:color w:val="212529"/>
          <w:sz w:val="20"/>
          <w:shd w:fill="FFFFFF" w:val="clear"/>
        </w:rPr>
        <w:t>impairment</w:t>
      </w:r>
      <w:r>
        <w:rPr>
          <w:rFonts w:ascii="Times New Roman;Times;serif" w:hAnsi="Times New Roman;Times;serif"/>
          <w:sz w:val="20"/>
        </w:rPr>
        <w:t xml:space="preserve"> charges. Given the inherent uncertainty in projecting results for newer restaurants in newer markets, we are monitoring the recoverability of the carrying value of the assets of several restaurants on an ongoing basis. For these restaurants, if expected performance is not realized, an impairment charge may be recognized in future periods, and such charge could be material.</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During both the thirteen and twenty-six weeks ended July 1, 2026 and June 25, 2025, we recognized less than </w:t>
      </w:r>
      <w:r>
        <w:rPr>
          <w:rFonts w:ascii="Times New Roman;Times;serif" w:hAnsi="Times New Roman;Times;serif"/>
          <w:sz w:val="20"/>
          <w:shd w:fill="FFFFFF" w:val="clear"/>
        </w:rPr>
        <w:t>$0.1 million</w:t>
      </w:r>
      <w:r>
        <w:rPr>
          <w:rFonts w:ascii="Times New Roman;Times;serif" w:hAnsi="Times New Roman;Times;serif"/>
          <w:sz w:val="20"/>
        </w:rPr>
        <w:t xml:space="preserve"> of closed-store reserve expense related to the amortization of ROU assets, property taxes and CAM expenses for our closed locations.</w:t>
      </w:r>
      <w:r>
        <w:rPr>
          <w:rFonts w:ascii="Times New Roman;Times;serif" w:hAnsi="Times New Roman;Times;serif"/>
          <w:sz w:val="20"/>
          <w:shd w:fill="FFFFFF" w:val="clear"/>
        </w:rPr>
        <w:t xml:space="preserve"> </w:t>
      </w:r>
    </w:p>
    <w:p>
      <w:pPr>
        <w:pStyle w:val="TextBody"/>
        <w:bidi w:val="0"/>
        <w:spacing w:before="360" w:after="0"/>
        <w:ind w:left="490" w:right="0" w:hanging="0"/>
        <w:jc w:val="both"/>
        <w:rPr>
          <w:rFonts w:ascii="Times New Roman;Times;serif" w:hAnsi="Times New Roman;Times;serif"/>
          <w:i/>
          <w:sz w:val="20"/>
        </w:rPr>
      </w:pPr>
      <w:r>
        <w:rPr>
          <w:rFonts w:ascii="Times New Roman;Times;serif" w:hAnsi="Times New Roman;Times;serif"/>
          <w:i/>
          <w:sz w:val="20"/>
        </w:rPr>
        <w:t>Interest Expense, Net</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For the quarter ended July 1, 2026, interest expense, net, decreased $0.5 million from t</w:t>
      </w:r>
      <w:r>
        <w:rPr>
          <w:rFonts w:ascii="Times New Roman;Times;serif" w:hAnsi="Times New Roman;Times;serif"/>
          <w:sz w:val="20"/>
          <w:shd w:fill="FFFFFF" w:val="clear"/>
        </w:rPr>
        <w:t>he comparable period in the prior year</w:t>
      </w:r>
      <w:r>
        <w:rPr>
          <w:rFonts w:ascii="Times New Roman;Times;serif" w:hAnsi="Times New Roman;Times;serif"/>
          <w:sz w:val="20"/>
        </w:rPr>
        <w:t>. The decrease in interest expense was primarily related to the lower interest rates during the second quarter of 2026 and lower outstanding balances on our 2022 Revolver (as defined below) versus t</w:t>
      </w:r>
      <w:r>
        <w:rPr>
          <w:rFonts w:ascii="Times New Roman;Times;serif" w:hAnsi="Times New Roman;Times;serif"/>
          <w:sz w:val="20"/>
          <w:shd w:fill="FFFFFF" w:val="clear"/>
        </w:rPr>
        <w:t>he comparable period in the prior year</w:t>
      </w:r>
      <w:r>
        <w:rPr>
          <w:rFonts w:ascii="Times New Roman;Times;serif" w:hAnsi="Times New Roman;Times;serif"/>
          <w:sz w:val="20"/>
        </w:rPr>
        <w:t>.</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For the year-to-date period ended July 1, 2026, interest expense, net, decreased $0.9 million from t</w:t>
      </w:r>
      <w:r>
        <w:rPr>
          <w:rFonts w:ascii="Times New Roman;Times;serif" w:hAnsi="Times New Roman;Times;serif"/>
          <w:sz w:val="20"/>
          <w:shd w:fill="FFFFFF" w:val="clear"/>
        </w:rPr>
        <w:t>he comparable period in the prior year</w:t>
      </w:r>
      <w:r>
        <w:rPr>
          <w:rFonts w:ascii="Times New Roman;Times;serif" w:hAnsi="Times New Roman;Times;serif"/>
          <w:sz w:val="20"/>
        </w:rPr>
        <w:t>. The decrease in interest expense was primarily related to the lower interest rates during 2026 and lower outstanding balances on our 2022 Revolver (as defined below) versus t</w:t>
      </w:r>
      <w:r>
        <w:rPr>
          <w:rFonts w:ascii="Times New Roman;Times;serif" w:hAnsi="Times New Roman;Times;serif"/>
          <w:sz w:val="20"/>
          <w:shd w:fill="FFFFFF" w:val="clear"/>
        </w:rPr>
        <w:t>he comparable period in the prior year</w:t>
      </w:r>
      <w:r>
        <w:rPr>
          <w:rFonts w:ascii="Times New Roman;Times;serif" w:hAnsi="Times New Roman;Times;serif"/>
          <w:sz w:val="20"/>
        </w:rPr>
        <w:t>.  </w:t>
      </w:r>
    </w:p>
    <w:p>
      <w:pPr>
        <w:pStyle w:val="TextBody"/>
        <w:bidi w:val="0"/>
        <w:spacing w:before="360" w:after="0"/>
        <w:ind w:left="490" w:right="0" w:hanging="0"/>
        <w:jc w:val="both"/>
        <w:rPr>
          <w:rFonts w:ascii="Times New Roman;Times;serif" w:hAnsi="Times New Roman;Times;serif"/>
          <w:i/>
          <w:sz w:val="20"/>
        </w:rPr>
      </w:pPr>
      <w:r>
        <w:rPr>
          <w:rFonts w:ascii="Times New Roman;Times;serif" w:hAnsi="Times New Roman;Times;serif"/>
          <w:i/>
          <w:sz w:val="20"/>
        </w:rPr>
        <w:t>Provision for Income Taxes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For the quarter ended July 1, 2026, we recorded an income tax provision of $5.2 million, reflecting an estimated effective tax rate of 28.8%. For the quarter ended June 25, 2025, we recorded an income tax provision of $3.0 million, reflecting an estimated effective tax rate of approximately 29.6%.</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For the year-to-date period ended July 1, 2026, we recorded an income tax provision of $8.5 million, reflecting an estimated effective tax rate of 28.8%. For the year-to-date period ended June 25, 2025, we recorded an income tax provision of $5.3 million, reflecting an estimated effective tax rate of approximately 29.7%. The difference between the 21.0% statutory rate and our effective tax rate of 28.8% for the </w:t>
      </w:r>
      <w:r>
        <w:rPr>
          <w:rFonts w:ascii="Times New Roman;Times;serif" w:hAnsi="Times New Roman;Times;serif"/>
          <w:sz w:val="20"/>
          <w:shd w:fill="FFFFFF" w:val="clear"/>
        </w:rPr>
        <w:t>year-to-date period</w:t>
      </w:r>
      <w:r>
        <w:rPr>
          <w:rFonts w:ascii="Times New Roman;Times;serif" w:hAnsi="Times New Roman;Times;serif"/>
          <w:sz w:val="20"/>
        </w:rPr>
        <w:t xml:space="preserve"> ended July 1, 2026 is primarily a result </w:t>
      </w:r>
      <w:r>
        <w:rPr>
          <w:rFonts w:ascii="Times New Roman;Times;serif" w:hAnsi="Times New Roman;Times;serif"/>
          <w:sz w:val="20"/>
          <w:shd w:fill="FFFFFF" w:val="clear"/>
        </w:rPr>
        <w:t>of state tax rates based on apportioned income, the impact of non-tax deductible executive compensation, and tax deficiencies related to stock option exercises, for which the associated tax deductions were lower than the cumulative amount recorded as stock-based compensation expense, partially offset by the impact of higher stock compensation expense deductible for tax related to the vesting of restricted stock awards as compared to the cumulative amount recorded as stock-based compensation expense, and federal targeted job credits.</w:t>
      </w:r>
    </w:p>
    <w:p>
      <w:pPr>
        <w:pStyle w:val="TextBody"/>
        <w:bidi w:val="0"/>
        <w:spacing w:before="360" w:after="0"/>
        <w:ind w:left="0" w:right="0" w:hanging="0"/>
        <w:jc w:val="both"/>
        <w:rPr>
          <w:rFonts w:ascii="Times New Roman;Times;serif" w:hAnsi="Times New Roman;Times;serif"/>
          <w:b/>
          <w:sz w:val="20"/>
        </w:rPr>
      </w:pPr>
      <w:bookmarkStart w:id="1265" w:name="_7d4d4615_a262_4719_bf68_f008887c901f"/>
      <w:bookmarkEnd w:id="1265"/>
      <w:r>
        <w:rPr>
          <w:rFonts w:ascii="Times New Roman;Times;serif" w:hAnsi="Times New Roman;Times;serif"/>
          <w:b/>
          <w:sz w:val="20"/>
        </w:rPr>
        <w:t>Key Performance Indicators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To evaluate the performance of our business, we utilize a variety of financial and performance measures. These key measures include company-operated restaurant revenue, system-wide sales, comparable restaurant sales, restaurant contribution, restaurant contribution margin, new restaurant openings, EBITDA, and Adjusted EBITDA.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490" w:right="0" w:hanging="0"/>
        <w:jc w:val="both"/>
        <w:rPr>
          <w:rFonts w:ascii="Times New Roman;Times;serif" w:hAnsi="Times New Roman;Times;serif"/>
          <w:i/>
          <w:sz w:val="20"/>
        </w:rPr>
      </w:pPr>
      <w:r>
        <w:rPr>
          <w:rFonts w:ascii="Times New Roman;Times;serif" w:hAnsi="Times New Roman;Times;serif"/>
          <w:i/>
          <w:sz w:val="20"/>
        </w:rPr>
        <w:t>System-Wide Sales</w:t>
      </w:r>
    </w:p>
    <w:p>
      <w:pPr>
        <w:pStyle w:val="TextBody"/>
        <w:shd w:fill="FFFFFF" w:val="clear"/>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System-wide sales are neither required by, nor presented in accordance with, GAAP. System-wide sales are the sum of company-operated restaurant revenue and sales from franchise-operated restaurants. Our total revenue in our condensed consolidated statements of income is limited to company-operated restaurant revenue and franchise revenue from our franchisees. Accordingly, system-wide sales should not be considered in isolation or as a substitute for our results as reported under GAAP. Management believes that system-wide sales are an important figure for investors, because they are widely used in the restaurant industry, including by our management, to evaluate brand scale and market penetration. System-wide sales do not include the eight licensed stores in the Philippines.</w:t>
      </w:r>
    </w:p>
    <w:p>
      <w:pPr>
        <w:pStyle w:val="TextBody"/>
        <w:pBdr/>
        <w:shd w:fill="FFFFFF" w:val="clear"/>
        <w:bidi w:val="0"/>
        <w:spacing w:before="0" w:after="120"/>
        <w:ind w:left="0" w:right="0" w:firstLine="490"/>
        <w:jc w:val="both"/>
        <w:rPr>
          <w:rFonts w:ascii="Times New Roman;Times;serif" w:hAnsi="Times New Roman;Times;serif"/>
          <w:sz w:val="20"/>
        </w:rPr>
      </w:pPr>
      <w:r>
        <w:rPr>
          <w:rFonts w:ascii="Times New Roman;Times;serif" w:hAnsi="Times New Roman;Times;serif"/>
          <w:sz w:val="20"/>
        </w:rPr>
        <w:t>The following table reconciles system-wide sales to company-operated restaurant revenue and total revenue (in thousands):</w:t>
      </w:r>
    </w:p>
    <w:tbl>
      <w:tblPr>
        <w:tblW w:w="9116" w:type="dxa"/>
        <w:jc w:val="left"/>
        <w:tblInd w:w="0" w:type="dxa"/>
        <w:tblLayout w:type="fixed"/>
        <w:tblCellMar>
          <w:top w:w="0" w:type="dxa"/>
          <w:left w:w="0" w:type="dxa"/>
          <w:bottom w:w="0" w:type="dxa"/>
          <w:right w:w="0" w:type="dxa"/>
        </w:tblCellMar>
      </w:tblPr>
      <w:tblGrid>
        <w:gridCol w:w="3421"/>
        <w:gridCol w:w="346"/>
        <w:gridCol w:w="211"/>
        <w:gridCol w:w="796"/>
        <w:gridCol w:w="346"/>
        <w:gridCol w:w="239"/>
        <w:gridCol w:w="887"/>
        <w:gridCol w:w="346"/>
        <w:gridCol w:w="211"/>
        <w:gridCol w:w="796"/>
        <w:gridCol w:w="346"/>
        <w:gridCol w:w="225"/>
        <w:gridCol w:w="946"/>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172335" cy="175260"/>
                      <wp:effectExtent l="0" t="0" r="0" b="0"/>
                      <wp:wrapNone/>
                      <wp:docPr id="344" name="Frame344"/>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19710" cy="175260"/>
                      <wp:effectExtent l="0" t="0" r="0" b="0"/>
                      <wp:wrapNone/>
                      <wp:docPr id="345" name="Frame3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33985" cy="175260"/>
                      <wp:effectExtent l="0" t="0" r="0" b="0"/>
                      <wp:wrapNone/>
                      <wp:docPr id="346" name="Frame3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505460" cy="175260"/>
                      <wp:effectExtent l="0" t="0" r="0" b="0"/>
                      <wp:wrapNone/>
                      <wp:docPr id="347" name="Frame34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19710" cy="175260"/>
                      <wp:effectExtent l="0" t="0" r="0" b="0"/>
                      <wp:wrapNone/>
                      <wp:docPr id="348" name="Frame3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51765" cy="175260"/>
                      <wp:effectExtent l="0" t="0" r="0" b="0"/>
                      <wp:wrapNone/>
                      <wp:docPr id="349" name="Frame34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563245" cy="175260"/>
                      <wp:effectExtent l="0" t="0" r="0" b="0"/>
                      <wp:wrapNone/>
                      <wp:docPr id="350" name="Frame350"/>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19710" cy="175260"/>
                      <wp:effectExtent l="0" t="0" r="0" b="0"/>
                      <wp:wrapNone/>
                      <wp:docPr id="351" name="Frame3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33985" cy="175260"/>
                      <wp:effectExtent l="0" t="0" r="0" b="0"/>
                      <wp:wrapNone/>
                      <wp:docPr id="352" name="Frame3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505460" cy="175260"/>
                      <wp:effectExtent l="0" t="0" r="0" b="0"/>
                      <wp:wrapNone/>
                      <wp:docPr id="353" name="Frame35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19710" cy="175260"/>
                      <wp:effectExtent l="0" t="0" r="0" b="0"/>
                      <wp:wrapNone/>
                      <wp:docPr id="354" name="Frame3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42875" cy="175260"/>
                      <wp:effectExtent l="0" t="0" r="0" b="0"/>
                      <wp:wrapNone/>
                      <wp:docPr id="355" name="Frame355"/>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00710" cy="175260"/>
                      <wp:effectExtent l="0" t="0" r="0" b="0"/>
                      <wp:wrapNone/>
                      <wp:docPr id="356" name="Frame35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7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46" w:type="dxa"/>
            <w:tcBorders/>
            <w:vAlign w:val="center"/>
          </w:tcPr>
          <w:p>
            <w:pPr>
              <w:pStyle w:val="TableContents"/>
              <w:bidi w:val="0"/>
              <w:spacing w:before="0" w:after="1"/>
              <w:ind w:left="0" w:right="0" w:hanging="0"/>
              <w:jc w:val="left"/>
              <w:rPr/>
            </w:pPr>
            <w:r>
              <w:rPr/>
              <w:t>​</w:t>
            </w:r>
          </w:p>
        </w:tc>
        <w:tc>
          <w:tcPr>
            <w:tcW w:w="252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r>
      <w:tr>
        <w:trPr/>
        <w:tc>
          <w:tcPr>
            <w:tcW w:w="3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1, 2026</w:t>
            </w:r>
          </w:p>
        </w:tc>
        <w:tc>
          <w:tcPr>
            <w:tcW w:w="346" w:type="dxa"/>
            <w:tcBorders/>
            <w:vAlign w:val="center"/>
          </w:tcPr>
          <w:p>
            <w:pPr>
              <w:pStyle w:val="TableContents"/>
              <w:bidi w:val="0"/>
              <w:spacing w:before="0" w:after="1"/>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25, 2025</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1, 2026</w:t>
            </w:r>
          </w:p>
        </w:tc>
        <w:tc>
          <w:tcPr>
            <w:tcW w:w="346" w:type="dxa"/>
            <w:tcBorders/>
            <w:vAlign w:val="center"/>
          </w:tcPr>
          <w:p>
            <w:pPr>
              <w:pStyle w:val="TableContents"/>
              <w:bidi w:val="0"/>
              <w:spacing w:before="0" w:after="1"/>
              <w:ind w:left="0" w:right="0" w:hanging="0"/>
              <w:jc w:val="left"/>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25, 2025</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Company-operated restaurant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108,136</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104,318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214,051</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202,683</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12,862</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13,372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24,890</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26,555</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8,574</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16,813</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15,773</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129,572</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125,834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255,754</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245,011</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(12,862)</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(24,890)</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(26,555)</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(8,574)</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(16,813)</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(15,773)</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from franchise-operated restaurants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196,817</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182,720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385,795</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353,808</w:t>
            </w:r>
          </w:p>
        </w:tc>
      </w:tr>
      <w:tr>
        <w:trPr/>
        <w:tc>
          <w:tcPr>
            <w:tcW w:w="342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System-wide sales</w:t>
            </w:r>
            <w:r>
              <w:rPr>
                <w:rFonts w:ascii="Times New Roman;Times;serif" w:hAnsi="Times New Roman;Times;serif"/>
                <w:b/>
                <w:sz w:val="15"/>
              </w:rPr>
              <w:t>(1)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304,953</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287,038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599,846</w:t>
            </w:r>
          </w:p>
        </w:tc>
        <w:tc>
          <w:tcPr>
            <w:tcW w:w="346" w:type="dxa"/>
            <w:tcBorders/>
            <w:vAlign w:val="center"/>
          </w:tcPr>
          <w:p>
            <w:pPr>
              <w:pStyle w:val="TableContents"/>
              <w:bidi w:val="0"/>
              <w:spacing w:before="0" w:after="1"/>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556,491</w:t>
            </w:r>
          </w:p>
        </w:tc>
      </w:tr>
    </w:tbl>
    <w:tbl>
      <w:tblPr>
        <w:tblW w:w="5747" w:type="dxa"/>
        <w:jc w:val="left"/>
        <w:tblInd w:w="0" w:type="dxa"/>
        <w:tblLayout w:type="fixed"/>
        <w:tblCellMar>
          <w:top w:w="0" w:type="dxa"/>
          <w:left w:w="0" w:type="dxa"/>
          <w:bottom w:w="0" w:type="dxa"/>
          <w:right w:w="0" w:type="dxa"/>
        </w:tblCellMar>
      </w:tblPr>
      <w:tblGrid>
        <w:gridCol w:w="331"/>
        <w:gridCol w:w="541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54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System-wide sales do not include the eight licensed stores in the Philippines.</w:t>
            </w:r>
          </w:p>
        </w:tc>
      </w:tr>
    </w:tbl>
    <w:p>
      <w:pPr>
        <w:pStyle w:val="TextBody"/>
        <w:bidi w:val="0"/>
        <w:spacing w:before="360" w:after="0"/>
        <w:ind w:left="490" w:right="0" w:hanging="0"/>
        <w:jc w:val="both"/>
        <w:rPr>
          <w:rFonts w:ascii="Times New Roman;Times;serif" w:hAnsi="Times New Roman;Times;serif"/>
          <w:i/>
          <w:sz w:val="20"/>
        </w:rPr>
      </w:pPr>
      <w:r>
        <w:rPr>
          <w:rFonts w:ascii="Times New Roman;Times;serif" w:hAnsi="Times New Roman;Times;serif"/>
          <w:i/>
          <w:sz w:val="20"/>
        </w:rPr>
        <w:t>Company-Operated Restaurant Revenue</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w:t>
      </w:r>
    </w:p>
    <w:p>
      <w:pPr>
        <w:pStyle w:val="TextBody"/>
        <w:bidi w:val="0"/>
        <w:spacing w:before="360" w:after="0"/>
        <w:ind w:left="490" w:right="0" w:hanging="0"/>
        <w:jc w:val="both"/>
        <w:rPr>
          <w:rFonts w:ascii="Times New Roman;Times;serif" w:hAnsi="Times New Roman;Times;serif"/>
          <w:i/>
          <w:sz w:val="20"/>
        </w:rPr>
      </w:pPr>
      <w:r>
        <w:rPr>
          <w:rFonts w:ascii="Times New Roman;Times;serif" w:hAnsi="Times New Roman;Times;serif"/>
          <w:i/>
          <w:sz w:val="20"/>
        </w:rPr>
        <w:t>Comparable Restaurant Sales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Comparable restaurant sales reflect year-over-year sales changes for comparable company-operated, franchise-operated, and system-wide restaurants. A restaurant enters our comparable restaurant base the first full week after it has operated for fifteen months. Comparable restaurant sales exclude restaurants closed during the applicable period. At July 1, 2026 and June 25, 2025, there were 489 and 485 system-wide comparable restaurants in both periods, respectively, 172 and 171 company-operated restaurants, respectively, and 317 and 314 franchise-operated restaurants, respectively. Comparable restaurant sales indicate the performance of existing restaurants, since new restaurants are excluded. Comparable restaurant sales growth can be generated by an increase in the number of meals sold and/or by increases in the average check amount, resulting from a shift in menu mix and/or higher prices resulting from new products or price increases. Because other companies may calculate this measure differently than we do, comparable restaurant sales as presented herein may not be comparable to similarly titled measures reported by other companies. Management believes that comparable restaurant sales is a valuable metric for investors to evaluate the performance of our store base, excluding the impact of new stores and closed stores.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490" w:right="0" w:hanging="0"/>
        <w:jc w:val="both"/>
        <w:rPr>
          <w:rFonts w:ascii="Times New Roman;Times;serif" w:hAnsi="Times New Roman;Times;serif"/>
          <w:i/>
          <w:sz w:val="20"/>
        </w:rPr>
      </w:pPr>
      <w:r>
        <w:rPr>
          <w:rFonts w:ascii="Times New Roman;Times;serif" w:hAnsi="Times New Roman;Times;serif"/>
          <w:i/>
          <w:sz w:val="20"/>
        </w:rPr>
        <w:t>Restaurant Contribution and Restaurant Contribution Margin</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Restaurant contribution and restaurant contribution margin are neither required by, nor presented in accordance with, GAAP. Restaurant contribution is defined as company-operated restaurant revenue less company restaurant expenses which includes food and paper cost, labor and related expenses and occupancy and other operating expenses, where applicable. Restaurant contribution therefore excludes franchise revenue, franchise advertising fee revenue and franchise expenses as well as certain other costs, such as general and administrative expenses, franchise expenses, depreciation and amortization, impairment and closed-store reserves, loss on disposal of assets and other costs that are considered corporate-level expenses and are not considered normal operating costs of our restaurants. Accordingly, restaurant contribution is not indicative of overall Company results and does not accrue directly to the benefit of stockholders because of the exclusion of certain corporate-level expenses. Restaurant contribution margin is defined as restaurant contribution as a percentage of company-operated restaurant revenue.</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superior to, or as substitutes for the analysis of our results as reported under GAAP. Management uses restaurant contribution and restaurant contribution margin as key metrics to evaluate the profitability of incremental sales at our restaurants, to evaluate our restaurant performance across periods, and to evaluate our restaurant financial performance compared with our competitors. Management believes that restaurant contribution and restaurant contribution margin are important tools for investors, because they are widely-used metrics within the restaurant industry to evaluate restaurant-level productivity, efficiency, and performance. Management further believes restaurant level operating margin is useful to investors to highlight trends in our core business that may not otherwise be apparent to investors when relying solely on GAAP financial measures.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490"/>
        <w:jc w:val="both"/>
        <w:rPr>
          <w:rFonts w:ascii="Times New Roman;Times;serif" w:hAnsi="Times New Roman;Times;serif"/>
          <w:sz w:val="20"/>
        </w:rPr>
      </w:pPr>
      <w:r>
        <w:rPr>
          <w:rFonts w:ascii="Times New Roman;Times;serif" w:hAnsi="Times New Roman;Times;serif"/>
          <w:sz w:val="20"/>
        </w:rPr>
        <w:t>A reconciliation of restaurant contribution and restaurant contribution margin to company-operated restaurant revenue is provided below:</w:t>
      </w:r>
    </w:p>
    <w:tbl>
      <w:tblPr>
        <w:tblW w:w="9676" w:type="dxa"/>
        <w:jc w:val="left"/>
        <w:tblInd w:w="0" w:type="dxa"/>
        <w:tblLayout w:type="fixed"/>
        <w:tblCellMar>
          <w:top w:w="0" w:type="dxa"/>
          <w:left w:w="0" w:type="dxa"/>
          <w:bottom w:w="0" w:type="dxa"/>
          <w:right w:w="0" w:type="dxa"/>
        </w:tblCellMar>
      </w:tblPr>
      <w:tblGrid>
        <w:gridCol w:w="3466"/>
        <w:gridCol w:w="346"/>
        <w:gridCol w:w="211"/>
        <w:gridCol w:w="796"/>
        <w:gridCol w:w="361"/>
        <w:gridCol w:w="239"/>
        <w:gridCol w:w="887"/>
        <w:gridCol w:w="361"/>
        <w:gridCol w:w="109"/>
        <w:gridCol w:w="211"/>
        <w:gridCol w:w="796"/>
        <w:gridCol w:w="361"/>
        <w:gridCol w:w="239"/>
        <w:gridCol w:w="887"/>
        <w:gridCol w:w="406"/>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200910" cy="175260"/>
                      <wp:effectExtent l="0" t="0" r="0" b="0"/>
                      <wp:wrapNone/>
                      <wp:docPr id="357" name="Frame357"/>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19710" cy="175260"/>
                      <wp:effectExtent l="0" t="0" r="0" b="0"/>
                      <wp:wrapNone/>
                      <wp:docPr id="358" name="Frame3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33985" cy="175260"/>
                      <wp:effectExtent l="0" t="0" r="0" b="0"/>
                      <wp:wrapNone/>
                      <wp:docPr id="359" name="Frame3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505460" cy="175260"/>
                      <wp:effectExtent l="0" t="0" r="0" b="0"/>
                      <wp:wrapNone/>
                      <wp:docPr id="360" name="Frame36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29235" cy="175260"/>
                      <wp:effectExtent l="0" t="0" r="0" b="0"/>
                      <wp:wrapNone/>
                      <wp:docPr id="361" name="Frame36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51765" cy="175260"/>
                      <wp:effectExtent l="0" t="0" r="0" b="0"/>
                      <wp:wrapNone/>
                      <wp:docPr id="362" name="Frame362"/>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563245" cy="175260"/>
                      <wp:effectExtent l="0" t="0" r="0" b="0"/>
                      <wp:wrapNone/>
                      <wp:docPr id="363" name="Frame363"/>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29235" cy="175260"/>
                      <wp:effectExtent l="0" t="0" r="0" b="0"/>
                      <wp:wrapNone/>
                      <wp:docPr id="364" name="Frame36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9215" cy="175260"/>
                      <wp:effectExtent l="0" t="0" r="0" b="0"/>
                      <wp:wrapNone/>
                      <wp:docPr id="365" name="Frame3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33985" cy="175260"/>
                      <wp:effectExtent l="0" t="0" r="0" b="0"/>
                      <wp:wrapNone/>
                      <wp:docPr id="366" name="Frame3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505460" cy="175260"/>
                      <wp:effectExtent l="0" t="0" r="0" b="0"/>
                      <wp:wrapNone/>
                      <wp:docPr id="367" name="Frame36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29235" cy="175260"/>
                      <wp:effectExtent l="0" t="0" r="0" b="0"/>
                      <wp:wrapNone/>
                      <wp:docPr id="368" name="Frame36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51765" cy="175260"/>
                      <wp:effectExtent l="0" t="0" r="0" b="0"/>
                      <wp:wrapNone/>
                      <wp:docPr id="369" name="Frame36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563245" cy="175260"/>
                      <wp:effectExtent l="0" t="0" r="0" b="0"/>
                      <wp:wrapNone/>
                      <wp:docPr id="370" name="Frame370"/>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57810" cy="175260"/>
                      <wp:effectExtent l="0" t="0" r="0" b="0"/>
                      <wp:wrapNone/>
                      <wp:docPr id="371" name="Frame371"/>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49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6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49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Twenty-Six Weeks Ended </w:t>
            </w:r>
          </w:p>
        </w:tc>
        <w:tc>
          <w:tcPr>
            <w:tcW w:w="406" w:type="dxa"/>
            <w:tcBorders/>
            <w:vAlign w:val="center"/>
          </w:tcPr>
          <w:p>
            <w:pPr>
              <w:pStyle w:val="TableContents"/>
              <w:bidi w:val="0"/>
              <w:spacing w:before="0" w:after="1"/>
              <w:ind w:left="0" w:right="0" w:hanging="0"/>
              <w:jc w:val="center"/>
              <w:rPr/>
            </w:pPr>
            <w:r>
              <w:rPr/>
              <w:t>​</w:t>
            </w:r>
          </w:p>
        </w:tc>
      </w:tr>
      <w:tr>
        <w:trPr/>
        <w:tc>
          <w:tcPr>
            <w:tcW w:w="34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 amounts in thousands)</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1, 2026</w:t>
            </w:r>
          </w:p>
        </w:tc>
        <w:tc>
          <w:tcPr>
            <w:tcW w:w="361" w:type="dxa"/>
            <w:tcBorders/>
            <w:vAlign w:val="center"/>
          </w:tcPr>
          <w:p>
            <w:pPr>
              <w:pStyle w:val="TableContents"/>
              <w:bidi w:val="0"/>
              <w:spacing w:before="0" w:after="1"/>
              <w:ind w:left="0" w:right="0" w:hanging="0"/>
              <w:jc w:val="center"/>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25, 2025</w:t>
            </w:r>
          </w:p>
        </w:tc>
        <w:tc>
          <w:tcPr>
            <w:tcW w:w="361" w:type="dxa"/>
            <w:tcBorders/>
            <w:vAlign w:val="center"/>
          </w:tcPr>
          <w:p>
            <w:pPr>
              <w:pStyle w:val="TableContents"/>
              <w:bidi w:val="0"/>
              <w:spacing w:before="0" w:after="1"/>
              <w:ind w:left="0" w:right="0" w:hanging="0"/>
              <w:jc w:val="center"/>
              <w:rPr/>
            </w:pPr>
            <w:r>
              <w:rPr/>
              <w:t>  ​ ​ ​</w:t>
            </w:r>
          </w:p>
        </w:tc>
        <w:tc>
          <w:tcPr>
            <w:tcW w:w="109" w:type="dxa"/>
            <w:tcBorders/>
            <w:vAlign w:val="center"/>
          </w:tcPr>
          <w:p>
            <w:pPr>
              <w:pStyle w:val="TableContents"/>
              <w:bidi w:val="0"/>
              <w:spacing w:before="0" w:after="1"/>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1, 2026</w:t>
            </w:r>
          </w:p>
        </w:tc>
        <w:tc>
          <w:tcPr>
            <w:tcW w:w="361" w:type="dxa"/>
            <w:tcBorders/>
            <w:vAlign w:val="center"/>
          </w:tcPr>
          <w:p>
            <w:pPr>
              <w:pStyle w:val="TableContents"/>
              <w:bidi w:val="0"/>
              <w:spacing w:before="0" w:after="1"/>
              <w:ind w:left="0" w:right="0" w:hanging="0"/>
              <w:jc w:val="center"/>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25, 2025</w:t>
            </w:r>
          </w:p>
        </w:tc>
        <w:tc>
          <w:tcPr>
            <w:tcW w:w="406" w:type="dxa"/>
            <w:tcBorders/>
            <w:vAlign w:val="center"/>
          </w:tcPr>
          <w:p>
            <w:pPr>
              <w:pStyle w:val="TableContents"/>
              <w:bidi w:val="0"/>
              <w:spacing w:before="0" w:after="1"/>
              <w:ind w:left="0" w:right="0" w:hanging="0"/>
              <w:jc w:val="center"/>
              <w:rPr/>
            </w:pPr>
            <w:r>
              <w:rPr/>
              <w:t>  ​ ​ ​</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Restaurant contribution: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left"/>
              <w:rPr/>
            </w:pPr>
            <w:r>
              <w:rPr/>
              <w:t>​</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Income from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18,683</w:t>
            </w:r>
          </w:p>
        </w:tc>
        <w:tc>
          <w:tcPr>
            <w:tcW w:w="361"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11,305</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30,900</w:t>
            </w:r>
          </w:p>
        </w:tc>
        <w:tc>
          <w:tcPr>
            <w:tcW w:w="361"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20,277</w:t>
            </w:r>
          </w:p>
        </w:tc>
        <w:tc>
          <w:tcPr>
            <w:tcW w:w="406" w:type="dxa"/>
            <w:tcBorders/>
            <w:vAlign w:val="center"/>
          </w:tcPr>
          <w:p>
            <w:pPr>
              <w:pStyle w:val="TableContents"/>
              <w:bidi w:val="0"/>
              <w:spacing w:before="0" w:after="1"/>
              <w:ind w:left="0" w:right="0" w:hanging="0"/>
              <w:jc w:val="left"/>
              <w:rPr/>
            </w:pPr>
            <w:r>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 (less):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pPr>
            <w:r>
              <w:rPr/>
              <w:t>​</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7,054</w:t>
            </w:r>
          </w:p>
        </w:tc>
        <w:tc>
          <w:tcPr>
            <w:tcW w:w="361"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13,532</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19,848</w:t>
            </w:r>
          </w:p>
        </w:tc>
        <w:tc>
          <w:tcPr>
            <w:tcW w:w="361"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24,795</w:t>
            </w:r>
          </w:p>
        </w:tc>
        <w:tc>
          <w:tcPr>
            <w:tcW w:w="406" w:type="dxa"/>
            <w:tcBorders/>
            <w:vAlign w:val="center"/>
          </w:tcPr>
          <w:p>
            <w:pPr>
              <w:pStyle w:val="TableContents"/>
              <w:bidi w:val="0"/>
              <w:spacing w:before="0" w:after="1"/>
              <w:ind w:left="0" w:right="0" w:hanging="0"/>
              <w:jc w:val="left"/>
              <w:rPr/>
            </w:pPr>
            <w:r>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Franchise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11,870</w:t>
            </w:r>
          </w:p>
        </w:tc>
        <w:tc>
          <w:tcPr>
            <w:tcW w:w="361"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12,627</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23,059</w:t>
            </w:r>
          </w:p>
        </w:tc>
        <w:tc>
          <w:tcPr>
            <w:tcW w:w="361"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25,069</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4,166</w:t>
            </w:r>
          </w:p>
        </w:tc>
        <w:tc>
          <w:tcPr>
            <w:tcW w:w="361"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3,929</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8,480</w:t>
            </w:r>
          </w:p>
        </w:tc>
        <w:tc>
          <w:tcPr>
            <w:tcW w:w="361"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7,816</w:t>
            </w:r>
          </w:p>
        </w:tc>
        <w:tc>
          <w:tcPr>
            <w:tcW w:w="406" w:type="dxa"/>
            <w:tcBorders/>
            <w:vAlign w:val="center"/>
          </w:tcPr>
          <w:p>
            <w:pPr>
              <w:pStyle w:val="TableContents"/>
              <w:bidi w:val="0"/>
              <w:spacing w:before="0" w:after="1"/>
              <w:ind w:left="0" w:right="0" w:hanging="0"/>
              <w:jc w:val="left"/>
              <w:rPr/>
            </w:pPr>
            <w:r>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disposal of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w:t>
            </w:r>
          </w:p>
        </w:tc>
        <w:tc>
          <w:tcPr>
            <w:tcW w:w="361"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612</w:t>
            </w:r>
          </w:p>
        </w:tc>
        <w:tc>
          <w:tcPr>
            <w:tcW w:w="361"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(12,862)</w:t>
            </w:r>
          </w:p>
        </w:tc>
        <w:tc>
          <w:tcPr>
            <w:tcW w:w="361"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(13,372)</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(24,890)</w:t>
            </w:r>
          </w:p>
        </w:tc>
        <w:tc>
          <w:tcPr>
            <w:tcW w:w="361"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(26,555)</w:t>
            </w:r>
          </w:p>
        </w:tc>
        <w:tc>
          <w:tcPr>
            <w:tcW w:w="406" w:type="dxa"/>
            <w:tcBorders/>
            <w:vAlign w:val="center"/>
          </w:tcPr>
          <w:p>
            <w:pPr>
              <w:pStyle w:val="TableContents"/>
              <w:bidi w:val="0"/>
              <w:spacing w:before="0" w:after="1"/>
              <w:ind w:left="0" w:right="0" w:hanging="0"/>
              <w:jc w:val="left"/>
              <w:rPr/>
            </w:pPr>
            <w:r>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(8,574)</w:t>
            </w:r>
          </w:p>
        </w:tc>
        <w:tc>
          <w:tcPr>
            <w:tcW w:w="361"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(8,144)</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(16,813)</w:t>
            </w:r>
          </w:p>
        </w:tc>
        <w:tc>
          <w:tcPr>
            <w:tcW w:w="361"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(15,773)</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 and closed-store reserves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w:t>
            </w:r>
          </w:p>
        </w:tc>
        <w:tc>
          <w:tcPr>
            <w:tcW w:w="361"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w:t>
            </w:r>
          </w:p>
        </w:tc>
        <w:tc>
          <w:tcPr>
            <w:tcW w:w="361"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406" w:type="dxa"/>
            <w:tcBorders/>
            <w:vAlign w:val="center"/>
          </w:tcPr>
          <w:p>
            <w:pPr>
              <w:pStyle w:val="TableContents"/>
              <w:bidi w:val="0"/>
              <w:spacing w:before="0" w:after="1"/>
              <w:ind w:left="0" w:right="0" w:hanging="0"/>
              <w:jc w:val="left"/>
              <w:rPr/>
            </w:pPr>
            <w:r>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Restaurant contribution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21,062</w:t>
            </w:r>
          </w:p>
        </w:tc>
        <w:tc>
          <w:tcPr>
            <w:tcW w:w="361"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19,926</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41,419</w:t>
            </w:r>
          </w:p>
        </w:tc>
        <w:tc>
          <w:tcPr>
            <w:tcW w:w="361"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35,700</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34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Company-operated restaurant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129,572</w:t>
            </w:r>
          </w:p>
        </w:tc>
        <w:tc>
          <w:tcPr>
            <w:tcW w:w="361"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125,834</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255,754</w:t>
            </w:r>
          </w:p>
        </w:tc>
        <w:tc>
          <w:tcPr>
            <w:tcW w:w="361"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245,011</w:t>
            </w:r>
          </w:p>
        </w:tc>
        <w:tc>
          <w:tcPr>
            <w:tcW w:w="406" w:type="dxa"/>
            <w:tcBorders/>
            <w:vAlign w:val="center"/>
          </w:tcPr>
          <w:p>
            <w:pPr>
              <w:pStyle w:val="TableContents"/>
              <w:bidi w:val="0"/>
              <w:spacing w:before="0" w:after="1"/>
              <w:ind w:left="0" w:right="0" w:hanging="0"/>
              <w:jc w:val="left"/>
              <w:rPr/>
            </w:pPr>
            <w:r>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(12,862)</w:t>
            </w:r>
          </w:p>
        </w:tc>
        <w:tc>
          <w:tcPr>
            <w:tcW w:w="361"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(13,372)</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(24,890)</w:t>
            </w:r>
          </w:p>
        </w:tc>
        <w:tc>
          <w:tcPr>
            <w:tcW w:w="361"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(26,555)</w:t>
            </w:r>
          </w:p>
        </w:tc>
        <w:tc>
          <w:tcPr>
            <w:tcW w:w="406" w:type="dxa"/>
            <w:tcBorders/>
            <w:vAlign w:val="center"/>
          </w:tcPr>
          <w:p>
            <w:pPr>
              <w:pStyle w:val="TableContents"/>
              <w:bidi w:val="0"/>
              <w:spacing w:before="0" w:after="1"/>
              <w:ind w:left="0" w:right="0" w:hanging="0"/>
              <w:jc w:val="left"/>
              <w:rPr/>
            </w:pPr>
            <w:r>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(8,574)</w:t>
            </w:r>
          </w:p>
        </w:tc>
        <w:tc>
          <w:tcPr>
            <w:tcW w:w="361"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(8,144)</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(16,813)</w:t>
            </w:r>
          </w:p>
        </w:tc>
        <w:tc>
          <w:tcPr>
            <w:tcW w:w="361"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(15,773)</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Company-operated restaurant revenue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108,136</w:t>
            </w:r>
          </w:p>
        </w:tc>
        <w:tc>
          <w:tcPr>
            <w:tcW w:w="361"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104,318</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214,051</w:t>
            </w:r>
          </w:p>
        </w:tc>
        <w:tc>
          <w:tcPr>
            <w:tcW w:w="361"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202,683</w:t>
            </w:r>
          </w:p>
        </w:tc>
        <w:tc>
          <w:tcPr>
            <w:tcW w:w="406" w:type="dxa"/>
            <w:tcBorders/>
            <w:vAlign w:val="center"/>
          </w:tcPr>
          <w:p>
            <w:pPr>
              <w:pStyle w:val="TableContents"/>
              <w:bidi w:val="0"/>
              <w:spacing w:before="0" w:after="1"/>
              <w:ind w:left="0" w:right="0" w:hanging="0"/>
              <w:jc w:val="left"/>
              <w:rPr/>
            </w:pPr>
            <w:r>
              <w:rPr/>
              <w:t>​</w:t>
            </w:r>
          </w:p>
        </w:tc>
      </w:tr>
      <w:tr>
        <w:trPr/>
        <w:tc>
          <w:tcPr>
            <w:tcW w:w="34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left"/>
              <w:rPr/>
            </w:pPr>
            <w:r>
              <w:rPr/>
              <w:t>​</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Restaurant contribution margin (%)</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360" w:after="0"/>
        <w:ind w:left="490" w:right="0" w:hanging="0"/>
        <w:jc w:val="both"/>
        <w:rPr>
          <w:rFonts w:ascii="Times New Roman;Times;serif" w:hAnsi="Times New Roman;Times;serif"/>
          <w:i/>
          <w:sz w:val="20"/>
        </w:rPr>
      </w:pPr>
      <w:r>
        <w:rPr>
          <w:rFonts w:ascii="Times New Roman;Times;serif" w:hAnsi="Times New Roman;Times;serif"/>
          <w:i/>
          <w:sz w:val="20"/>
        </w:rPr>
        <w:t>New Restaurant Openings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higher-than-normal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fourteen weeks. When we enter new markets, we may be exposed to start-up times and restaurant contribution margins that are longer and lower than reflected in our average historical experience.</w:t>
      </w:r>
    </w:p>
    <w:p>
      <w:pPr>
        <w:pStyle w:val="TextBody"/>
        <w:bidi w:val="0"/>
        <w:spacing w:before="360" w:after="0"/>
        <w:ind w:left="490" w:right="0" w:hanging="0"/>
        <w:jc w:val="both"/>
        <w:rPr>
          <w:rFonts w:ascii="Times New Roman;Times;serif" w:hAnsi="Times New Roman;Times;serif"/>
          <w:i/>
          <w:sz w:val="20"/>
        </w:rPr>
      </w:pPr>
      <w:r>
        <w:rPr>
          <w:rFonts w:ascii="Times New Roman;Times;serif" w:hAnsi="Times New Roman;Times;serif"/>
          <w:i/>
          <w:sz w:val="20"/>
        </w:rPr>
        <w:t>EBITDA and Adjusted EBITDA</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EBITDA represents net income (loss) before interest expense, provision (benefit) for income taxes, depreciation, and amortization. Adjusted EBITDA represents net income (loss) before interest expense, provision (benefit) for income taxes, depreciation, amortization, and other items that we do not consider representative of on-going operating performance, as identified in the reconciliation table below.</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EBITDA and Adjusted EBITDA as presented in this report are supplemental measures of our performance that are neither required by, nor presented in accordance with, GAAP. EBITDA and Adjusted EBITDA are not measurements of our financial performance under GAAP and should not be considered as alternatives to net income,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the significant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We believe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net operating losses) and the age and book depreciation of facilities and equipment (affecting relative depreciation expense). We also present EBITDA and Adjusted EBITDA because (i) we believe that these measures are frequently used by securities analysts, investors and other interested parties to evaluate companies in our industry, (ii) management believes that investors will find these measures useful in assessing our ability to service or incur indebtedness, and (iii) we use EBITDA and Adjusted EBITDA internally for a number of benchmarks, including to compare our performance to that of our competitors.</w:t>
      </w:r>
    </w:p>
    <w:p>
      <w:pPr>
        <w:pStyle w:val="TextBody"/>
        <w:bidi w:val="0"/>
        <w:spacing w:before="240" w:after="120"/>
        <w:ind w:left="0" w:right="0" w:firstLine="490"/>
        <w:jc w:val="both"/>
        <w:rPr>
          <w:rFonts w:ascii="Times New Roman;Times;serif" w:hAnsi="Times New Roman;Times;serif"/>
          <w:sz w:val="20"/>
        </w:rPr>
      </w:pPr>
      <w:r>
        <w:rPr>
          <w:rFonts w:ascii="Times New Roman;Times;serif" w:hAnsi="Times New Roman;Times;serif"/>
          <w:sz w:val="20"/>
        </w:rPr>
        <w:t>The following table sets forth reconciliations of our net income to our EBITDA and Adjusted EBITDA:</w:t>
      </w:r>
    </w:p>
    <w:tbl>
      <w:tblPr>
        <w:tblW w:w="10205" w:type="dxa"/>
        <w:jc w:val="left"/>
        <w:tblInd w:w="0" w:type="dxa"/>
        <w:tblLayout w:type="fixed"/>
        <w:tblCellMar>
          <w:top w:w="0" w:type="dxa"/>
          <w:left w:w="0" w:type="dxa"/>
          <w:bottom w:w="0" w:type="dxa"/>
          <w:right w:w="0" w:type="dxa"/>
        </w:tblCellMar>
      </w:tblPr>
      <w:tblGrid>
        <w:gridCol w:w="3931"/>
        <w:gridCol w:w="346"/>
        <w:gridCol w:w="271"/>
        <w:gridCol w:w="870"/>
        <w:gridCol w:w="346"/>
        <w:gridCol w:w="303"/>
        <w:gridCol w:w="973"/>
        <w:gridCol w:w="346"/>
        <w:gridCol w:w="271"/>
        <w:gridCol w:w="870"/>
        <w:gridCol w:w="356"/>
        <w:gridCol w:w="278"/>
        <w:gridCol w:w="1044"/>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496185" cy="175260"/>
                      <wp:effectExtent l="0" t="0" r="0" b="0"/>
                      <wp:wrapNone/>
                      <wp:docPr id="372" name="Frame372"/>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19710" cy="175260"/>
                      <wp:effectExtent l="0" t="0" r="0" b="0"/>
                      <wp:wrapNone/>
                      <wp:docPr id="373" name="Frame3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72085" cy="175260"/>
                      <wp:effectExtent l="0" t="0" r="0" b="0"/>
                      <wp:wrapNone/>
                      <wp:docPr id="374" name="Frame37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552450" cy="175260"/>
                      <wp:effectExtent l="0" t="0" r="0" b="0"/>
                      <wp:wrapNone/>
                      <wp:docPr id="375" name="Frame375"/>
                      <a:graphic xmlns:a="http://schemas.openxmlformats.org/drawingml/2006/main">
                        <a:graphicData uri="http://schemas.microsoft.com/office/word/2010/wordprocessingShape">
                          <wps:wsp>
                            <wps:cNvSpPr txBox="1"/>
                            <wps:spPr>
                              <a:xfrm>
                                <a:off x="0" y="0"/>
                                <a:ext cx="552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19710" cy="175260"/>
                      <wp:effectExtent l="0" t="0" r="0" b="0"/>
                      <wp:wrapNone/>
                      <wp:docPr id="376" name="Frame3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92405" cy="175260"/>
                      <wp:effectExtent l="0" t="0" r="0" b="0"/>
                      <wp:wrapNone/>
                      <wp:docPr id="377" name="Frame377"/>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17855" cy="175260"/>
                      <wp:effectExtent l="0" t="0" r="0" b="0"/>
                      <wp:wrapNone/>
                      <wp:docPr id="378" name="Frame378"/>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19710" cy="175260"/>
                      <wp:effectExtent l="0" t="0" r="0" b="0"/>
                      <wp:wrapNone/>
                      <wp:docPr id="379" name="Frame3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72085" cy="175260"/>
                      <wp:effectExtent l="0" t="0" r="0" b="0"/>
                      <wp:wrapNone/>
                      <wp:docPr id="380" name="Frame380"/>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552450" cy="175260"/>
                      <wp:effectExtent l="0" t="0" r="0" b="0"/>
                      <wp:wrapNone/>
                      <wp:docPr id="381" name="Frame381"/>
                      <a:graphic xmlns:a="http://schemas.openxmlformats.org/drawingml/2006/main">
                        <a:graphicData uri="http://schemas.microsoft.com/office/word/2010/wordprocessingShape">
                          <wps:wsp>
                            <wps:cNvSpPr txBox="1"/>
                            <wps:spPr>
                              <a:xfrm>
                                <a:off x="0" y="0"/>
                                <a:ext cx="552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26060" cy="175260"/>
                      <wp:effectExtent l="0" t="0" r="0" b="0"/>
                      <wp:wrapNone/>
                      <wp:docPr id="382" name="Frame382"/>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76530" cy="175260"/>
                      <wp:effectExtent l="0" t="0" r="0" b="0"/>
                      <wp:wrapNone/>
                      <wp:docPr id="383" name="Frame383"/>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62940" cy="175260"/>
                      <wp:effectExtent l="0" t="0" r="0" b="0"/>
                      <wp:wrapNone/>
                      <wp:docPr id="384" name="Frame384"/>
                      <a:graphic xmlns:a="http://schemas.openxmlformats.org/drawingml/2006/main">
                        <a:graphicData uri="http://schemas.microsoft.com/office/word/2010/wordprocessingShape">
                          <wps:wsp>
                            <wps:cNvSpPr txBox="1"/>
                            <wps:spPr>
                              <a:xfrm>
                                <a:off x="0" y="0"/>
                                <a:ext cx="662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76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Thirteen Weeks Ended</w:t>
            </w:r>
          </w:p>
        </w:tc>
        <w:tc>
          <w:tcPr>
            <w:tcW w:w="346" w:type="dxa"/>
            <w:tcBorders/>
            <w:vAlign w:val="center"/>
          </w:tcPr>
          <w:p>
            <w:pPr>
              <w:pStyle w:val="TableContents"/>
              <w:bidi w:val="0"/>
              <w:spacing w:before="0" w:after="0"/>
              <w:ind w:left="0" w:right="0" w:hanging="0"/>
              <w:jc w:val="center"/>
              <w:rPr/>
            </w:pPr>
            <w:r>
              <w:rPr/>
              <w:t>  ​ ​ ​</w:t>
            </w:r>
          </w:p>
        </w:tc>
        <w:tc>
          <w:tcPr>
            <w:tcW w:w="281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Twenty-Six Weeks Ended </w:t>
            </w:r>
          </w:p>
        </w:tc>
      </w:tr>
      <w:tr>
        <w:trPr/>
        <w:tc>
          <w:tcPr>
            <w:tcW w:w="39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(Amounts in thousands)</w:t>
            </w:r>
          </w:p>
        </w:tc>
        <w:tc>
          <w:tcPr>
            <w:tcW w:w="346" w:type="dxa"/>
            <w:tcBorders/>
            <w:vAlign w:val="center"/>
          </w:tcPr>
          <w:p>
            <w:pPr>
              <w:pStyle w:val="TableContents"/>
              <w:bidi w:val="0"/>
              <w:spacing w:before="0" w:after="0"/>
              <w:ind w:left="0" w:right="0" w:hanging="0"/>
              <w:jc w:val="center"/>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July 1, 2026</w:t>
            </w:r>
          </w:p>
        </w:tc>
        <w:tc>
          <w:tcPr>
            <w:tcW w:w="346" w:type="dxa"/>
            <w:tcBorders/>
            <w:vAlign w:val="center"/>
          </w:tcPr>
          <w:p>
            <w:pPr>
              <w:pStyle w:val="TableContents"/>
              <w:bidi w:val="0"/>
              <w:spacing w:before="0" w:after="0"/>
              <w:ind w:left="0" w:right="0" w:hanging="0"/>
              <w:jc w:val="center"/>
              <w:rPr/>
            </w:pPr>
            <w:r>
              <w:rPr/>
              <w:t>  ​ ​ ​</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25, 2025</w:t>
            </w:r>
          </w:p>
        </w:tc>
        <w:tc>
          <w:tcPr>
            <w:tcW w:w="346" w:type="dxa"/>
            <w:tcBorders/>
            <w:vAlign w:val="center"/>
          </w:tcPr>
          <w:p>
            <w:pPr>
              <w:pStyle w:val="TableContents"/>
              <w:bidi w:val="0"/>
              <w:spacing w:before="0" w:after="0"/>
              <w:ind w:left="0" w:right="0" w:hanging="0"/>
              <w:jc w:val="center"/>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July 1, 2026</w:t>
            </w:r>
          </w:p>
        </w:tc>
        <w:tc>
          <w:tcPr>
            <w:tcW w:w="356" w:type="dxa"/>
            <w:tcBorders/>
            <w:vAlign w:val="center"/>
          </w:tcPr>
          <w:p>
            <w:pPr>
              <w:pStyle w:val="TableContents"/>
              <w:bidi w:val="0"/>
              <w:spacing w:before="0" w:after="0"/>
              <w:ind w:left="0" w:right="0" w:hanging="0"/>
              <w:jc w:val="center"/>
              <w:rPr/>
            </w:pPr>
            <w:r>
              <w:rPr/>
              <w:t>  ​ ​ ​</w:t>
            </w:r>
          </w:p>
        </w:tc>
        <w:tc>
          <w:tcPr>
            <w:tcW w:w="13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25, 2025</w:t>
            </w:r>
          </w:p>
        </w:tc>
      </w:tr>
      <w:tr>
        <w:trPr/>
        <w:tc>
          <w:tcPr>
            <w:tcW w:w="39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12,807</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7,107</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20,964</w:t>
            </w:r>
          </w:p>
        </w:tc>
        <w:tc>
          <w:tcPr>
            <w:tcW w:w="35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12,588</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adjustments:</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pPr>
            <w:r>
              <w:rPr/>
              <w:t>​</w:t>
            </w:r>
          </w:p>
        </w:tc>
      </w:tr>
      <w:tr>
        <w:trPr/>
        <w:tc>
          <w:tcPr>
            <w:tcW w:w="3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5,170</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2,991</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8,499</w:t>
            </w:r>
          </w:p>
        </w:tc>
        <w:tc>
          <w:tcPr>
            <w:tcW w:w="35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5,306</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1,207</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1,437</w:t>
            </w:r>
          </w:p>
        </w:tc>
        <w:tc>
          <w:tcPr>
            <w:tcW w:w="35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2,383</w:t>
            </w:r>
          </w:p>
        </w:tc>
      </w:tr>
      <w:tr>
        <w:trPr/>
        <w:tc>
          <w:tcPr>
            <w:tcW w:w="3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4,166</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3,929</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8,480</w:t>
            </w:r>
          </w:p>
        </w:tc>
        <w:tc>
          <w:tcPr>
            <w:tcW w:w="356"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7,816</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EBITDA</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22,849</w:t>
            </w:r>
          </w:p>
        </w:tc>
        <w:tc>
          <w:tcPr>
            <w:tcW w:w="346" w:type="dxa"/>
            <w:tcBorders/>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15,234</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39,380</w:t>
            </w:r>
          </w:p>
        </w:tc>
        <w:tc>
          <w:tcPr>
            <w:tcW w:w="356"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28,093</w:t>
            </w:r>
          </w:p>
        </w:tc>
      </w:tr>
      <w:tr>
        <w:trPr/>
        <w:tc>
          <w:tcPr>
            <w:tcW w:w="39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Stock-based compensation expense </w:t>
            </w:r>
            <w:r>
              <w:rPr>
                <w:rFonts w:ascii="Times New Roman;Times;serif" w:hAnsi="Times New Roman;Times;serif"/>
                <w:sz w:val="15"/>
              </w:rPr>
              <w:t>(a)</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1,578</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2,866</w:t>
            </w:r>
          </w:p>
        </w:tc>
        <w:tc>
          <w:tcPr>
            <w:tcW w:w="35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2,747</w:t>
            </w:r>
          </w:p>
        </w:tc>
      </w:tr>
      <w:tr>
        <w:trPr/>
        <w:tc>
          <w:tcPr>
            <w:tcW w:w="393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Loss on disposal of assets </w:t>
            </w:r>
            <w:r>
              <w:rPr>
                <w:rFonts w:ascii="Times New Roman;Times;serif" w:hAnsi="Times New Roman;Times;serif"/>
                <w:sz w:val="15"/>
              </w:rPr>
              <w:t>(b)</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w:t>
            </w:r>
          </w:p>
        </w:tc>
        <w:tc>
          <w:tcPr>
            <w:tcW w:w="35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39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Impairment and closed-store reserves </w:t>
            </w:r>
            <w:r>
              <w:rPr>
                <w:rFonts w:ascii="Times New Roman;Times;serif" w:hAnsi="Times New Roman;Times;serif"/>
                <w:sz w:val="15"/>
              </w:rPr>
              <w:t>(c)</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c>
          <w:tcPr>
            <w:tcW w:w="35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393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Legal settlements </w:t>
            </w:r>
            <w:r>
              <w:rPr>
                <w:rFonts w:ascii="Times New Roman;Times;serif" w:hAnsi="Times New Roman;Times;serif"/>
                <w:sz w:val="15"/>
              </w:rPr>
              <w:t>(d)</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(6,321)</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(6,321)</w:t>
            </w:r>
          </w:p>
        </w:tc>
        <w:tc>
          <w:tcPr>
            <w:tcW w:w="35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w:t>
            </w:r>
          </w:p>
        </w:tc>
      </w:tr>
      <w:tr>
        <w:trPr/>
        <w:tc>
          <w:tcPr>
            <w:tcW w:w="39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Special legal and professional fees expense </w:t>
            </w:r>
            <w:r>
              <w:rPr>
                <w:rFonts w:ascii="Times New Roman;Times;serif" w:hAnsi="Times New Roman;Times;serif"/>
                <w:sz w:val="15"/>
              </w:rPr>
              <w:t>(e)</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5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w:t>
            </w:r>
          </w:p>
        </w:tc>
      </w:tr>
      <w:tr>
        <w:trPr/>
        <w:tc>
          <w:tcPr>
            <w:tcW w:w="393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Duplicate rent expense for corporate office relocation </w:t>
            </w:r>
            <w:r>
              <w:rPr>
                <w:rFonts w:ascii="Times New Roman;Times;serif" w:hAnsi="Times New Roman;Times;serif"/>
                <w:sz w:val="15"/>
              </w:rPr>
              <w:t>(f)</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5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pPr>
            <w:r>
              <w:rPr/>
              <w:t>—</w:t>
            </w:r>
          </w:p>
        </w:tc>
      </w:tr>
      <w:tr>
        <w:trPr/>
        <w:tc>
          <w:tcPr>
            <w:tcW w:w="39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ERP software implementation costs </w:t>
            </w:r>
            <w:r>
              <w:rPr>
                <w:rFonts w:ascii="Times New Roman;Times;serif" w:hAnsi="Times New Roman;Times;serif"/>
                <w:sz w:val="15"/>
              </w:rPr>
              <w:t>(g)</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97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5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pPr>
            <w:r>
              <w:rPr/>
              <w:t>—</w:t>
            </w:r>
          </w:p>
        </w:tc>
      </w:tr>
      <w:tr>
        <w:trPr/>
        <w:tc>
          <w:tcPr>
            <w:tcW w:w="393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Restructuring and executive transition costs </w:t>
            </w:r>
            <w:r>
              <w:rPr>
                <w:rFonts w:ascii="Times New Roman;Times;serif" w:hAnsi="Times New Roman;Times;serif"/>
                <w:sz w:val="15"/>
              </w:rPr>
              <w:t>(h)</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9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w:t>
            </w:r>
          </w:p>
        </w:tc>
      </w:tr>
      <w:tr>
        <w:trPr/>
        <w:tc>
          <w:tcPr>
            <w:tcW w:w="39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Pre-opening costs </w:t>
            </w:r>
            <w:r>
              <w:rPr>
                <w:rFonts w:ascii="Times New Roman;Times;serif" w:hAnsi="Times New Roman;Times;serif"/>
                <w:sz w:val="15"/>
              </w:rPr>
              <w:t>(i)</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w:t>
            </w:r>
          </w:p>
        </w:tc>
        <w:tc>
          <w:tcPr>
            <w:tcW w:w="356"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7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19,108</w:t>
            </w:r>
          </w:p>
        </w:tc>
        <w:tc>
          <w:tcPr>
            <w:tcW w:w="346"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18,473</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7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37,298</w:t>
            </w:r>
          </w:p>
        </w:tc>
        <w:tc>
          <w:tcPr>
            <w:tcW w:w="356" w:type="dxa"/>
            <w:tcBorders/>
            <w:vAlign w:val="center"/>
          </w:tcPr>
          <w:p>
            <w:pPr>
              <w:pStyle w:val="TableContents"/>
              <w:bidi w:val="0"/>
              <w:spacing w:before="0" w:after="0"/>
              <w:ind w:left="0" w:right="0" w:hanging="0"/>
              <w:jc w:val="left"/>
              <w:rPr/>
            </w:pPr>
            <w:r>
              <w:rPr/>
              <w:t>​</w:t>
            </w:r>
          </w:p>
        </w:tc>
        <w:tc>
          <w:tcPr>
            <w:tcW w:w="27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44"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32,398</w:t>
            </w:r>
          </w:p>
        </w:tc>
      </w:tr>
    </w:tbl>
    <w:tbl>
      <w:tblPr>
        <w:tblW w:w="3677" w:type="dxa"/>
        <w:jc w:val="left"/>
        <w:tblInd w:w="0" w:type="dxa"/>
        <w:tblLayout w:type="fixed"/>
        <w:tblCellMar>
          <w:top w:w="0" w:type="dxa"/>
          <w:left w:w="0" w:type="dxa"/>
          <w:bottom w:w="0" w:type="dxa"/>
          <w:right w:w="0" w:type="dxa"/>
        </w:tblCellMar>
      </w:tblPr>
      <w:tblGrid>
        <w:gridCol w:w="316"/>
        <w:gridCol w:w="3361"/>
      </w:tblGrid>
      <w:tr>
        <w:trPr/>
        <w:tc>
          <w:tcPr>
            <w:tcW w:w="31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w:t>
            </w:r>
          </w:p>
        </w:tc>
        <w:tc>
          <w:tcPr>
            <w:tcW w:w="33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non-cash, stock-based compensation.</w:t>
            </w:r>
          </w:p>
        </w:tc>
      </w:tr>
    </w:tbl>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w:t>
            </w:r>
          </w:p>
        </w:tc>
        <w:tc>
          <w:tcPr>
            <w:tcW w:w="98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Loss on disposal of assets includes the loss or gain on disposal of assets related to retirements and replacement or write-off of leasehold improvements or equipment.</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costs related to impairment of property and equipment and ROU assets and closed restaurants. During the thirteen and twenty-six weeks ended July 1, 2026, we recorded $0.2 million in non-cash impairment charges related one restaurant in Nevada. We did not record any non-cash impairment charges during either the thirteen or twenty-six weeks ended June 25, 2025. During both the thirteen and twenty-six weeks ended July 1, 2026 and June 25, 2025, we recognized less than $0.1 million of closed-store reserve expense related to the amortization of ROU assets, property taxes and CAM expenses for our closed locations.</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w:t>
            </w:r>
          </w:p>
        </w:tc>
        <w:tc>
          <w:tcPr>
            <w:tcW w:w="99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$6.3 million received from a legal settlement, net of legal expenses, during the thirteen and twenty-six weeks ended July 1, 2026 and $0.6 million received from a legal settlement, net of legal expenses during the twenty-six weeks ended June 25, 2025.</w:t>
            </w:r>
          </w:p>
        </w:tc>
      </w:tr>
    </w:tbl>
    <w:tbl>
      <w:tblPr>
        <w:tblW w:w="6707" w:type="dxa"/>
        <w:jc w:val="left"/>
        <w:tblInd w:w="0" w:type="dxa"/>
        <w:tblLayout w:type="fixed"/>
        <w:tblCellMar>
          <w:top w:w="0" w:type="dxa"/>
          <w:left w:w="0" w:type="dxa"/>
          <w:bottom w:w="0" w:type="dxa"/>
          <w:right w:w="0" w:type="dxa"/>
        </w:tblCellMar>
      </w:tblPr>
      <w:tblGrid>
        <w:gridCol w:w="316"/>
        <w:gridCol w:w="6391"/>
      </w:tblGrid>
      <w:tr>
        <w:trPr/>
        <w:tc>
          <w:tcPr>
            <w:tcW w:w="31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w:t>
            </w:r>
          </w:p>
        </w:tc>
        <w:tc>
          <w:tcPr>
            <w:tcW w:w="63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Consists of legal and professional costs related to shareholder activism and related matters.</w:t>
            </w:r>
          </w:p>
        </w:tc>
      </w:tr>
    </w:tbl>
    <w:tbl>
      <w:tblPr>
        <w:tblW w:w="5657" w:type="dxa"/>
        <w:jc w:val="left"/>
        <w:tblInd w:w="0" w:type="dxa"/>
        <w:tblLayout w:type="fixed"/>
        <w:tblCellMar>
          <w:top w:w="0" w:type="dxa"/>
          <w:left w:w="0" w:type="dxa"/>
          <w:bottom w:w="0" w:type="dxa"/>
          <w:right w:w="0" w:type="dxa"/>
        </w:tblCellMar>
      </w:tblPr>
      <w:tblGrid>
        <w:gridCol w:w="301"/>
        <w:gridCol w:w="5356"/>
      </w:tblGrid>
      <w:tr>
        <w:trPr/>
        <w:tc>
          <w:tcPr>
            <w:tcW w:w="30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w:t>
            </w:r>
          </w:p>
        </w:tc>
        <w:tc>
          <w:tcPr>
            <w:tcW w:w="53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Consists of duplicate rent expense for the corporate headquarter relocation.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(g)</w:t>
            </w:r>
          </w:p>
        </w:tc>
        <w:tc>
          <w:tcPr>
            <w:tcW w:w="98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Represents costs incurred in connection with the implementation of a new ERP system which are included in general and administrative expenses.</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(h)</w:t>
            </w:r>
          </w:p>
        </w:tc>
        <w:tc>
          <w:tcPr>
            <w:tcW w:w="9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Consists of costs associated with the transition of certain executive officers, such as severance and stock-based compensations costs and costs associated with restructuring certain positions in the organization during the thirteen and twenty-six weeks ended June 25, 2025.</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w:t>
            </w:r>
          </w:p>
        </w:tc>
        <w:tc>
          <w:tcPr>
            <w:tcW w:w="9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tc>
      </w:tr>
    </w:tbl>
    <w:p>
      <w:pPr>
        <w:pStyle w:val="TextBody"/>
        <w:bidi w:val="0"/>
        <w:spacing w:before="360" w:after="0"/>
        <w:ind w:left="0" w:right="0" w:hanging="0"/>
        <w:jc w:val="both"/>
        <w:rPr>
          <w:rFonts w:ascii="Times New Roman;Times;serif" w:hAnsi="Times New Roman;Times;serif"/>
          <w:b/>
          <w:sz w:val="20"/>
        </w:rPr>
      </w:pPr>
      <w:bookmarkStart w:id="1266" w:name="_e11adff8_2ec0_4f25_8f74_b9527e378075"/>
      <w:bookmarkEnd w:id="1266"/>
      <w:r>
        <w:rPr>
          <w:rFonts w:ascii="Times New Roman;Times;serif" w:hAnsi="Times New Roman;Times;serif"/>
          <w:b/>
          <w:sz w:val="20"/>
        </w:rPr>
        <w:t>Liquidity and Capital Resources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shd w:fill="FFFFFF" w:val="clear"/>
        </w:rPr>
        <w:t xml:space="preserve">Our primary sources of liquidity and capital resources have been cash provided from operations, cash and cash equivalents, and the </w:t>
      </w:r>
      <w:r>
        <w:rPr>
          <w:rFonts w:ascii="Times New Roman;Times;serif" w:hAnsi="Times New Roman;Times;serif"/>
          <w:sz w:val="20"/>
        </w:rPr>
        <w:t>2022 Revolver (as defined below)</w:t>
      </w:r>
      <w:r>
        <w:rPr>
          <w:rFonts w:ascii="Times New Roman;Times;serif" w:hAnsi="Times New Roman;Times;serif"/>
          <w:sz w:val="20"/>
          <w:shd w:fill="FFFFFF" w:val="clear"/>
        </w:rPr>
        <w:t>. Our primary requirements for liquidity and capital are new restaurants, existing restaurant capital investments (remodels and maintenance), lease obligations, interest payments on our debt, working capital and general corporate needs. Our working capital requirements are not significant, since our customers pay for their purchases in cash or by payment card (credit or debit) at the time of sale. Thus, we are able to sell many of our inventory items before we have to pay our suppliers. Our restaurants do not require significant inventories or receivables. We believe that these sources of liquidity and capital are sufficient to finance our continued operations, including planned capital expenditures, for at least the next 12 months and beyond from the issuance of the condensed consolidated financial statements.</w:t>
      </w:r>
    </w:p>
    <w:p>
      <w:pPr>
        <w:pStyle w:val="TextBody"/>
        <w:bidi w:val="0"/>
        <w:spacing w:before="240" w:after="240"/>
        <w:ind w:left="0" w:right="0" w:firstLine="49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During the second fiscal quarter of 2026, we received $13.9 million for a legal settlement, net of legal expenses, of which $7.6 million relates to franchisees and was recorded to Other accrued expenses and current liabilities as of the period ended July 1, 2026 and is expected to be disbursed to franchisees in the third fiscal quarter of 2026.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shd w:fill="FFFFFF" w:val="clear"/>
        </w:rPr>
        <w:t>However, depending on macroeconomic conditions, our financial performance and liquidity could be further impacted and could impact our ability to meet certain financial covenants required in our 2022 Credit Agreement (as defined in Note 5, “</w:t>
      </w:r>
      <w:r>
        <w:rPr>
          <w:rFonts w:ascii="Times New Roman;Times;serif" w:hAnsi="Times New Roman;Times;serif"/>
          <w:i/>
          <w:sz w:val="20"/>
          <w:shd w:fill="FFFFFF" w:val="clear"/>
        </w:rPr>
        <w:t>Long-Term Debt</w:t>
      </w:r>
      <w:r>
        <w:rPr>
          <w:rFonts w:ascii="Times New Roman;Times;serif" w:hAnsi="Times New Roman;Times;serif"/>
          <w:sz w:val="20"/>
          <w:shd w:fill="FFFFFF" w:val="clear"/>
        </w:rPr>
        <w:t>”), specifically the lease-adjusted coverage ratio and fixed-charge coverage ratio.</w:t>
      </w:r>
    </w:p>
    <w:p>
      <w:pPr>
        <w:pStyle w:val="TextBody"/>
        <w:bidi w:val="0"/>
        <w:spacing w:before="240" w:after="120"/>
        <w:ind w:left="0" w:right="0" w:firstLine="490"/>
        <w:jc w:val="both"/>
        <w:rPr>
          <w:rFonts w:ascii="Times New Roman;Times;serif" w:hAnsi="Times New Roman;Times;serif"/>
          <w:sz w:val="20"/>
        </w:rPr>
      </w:pPr>
      <w:r>
        <w:rPr>
          <w:rFonts w:ascii="Times New Roman;Times;serif" w:hAnsi="Times New Roman;Times;serif"/>
          <w:sz w:val="20"/>
        </w:rPr>
        <w:t>The following table presents summary cash flow information for the periods indicated (in thousands):</w:t>
      </w:r>
    </w:p>
    <w:tbl>
      <w:tblPr>
        <w:tblW w:w="6261" w:type="dxa"/>
        <w:jc w:val="left"/>
        <w:tblInd w:w="0" w:type="dxa"/>
        <w:tblLayout w:type="fixed"/>
        <w:tblCellMar>
          <w:top w:w="0" w:type="dxa"/>
          <w:left w:w="0" w:type="dxa"/>
          <w:bottom w:w="0" w:type="dxa"/>
          <w:right w:w="0" w:type="dxa"/>
        </w:tblCellMar>
      </w:tblPr>
      <w:tblGrid>
        <w:gridCol w:w="3391"/>
        <w:gridCol w:w="346"/>
        <w:gridCol w:w="211"/>
        <w:gridCol w:w="796"/>
        <w:gridCol w:w="346"/>
        <w:gridCol w:w="265"/>
        <w:gridCol w:w="906"/>
      </w:tblGrid>
      <w:tr>
        <w:trPr/>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153285" cy="175260"/>
                      <wp:effectExtent l="0" t="0" r="0" b="0"/>
                      <wp:wrapNone/>
                      <wp:docPr id="385" name="Frame385"/>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19710" cy="175260"/>
                      <wp:effectExtent l="0" t="0" r="0" b="0"/>
                      <wp:wrapNone/>
                      <wp:docPr id="386" name="Frame3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33985" cy="175260"/>
                      <wp:effectExtent l="0" t="0" r="0" b="0"/>
                      <wp:wrapNone/>
                      <wp:docPr id="387" name="Frame3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505460" cy="175260"/>
                      <wp:effectExtent l="0" t="0" r="0" b="0"/>
                      <wp:wrapNone/>
                      <wp:docPr id="388" name="Frame38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19710" cy="175260"/>
                      <wp:effectExtent l="0" t="0" r="0" b="0"/>
                      <wp:wrapNone/>
                      <wp:docPr id="389" name="Frame3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68275" cy="175260"/>
                      <wp:effectExtent l="0" t="0" r="0" b="0"/>
                      <wp:wrapNone/>
                      <wp:docPr id="390" name="Frame390"/>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575310" cy="175260"/>
                      <wp:effectExtent l="0" t="0" r="0" b="0"/>
                      <wp:wrapNone/>
                      <wp:docPr id="391" name="Frame391"/>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52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Twenty-Six Weeks Ended </w:t>
            </w:r>
          </w:p>
        </w:tc>
      </w:tr>
      <w:tr>
        <w:trPr/>
        <w:tc>
          <w:tcPr>
            <w:tcW w:w="339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(Amounts in thousands)</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1, 2026</w:t>
            </w:r>
          </w:p>
        </w:tc>
        <w:tc>
          <w:tcPr>
            <w:tcW w:w="346" w:type="dxa"/>
            <w:tcBorders/>
            <w:vAlign w:val="center"/>
          </w:tcPr>
          <w:p>
            <w:pPr>
              <w:pStyle w:val="TableContents"/>
              <w:bidi w:val="0"/>
              <w:spacing w:before="0" w:after="1"/>
              <w:ind w:left="0" w:right="0" w:hanging="0"/>
              <w:jc w:val="center"/>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25, 2025</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  ​</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44,738</w:t>
            </w:r>
          </w:p>
        </w:tc>
        <w:tc>
          <w:tcPr>
            <w:tcW w:w="34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18,872</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(18,727)</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 </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(8,427)</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(18,957)</w:t>
            </w:r>
          </w:p>
        </w:tc>
        <w:tc>
          <w:tcPr>
            <w:tcW w:w="346" w:type="dxa"/>
            <w:tcBorders/>
            <w:vAlign w:val="center"/>
          </w:tcPr>
          <w:p>
            <w:pPr>
              <w:pStyle w:val="TableContents"/>
              <w:bidi w:val="0"/>
              <w:spacing w:before="0" w:after="1"/>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(3,940)</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change in 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7,054</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6,505</w:t>
            </w:r>
          </w:p>
        </w:tc>
      </w:tr>
    </w:tbl>
    <w:p>
      <w:pPr>
        <w:pStyle w:val="TextBody"/>
        <w:bidi w:val="0"/>
        <w:spacing w:before="360" w:after="0"/>
        <w:ind w:left="490" w:right="0" w:hanging="0"/>
        <w:jc w:val="both"/>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For the twenty-six weeks ended July 1, 2026, net cash from operating activities increased by $25.9 million from the comparable period of the prior year. This increase was primarily due to an $8.4 million increase in net income, a $6.2 million favorable change in non-cash and reconciling items and an $11.4 million favorable change in operating assets and liabilities. The favorable change in non-cash and reconciling items was primarily driven by a $4.6 million favorable change in deferred income taxes, a $0.7 million increase in depreciation and amortization, and a $0.6 million increase in losses on the disposal of assets. The favorable change in operating assets and liabilities was primarily driven by favorable changes of $10.3 million in other accrued expenses and current liabilities, $1.0 million in income taxes receivable and payable and $1.0 million in other assets, partially offset by unfavorable changes of $1.4 million in prepaid expenses and other current assets and $0.6 million in accounts payable.</w:t>
      </w:r>
    </w:p>
    <w:p>
      <w:pPr>
        <w:pStyle w:val="TextBody"/>
        <w:bidi w:val="0"/>
        <w:spacing w:before="360" w:after="0"/>
        <w:ind w:left="0" w:right="0" w:firstLine="490"/>
        <w:jc w:val="both"/>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120" w:after="0"/>
        <w:ind w:left="0" w:right="0" w:firstLine="490"/>
        <w:jc w:val="both"/>
        <w:rPr>
          <w:rFonts w:ascii="Times New Roman;Times;serif" w:hAnsi="Times New Roman;Times;serif"/>
          <w:b w:val="false"/>
          <w:sz w:val="20"/>
          <w:shd w:fill="FFFFFF" w:val="clear"/>
        </w:rPr>
      </w:pPr>
      <w:r>
        <w:rPr>
          <w:rFonts w:ascii="Times New Roman;Times;serif" w:hAnsi="Times New Roman;Times;serif"/>
          <w:b w:val="false"/>
          <w:sz w:val="20"/>
          <w:shd w:fill="FFFFFF" w:val="clear"/>
        </w:rPr>
        <w:t>For the twenty-six weeks ended July 1, 2026, net cash used in investing activities increased by $10.3 million from the comparable period of the prior year. This change was primarily due to an increase in purchase of property and equipment mostly related to restaurant remodeling and new restaurant development during the twenty-six weeks ended July 1, 2026 when compared to the prior year.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490" w:right="0" w:hanging="0"/>
        <w:jc w:val="both"/>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120" w:after="0"/>
        <w:ind w:left="0" w:right="0" w:firstLine="490"/>
        <w:jc w:val="both"/>
        <w:rPr>
          <w:rFonts w:ascii="Times New Roman;Times;serif" w:hAnsi="Times New Roman;Times;serif"/>
          <w:b w:val="false"/>
          <w:sz w:val="20"/>
          <w:shd w:fill="FFFFFF" w:val="clear"/>
        </w:rPr>
      </w:pPr>
      <w:r>
        <w:rPr>
          <w:rFonts w:ascii="Times New Roman;Times;serif" w:hAnsi="Times New Roman;Times;serif"/>
          <w:b w:val="false"/>
          <w:sz w:val="20"/>
          <w:shd w:fill="FFFFFF" w:val="clear"/>
        </w:rPr>
        <w:t>For the twenty-six weeks ended July 1, 2026, net cash used in financing activities increased by $15.0 million from the comparable period of the prior year. This change was primarily due to a $21.0 million net paydown on the 2022 Revolver (as defined below) during the twenty-six weeks ended July 1, 2026, compared to a $2.0 million net paydown during the twenty-six weeks ended June 25, 2025. The increase was partially offset by a $2.2 million increase in proceeds from the exercise of stock options and the absence of common stock repurchases during the current-year period, compared to $1.8 million of repurchases during the prior-year period.</w:t>
      </w:r>
    </w:p>
    <w:p>
      <w:pPr>
        <w:pStyle w:val="TextBody"/>
        <w:bidi w:val="0"/>
        <w:spacing w:before="360" w:after="0"/>
        <w:ind w:left="490" w:right="0" w:hanging="0"/>
        <w:jc w:val="both"/>
        <w:rPr>
          <w:rFonts w:ascii="Times New Roman;Times;serif" w:hAnsi="Times New Roman;Times;serif"/>
          <w:i/>
          <w:sz w:val="20"/>
        </w:rPr>
      </w:pPr>
      <w:r>
        <w:rPr>
          <w:rFonts w:ascii="Times New Roman;Times;serif" w:hAnsi="Times New Roman;Times;serif"/>
          <w:i/>
          <w:sz w:val="20"/>
        </w:rPr>
        <w:t>Debt and Other Obligations</w:t>
      </w:r>
    </w:p>
    <w:p>
      <w:pPr>
        <w:pStyle w:val="TextBody"/>
        <w:bidi w:val="0"/>
        <w:spacing w:before="120" w:after="0"/>
        <w:ind w:left="0" w:right="0" w:firstLine="490"/>
        <w:jc w:val="both"/>
        <w:rPr>
          <w:rFonts w:ascii="Times New Roman;Times;serif" w:hAnsi="Times New Roman;Times;serif"/>
          <w:b w:val="false"/>
          <w:sz w:val="20"/>
          <w:shd w:fill="FFFFFF" w:val="clear"/>
        </w:rPr>
      </w:pPr>
      <w:r>
        <w:rPr>
          <w:rFonts w:ascii="Times New Roman;Times;serif" w:hAnsi="Times New Roman;Times;serif"/>
          <w:b w:val="false"/>
          <w:sz w:val="20"/>
          <w:shd w:fill="FFFFFF" w:val="clear"/>
        </w:rPr>
        <w:t>We, as a guarantor, are a party to a credit agreement (the “2022 Credit Agreement”) among our wholly-owned subsidiary, El Pollo Loco, Inc. (“EPL”), as borrower, and our direct subsidiary, EPL Intermediate, Inc. (“Intermediate”), as a guarantor, Bank of America, N.A., as administrative agent, swingline lender, and letter of credit issuer, the lenders party thereto, and the other parties thereto, which provides for a $150.0 million five-year senior secured revolving credit facility (the “2022 Revolver”). The 2022 Revolver, which is available pursuant to the 2022 Credit Agreement, includes a sub limit of $15.0 million for letters of credit and a sub limit of $15.0 million for swingline loans. The 2022 Revolver and 2022 Credit Agreement will mature on July 27, 2027. The obligations under the 2022 Credit Agreement and related loan documents are guaranteed by us. The obligations of our company, EPL and Intermediate under the 2022 Credit Agreement and related loan documents are secured by a first priority lien on substantially all of their respective assets subject to certain customary exceptions.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Under the 2022 Revolver, we are restricted from making certain payments such as cash dividends or share repurchases, except that we may, inter alia, (i) pay up to $1.0 million per year to repurchase or redeem our qualified equity interests held by our past or present officers, directors, or employees (or their estates) upon death, disability, or termination of employment, and (ii) 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 (b) pay up to $0.5 million in any 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 (d) make up to $5.0 million in other restricted payments per year, and (e) make other restricted payments, subject to our compliance, on a pro forma basis, with (x) a lease-adjusted consolidated leverage ratio not to exceed 4.25 times and (y) the financial covenants applicable to the 2022 Revolver.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Borrowings under the 2022 Credit Agreement (other than any swingline loans) bear interest, at the borrower’s option, at rates based upon either the secured overnight financing rate (“SOFR”) or a base rate, plus, for each rate, a margin determined in accordance with a lease-adjusted consolidated leverage ratio-based pricing grid. The base rate is calculated as the highest of (a) the federal funds rate plus 0.50%, (b) the published Bank of America prime rate, or (c) </w:t>
      </w:r>
      <w:r>
        <w:rPr>
          <w:rFonts w:ascii="Times New Roman;Times;serif" w:hAnsi="Times New Roman;Times;serif"/>
          <w:sz w:val="20"/>
          <w:shd w:fill="FFFFFF" w:val="clear"/>
        </w:rPr>
        <w:t>Term SOFR with a term of one-month SOFR</w:t>
      </w:r>
      <w:r>
        <w:rPr>
          <w:rFonts w:ascii="Times New Roman;Times;serif" w:hAnsi="Times New Roman;Times;serif"/>
          <w:sz w:val="20"/>
        </w:rPr>
        <w:t xml:space="preserve"> plus 1.00%. For </w:t>
      </w:r>
      <w:r>
        <w:rPr>
          <w:rFonts w:ascii="Times New Roman;Times;serif" w:hAnsi="Times New Roman;Times;serif"/>
          <w:sz w:val="20"/>
          <w:shd w:fill="FFFFFF" w:val="clear"/>
        </w:rPr>
        <w:t>Term SOFR</w:t>
      </w:r>
      <w:r>
        <w:rPr>
          <w:rFonts w:ascii="Times New Roman;Times;serif" w:hAnsi="Times New Roman;Times;serif"/>
          <w:sz w:val="20"/>
        </w:rPr>
        <w:t xml:space="preserve"> loans, the margin is in the range of 1.25% to 2.25%, and for base rate loans the margin is in a range of 0.25% to 1.25%. Borrowings under the 2022 Revolver may be repaid and reborrowed. The interest rate range under the 2022 Revolver was 4.97% to 5.02% and 4.97% to 7.00% for the thirteen and twenty-six weeks ended July 1, 2026, and 5.65% to 5.93% and 5.67% to 7.75% for the thirteen weeks and twenty six weeks ended June 25, 2025</w:t>
      </w:r>
      <w:r>
        <w:rPr>
          <w:rFonts w:ascii="Times New Roman;Times;serif" w:hAnsi="Times New Roman;Times;serif"/>
          <w:sz w:val="20"/>
          <w:shd w:fill="FFFFFF" w:val="clear"/>
        </w:rPr>
        <w:t>, respectively</w:t>
      </w:r>
      <w:r>
        <w:rPr>
          <w:rFonts w:ascii="Times New Roman;Times;serif" w:hAnsi="Times New Roman;Times;serif"/>
          <w:sz w:val="20"/>
        </w:rPr>
        <w:t>.</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The 2022 Credit Agreement contains certain customary financial covenants, which covenants are subject to certain exceptions. We were in compliance with the financial covenants as of July 1, 2026.</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At July 1, 2026, we had $30.0 million in outstanding borrowings under the 2022 Revolver and one letter of credit in the amount of $10.3 million outstanding, and as a result, we had $109.7 million in borrowing availability. Subsequent to the quarter-end, we paid down $4.0 million on the 2022 Revolver, resulting in outstanding borrowings of $26.0 million as of July 29, 2026.</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 xml:space="preserve">Subsequent to the quarter end, on August 4, 2026 we amended our $150.0 million credit facility, extending the term to August 4, 2031.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See Note 5, </w:t>
      </w:r>
      <w:r>
        <w:rPr>
          <w:rFonts w:ascii="Times New Roman;Times;serif" w:hAnsi="Times New Roman;Times;serif"/>
          <w:i/>
          <w:sz w:val="20"/>
        </w:rPr>
        <w:t>Long-Term Debt</w:t>
      </w:r>
      <w:r>
        <w:rPr>
          <w:rFonts w:ascii="Times New Roman;Times;serif" w:hAnsi="Times New Roman;Times;serif"/>
          <w:sz w:val="20"/>
        </w:rPr>
        <w:t xml:space="preserve">, to the Condensed Consolidated Financial Statements included in Part I, Item 1, </w:t>
      </w:r>
      <w:r>
        <w:rPr>
          <w:rFonts w:ascii="Times New Roman;Times;serif" w:hAnsi="Times New Roman;Times;serif"/>
          <w:i/>
          <w:sz w:val="20"/>
        </w:rPr>
        <w:t>Financial Statements</w:t>
      </w:r>
      <w:r>
        <w:rPr>
          <w:rFonts w:ascii="Times New Roman;Times;serif" w:hAnsi="Times New Roman;Times;serif"/>
          <w:sz w:val="20"/>
        </w:rPr>
        <w:t>, of this Quarterly Report on Form 10-Q for additional information.</w:t>
      </w:r>
    </w:p>
    <w:p>
      <w:pPr>
        <w:pStyle w:val="TextBody"/>
        <w:bidi w:val="0"/>
        <w:spacing w:before="360" w:after="0"/>
        <w:ind w:left="490" w:right="0" w:hanging="0"/>
        <w:jc w:val="both"/>
        <w:rPr>
          <w:rFonts w:ascii="Times New Roman;Times;serif" w:hAnsi="Times New Roman;Times;serif"/>
          <w:i/>
          <w:sz w:val="20"/>
        </w:rPr>
      </w:pPr>
      <w:r>
        <w:rPr>
          <w:rFonts w:ascii="Times New Roman;Times;serif" w:hAnsi="Times New Roman;Times;serif"/>
          <w:i/>
          <w:sz w:val="20"/>
        </w:rPr>
        <w:t>Material Cash Requirements</w:t>
      </w:r>
    </w:p>
    <w:p>
      <w:pPr>
        <w:pStyle w:val="TextBody"/>
        <w:bidi w:val="0"/>
        <w:spacing w:before="120" w:after="0"/>
        <w:ind w:left="0" w:right="0" w:firstLine="490"/>
        <w:jc w:val="both"/>
        <w:rPr>
          <w:rFonts w:ascii="Times New Roman;Times;serif" w:hAnsi="Times New Roman;Times;serif"/>
          <w:b/>
          <w:sz w:val="20"/>
        </w:rPr>
      </w:pPr>
      <w:r>
        <w:rPr>
          <w:rFonts w:ascii="Times New Roman;Times;serif" w:hAnsi="Times New Roman;Times;serif"/>
          <w:b w:val="false"/>
          <w:sz w:val="20"/>
          <w:shd w:fill="FFFFFF" w:val="clear"/>
        </w:rPr>
        <w:t xml:space="preserve">Our material cash requirements as of July 1, 2026 have not changed materially since those disclosed under Part II, Item 7, </w:t>
      </w:r>
      <w:r>
        <w:rPr>
          <w:rFonts w:ascii="Times New Roman;Times;serif" w:hAnsi="Times New Roman;Times;serif"/>
          <w:b w:val="false"/>
          <w:i/>
          <w:sz w:val="20"/>
          <w:shd w:fill="FFFFFF" w:val="clear"/>
        </w:rPr>
        <w:t>Management’s Discussion and Analysis of Financial Condition and Results of Operations—Liquidity and Capital Resources—Material Cash Requirements</w:t>
      </w:r>
      <w:r>
        <w:rPr>
          <w:rFonts w:ascii="Times New Roman;Times;serif" w:hAnsi="Times New Roman;Times;serif"/>
          <w:b w:val="false"/>
          <w:sz w:val="20"/>
          <w:shd w:fill="FFFFFF" w:val="clear"/>
        </w:rPr>
        <w:t>, of our Annual Report on Form 10-K for the year ended December 31, 2025. Our material cash requirements relate mostly to future (i) debt payments, including expected interest expense, calculated based on current interest rates, (ii) restaurant operating lease payments, (iii) purchasing commitments for chicken, (iv) restaurant finance lease payments, and (v) capital expenditures.</w:t>
      </w:r>
    </w:p>
    <w:p>
      <w:pPr>
        <w:pStyle w:val="TextBody"/>
        <w:bidi w:val="0"/>
        <w:spacing w:before="360" w:after="120"/>
        <w:ind w:left="490" w:right="0" w:hanging="0"/>
        <w:jc w:val="both"/>
        <w:rPr>
          <w:rFonts w:ascii="Times New Roman;Times;serif" w:hAnsi="Times New Roman;Times;serif"/>
          <w:i/>
          <w:sz w:val="20"/>
        </w:rPr>
      </w:pPr>
      <w:r>
        <w:rPr>
          <w:rFonts w:ascii="Times New Roman;Times;serif" w:hAnsi="Times New Roman;Times;serif"/>
          <w:i/>
          <w:sz w:val="20"/>
        </w:rPr>
        <w:t>Share Repurchases</w:t>
      </w:r>
    </w:p>
    <w:p>
      <w:pPr>
        <w:pStyle w:val="TextBody"/>
        <w:bidi w:val="0"/>
        <w:spacing w:before="120" w:after="240"/>
        <w:ind w:left="86" w:right="0" w:firstLine="403"/>
        <w:jc w:val="both"/>
        <w:rPr>
          <w:rFonts w:ascii="Times New Roman;Times;serif" w:hAnsi="Times New Roman;Times;serif"/>
          <w:sz w:val="20"/>
        </w:rPr>
      </w:pPr>
      <w:r>
        <w:rPr>
          <w:rFonts w:ascii="Times New Roman;Times;serif" w:hAnsi="Times New Roman;Times;serif"/>
          <w:sz w:val="20"/>
        </w:rPr>
        <w:t>On May 28, 2026, we announced that our Board of Directors approved a share repurchase program (the “2026 Share Repurchase Program”) under which we are authorized to repurchase up to $40.0 million of shares of our common stock. Under the 2026 Share Repurchase Program, we are permitted to repurchase our common stock from time to time, in amounts and at prices that we deem appropriate, based on various factors, including the market price of our common stock, general business, economic and market conditions, alternative investment opportunities and funding considerations. Pursuant to the 2026 Share Repurchase Program, we are authorized to effect repurchases through open market purchases, block trades, privately negotiated transactions or other transactions conducted in accordance with Rule 10b-18 under the Exchange Act, including pursuant to Rule 10b5-1 trading plans. The 2026 Share Repurchase Program does not obligate us to acquire any particular number of shares, has an open-ended term and may be expanded, modified, suspended or discontinued at any time.</w:t>
      </w:r>
    </w:p>
    <w:p>
      <w:pPr>
        <w:pStyle w:val="TextBody"/>
        <w:bidi w:val="0"/>
        <w:spacing w:before="240" w:after="240"/>
        <w:ind w:left="86" w:right="0" w:firstLine="403"/>
        <w:jc w:val="both"/>
        <w:rPr>
          <w:rFonts w:ascii="Times New Roman;Times;serif" w:hAnsi="Times New Roman;Times;serif"/>
          <w:sz w:val="20"/>
        </w:rPr>
      </w:pPr>
      <w:r>
        <w:rPr>
          <w:rFonts w:ascii="Times New Roman;Times;serif" w:hAnsi="Times New Roman;Times;serif"/>
          <w:sz w:val="20"/>
        </w:rPr>
        <w:t>For the thirteen and twenty-six weeks ended July 1, 2026, we did not repurchase any shares under the 2026 Share Repurchase Program.</w:t>
      </w:r>
    </w:p>
    <w:p>
      <w:pPr>
        <w:pStyle w:val="TextBody"/>
        <w:bidi w:val="0"/>
        <w:spacing w:before="0" w:after="240"/>
        <w:ind w:left="0" w:right="0" w:hanging="0"/>
        <w:jc w:val="left"/>
        <w:rPr/>
      </w:pPr>
      <w:r>
        <w:rPr/>
        <w:t>​</w:t>
      </w:r>
    </w:p>
    <w:p>
      <w:pPr>
        <w:pStyle w:val="TextBody"/>
        <w:bidi w:val="0"/>
        <w:spacing w:before="360" w:after="0"/>
        <w:ind w:left="0" w:right="0" w:hanging="0"/>
        <w:jc w:val="left"/>
        <w:rPr>
          <w:rFonts w:ascii="Times New Roman;Times;serif" w:hAnsi="Times New Roman;Times;serif"/>
          <w:b/>
          <w:sz w:val="20"/>
        </w:rPr>
      </w:pPr>
      <w:bookmarkStart w:id="1267" w:name="Item3QuantitativeandQualitativeDisclosur"/>
      <w:bookmarkStart w:id="1268" w:name="_baf20f78_da47_419e_8c56_4c29570ac60a"/>
      <w:bookmarkEnd w:id="1267"/>
      <w:bookmarkEnd w:id="1268"/>
      <w:r>
        <w:rPr>
          <w:rFonts w:ascii="Times New Roman;Times;serif" w:hAnsi="Times New Roman;Times;serif"/>
          <w:b/>
          <w:i w:val="false"/>
          <w:caps w:val="false"/>
          <w:smallCaps w:val="false"/>
          <w:sz w:val="20"/>
        </w:rPr>
        <w:t>Item 3.</w:t>
      </w:r>
      <w:r>
        <w:rPr>
          <w:rFonts w:ascii="Times New Roman;Times;serif" w:hAnsi="Times New Roman;Times;serif"/>
          <w:b/>
          <w:sz w:val="20"/>
        </w:rPr>
        <w:t>Quantitative and Qualitative Disclosures About Market Risk.</w:t>
      </w:r>
    </w:p>
    <w:p>
      <w:pPr>
        <w:pStyle w:val="TextBody"/>
        <w:bidi w:val="0"/>
        <w:spacing w:before="120" w:after="120"/>
        <w:ind w:left="490" w:right="0" w:hanging="0"/>
        <w:jc w:val="both"/>
        <w:rPr>
          <w:rFonts w:ascii="Times New Roman;Times;serif" w:hAnsi="Times New Roman;Times;serif"/>
          <w:i/>
          <w:sz w:val="20"/>
        </w:rPr>
      </w:pPr>
      <w:r>
        <w:rPr>
          <w:rFonts w:ascii="Times New Roman;Times;serif" w:hAnsi="Times New Roman;Times;serif"/>
          <w:i/>
          <w:sz w:val="20"/>
        </w:rPr>
        <w:t>Interest Rate Risk</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 xml:space="preserve">On July 27, 2022, we refinanced and entered into the 2022 Credit Agreement, which provides for a $150.0 million five-year senior secured revolving facility. </w:t>
      </w:r>
      <w:r>
        <w:rPr>
          <w:rFonts w:ascii="Times New Roman;Times;serif" w:hAnsi="Times New Roman;Times;serif"/>
          <w:sz w:val="20"/>
          <w:shd w:fill="FFFFFF" w:val="clear"/>
        </w:rPr>
        <w:t xml:space="preserve">We are exposed to market risk from changes in interest rates on our debt, which bears interest, at </w:t>
      </w:r>
      <w:r>
        <w:rPr>
          <w:rFonts w:ascii="Times New Roman;Times;serif" w:hAnsi="Times New Roman;Times;serif"/>
          <w:sz w:val="20"/>
        </w:rPr>
        <w:t>SOFR</w:t>
      </w:r>
      <w:r>
        <w:rPr>
          <w:rFonts w:ascii="Times New Roman;Times;serif" w:hAnsi="Times New Roman;Times;serif"/>
          <w:sz w:val="20"/>
          <w:shd w:fill="FFFFFF" w:val="clear"/>
        </w:rPr>
        <w:t xml:space="preserve"> plus a margin between 1.25% and 2.25%. As of July 1, 2026, we had outstanding borrowings of $30.0 million under our 2022 Revolver, $10.3 million of letters of credit in support of our insurance programs, and the applicable margin on outstanding borrowings under 2022 Revolver was 1.25%.</w:t>
      </w:r>
      <w:r>
        <w:rPr>
          <w:rFonts w:ascii="Times New Roman;Times;serif" w:hAnsi="Times New Roman;Times;serif"/>
          <w:sz w:val="20"/>
        </w:rPr>
        <w:t xml:space="preserve"> </w:t>
      </w:r>
      <w:r>
        <w:rPr>
          <w:rFonts w:ascii="Times New Roman;Times;serif" w:hAnsi="Times New Roman;Times;serif"/>
          <w:sz w:val="20"/>
          <w:shd w:fill="FFFFFF" w:val="clear"/>
        </w:rPr>
        <w:t>A 1.0% increase in the effective interest rate applied to our 2022 Revolver borrowings would result in a pre-tax interest expense increase of $0.3 million on an annualized basis.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During the thirteen and twenty-six weeks ended July 1, 2026, we borrowed $5.0 million and paid down $19.0 million and $26.0 million, respectively, on our 2022 Revolver, and the outstanding balance as of July 1, 2026 was $30.0 million. Borrowings under the 2022 Credit Agreement (other than any swingline loans) bear interest, at the borrowers’ option, at rates based upon either SOFR or a base rate, plus, for each rate, a margin determined in accordance with a lease-adjusted consolidated leverage ratio-based pricing grid. </w:t>
      </w:r>
      <w:r>
        <w:rPr>
          <w:rFonts w:ascii="Times New Roman;Times;serif" w:hAnsi="Times New Roman;Times;serif"/>
          <w:sz w:val="20"/>
          <w:shd w:fill="FFFFFF" w:val="clear"/>
        </w:rPr>
        <w:t>If future rates based upon SOFR are higher than SOFR rates as currently determined, we may experience potential increases in interest rates on our variable rate debt, which could adversely impact our interest expense, results of operations and cash flows.</w:t>
      </w:r>
    </w:p>
    <w:p>
      <w:pPr>
        <w:pStyle w:val="TextBody"/>
        <w:bidi w:val="0"/>
        <w:spacing w:before="360" w:after="120"/>
        <w:ind w:left="490" w:right="0" w:hanging="0"/>
        <w:jc w:val="both"/>
        <w:rPr>
          <w:rFonts w:ascii="Times New Roman;Times;serif" w:hAnsi="Times New Roman;Times;serif"/>
          <w:i/>
          <w:sz w:val="20"/>
        </w:rPr>
      </w:pPr>
      <w:r>
        <w:rPr>
          <w:rFonts w:ascii="Times New Roman;Times;serif" w:hAnsi="Times New Roman;Times;serif"/>
          <w:i/>
          <w:sz w:val="20"/>
        </w:rPr>
        <w:t>Inflation</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 xml:space="preserve">Inflation has an impact on food, paper, construction, utility, labor and benefits, and general and administrative costs, as well as other costs, all of which can materially impact our operations. In general, we have been able to substantially offset cost increases resulting thus far from inflation by increasing menu prices, managing menu mix, improving productivity, or making other adjustments. We may not be able to offset cost increases in the future. In addition, we have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substantial number of hourly employees who are paid wage rates at or based on the applicable federal, state, or local minimum wage, and increases in the minimum wage will increase our labor costs.</w:t>
      </w:r>
    </w:p>
    <w:p>
      <w:pPr>
        <w:pStyle w:val="TextBody"/>
        <w:bidi w:val="0"/>
        <w:spacing w:before="360" w:after="120"/>
        <w:ind w:left="490" w:right="0" w:hanging="0"/>
        <w:jc w:val="both"/>
        <w:rPr>
          <w:rFonts w:ascii="Times New Roman;Times;serif" w:hAnsi="Times New Roman;Times;serif"/>
          <w:i/>
          <w:sz w:val="20"/>
        </w:rPr>
      </w:pPr>
      <w:r>
        <w:rPr>
          <w:rFonts w:ascii="Times New Roman;Times;serif" w:hAnsi="Times New Roman;Times;serif"/>
          <w:i/>
          <w:sz w:val="20"/>
        </w:rPr>
        <w:t>Commodity Price Risk</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diseases or inclement weather will not cause the prices of the commodities used in our restaurant operations to fluctuate. In periods when the prices of commodities drop, we may pay higher prices under our purchasing commitments. In rapidly fluctuating commodities markets, it may prove difficult for us to adjust our menu prices in accordance with input price fluctuations due to trade tariffs, natural disasters and other world events. Therefore, to the extent that we do not pass along cost increases to our customers, our results of operations may be adversely affected. At this time, we do not use financial instruments to hedge our commodity risk.</w:t>
      </w:r>
    </w:p>
    <w:p>
      <w:pPr>
        <w:pStyle w:val="TextBody"/>
        <w:bidi w:val="0"/>
        <w:spacing w:before="360" w:after="0"/>
        <w:ind w:left="0" w:right="0" w:hanging="0"/>
        <w:jc w:val="left"/>
        <w:rPr>
          <w:rFonts w:ascii="Times New Roman;Times;serif" w:hAnsi="Times New Roman;Times;serif"/>
          <w:b/>
          <w:sz w:val="20"/>
        </w:rPr>
      </w:pPr>
      <w:bookmarkStart w:id="1269" w:name="Item4ControlsandProcedures_514743"/>
      <w:bookmarkStart w:id="1270" w:name="_e0e43eee_bc0f_497f_8e72_0fb7f5d23edb"/>
      <w:bookmarkEnd w:id="1269"/>
      <w:bookmarkEnd w:id="1270"/>
      <w:r>
        <w:rPr>
          <w:rFonts w:ascii="Times New Roman;Times;serif" w:hAnsi="Times New Roman;Times;serif"/>
          <w:b/>
          <w:i w:val="false"/>
          <w:caps w:val="false"/>
          <w:smallCaps w:val="false"/>
          <w:sz w:val="20"/>
        </w:rPr>
        <w:t>Item 4.</w:t>
      </w:r>
      <w:r>
        <w:rPr>
          <w:rFonts w:ascii="Times New Roman;Times;serif" w:hAnsi="Times New Roman;Times;serif"/>
          <w:b/>
          <w:sz w:val="20"/>
        </w:rPr>
        <w:t>Controls and Procedures.</w:t>
      </w:r>
    </w:p>
    <w:p>
      <w:pPr>
        <w:pStyle w:val="TextBody"/>
        <w:bidi w:val="0"/>
        <w:spacing w:before="120" w:after="120"/>
        <w:ind w:left="490" w:right="0" w:hanging="0"/>
        <w:jc w:val="both"/>
        <w:rPr>
          <w:rFonts w:ascii="Times New Roman;Times;serif" w:hAnsi="Times New Roman;Times;serif"/>
          <w:i/>
          <w:sz w:val="20"/>
        </w:rPr>
      </w:pPr>
      <w:r>
        <w:rPr>
          <w:rFonts w:ascii="Times New Roman;Times;serif" w:hAnsi="Times New Roman;Times;serif"/>
          <w:i/>
          <w:sz w:val="20"/>
        </w:rPr>
        <w:t>Disclosure Controls and Procedures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We maintain disclosure controls and procedures (as such term is defined in Rule 13a-15(e) of the Securities Exchange Act of 1934, as amended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Our disclosure controls and procedures are based on assumptions about the likelihood of future events, and even effective disclosure controls and procedures can only provide reasonable assurance of achieving their objectives. Because of their inherent limitations, we cannot guarantee that our disclosure controls and procedures will succeed in achieving their stated objectives in all cases, that they will be complied with in all cases, or that they will prevent or detect all misstatements.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Our management has evaluated, with the participation of our Chief Executive Officer and Chief Financial Officer, the effectiveness of our disclosure controls and procedures, as of the end of the period covered by this report. Based on this evaluation, our Chief Executive Officer and Chief Financial Officer concluded that our disclosure controls and procedures were effective, at the reasonable assurance level, as of July 1, 2026.</w:t>
      </w:r>
    </w:p>
    <w:p>
      <w:pPr>
        <w:pStyle w:val="TextBody"/>
        <w:bidi w:val="0"/>
        <w:spacing w:before="360" w:after="120"/>
        <w:ind w:left="490" w:right="0" w:hanging="0"/>
        <w:jc w:val="both"/>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No changes in our internal control over financial reporting occurred during the quarter ended July 1, 2026 that have materially affected, or are reasonably likely to materially affect, our internal control over financial reporting.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271" w:name="PARTIIOTHERINFORMATION_750351"/>
      <w:bookmarkStart w:id="1272" w:name="_965b9fd9_2037_4dc1_89ed_ff837ed4256f"/>
      <w:bookmarkEnd w:id="1271"/>
      <w:bookmarkEnd w:id="1272"/>
      <w:r>
        <w:rPr>
          <w:rFonts w:ascii="Times New Roman;Times;serif" w:hAnsi="Times New Roman;Times;serif"/>
          <w:b/>
          <w:sz w:val="20"/>
        </w:rPr>
        <w:t>PART II. OTHER INFORMATION</w:t>
      </w:r>
    </w:p>
    <w:p>
      <w:pPr>
        <w:pStyle w:val="TextBody"/>
        <w:bidi w:val="0"/>
        <w:spacing w:before="120" w:after="0"/>
        <w:ind w:left="0" w:right="0" w:hanging="0"/>
        <w:jc w:val="left"/>
        <w:rPr>
          <w:rFonts w:ascii="Times New Roman;Times;serif" w:hAnsi="Times New Roman;Times;serif"/>
          <w:b/>
          <w:sz w:val="20"/>
        </w:rPr>
      </w:pPr>
      <w:bookmarkStart w:id="1273" w:name="Item1LegalProceedings_952142"/>
      <w:bookmarkEnd w:id="1273"/>
      <w:r>
        <w:rPr>
          <w:rFonts w:ascii="Times New Roman;Times;serif" w:hAnsi="Times New Roman;Times;serif"/>
          <w:b/>
          <w:i w:val="false"/>
          <w:caps w:val="false"/>
          <w:smallCaps w:val="false"/>
          <w:sz w:val="20"/>
        </w:rPr>
        <w:t>Item 1.</w:t>
      </w:r>
      <w:r>
        <w:rPr>
          <w:rFonts w:ascii="Times New Roman;Times;serif" w:hAnsi="Times New Roman;Times;serif"/>
          <w:b/>
          <w:sz w:val="20"/>
        </w:rPr>
        <w:t>Legal Proceedings.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See discussion under Note 8, “</w:t>
      </w:r>
      <w:r>
        <w:rPr>
          <w:rFonts w:ascii="Times New Roman;Times;serif" w:hAnsi="Times New Roman;Times;serif"/>
          <w:i/>
          <w:sz w:val="20"/>
        </w:rPr>
        <w:t>Commitments and Contingencies</w:t>
      </w:r>
      <w:r>
        <w:rPr>
          <w:rFonts w:ascii="Times New Roman;Times;serif" w:hAnsi="Times New Roman;Times;serif"/>
          <w:sz w:val="20"/>
        </w:rPr>
        <w:t xml:space="preserve">,” to the Condensed Consolidated Financial Statements included in Part I, Item 1, </w:t>
      </w:r>
      <w:r>
        <w:rPr>
          <w:rFonts w:ascii="Times New Roman;Times;serif" w:hAnsi="Times New Roman;Times;serif"/>
          <w:i/>
          <w:sz w:val="20"/>
        </w:rPr>
        <w:t>Financial Statements</w:t>
      </w:r>
      <w:r>
        <w:rPr>
          <w:rFonts w:ascii="Times New Roman;Times;serif" w:hAnsi="Times New Roman;Times;serif"/>
          <w:sz w:val="20"/>
        </w:rPr>
        <w:t>, of this Quarterly Report on Form 10-Q, which is incorporated herein by reference.</w:t>
      </w:r>
    </w:p>
    <w:p>
      <w:pPr>
        <w:pStyle w:val="TextBody"/>
        <w:bidi w:val="0"/>
        <w:spacing w:before="360" w:after="0"/>
        <w:ind w:left="0" w:right="0" w:hanging="0"/>
        <w:jc w:val="left"/>
        <w:rPr>
          <w:rFonts w:ascii="Times New Roman;Times;serif" w:hAnsi="Times New Roman;Times;serif"/>
          <w:b/>
          <w:sz w:val="20"/>
        </w:rPr>
      </w:pPr>
      <w:bookmarkStart w:id="1274" w:name="Item1ARiskFactors_611784"/>
      <w:bookmarkStart w:id="1275" w:name="_6ff19806_153b_4e13_8a8a_c9b7df3fa3a2"/>
      <w:bookmarkEnd w:id="1274"/>
      <w:bookmarkEnd w:id="1275"/>
      <w:r>
        <w:rPr>
          <w:rFonts w:ascii="Times New Roman;Times;serif" w:hAnsi="Times New Roman;Times;serif"/>
          <w:b/>
          <w:i w:val="false"/>
          <w:caps w:val="false"/>
          <w:smallCaps w:val="false"/>
          <w:sz w:val="20"/>
        </w:rPr>
        <w:t>Item 1A.</w:t>
      </w:r>
      <w:r>
        <w:rPr>
          <w:rFonts w:ascii="Times New Roman;Times;serif" w:hAnsi="Times New Roman;Times;serif"/>
          <w:b/>
          <w:sz w:val="20"/>
        </w:rPr>
        <w:t>Risk Factors.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 xml:space="preserve">There have been no material changes from the risk factors previously disclosed in Part I, Item 1A, </w:t>
      </w:r>
      <w:r>
        <w:rPr>
          <w:rFonts w:ascii="Times New Roman;Times;serif" w:hAnsi="Times New Roman;Times;serif"/>
          <w:i/>
          <w:sz w:val="20"/>
        </w:rPr>
        <w:t>Risk Factors</w:t>
      </w:r>
      <w:r>
        <w:rPr>
          <w:rFonts w:ascii="Times New Roman;Times;serif" w:hAnsi="Times New Roman;Times;serif"/>
          <w:sz w:val="20"/>
        </w:rPr>
        <w:t>, of our Annual Report on Form 10-K for the year ended December 31, 2025.</w:t>
      </w:r>
    </w:p>
    <w:p>
      <w:pPr>
        <w:pStyle w:val="TextBody"/>
        <w:bidi w:val="0"/>
        <w:spacing w:before="360" w:after="0"/>
        <w:ind w:left="0" w:right="0" w:hanging="0"/>
        <w:jc w:val="left"/>
        <w:rPr>
          <w:rFonts w:ascii="Times New Roman;Times;serif" w:hAnsi="Times New Roman;Times;serif"/>
          <w:b/>
          <w:sz w:val="20"/>
        </w:rPr>
      </w:pPr>
      <w:bookmarkStart w:id="1276" w:name="Item2UnregisteredSalesofEquitySecurities"/>
      <w:bookmarkStart w:id="1277" w:name="_a07bfae4_51c8_41e4_9ac8_e05f85b683dc"/>
      <w:bookmarkEnd w:id="1276"/>
      <w:bookmarkEnd w:id="1277"/>
      <w:r>
        <w:rPr>
          <w:rFonts w:ascii="Times New Roman;Times;serif" w:hAnsi="Times New Roman;Times;serif"/>
          <w:b/>
          <w:i w:val="false"/>
          <w:caps w:val="false"/>
          <w:smallCaps w:val="false"/>
          <w:sz w:val="20"/>
        </w:rPr>
        <w:t>Item 2.</w:t>
      </w:r>
      <w:r>
        <w:rPr>
          <w:rFonts w:ascii="Times New Roman;Times;serif" w:hAnsi="Times New Roman;Times;serif"/>
          <w:b/>
          <w:sz w:val="20"/>
        </w:rPr>
        <w:t>Unregistered Sales of Equity Securities and Use of Proceeds.</w:t>
      </w:r>
    </w:p>
    <w:p>
      <w:pPr>
        <w:pStyle w:val="TextBody"/>
        <w:bidi w:val="0"/>
        <w:spacing w:before="120" w:after="120"/>
        <w:ind w:left="0" w:right="0" w:firstLine="490"/>
        <w:jc w:val="both"/>
        <w:rPr>
          <w:rFonts w:ascii="Times New Roman;Times;serif" w:hAnsi="Times New Roman;Times;serif"/>
          <w:sz w:val="20"/>
        </w:rPr>
      </w:pPr>
      <w:r>
        <w:rPr>
          <w:rFonts w:ascii="inherit" w:hAnsi="inherit"/>
          <w:sz w:val="20"/>
        </w:rPr>
        <w:t>T</w:t>
      </w:r>
      <w:r>
        <w:rPr>
          <w:rFonts w:ascii="Times New Roman;Times;serif" w:hAnsi="Times New Roman;Times;serif"/>
          <w:sz w:val="20"/>
        </w:rPr>
        <w:t>he following table summarizes our repurchases of common stock in the quarterly period ended July 1, 2026 (in thousands, except number of shares and per share amounts):</w:t>
      </w:r>
    </w:p>
    <w:tbl>
      <w:tblPr>
        <w:tblW w:w="10205" w:type="dxa"/>
        <w:jc w:val="left"/>
        <w:tblInd w:w="0" w:type="dxa"/>
        <w:tblLayout w:type="fixed"/>
        <w:tblCellMar>
          <w:top w:w="0" w:type="dxa"/>
          <w:left w:w="0" w:type="dxa"/>
          <w:bottom w:w="0" w:type="dxa"/>
          <w:right w:w="0" w:type="dxa"/>
        </w:tblCellMar>
      </w:tblPr>
      <w:tblGrid>
        <w:gridCol w:w="959"/>
        <w:gridCol w:w="346"/>
        <w:gridCol w:w="1379"/>
        <w:gridCol w:w="234"/>
        <w:gridCol w:w="346"/>
        <w:gridCol w:w="1167"/>
        <w:gridCol w:w="346"/>
        <w:gridCol w:w="2226"/>
        <w:gridCol w:w="109"/>
        <w:gridCol w:w="346"/>
        <w:gridCol w:w="2465"/>
        <w:gridCol w:w="282"/>
      </w:tblGrid>
      <w:tr>
        <w:trPr/>
        <w:tc>
          <w:tcPr>
            <w:tcW w:w="9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08965" cy="175260"/>
                      <wp:effectExtent l="0" t="0" r="0" b="0"/>
                      <wp:wrapNone/>
                      <wp:docPr id="392" name="Frame392"/>
                      <a:graphic xmlns:a="http://schemas.openxmlformats.org/drawingml/2006/main">
                        <a:graphicData uri="http://schemas.microsoft.com/office/word/2010/wordprocessingShape">
                          <wps:wsp>
                            <wps:cNvSpPr txBox="1"/>
                            <wps:spPr>
                              <a:xfrm>
                                <a:off x="0" y="0"/>
                                <a:ext cx="608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19710" cy="175260"/>
                      <wp:effectExtent l="0" t="0" r="0" b="0"/>
                      <wp:wrapNone/>
                      <wp:docPr id="393" name="Frame3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875665" cy="175260"/>
                      <wp:effectExtent l="0" t="0" r="0" b="0"/>
                      <wp:wrapNone/>
                      <wp:docPr id="394" name="Frame394"/>
                      <a:graphic xmlns:a="http://schemas.openxmlformats.org/drawingml/2006/main">
                        <a:graphicData uri="http://schemas.microsoft.com/office/word/2010/wordprocessingShape">
                          <wps:wsp>
                            <wps:cNvSpPr txBox="1"/>
                            <wps:spPr>
                              <a:xfrm>
                                <a:off x="0" y="0"/>
                                <a:ext cx="875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48590" cy="175260"/>
                      <wp:effectExtent l="0" t="0" r="0" b="0"/>
                      <wp:wrapNone/>
                      <wp:docPr id="395" name="Frame395"/>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19710" cy="175260"/>
                      <wp:effectExtent l="0" t="0" r="0" b="0"/>
                      <wp:wrapNone/>
                      <wp:docPr id="396" name="Frame3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741045" cy="175260"/>
                      <wp:effectExtent l="0" t="0" r="0" b="0"/>
                      <wp:wrapNone/>
                      <wp:docPr id="397" name="Frame397"/>
                      <a:graphic xmlns:a="http://schemas.openxmlformats.org/drawingml/2006/main">
                        <a:graphicData uri="http://schemas.microsoft.com/office/word/2010/wordprocessingShape">
                          <wps:wsp>
                            <wps:cNvSpPr txBox="1"/>
                            <wps:spPr>
                              <a:xfrm>
                                <a:off x="0" y="0"/>
                                <a:ext cx="741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19710" cy="175260"/>
                      <wp:effectExtent l="0" t="0" r="0" b="0"/>
                      <wp:wrapNone/>
                      <wp:docPr id="398" name="Frame3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413510" cy="175260"/>
                      <wp:effectExtent l="0" t="0" r="0" b="0"/>
                      <wp:wrapNone/>
                      <wp:docPr id="399" name="Frame399"/>
                      <a:graphic xmlns:a="http://schemas.openxmlformats.org/drawingml/2006/main">
                        <a:graphicData uri="http://schemas.microsoft.com/office/word/2010/wordprocessingShape">
                          <wps:wsp>
                            <wps:cNvSpPr txBox="1"/>
                            <wps:spPr>
                              <a:xfrm>
                                <a:off x="0" y="0"/>
                                <a:ext cx="141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9215" cy="175260"/>
                      <wp:effectExtent l="0" t="0" r="0" b="0"/>
                      <wp:wrapNone/>
                      <wp:docPr id="400" name="Frame4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19710" cy="175260"/>
                      <wp:effectExtent l="0" t="0" r="0" b="0"/>
                      <wp:wrapNone/>
                      <wp:docPr id="401" name="Frame4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565275" cy="175260"/>
                      <wp:effectExtent l="0" t="0" r="0" b="0"/>
                      <wp:wrapNone/>
                      <wp:docPr id="402" name="Frame402"/>
                      <a:graphic xmlns:a="http://schemas.openxmlformats.org/drawingml/2006/main">
                        <a:graphicData uri="http://schemas.microsoft.com/office/word/2010/wordprocessingShape">
                          <wps:wsp>
                            <wps:cNvSpPr txBox="1"/>
                            <wps:spPr>
                              <a:xfrm>
                                <a:off x="0" y="0"/>
                                <a:ext cx="1565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79070" cy="175260"/>
                      <wp:effectExtent l="0" t="0" r="0" b="0"/>
                      <wp:wrapNone/>
                      <wp:docPr id="403" name="Frame403"/>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5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79" w:type="dxa"/>
            <w:tcBorders/>
            <w:vAlign w:val="center"/>
          </w:tcPr>
          <w:p>
            <w:pPr>
              <w:pStyle w:val="TableContents"/>
              <w:bidi w:val="0"/>
              <w:spacing w:before="0" w:after="1"/>
              <w:ind w:left="0" w:right="0" w:hanging="0"/>
              <w:jc w:val="center"/>
              <w:rPr/>
            </w:pPr>
            <w:r>
              <w:rPr/>
              <w:t>​</w:t>
            </w:r>
          </w:p>
        </w:tc>
        <w:tc>
          <w:tcPr>
            <w:tcW w:w="23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6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681" w:type="dxa"/>
            <w:gridSpan w:val="3"/>
            <w:tcBorders/>
            <w:vAlign w:val="center"/>
          </w:tcPr>
          <w:p>
            <w:pPr>
              <w:pStyle w:val="TableContents"/>
              <w:bidi w:val="0"/>
              <w:spacing w:before="0" w:after="1"/>
              <w:ind w:left="0" w:right="0" w:hanging="0"/>
              <w:jc w:val="center"/>
              <w:rPr/>
            </w:pPr>
            <w:r>
              <w:rPr/>
              <w:t>​</w:t>
            </w:r>
          </w:p>
        </w:tc>
        <w:tc>
          <w:tcPr>
            <w:tcW w:w="2465" w:type="dxa"/>
            <w:tcBorders/>
            <w:vAlign w:val="center"/>
          </w:tcPr>
          <w:p>
            <w:pPr>
              <w:pStyle w:val="TableContents"/>
              <w:bidi w:val="0"/>
              <w:spacing w:before="0" w:after="1"/>
              <w:ind w:left="0" w:right="0" w:hanging="0"/>
              <w:jc w:val="left"/>
              <w:rPr/>
            </w:pPr>
            <w:r>
              <w:rPr/>
              <w:t>​</w:t>
            </w:r>
          </w:p>
        </w:tc>
        <w:tc>
          <w:tcPr>
            <w:tcW w:w="282" w:type="dxa"/>
            <w:tcBorders/>
            <w:vAlign w:val="center"/>
          </w:tcPr>
          <w:p>
            <w:pPr>
              <w:pStyle w:val="TableContents"/>
              <w:bidi w:val="0"/>
              <w:spacing w:before="0" w:after="1"/>
              <w:ind w:left="0" w:right="0" w:hanging="0"/>
              <w:jc w:val="center"/>
              <w:rPr/>
            </w:pPr>
            <w:r>
              <w:rPr/>
              <w:t> </w:t>
            </w:r>
          </w:p>
        </w:tc>
      </w:tr>
      <w:tr>
        <w:trPr/>
        <w:tc>
          <w:tcPr>
            <w:tcW w:w="95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7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 Number of Shares Purchased</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center"/>
              <w:rPr/>
            </w:pPr>
            <w:r>
              <w:rPr/>
              <w:t>  ​ ​ ​</w:t>
            </w:r>
          </w:p>
        </w:tc>
        <w:tc>
          <w:tcPr>
            <w:tcW w:w="116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Average Price Paid Per Share</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  ​ ​ ​</w:t>
            </w:r>
          </w:p>
        </w:tc>
        <w:tc>
          <w:tcPr>
            <w:tcW w:w="22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 Number of Shares Purchased as Part of Publicly Announced Plans or Programs</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  ​ ​ ​</w:t>
            </w:r>
          </w:p>
        </w:tc>
        <w:tc>
          <w:tcPr>
            <w:tcW w:w="246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Approximate Dollar Value of Shares That May Be Purchased Under the Plans or Programs</w:t>
            </w:r>
          </w:p>
        </w:tc>
        <w:tc>
          <w:tcPr>
            <w:tcW w:w="282" w:type="dxa"/>
            <w:tcBorders/>
            <w:vAlign w:val="center"/>
          </w:tcPr>
          <w:p>
            <w:pPr>
              <w:pStyle w:val="TableContents"/>
              <w:bidi w:val="0"/>
              <w:spacing w:before="0" w:after="1"/>
              <w:ind w:left="0" w:right="0" w:hanging="0"/>
              <w:jc w:val="center"/>
              <w:rPr/>
            </w:pPr>
            <w:r>
              <w:rPr/>
              <w:t> </w:t>
            </w:r>
          </w:p>
        </w:tc>
      </w:tr>
      <w:tr>
        <w:trPr/>
        <w:tc>
          <w:tcPr>
            <w:tcW w:w="9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April 2, 2026 to April 29, 2026</w:t>
            </w:r>
          </w:p>
        </w:tc>
        <w:tc>
          <w:tcPr>
            <w:tcW w:w="346" w:type="dxa"/>
            <w:tcBorders/>
            <w:shd w:fill="CCEEFF" w:val="clear"/>
            <w:vAlign w:val="center"/>
          </w:tcPr>
          <w:p>
            <w:pPr>
              <w:pStyle w:val="TableContents"/>
              <w:bidi w:val="0"/>
              <w:spacing w:before="0" w:after="1"/>
              <w:ind w:left="0" w:right="0" w:hanging="0"/>
              <w:jc w:val="left"/>
              <w:rPr/>
            </w:pPr>
            <w:r>
              <w:rPr/>
              <w:t> </w:t>
            </w:r>
          </w:p>
        </w:tc>
        <w:tc>
          <w:tcPr>
            <w:tcW w:w="1379" w:type="dxa"/>
            <w:tcBorders/>
            <w:shd w:fill="CCEEFF" w:val="clear"/>
            <w:vAlign w:val="center"/>
          </w:tcPr>
          <w:p>
            <w:pPr>
              <w:pStyle w:val="TableContents"/>
              <w:bidi w:val="0"/>
              <w:spacing w:before="0" w:after="1"/>
              <w:ind w:left="0" w:right="0" w:hanging="0"/>
              <w:jc w:val="right"/>
              <w:rPr/>
            </w:pPr>
            <w:r>
              <w:rPr/>
              <w:t>—</w:t>
            </w:r>
          </w:p>
        </w:tc>
        <w:tc>
          <w:tcPr>
            <w:tcW w:w="234"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2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24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282" w:type="dxa"/>
            <w:tcBorders/>
            <w:shd w:fill="CCEEFF" w:val="clear"/>
            <w:vAlign w:val="center"/>
          </w:tcPr>
          <w:p>
            <w:pPr>
              <w:pStyle w:val="TableContents"/>
              <w:bidi w:val="0"/>
              <w:spacing w:before="0" w:after="1"/>
              <w:ind w:left="0" w:right="0" w:hanging="0"/>
              <w:jc w:val="left"/>
              <w:rPr/>
            </w:pPr>
            <w:r>
              <w:rPr/>
              <w:t>​</w:t>
            </w:r>
          </w:p>
        </w:tc>
      </w:tr>
      <w:tr>
        <w:trPr/>
        <w:tc>
          <w:tcPr>
            <w:tcW w:w="9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April 30, 2026 to May 27, 2026</w:t>
            </w:r>
          </w:p>
        </w:tc>
        <w:tc>
          <w:tcPr>
            <w:tcW w:w="346" w:type="dxa"/>
            <w:tcBorders/>
            <w:vAlign w:val="center"/>
          </w:tcPr>
          <w:p>
            <w:pPr>
              <w:pStyle w:val="TableContents"/>
              <w:bidi w:val="0"/>
              <w:spacing w:before="0" w:after="1"/>
              <w:ind w:left="0" w:right="0" w:hanging="0"/>
              <w:jc w:val="left"/>
              <w:rPr/>
            </w:pPr>
            <w:r>
              <w:rPr/>
              <w:t> </w:t>
            </w:r>
          </w:p>
        </w:tc>
        <w:tc>
          <w:tcPr>
            <w:tcW w:w="13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3,009</w:t>
            </w:r>
          </w:p>
        </w:tc>
        <w:tc>
          <w:tcPr>
            <w:tcW w:w="2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w:t>
            </w:r>
          </w:p>
        </w:tc>
        <w:tc>
          <w:tcPr>
            <w:tcW w:w="346" w:type="dxa"/>
            <w:tcBorders/>
            <w:vAlign w:val="center"/>
          </w:tcPr>
          <w:p>
            <w:pPr>
              <w:pStyle w:val="TableContents"/>
              <w:bidi w:val="0"/>
              <w:spacing w:before="0" w:after="1"/>
              <w:ind w:left="0" w:right="0" w:hanging="0"/>
              <w:jc w:val="right"/>
              <w:rPr/>
            </w:pPr>
            <w:r>
              <w:rPr/>
              <w:t>​</w:t>
            </w:r>
          </w:p>
        </w:tc>
        <w:tc>
          <w:tcPr>
            <w:tcW w:w="22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24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282" w:type="dxa"/>
            <w:tcBorders/>
            <w:vAlign w:val="center"/>
          </w:tcPr>
          <w:p>
            <w:pPr>
              <w:pStyle w:val="TableContents"/>
              <w:bidi w:val="0"/>
              <w:spacing w:before="0" w:after="1"/>
              <w:ind w:left="0" w:right="0" w:hanging="0"/>
              <w:jc w:val="left"/>
              <w:rPr/>
            </w:pPr>
            <w:r>
              <w:rPr/>
              <w:t>​</w:t>
            </w:r>
          </w:p>
        </w:tc>
      </w:tr>
      <w:tr>
        <w:trPr/>
        <w:tc>
          <w:tcPr>
            <w:tcW w:w="9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May 28, 2026 to July 1, 2026</w:t>
            </w:r>
          </w:p>
        </w:tc>
        <w:tc>
          <w:tcPr>
            <w:tcW w:w="346" w:type="dxa"/>
            <w:tcBorders/>
            <w:shd w:fill="CCEEFF" w:val="clear"/>
            <w:vAlign w:val="center"/>
          </w:tcPr>
          <w:p>
            <w:pPr>
              <w:pStyle w:val="TableContents"/>
              <w:bidi w:val="0"/>
              <w:spacing w:before="0" w:after="1"/>
              <w:ind w:left="0" w:right="0" w:hanging="0"/>
              <w:jc w:val="left"/>
              <w:rPr/>
            </w:pPr>
            <w:r>
              <w:rPr/>
              <w:t> </w:t>
            </w:r>
          </w:p>
        </w:tc>
        <w:tc>
          <w:tcPr>
            <w:tcW w:w="13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16,869</w:t>
            </w:r>
          </w:p>
        </w:tc>
        <w:tc>
          <w:tcPr>
            <w:tcW w:w="23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13.93</w:t>
            </w:r>
          </w:p>
        </w:tc>
        <w:tc>
          <w:tcPr>
            <w:tcW w:w="346" w:type="dxa"/>
            <w:tcBorders/>
            <w:shd w:fill="CCEEFF" w:val="clear"/>
            <w:vAlign w:val="center"/>
          </w:tcPr>
          <w:p>
            <w:pPr>
              <w:pStyle w:val="TableContents"/>
              <w:bidi w:val="0"/>
              <w:spacing w:before="0" w:after="1"/>
              <w:ind w:left="0" w:right="0" w:hanging="0"/>
              <w:jc w:val="right"/>
              <w:rPr/>
            </w:pPr>
            <w:r>
              <w:rPr/>
              <w:t>​</w:t>
            </w:r>
          </w:p>
        </w:tc>
        <w:tc>
          <w:tcPr>
            <w:tcW w:w="22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24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40,000</w:t>
            </w:r>
          </w:p>
        </w:tc>
        <w:tc>
          <w:tcPr>
            <w:tcW w:w="282"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(2)</w:t>
            </w:r>
            <w:r>
              <w:rPr>
                <w:rFonts w:ascii="Times New Roman;Times;serif" w:hAnsi="Times New Roman;Times;serif"/>
                <w:sz w:val="20"/>
              </w:rPr>
              <w:t>​</w:t>
            </w:r>
          </w:p>
        </w:tc>
      </w:tr>
      <w:tr>
        <w:trPr/>
        <w:tc>
          <w:tcPr>
            <w:tcW w:w="9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 </w:t>
            </w:r>
          </w:p>
        </w:tc>
        <w:tc>
          <w:tcPr>
            <w:tcW w:w="13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19,878</w:t>
            </w:r>
          </w:p>
        </w:tc>
        <w:tc>
          <w:tcPr>
            <w:tcW w:w="234"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w:t>
            </w:r>
          </w:p>
        </w:tc>
        <w:tc>
          <w:tcPr>
            <w:tcW w:w="116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22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465" w:type="dxa"/>
            <w:tcBorders/>
            <w:vAlign w:val="center"/>
          </w:tcPr>
          <w:p>
            <w:pPr>
              <w:pStyle w:val="TableContents"/>
              <w:bidi w:val="0"/>
              <w:spacing w:before="0" w:after="1"/>
              <w:ind w:left="0" w:right="0" w:hanging="0"/>
              <w:jc w:val="right"/>
              <w:rPr/>
            </w:pPr>
            <w:r>
              <w:rPr/>
              <w:t>​</w:t>
            </w:r>
          </w:p>
        </w:tc>
        <w:tc>
          <w:tcPr>
            <w:tcW w:w="282" w:type="dxa"/>
            <w:tcBorders/>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24"/>
        <w:gridCol w:w="9881"/>
      </w:tblGrid>
      <w:tr>
        <w:trPr/>
        <w:tc>
          <w:tcPr>
            <w:tcW w:w="32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shd w:fill="FFFFFF" w:val="clear"/>
              </w:rPr>
            </w:pPr>
            <w:r>
              <w:rPr>
                <w:rFonts w:ascii="Times New Roman;Times;serif" w:hAnsi="Times New Roman;Times;serif"/>
                <w:b w:val="false"/>
                <w:i w:val="false"/>
                <w:caps w:val="false"/>
                <w:smallCaps w:val="false"/>
                <w:sz w:val="16"/>
                <w:shd w:fill="FFFFFF" w:val="clear"/>
              </w:rPr>
              <w:t>Consists of 19,878 shares acquired by us to satisfy employee tax withholding obligations in connection with the vesting of previously issued restricted stock.</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shd w:fill="FFFFFF" w:val="clear"/>
              </w:rPr>
            </w:pPr>
            <w:r>
              <w:rPr>
                <w:rFonts w:ascii="Times New Roman;Times;serif" w:hAnsi="Times New Roman;Times;serif"/>
                <w:b w:val="false"/>
                <w:i w:val="false"/>
                <w:caps w:val="false"/>
                <w:smallCaps w:val="false"/>
                <w:sz w:val="16"/>
                <w:shd w:fill="FFFFFF" w:val="clear"/>
              </w:rPr>
              <w:t>On May 28, 2026, the Company announced a share repurchase program authorizing repurchases of up to $40.0 million of shares of common stock. The program has no expiration date and may be expanded, modified, suspended, or discontinued at any time. No shares were repurchased under this program during the thirteen weeks ended July 1, 2026.</w:t>
            </w:r>
          </w:p>
        </w:tc>
      </w:tr>
    </w:tbl>
    <w:p>
      <w:pPr>
        <w:pStyle w:val="TextBody"/>
        <w:bidi w:val="0"/>
        <w:spacing w:before="0" w:after="240"/>
        <w:ind w:left="360" w:right="0" w:hanging="0"/>
        <w:jc w:val="left"/>
        <w:rPr/>
      </w:pPr>
      <w:r>
        <w:rPr/>
        <w:t>​</w:t>
      </w:r>
    </w:p>
    <w:p>
      <w:pPr>
        <w:pStyle w:val="TextBody"/>
        <w:bidi w:val="0"/>
        <w:spacing w:before="40" w:after="0"/>
        <w:ind w:left="0" w:right="0" w:firstLine="540"/>
        <w:jc w:val="left"/>
        <w:rPr>
          <w:rFonts w:ascii="Times New Roman;Times;serif" w:hAnsi="Times New Roman;Times;serif"/>
          <w:sz w:val="16"/>
        </w:rPr>
      </w:pPr>
      <w:r>
        <w:rPr>
          <w:rFonts w:ascii="Times New Roman;Times;serif" w:hAnsi="Times New Roman;Times;serif"/>
          <w:sz w:val="20"/>
        </w:rPr>
        <w:t>For information regarding restrictions on the payment of dividends, see Note 5, Long-Term Debt, to the Condensed Consolidated Financial Statements included in Part I, Item 1, Financial Statements, of this Quarterly Report on Form</w:t>
      </w:r>
      <w:r>
        <w:rPr>
          <w:rFonts w:ascii="Times New Roman;Times;serif" w:hAnsi="Times New Roman;Times;serif"/>
          <w:sz w:val="16"/>
          <w:shd w:fill="FFFFFF" w:val="clear"/>
        </w:rPr>
        <w:t xml:space="preserve"> </w:t>
      </w:r>
      <w:r>
        <w:rPr>
          <w:rFonts w:ascii="Times New Roman;Times;serif" w:hAnsi="Times New Roman;Times;serif"/>
          <w:sz w:val="20"/>
          <w:shd w:fill="FFFFFF" w:val="clear"/>
        </w:rPr>
        <w:t>10-Q, which is incorporated herein by reference.</w:t>
      </w:r>
    </w:p>
    <w:p>
      <w:pPr>
        <w:pStyle w:val="TextBody"/>
        <w:bidi w:val="0"/>
        <w:spacing w:before="360" w:after="0"/>
        <w:ind w:left="0" w:right="0" w:hanging="0"/>
        <w:jc w:val="left"/>
        <w:rPr>
          <w:rFonts w:ascii="Times New Roman;Times;serif" w:hAnsi="Times New Roman;Times;serif"/>
          <w:b/>
          <w:sz w:val="20"/>
        </w:rPr>
      </w:pPr>
      <w:bookmarkStart w:id="1278" w:name="Item3DefaultsofSeniorSecurities_13390"/>
      <w:bookmarkStart w:id="1279" w:name="_94120b2d_0888_49df_ba82_fba98389e98d"/>
      <w:bookmarkEnd w:id="1278"/>
      <w:bookmarkEnd w:id="1279"/>
      <w:r>
        <w:rPr>
          <w:rFonts w:ascii="Times New Roman;Times;serif" w:hAnsi="Times New Roman;Times;serif"/>
          <w:b/>
          <w:i w:val="false"/>
          <w:caps w:val="false"/>
          <w:smallCaps w:val="false"/>
          <w:sz w:val="20"/>
        </w:rPr>
        <w:t>Item 3.</w:t>
      </w:r>
      <w:r>
        <w:rPr>
          <w:rFonts w:ascii="Times New Roman;Times;serif" w:hAnsi="Times New Roman;Times;serif"/>
          <w:b/>
          <w:sz w:val="20"/>
        </w:rPr>
        <w:t>Defaults Upon Senior Securities.</w:t>
      </w:r>
    </w:p>
    <w:p>
      <w:pPr>
        <w:pStyle w:val="TextBody"/>
        <w:bidi w:val="0"/>
        <w:spacing w:before="120" w:after="0"/>
        <w:ind w:left="0" w:right="0" w:firstLine="49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360" w:after="0"/>
        <w:ind w:left="0" w:right="0" w:hanging="0"/>
        <w:jc w:val="left"/>
        <w:rPr>
          <w:rFonts w:ascii="Times New Roman;Times;serif" w:hAnsi="Times New Roman;Times;serif"/>
          <w:b/>
          <w:sz w:val="20"/>
        </w:rPr>
      </w:pPr>
      <w:bookmarkStart w:id="1280" w:name="Item4MineSafetyDisclosures_432267"/>
      <w:bookmarkStart w:id="1281" w:name="_90185603_ad6e_4f3e_b19f_05babac9bba0"/>
      <w:bookmarkEnd w:id="1280"/>
      <w:bookmarkEnd w:id="1281"/>
      <w:r>
        <w:rPr>
          <w:rFonts w:ascii="Times New Roman;Times;serif" w:hAnsi="Times New Roman;Times;serif"/>
          <w:b/>
          <w:i w:val="false"/>
          <w:caps w:val="false"/>
          <w:smallCaps w:val="false"/>
          <w:sz w:val="20"/>
        </w:rPr>
        <w:t>Item 4.</w:t>
      </w:r>
      <w:r>
        <w:rPr>
          <w:rFonts w:ascii="Times New Roman;Times;serif" w:hAnsi="Times New Roman;Times;serif"/>
          <w:b/>
          <w:sz w:val="20"/>
        </w:rPr>
        <w:t>Mine Safety Disclosures.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282" w:name="Item5OtherInformation_929848"/>
      <w:bookmarkStart w:id="1283" w:name="_ead2997e_5208_4fcf_b4a9_b9b7d0bf1a71"/>
      <w:bookmarkEnd w:id="1282"/>
      <w:bookmarkEnd w:id="1283"/>
      <w:r>
        <w:rPr>
          <w:rFonts w:ascii="Times New Roman;Times;serif" w:hAnsi="Times New Roman;Times;serif"/>
          <w:b/>
          <w:i w:val="false"/>
          <w:caps w:val="false"/>
          <w:smallCaps w:val="false"/>
          <w:sz w:val="20"/>
        </w:rPr>
        <w:t>Item 5.</w:t>
      </w:r>
      <w:r>
        <w:rPr>
          <w:rFonts w:ascii="Times New Roman;Times;serif" w:hAnsi="Times New Roman;Times;serif"/>
          <w:b/>
          <w:sz w:val="20"/>
        </w:rPr>
        <w:t>Other Information.</w:t>
      </w:r>
    </w:p>
    <w:p>
      <w:pPr>
        <w:pStyle w:val="TextBody"/>
        <w:bidi w:val="0"/>
        <w:spacing w:before="120" w:after="120"/>
        <w:ind w:left="490" w:right="0" w:hanging="0"/>
        <w:jc w:val="both"/>
        <w:rPr>
          <w:rFonts w:ascii="Times New Roman;Times;serif" w:hAnsi="Times New Roman;Times;serif"/>
          <w:i/>
          <w:sz w:val="20"/>
        </w:rPr>
      </w:pPr>
      <w:r>
        <w:rPr>
          <w:rFonts w:ascii="Times New Roman;Times;serif" w:hAnsi="Times New Roman;Times;serif"/>
          <w:i/>
          <w:sz w:val="20"/>
        </w:rPr>
        <w:t>Insider Trading Arrangements</w:t>
      </w:r>
    </w:p>
    <w:p>
      <w:pPr>
        <w:pStyle w:val="TextBody"/>
        <w:bidi w:val="0"/>
        <w:spacing w:before="120" w:after="0"/>
        <w:ind w:left="0" w:right="0" w:firstLine="490"/>
        <w:jc w:val="both"/>
        <w:rPr>
          <w:rFonts w:ascii="Times New Roman;Times;serif" w:hAnsi="Times New Roman;Times;serif"/>
          <w:sz w:val="20"/>
        </w:rPr>
      </w:pPr>
      <w:r>
        <w:rPr>
          <w:rFonts w:ascii="inherit" w:hAnsi="inherit"/>
          <w:sz w:val="20"/>
        </w:rPr>
        <w:t>No officers, as defined in Rule 16a-1(f), or directors adopted or terminated a “Rule 10b5-1 trading</w:t>
      </w:r>
      <w:r>
        <w:rPr>
          <w:rFonts w:ascii="Times New Roman;Times;serif" w:hAnsi="Times New Roman;Times;serif"/>
          <w:sz w:val="20"/>
        </w:rPr>
        <w:t xml:space="preserve"> </w:t>
      </w:r>
      <w:r>
        <w:rPr>
          <w:rFonts w:ascii="inherit" w:hAnsi="inherit"/>
          <w:sz w:val="20"/>
        </w:rPr>
        <w:t>arrangement</w:t>
      </w:r>
      <w:r>
        <w:rPr>
          <w:rFonts w:ascii="Times New Roman;Times;serif" w:hAnsi="Times New Roman;Times;serif"/>
          <w:sz w:val="20"/>
        </w:rPr>
        <w:t xml:space="preserve">” </w:t>
      </w:r>
      <w:r>
        <w:rPr>
          <w:rFonts w:ascii="inherit" w:hAnsi="inherit"/>
          <w:sz w:val="20"/>
        </w:rPr>
        <w:t>or a “non-Rule 10b5-1 trading</w:t>
      </w:r>
      <w:r>
        <w:rPr>
          <w:rFonts w:ascii="Times New Roman;Times;serif" w:hAnsi="Times New Roman;Times;serif"/>
          <w:sz w:val="20"/>
        </w:rPr>
        <w:t xml:space="preserve"> </w:t>
      </w:r>
      <w:r>
        <w:rPr>
          <w:rFonts w:ascii="inherit" w:hAnsi="inherit"/>
          <w:sz w:val="20"/>
        </w:rPr>
        <w:t>arrangement,” as defined in Regulation S-K Item 408, during the last fiscal quarter.</w:t>
      </w:r>
    </w:p>
    <w:p>
      <w:pPr>
        <w:pStyle w:val="TextBody"/>
        <w:bidi w:val="0"/>
        <w:spacing w:before="360" w:after="0"/>
        <w:ind w:left="0" w:right="0" w:firstLine="490"/>
        <w:jc w:val="both"/>
        <w:rPr>
          <w:rFonts w:ascii="inherit" w:hAnsi="inherit"/>
          <w:i/>
          <w:sz w:val="20"/>
        </w:rPr>
      </w:pPr>
      <w:r>
        <w:rPr>
          <w:rFonts w:ascii="inherit" w:hAnsi="inherit"/>
          <w:i/>
          <w:sz w:val="20"/>
        </w:rPr>
        <w:t>Subsequent Events</w:t>
      </w:r>
    </w:p>
    <w:p>
      <w:pPr>
        <w:pStyle w:val="TextBody"/>
        <w:bidi w:val="0"/>
        <w:spacing w:before="120" w:after="0"/>
        <w:ind w:left="0" w:right="0" w:firstLine="490"/>
        <w:jc w:val="both"/>
        <w:rPr>
          <w:rFonts w:ascii="inherit" w:hAnsi="inherit"/>
          <w:sz w:val="20"/>
        </w:rPr>
      </w:pPr>
      <w:r>
        <w:rPr>
          <w:rFonts w:ascii="inherit" w:hAnsi="inherit"/>
          <w:sz w:val="20"/>
        </w:rPr>
        <w:t>Subsequent to the quarter-end, we paid down $4.0 million on the 2022 Revolver, resulting in outstanding borrowings of $26.0 million as of July 29, 2026.</w:t>
      </w:r>
    </w:p>
    <w:p>
      <w:pPr>
        <w:pStyle w:val="TextBody"/>
        <w:bidi w:val="0"/>
        <w:spacing w:before="240" w:after="0"/>
        <w:ind w:left="0" w:right="0" w:firstLine="490"/>
        <w:jc w:val="both"/>
        <w:rPr>
          <w:rFonts w:ascii="inherit" w:hAnsi="inherit"/>
          <w:sz w:val="20"/>
        </w:rPr>
      </w:pPr>
      <w:r>
        <w:rPr>
          <w:rFonts w:ascii="inherit" w:hAnsi="inherit"/>
          <w:sz w:val="20"/>
        </w:rPr>
        <w:t>Subsequent to the quarter end, on August 4, 2026 we amended our $150.0 million credit facility, extending the term to August 4, 2031.</w:t>
      </w:r>
    </w:p>
    <w:p>
      <w:pPr>
        <w:pStyle w:val="TextBody"/>
        <w:bidi w:val="0"/>
        <w:spacing w:before="0" w:after="240"/>
        <w:ind w:left="735"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284" w:name="Item6Exhibits_636888"/>
      <w:bookmarkStart w:id="1285" w:name="_dc7d79c3_0d30_47f4_a674_3ec1e2f9fcf1"/>
      <w:bookmarkEnd w:id="1284"/>
      <w:bookmarkEnd w:id="1285"/>
      <w:r>
        <w:rPr>
          <w:rFonts w:ascii="Times New Roman;Times;serif" w:hAnsi="Times New Roman;Times;serif"/>
          <w:b/>
          <w:i w:val="false"/>
          <w:caps w:val="false"/>
          <w:smallCaps w:val="false"/>
          <w:sz w:val="20"/>
        </w:rPr>
        <w:t>Item 6.</w:t>
      </w:r>
      <w:r>
        <w:rPr>
          <w:rFonts w:ascii="Times New Roman;Times;serif" w:hAnsi="Times New Roman;Times;serif"/>
          <w:b/>
          <w:sz w:val="20"/>
        </w:rPr>
        <w:t>Exhibits.</w:t>
      </w:r>
    </w:p>
    <w:tbl>
      <w:tblPr>
        <w:tblW w:w="1776" w:type="dxa"/>
        <w:jc w:val="left"/>
        <w:tblInd w:w="0" w:type="dxa"/>
        <w:tblLayout w:type="fixed"/>
        <w:tblCellMar>
          <w:top w:w="28" w:type="dxa"/>
          <w:left w:w="28" w:type="dxa"/>
          <w:bottom w:w="28" w:type="dxa"/>
          <w:right w:w="28" w:type="dxa"/>
        </w:tblCellMar>
      </w:tblPr>
      <w:tblGrid>
        <w:gridCol w:w="124"/>
        <w:gridCol w:w="316"/>
        <w:gridCol w:w="133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Index:</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27"/>
        <w:gridCol w:w="109"/>
        <w:gridCol w:w="6783"/>
        <w:gridCol w:w="109"/>
        <w:gridCol w:w="586"/>
        <w:gridCol w:w="109"/>
        <w:gridCol w:w="736"/>
        <w:gridCol w:w="109"/>
        <w:gridCol w:w="737"/>
      </w:tblGrid>
      <w:tr>
        <w:trPr/>
        <w:tc>
          <w:tcPr>
            <w:tcW w:w="92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8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7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Incorporated by Reference</w:t>
            </w:r>
          </w:p>
        </w:tc>
      </w:tr>
      <w:tr>
        <w:trPr/>
        <w:tc>
          <w:tcPr>
            <w:tcW w:w="92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Number</w:t>
            </w:r>
          </w:p>
        </w:tc>
        <w:tc>
          <w:tcPr>
            <w:tcW w:w="109" w:type="dxa"/>
            <w:tcBorders/>
            <w:vAlign w:val="center"/>
          </w:tcPr>
          <w:p>
            <w:pPr>
              <w:pStyle w:val="TableContents"/>
              <w:bidi w:val="0"/>
              <w:spacing w:before="0" w:after="0"/>
              <w:ind w:left="0" w:right="0" w:hanging="0"/>
              <w:jc w:val="left"/>
              <w:rPr/>
            </w:pPr>
            <w:r>
              <w:rPr/>
              <w:t>​</w:t>
            </w:r>
          </w:p>
        </w:tc>
        <w:tc>
          <w:tcPr>
            <w:tcW w:w="678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c>
          <w:tcPr>
            <w:tcW w:w="109" w:type="dxa"/>
            <w:tcBorders/>
            <w:vAlign w:val="center"/>
          </w:tcPr>
          <w:p>
            <w:pPr>
              <w:pStyle w:val="TableContents"/>
              <w:bidi w:val="0"/>
              <w:spacing w:before="0" w:after="0"/>
              <w:ind w:left="0" w:right="0" w:hanging="0"/>
              <w:jc w:val="left"/>
              <w:rPr/>
            </w:pPr>
            <w:r>
              <w:rPr/>
              <w:t>​</w:t>
            </w:r>
          </w:p>
        </w:tc>
        <w:tc>
          <w:tcPr>
            <w:tcW w:w="58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w:t>
            </w:r>
          </w:p>
        </w:tc>
        <w:tc>
          <w:tcPr>
            <w:tcW w:w="109" w:type="dxa"/>
            <w:tcBorders/>
            <w:vAlign w:val="center"/>
          </w:tcPr>
          <w:p>
            <w:pPr>
              <w:pStyle w:val="TableContents"/>
              <w:bidi w:val="0"/>
              <w:spacing w:before="0" w:after="0"/>
              <w:ind w:left="0" w:right="0" w:hanging="0"/>
              <w:jc w:val="left"/>
              <w:rPr/>
            </w:pPr>
            <w:r>
              <w:rPr/>
              <w:t>​</w:t>
            </w:r>
          </w:p>
        </w:tc>
        <w:tc>
          <w:tcPr>
            <w:tcW w:w="7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tc>
        <w:tc>
          <w:tcPr>
            <w:tcW w:w="109" w:type="dxa"/>
            <w:tcBorders/>
            <w:vAlign w:val="center"/>
          </w:tcPr>
          <w:p>
            <w:pPr>
              <w:pStyle w:val="TableContents"/>
              <w:bidi w:val="0"/>
              <w:spacing w:before="0" w:after="0"/>
              <w:ind w:left="0" w:right="0" w:hanging="0"/>
              <w:jc w:val="left"/>
              <w:rPr/>
            </w:pPr>
            <w:r>
              <w:rPr/>
              <w:t>​</w:t>
            </w:r>
          </w:p>
        </w:tc>
        <w:tc>
          <w:tcPr>
            <w:tcW w:w="73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Filing Date</w:t>
            </w:r>
          </w:p>
        </w:tc>
      </w:tr>
      <w:tr>
        <w:trPr/>
        <w:tc>
          <w:tcPr>
            <w:tcW w:w="927"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109" w:type="dxa"/>
            <w:tcBorders/>
            <w:shd w:fill="CCEEFF" w:val="clear"/>
            <w:vAlign w:val="center"/>
          </w:tcPr>
          <w:p>
            <w:pPr>
              <w:pStyle w:val="TableContents"/>
              <w:bidi w:val="0"/>
              <w:spacing w:before="0" w:after="0"/>
              <w:ind w:left="0" w:right="0" w:hanging="0"/>
              <w:jc w:val="left"/>
              <w:rPr/>
            </w:pPr>
            <w:r>
              <w:rPr/>
              <w:t>​</w:t>
            </w:r>
          </w:p>
        </w:tc>
        <w:tc>
          <w:tcPr>
            <w:tcW w:w="6783" w:type="dxa"/>
            <w:tcBorders>
              <w:top w:val="single" w:sz="2" w:space="0" w:color="000000"/>
            </w:tcBorders>
            <w:shd w:fill="CCEEFF" w:val="clear"/>
            <w:tcMar>
              <w:top w:w="28" w:type="dxa"/>
            </w:tcMar>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color w:val="0000FF"/>
                  <w:sz w:val="20"/>
                </w:rPr>
                <w:t>Amended and Restated Certificate of Incorporation of El Pollo Loco Holdings, Inc.</w:t>
              </w:r>
            </w:hyperlink>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109" w:type="dxa"/>
            <w:tcBorders/>
            <w:shd w:fill="CCEEFF" w:val="clear"/>
            <w:vAlign w:val="center"/>
          </w:tcPr>
          <w:p>
            <w:pPr>
              <w:pStyle w:val="TableContents"/>
              <w:bidi w:val="0"/>
              <w:spacing w:before="0" w:after="0"/>
              <w:ind w:left="0" w:right="0" w:hanging="0"/>
              <w:jc w:val="left"/>
              <w:rPr/>
            </w:pPr>
            <w:r>
              <w:rPr/>
              <w:t>​</w:t>
            </w:r>
          </w:p>
        </w:tc>
        <w:tc>
          <w:tcPr>
            <w:tcW w:w="737"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6/5/2025</w:t>
            </w:r>
          </w:p>
        </w:tc>
      </w:tr>
      <w:tr>
        <w:trPr/>
        <w:tc>
          <w:tcPr>
            <w:tcW w:w="92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109" w:type="dxa"/>
            <w:tcBorders/>
            <w:vAlign w:val="center"/>
          </w:tcPr>
          <w:p>
            <w:pPr>
              <w:pStyle w:val="TableContents"/>
              <w:bidi w:val="0"/>
              <w:spacing w:before="0" w:after="0"/>
              <w:ind w:left="0" w:right="0" w:hanging="0"/>
              <w:jc w:val="left"/>
              <w:rPr/>
            </w:pPr>
            <w:r>
              <w:rPr/>
              <w:t>​</w:t>
            </w:r>
          </w:p>
        </w:tc>
        <w:tc>
          <w:tcPr>
            <w:tcW w:w="6783"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color w:val="0000FF"/>
                  <w:sz w:val="20"/>
                </w:rPr>
                <w:t>Certificate of Designations of Series A Preferred Stock of El Pollo Loco Holdings, Inc., as filed with the Secretary of State of the State of Delaware on August 9, 2023</w:t>
              </w:r>
            </w:hyperlink>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109"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8/9/2023</w:t>
            </w:r>
          </w:p>
        </w:tc>
      </w:tr>
      <w:tr>
        <w:trPr/>
        <w:tc>
          <w:tcPr>
            <w:tcW w:w="92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tc>
        <w:tc>
          <w:tcPr>
            <w:tcW w:w="109" w:type="dxa"/>
            <w:tcBorders/>
            <w:shd w:fill="CCEEFF" w:val="clear"/>
            <w:vAlign w:val="center"/>
          </w:tcPr>
          <w:p>
            <w:pPr>
              <w:pStyle w:val="TableContents"/>
              <w:bidi w:val="0"/>
              <w:spacing w:before="0" w:after="0"/>
              <w:ind w:left="0" w:right="0" w:hanging="0"/>
              <w:jc w:val="left"/>
              <w:rPr/>
            </w:pPr>
            <w:r>
              <w:rPr/>
              <w:t>​</w:t>
            </w:r>
          </w:p>
        </w:tc>
        <w:tc>
          <w:tcPr>
            <w:tcW w:w="6783" w:type="dxa"/>
            <w:tcBorders/>
            <w:shd w:fill="CCEEFF" w:val="clear"/>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color w:val="0000FF"/>
                  <w:sz w:val="20"/>
                </w:rPr>
                <w:t>Amended and Restated By-Laws of El Pollo Loco Holdings, Inc.</w:t>
              </w:r>
            </w:hyperlink>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109"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2/2/2024</w:t>
            </w:r>
          </w:p>
        </w:tc>
      </w:tr>
      <w:tr>
        <w:trPr/>
        <w:tc>
          <w:tcPr>
            <w:tcW w:w="92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0"/>
              <w:ind w:left="0" w:right="0" w:hanging="0"/>
              <w:jc w:val="left"/>
              <w:rPr/>
            </w:pPr>
            <w:r>
              <w:rPr/>
              <w:t>​</w:t>
            </w:r>
          </w:p>
        </w:tc>
        <w:tc>
          <w:tcPr>
            <w:tcW w:w="6783" w:type="dxa"/>
            <w:tcBorders/>
            <w:vAlign w:val="center"/>
          </w:tcPr>
          <w:p>
            <w:pPr>
              <w:pStyle w:val="TableContents"/>
              <w:bidi w:val="0"/>
              <w:spacing w:before="0" w:after="0"/>
              <w:ind w:left="0" w:right="0" w:hanging="0"/>
              <w:jc w:val="both"/>
              <w:rPr/>
            </w:pPr>
            <w:hyperlink w:anchor="loco-20260701xex10d1.htm">
              <w:r>
                <w:rPr>
                  <w:rStyle w:val="InternetLink"/>
                  <w:rFonts w:ascii="Times New Roman;Times;serif" w:hAnsi="Times New Roman;Times;serif"/>
                  <w:b w:val="false"/>
                  <w:i w:val="false"/>
                  <w:caps w:val="false"/>
                  <w:smallCaps w:val="false"/>
                  <w:sz w:val="22"/>
                </w:rPr>
                <w:t>Second Amendment to Credit Agreement, dated as of August 4, 2026, among El Pollo Loco, Inc., as borrower, El Pollo Loco Holdings, Inc. and certain subsidiaries of El Pollo Loco Holdings, Inc. party thereto, as guarantors, Bank of America, N.A., as administrative agent, swingline lender and letter of credit issuer, and the lenders party thereto</w:t>
              </w:r>
            </w:hyperlink>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center"/>
              <w:rPr/>
            </w:pPr>
            <w:r>
              <w:rPr/>
              <w:t>​</w:t>
            </w:r>
          </w:p>
        </w:tc>
      </w:tr>
      <w:tr>
        <w:trPr/>
        <w:tc>
          <w:tcPr>
            <w:tcW w:w="92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109" w:type="dxa"/>
            <w:tcBorders/>
            <w:shd w:fill="CCEEFF" w:val="clear"/>
            <w:vAlign w:val="center"/>
          </w:tcPr>
          <w:p>
            <w:pPr>
              <w:pStyle w:val="TableContents"/>
              <w:bidi w:val="0"/>
              <w:spacing w:before="0" w:after="0"/>
              <w:ind w:left="0" w:right="0" w:hanging="0"/>
              <w:jc w:val="left"/>
              <w:rPr/>
            </w:pPr>
            <w:r>
              <w:rPr/>
              <w:t>​</w:t>
            </w:r>
          </w:p>
        </w:tc>
        <w:tc>
          <w:tcPr>
            <w:tcW w:w="6783" w:type="dxa"/>
            <w:tcBorders/>
            <w:shd w:fill="CCEEFF" w:val="clear"/>
            <w:vAlign w:val="center"/>
          </w:tcPr>
          <w:p>
            <w:pPr>
              <w:pStyle w:val="TableContents"/>
              <w:bidi w:val="0"/>
              <w:spacing w:before="0" w:after="0"/>
              <w:ind w:left="0" w:right="0" w:hanging="0"/>
              <w:jc w:val="both"/>
              <w:rPr/>
            </w:pPr>
            <w:hyperlink w:anchor="loco-20260701xex31d1.htm">
              <w:r>
                <w:rPr>
                  <w:rStyle w:val="InternetLink"/>
                  <w:rFonts w:ascii="Times New Roman;Times;serif" w:hAnsi="Times New Roman;Times;serif"/>
                  <w:b w:val="false"/>
                  <w:i w:val="false"/>
                  <w:caps w:val="false"/>
                  <w:smallCaps w:val="false"/>
                  <w:color w:val="0000FF"/>
                  <w:sz w:val="20"/>
                </w:rPr>
                <w:t>Rule 13a–14(a)/15d–14(a) Certification of Principal Executive Officer</w:t>
              </w:r>
            </w:hyperlink>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center"/>
              <w:rPr/>
            </w:pPr>
            <w:r>
              <w:rPr/>
              <w:t>​</w:t>
            </w:r>
          </w:p>
        </w:tc>
      </w:tr>
      <w:tr>
        <w:trPr/>
        <w:tc>
          <w:tcPr>
            <w:tcW w:w="92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before="0" w:after="0"/>
              <w:ind w:left="0" w:right="0" w:hanging="0"/>
              <w:jc w:val="left"/>
              <w:rPr/>
            </w:pPr>
            <w:r>
              <w:rPr/>
              <w:t>​</w:t>
            </w:r>
          </w:p>
        </w:tc>
        <w:tc>
          <w:tcPr>
            <w:tcW w:w="6783" w:type="dxa"/>
            <w:tcBorders/>
            <w:vAlign w:val="center"/>
          </w:tcPr>
          <w:p>
            <w:pPr>
              <w:pStyle w:val="TableContents"/>
              <w:bidi w:val="0"/>
              <w:spacing w:before="0" w:after="0"/>
              <w:ind w:left="0" w:right="0" w:hanging="0"/>
              <w:jc w:val="both"/>
              <w:rPr/>
            </w:pPr>
            <w:hyperlink w:anchor="loco-20260701xex31d2.htm">
              <w:r>
                <w:rPr>
                  <w:rStyle w:val="InternetLink"/>
                  <w:rFonts w:ascii="Times New Roman;Times;serif" w:hAnsi="Times New Roman;Times;serif"/>
                  <w:b w:val="false"/>
                  <w:i w:val="false"/>
                  <w:caps w:val="false"/>
                  <w:smallCaps w:val="false"/>
                  <w:color w:val="0000FF"/>
                  <w:sz w:val="20"/>
                </w:rPr>
                <w:t>Rule 13a–14(a)/15d–14(a) Certification of Principal Financial Officer</w:t>
              </w:r>
            </w:hyperlink>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center"/>
              <w:rPr/>
            </w:pPr>
            <w:r>
              <w:rPr/>
              <w:t>​</w:t>
            </w:r>
          </w:p>
        </w:tc>
      </w:tr>
      <w:tr>
        <w:trPr/>
        <w:tc>
          <w:tcPr>
            <w:tcW w:w="92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109" w:type="dxa"/>
            <w:tcBorders/>
            <w:shd w:fill="CCEEFF" w:val="clear"/>
            <w:vAlign w:val="center"/>
          </w:tcPr>
          <w:p>
            <w:pPr>
              <w:pStyle w:val="TableContents"/>
              <w:bidi w:val="0"/>
              <w:spacing w:before="0" w:after="0"/>
              <w:ind w:left="0" w:right="0" w:hanging="0"/>
              <w:jc w:val="left"/>
              <w:rPr/>
            </w:pPr>
            <w:r>
              <w:rPr/>
              <w:t>​</w:t>
            </w:r>
          </w:p>
        </w:tc>
        <w:tc>
          <w:tcPr>
            <w:tcW w:w="6783" w:type="dxa"/>
            <w:tcBorders/>
            <w:shd w:fill="CCEEFF" w:val="clear"/>
            <w:vAlign w:val="center"/>
          </w:tcPr>
          <w:p>
            <w:pPr>
              <w:pStyle w:val="TableContents"/>
              <w:bidi w:val="0"/>
              <w:spacing w:before="0" w:after="0"/>
              <w:ind w:left="0" w:right="0" w:hanging="0"/>
              <w:jc w:val="both"/>
              <w:rPr/>
            </w:pPr>
            <w:hyperlink w:anchor="loco-20260701xex32d1.htm">
              <w:r>
                <w:rPr>
                  <w:rStyle w:val="InternetLink"/>
                  <w:rFonts w:ascii="Times New Roman;Times;serif" w:hAnsi="Times New Roman;Times;serif"/>
                  <w:b w:val="false"/>
                  <w:i w:val="false"/>
                  <w:caps w:val="false"/>
                  <w:smallCaps w:val="false"/>
                  <w:color w:val="0000FF"/>
                  <w:sz w:val="20"/>
                </w:rPr>
                <w:t>Section 1350 Certification of Principal Executive Officer and Principal Financial Officer</w:t>
              </w:r>
            </w:hyperlink>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center"/>
              <w:rPr/>
            </w:pPr>
            <w:r>
              <w:rPr/>
              <w:t>​</w:t>
            </w:r>
          </w:p>
        </w:tc>
      </w:tr>
      <w:tr>
        <w:trPr/>
        <w:tc>
          <w:tcPr>
            <w:tcW w:w="92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before="0" w:after="0"/>
              <w:ind w:left="0" w:right="0" w:hanging="0"/>
              <w:jc w:val="left"/>
              <w:rPr/>
            </w:pPr>
            <w:r>
              <w:rPr/>
              <w:t>​</w:t>
            </w:r>
          </w:p>
        </w:tc>
        <w:tc>
          <w:tcPr>
            <w:tcW w:w="678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center"/>
              <w:rPr/>
            </w:pPr>
            <w:r>
              <w:rPr/>
              <w:t>​</w:t>
            </w:r>
          </w:p>
        </w:tc>
      </w:tr>
      <w:tr>
        <w:trPr/>
        <w:tc>
          <w:tcPr>
            <w:tcW w:w="92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109" w:type="dxa"/>
            <w:tcBorders/>
            <w:shd w:fill="CCEEFF" w:val="clear"/>
            <w:vAlign w:val="center"/>
          </w:tcPr>
          <w:p>
            <w:pPr>
              <w:pStyle w:val="TableContents"/>
              <w:bidi w:val="0"/>
              <w:spacing w:before="0" w:after="0"/>
              <w:ind w:left="0" w:right="0" w:hanging="0"/>
              <w:jc w:val="left"/>
              <w:rPr/>
            </w:pPr>
            <w:r>
              <w:rPr/>
              <w:t>​</w:t>
            </w:r>
          </w:p>
        </w:tc>
        <w:tc>
          <w:tcPr>
            <w:tcW w:w="6783"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Schema Document</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center"/>
              <w:rPr/>
            </w:pPr>
            <w:r>
              <w:rPr/>
              <w:t>​</w:t>
            </w:r>
          </w:p>
        </w:tc>
      </w:tr>
      <w:tr>
        <w:trPr/>
        <w:tc>
          <w:tcPr>
            <w:tcW w:w="92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left"/>
              <w:rPr/>
            </w:pPr>
            <w:r>
              <w:rPr/>
              <w:t>​</w:t>
            </w:r>
          </w:p>
        </w:tc>
        <w:tc>
          <w:tcPr>
            <w:tcW w:w="678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center"/>
              <w:rPr/>
            </w:pPr>
            <w:r>
              <w:rPr/>
              <w:t>​</w:t>
            </w:r>
          </w:p>
        </w:tc>
      </w:tr>
      <w:tr>
        <w:trPr/>
        <w:tc>
          <w:tcPr>
            <w:tcW w:w="92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109" w:type="dxa"/>
            <w:tcBorders/>
            <w:shd w:fill="CCEEFF" w:val="clear"/>
            <w:vAlign w:val="center"/>
          </w:tcPr>
          <w:p>
            <w:pPr>
              <w:pStyle w:val="TableContents"/>
              <w:bidi w:val="0"/>
              <w:spacing w:before="0" w:after="0"/>
              <w:ind w:left="0" w:right="0" w:hanging="0"/>
              <w:jc w:val="left"/>
              <w:rPr/>
            </w:pPr>
            <w:r>
              <w:rPr/>
              <w:t>​</w:t>
            </w:r>
          </w:p>
        </w:tc>
        <w:tc>
          <w:tcPr>
            <w:tcW w:w="6783"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center"/>
              <w:rPr/>
            </w:pPr>
            <w:r>
              <w:rPr/>
              <w:t>​</w:t>
            </w:r>
          </w:p>
        </w:tc>
      </w:tr>
      <w:tr>
        <w:trPr/>
        <w:tc>
          <w:tcPr>
            <w:tcW w:w="92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left"/>
              <w:rPr/>
            </w:pPr>
            <w:r>
              <w:rPr/>
              <w:t>​</w:t>
            </w:r>
          </w:p>
        </w:tc>
        <w:tc>
          <w:tcPr>
            <w:tcW w:w="678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center"/>
              <w:rPr/>
            </w:pPr>
            <w:r>
              <w:rPr/>
              <w:t>​</w:t>
            </w:r>
          </w:p>
        </w:tc>
      </w:tr>
      <w:tr>
        <w:trPr/>
        <w:tc>
          <w:tcPr>
            <w:tcW w:w="92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109" w:type="dxa"/>
            <w:tcBorders/>
            <w:shd w:fill="CCEEFF" w:val="clear"/>
            <w:vAlign w:val="center"/>
          </w:tcPr>
          <w:p>
            <w:pPr>
              <w:pStyle w:val="TableContents"/>
              <w:bidi w:val="0"/>
              <w:spacing w:before="0" w:after="0"/>
              <w:ind w:left="0" w:right="0" w:hanging="0"/>
              <w:jc w:val="left"/>
              <w:rPr/>
            </w:pPr>
            <w:r>
              <w:rPr/>
              <w:t>​</w:t>
            </w:r>
          </w:p>
        </w:tc>
        <w:tc>
          <w:tcPr>
            <w:tcW w:w="6783"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center"/>
              <w:rPr/>
            </w:pPr>
            <w:r>
              <w:rPr/>
              <w:t>​</w:t>
            </w:r>
          </w:p>
        </w:tc>
      </w:tr>
      <w:tr>
        <w:trPr/>
        <w:tc>
          <w:tcPr>
            <w:tcW w:w="92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shd w:fill="FFFFFF" w:val="clear"/>
              </w:rPr>
            </w:pPr>
            <w:r>
              <w:rPr>
                <w:shd w:fill="FFFFFF" w:val="clear"/>
              </w:rPr>
              <w:t>​</w:t>
            </w:r>
          </w:p>
        </w:tc>
        <w:tc>
          <w:tcPr>
            <w:tcW w:w="678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center"/>
              <w:rPr/>
            </w:pPr>
            <w:r>
              <w:rPr/>
              <w:t>​</w:t>
            </w:r>
          </w:p>
        </w:tc>
      </w:tr>
    </w:tbl>
    <w:p>
      <w:pPr>
        <w:pStyle w:val="TextBody"/>
        <w:pBdr>
          <w:bottom w:val="single" w:sz="2" w:space="1" w:color="000000"/>
        </w:pBdr>
        <w:bidi w:val="0"/>
        <w:spacing w:before="0" w:after="240"/>
        <w:ind w:left="0" w:right="7200" w:hanging="0"/>
        <w:jc w:val="left"/>
        <w:rPr/>
      </w:pPr>
      <w:r>
        <w:rPr/>
        <w:t>​</w:t>
      </w:r>
    </w:p>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40" w:after="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40" w:after="0"/>
              <w:jc w:val="left"/>
              <w:rPr>
                <w:rFonts w:ascii="Times New Roman;Times;serif" w:hAnsi="Times New Roman;Times;serif"/>
                <w:sz w:val="20"/>
              </w:rPr>
            </w:pPr>
            <w:r>
              <w:rPr>
                <w:rFonts w:ascii="Times New Roman;Times;serif" w:hAnsi="Times New Roman;Times;serif"/>
                <w:sz w:val="20"/>
              </w:rPr>
              <w:t>Filed herewith.</w:t>
            </w:r>
          </w:p>
        </w:tc>
      </w:tr>
    </w:tbl>
    <w:tbl>
      <w:tblPr>
        <w:tblW w:w="2087" w:type="dxa"/>
        <w:jc w:val="left"/>
        <w:tblInd w:w="0" w:type="dxa"/>
        <w:tblLayout w:type="fixed"/>
        <w:tblCellMar>
          <w:top w:w="0" w:type="dxa"/>
          <w:left w:w="0" w:type="dxa"/>
          <w:bottom w:w="0" w:type="dxa"/>
          <w:right w:w="0" w:type="dxa"/>
        </w:tblCellMar>
      </w:tblPr>
      <w:tblGrid>
        <w:gridCol w:w="331"/>
        <w:gridCol w:w="1756"/>
      </w:tblGrid>
      <w:tr>
        <w:trPr/>
        <w:tc>
          <w:tcPr>
            <w:tcW w:w="331" w:type="dxa"/>
            <w:tcBorders/>
            <w:vAlign w:val="center"/>
          </w:tcPr>
          <w:p>
            <w:pPr>
              <w:pStyle w:val="TableContents"/>
              <w:bidi w:val="0"/>
              <w:spacing w:before="40" w:after="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40" w:after="0"/>
              <w:jc w:val="left"/>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286" w:name="SIGNATURES_726842"/>
      <w:bookmarkStart w:id="1287" w:name="_ad4db3df_4d73_4ad7_9a02_b1b8ce0453e0"/>
      <w:bookmarkEnd w:id="1286"/>
      <w:bookmarkEnd w:id="1287"/>
      <w:r>
        <w:rPr>
          <w:rFonts w:ascii="Times New Roman;Times;serif" w:hAnsi="Times New Roman;Times;serif"/>
          <w:b/>
          <w:sz w:val="20"/>
        </w:rPr>
        <w:t>SIGNATURES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5176" w:type="dxa"/>
        <w:jc w:val="left"/>
        <w:tblInd w:w="0" w:type="dxa"/>
        <w:tblLayout w:type="fixed"/>
        <w:tblCellMar>
          <w:top w:w="0" w:type="dxa"/>
          <w:left w:w="0" w:type="dxa"/>
          <w:bottom w:w="0" w:type="dxa"/>
          <w:right w:w="0" w:type="dxa"/>
        </w:tblCellMar>
      </w:tblPr>
      <w:tblGrid>
        <w:gridCol w:w="1846"/>
        <w:gridCol w:w="469"/>
        <w:gridCol w:w="2861"/>
      </w:tblGrid>
      <w:tr>
        <w:trPr/>
        <w:tc>
          <w:tcPr>
            <w:tcW w:w="1846"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w:t>
            </w:r>
          </w:p>
        </w:tc>
        <w:tc>
          <w:tcPr>
            <w:tcW w:w="286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3330" w:type="dxa"/>
            <w:gridSpan w:val="2"/>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EL POLLO LOCO HOLDINGS, INC.</w:t>
            </w:r>
          </w:p>
        </w:tc>
      </w:tr>
      <w:tr>
        <w:trPr/>
        <w:tc>
          <w:tcPr>
            <w:tcW w:w="1846"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both"/>
              <w:rPr/>
            </w:pPr>
            <w:r>
              <w:rPr/>
              <w:t>​</w:t>
            </w:r>
          </w:p>
        </w:tc>
        <w:tc>
          <w:tcPr>
            <w:tcW w:w="2861" w:type="dxa"/>
            <w:tcBorders/>
            <w:vAlign w:val="center"/>
          </w:tcPr>
          <w:p>
            <w:pPr>
              <w:pStyle w:val="TableContents"/>
              <w:bidi w:val="0"/>
              <w:spacing w:before="0" w:after="0"/>
              <w:ind w:left="0" w:right="0" w:hanging="0"/>
              <w:jc w:val="both"/>
              <w:rPr/>
            </w:pPr>
            <w:r>
              <w:rPr/>
              <w:t>​</w:t>
            </w:r>
          </w:p>
        </w:tc>
      </w:tr>
      <w:tr>
        <w:trPr/>
        <w:tc>
          <w:tcPr>
            <w:tcW w:w="1846" w:type="dxa"/>
            <w:tcBorders/>
            <w:vAlign w:val="center"/>
          </w:tcPr>
          <w:p>
            <w:pPr>
              <w:pStyle w:val="TableContents"/>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Date: August 7, 2026</w:t>
            </w:r>
          </w:p>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286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ELIZABETH WILLIAMS</w:t>
            </w:r>
          </w:p>
        </w:tc>
      </w:tr>
      <w:tr>
        <w:trPr/>
        <w:tc>
          <w:tcPr>
            <w:tcW w:w="1846"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w:t>
            </w:r>
          </w:p>
        </w:tc>
        <w:tc>
          <w:tcPr>
            <w:tcW w:w="286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Elizabeth Williams</w:t>
            </w:r>
          </w:p>
        </w:tc>
      </w:tr>
      <w:tr>
        <w:trPr/>
        <w:tc>
          <w:tcPr>
            <w:tcW w:w="1846"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w:t>
            </w:r>
          </w:p>
        </w:tc>
        <w:tc>
          <w:tcPr>
            <w:tcW w:w="2861"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Chief Executive Officer</w:t>
            </w:r>
          </w:p>
        </w:tc>
      </w:tr>
      <w:tr>
        <w:trPr/>
        <w:tc>
          <w:tcPr>
            <w:tcW w:w="1846"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w:t>
            </w:r>
          </w:p>
        </w:tc>
        <w:tc>
          <w:tcPr>
            <w:tcW w:w="28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Date: August 7, 2026</w:t>
      </w:r>
    </w:p>
    <w:p>
      <w:pPr>
        <w:pStyle w:val="TextBody"/>
        <w:bidi w:val="0"/>
        <w:spacing w:before="0" w:after="0"/>
        <w:ind w:left="0" w:right="0" w:hanging="0"/>
        <w:jc w:val="left"/>
        <w:rPr/>
      </w:pPr>
      <w:r>
        <w:rPr/>
        <w:t>​</w:t>
      </w:r>
    </w:p>
    <w:tbl>
      <w:tblPr>
        <w:tblW w:w="4296" w:type="dxa"/>
        <w:jc w:val="left"/>
        <w:tblInd w:w="0" w:type="dxa"/>
        <w:tblLayout w:type="fixed"/>
        <w:tblCellMar>
          <w:top w:w="0" w:type="dxa"/>
          <w:left w:w="0" w:type="dxa"/>
          <w:bottom w:w="0" w:type="dxa"/>
          <w:right w:w="0" w:type="dxa"/>
        </w:tblCellMar>
      </w:tblPr>
      <w:tblGrid>
        <w:gridCol w:w="124"/>
        <w:gridCol w:w="406"/>
        <w:gridCol w:w="3766"/>
      </w:tblGrid>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IRA FILS</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Ira Fils</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120" w:after="0"/>
        <w:ind w:left="0" w:right="0" w:hanging="0"/>
        <w:jc w:val="left"/>
        <w:rPr/>
      </w:pPr>
      <w:r>
        <w:rPr/>
        <w:t>​</w:t>
      </w:r>
    </w:p>
    <w:p>
      <w:pPr>
        <w:pStyle w:val="TextBody"/>
        <w:bidi w:val="0"/>
        <w:spacing w:before="12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0"/>
        <w:ind w:left="0" w:right="0" w:hanging="0"/>
        <w:jc w:val="left"/>
        <w:rPr/>
      </w:pPr>
      <w:bookmarkStart w:id="1288" w:name="loco-20260701xex10d1.htm"/>
      <w:bookmarkStart w:id="1289" w:name="ksloco20260701xex10d1"/>
      <w:bookmarkEnd w:id="1288"/>
      <w:bookmarkEnd w:id="1289"/>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10.1</w:t>
      </w:r>
    </w:p>
    <w:p>
      <w:pPr>
        <w:pStyle w:val="TextBody"/>
        <w:bidi w:val="0"/>
        <w:spacing w:before="0" w:after="240"/>
        <w:ind w:left="0" w:right="0" w:hanging="0"/>
        <w:jc w:val="right"/>
        <w:rPr>
          <w:rFonts w:ascii="Times New Roman;Times;serif" w:hAnsi="Times New Roman;Times;serif"/>
          <w:b/>
          <w:i/>
          <w:sz w:val="20"/>
        </w:rPr>
      </w:pPr>
      <w:r>
        <w:rPr>
          <w:rFonts w:ascii="Times New Roman;Times;serif" w:hAnsi="Times New Roman;Times;serif"/>
          <w:b/>
          <w:i/>
          <w:sz w:val="20"/>
        </w:rPr>
        <w:t>EXECUTION VERSION</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SECOND AMENDMENT TO CREDIT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SECOND AMENDMENT TO CREDIT AGREEMENT (this “</w:t>
      </w:r>
      <w:r>
        <w:rPr>
          <w:rFonts w:ascii="Times New Roman;Times;serif" w:hAnsi="Times New Roman;Times;serif"/>
          <w:sz w:val="20"/>
          <w:u w:val="single"/>
        </w:rPr>
        <w:t>Amendment</w:t>
      </w:r>
      <w:r>
        <w:rPr>
          <w:rFonts w:ascii="Times New Roman;Times;serif" w:hAnsi="Times New Roman;Times;serif"/>
          <w:sz w:val="20"/>
        </w:rPr>
        <w:t>”) is entered into as of August 4, 2026 among EL POLLO LOCO, INC., a Delaware corporation (the “</w:t>
      </w:r>
      <w:r>
        <w:rPr>
          <w:rFonts w:ascii="Times New Roman;Times;serif" w:hAnsi="Times New Roman;Times;serif"/>
          <w:sz w:val="20"/>
          <w:u w:val="single"/>
        </w:rPr>
        <w:t>Borrower</w:t>
      </w:r>
      <w:r>
        <w:rPr>
          <w:rFonts w:ascii="Times New Roman;Times;serif" w:hAnsi="Times New Roman;Times;serif"/>
          <w:sz w:val="20"/>
        </w:rPr>
        <w:t>”), the Guarantors party hereto, the Lenders party hereto and BANK OF AMERICA, N.A., as Administrative Agent. All capitalized terms used herein and not otherwise defined herein shall have the meanings given to such terms in the Credit Agreement (as defined below).</w:t>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RECITALS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WHEREAS, the Borrower, the Guarantors, the Lenders and Bank of America, N.A., as Administrative Agent, Swingline Lender and L/C Issuer, have entered into that certain Credit Agreement dated as of July 27, 2022 (as amended, amended and restated, supplemented or otherwise modified from time to time, the “</w:t>
      </w:r>
      <w:r>
        <w:rPr>
          <w:rFonts w:ascii="Times New Roman;Times;serif" w:hAnsi="Times New Roman;Times;serif"/>
          <w:sz w:val="20"/>
          <w:u w:val="single"/>
        </w:rPr>
        <w:t>Credit Agreement</w:t>
      </w:r>
      <w:r>
        <w:rPr>
          <w:rFonts w:ascii="Times New Roman;Times;serif" w:hAnsi="Times New Roman;Times;serif"/>
          <w:sz w:val="20"/>
        </w:rPr>
        <w:t>”);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WHEREAS, the Borrower has requested that the Lenders and the Administrative Agent amend the Credit Agreement on the terms and conditions more particularly set forth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NOW, THEREFORE, in consideration of the premises and the mutual covenants contained herein, and for other good and valuable consideration, the receipt and sufficiency of which are hereby acknowledged, the parties hereto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u w:val="single"/>
        </w:rPr>
        <w:t>Amendments</w:t>
      </w:r>
      <w:r>
        <w:rPr>
          <w:rFonts w:ascii="Times New Roman;Times;serif" w:hAnsi="Times New Roman;Times;serif"/>
          <w:sz w:val="20"/>
        </w:rPr>
        <w:t>. Subject to the terms and conditions set forth herein, the Credit Agreement is hereby amended as follows: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definitions of “</w:t>
      </w:r>
      <w:r>
        <w:rPr>
          <w:rFonts w:ascii="Times New Roman;Times;serif" w:hAnsi="Times New Roman;Times;serif"/>
          <w:sz w:val="20"/>
          <w:u w:val="single"/>
        </w:rPr>
        <w:t>Applicable Rate</w:t>
      </w:r>
      <w:r>
        <w:rPr>
          <w:rFonts w:ascii="Times New Roman;Times;serif" w:hAnsi="Times New Roman;Times;serif"/>
          <w:sz w:val="20"/>
        </w:rPr>
        <w:t>”, “</w:t>
      </w:r>
      <w:r>
        <w:rPr>
          <w:rFonts w:ascii="Times New Roman;Times;serif" w:hAnsi="Times New Roman;Times;serif"/>
          <w:sz w:val="20"/>
          <w:u w:val="single"/>
        </w:rPr>
        <w:t>Maturity Date</w:t>
      </w:r>
      <w:r>
        <w:rPr>
          <w:rFonts w:ascii="Times New Roman;Times;serif" w:hAnsi="Times New Roman;Times;serif"/>
          <w:sz w:val="20"/>
        </w:rPr>
        <w:t>”, “</w:t>
      </w:r>
      <w:r>
        <w:rPr>
          <w:rFonts w:ascii="Times New Roman;Times;serif" w:hAnsi="Times New Roman;Times;serif"/>
          <w:sz w:val="20"/>
          <w:u w:val="single"/>
        </w:rPr>
        <w:t>Sanctions</w:t>
      </w:r>
      <w:r>
        <w:rPr>
          <w:rFonts w:ascii="Times New Roman;Times;serif" w:hAnsi="Times New Roman;Times;serif"/>
          <w:sz w:val="20"/>
        </w:rPr>
        <w:t>”, and “</w:t>
      </w:r>
      <w:r>
        <w:rPr>
          <w:rFonts w:ascii="Times New Roman;Times;serif" w:hAnsi="Times New Roman;Times;serif"/>
          <w:sz w:val="20"/>
          <w:u w:val="single"/>
        </w:rPr>
        <w:t>Threshold Amount</w:t>
      </w:r>
      <w:r>
        <w:rPr>
          <w:rFonts w:ascii="Times New Roman;Times;serif" w:hAnsi="Times New Roman;Times;serif"/>
          <w:sz w:val="20"/>
        </w:rPr>
        <w:t xml:space="preserve">” in </w:t>
      </w:r>
      <w:r>
        <w:rPr>
          <w:rFonts w:ascii="Times New Roman;Times;serif" w:hAnsi="Times New Roman;Times;serif"/>
          <w:sz w:val="20"/>
          <w:u w:val="single"/>
        </w:rPr>
        <w:t>Section 1.01</w:t>
      </w:r>
      <w:r>
        <w:rPr>
          <w:rFonts w:ascii="Times New Roman;Times;serif" w:hAnsi="Times New Roman;Times;serif"/>
          <w:sz w:val="20"/>
        </w:rPr>
        <w:t xml:space="preserve"> of the Credit Agreement are hereby amended and restated in their entireties to read as follows:</w:t>
      </w:r>
    </w:p>
    <w:p>
      <w:pPr>
        <w:pStyle w:val="TextBody"/>
        <w:bidi w:val="0"/>
        <w:spacing w:before="0" w:after="240"/>
        <w:ind w:left="0" w:right="0" w:firstLine="1440"/>
        <w:jc w:val="both"/>
        <w:rPr/>
      </w:pPr>
      <w:r>
        <w:rPr/>
        <w:t>“</w:t>
      </w:r>
      <w:r>
        <w:rPr>
          <w:rFonts w:ascii="Times New Roman;Times;serif" w:hAnsi="Times New Roman;Times;serif"/>
          <w:sz w:val="20"/>
          <w:u w:val="single"/>
        </w:rPr>
        <w:t>Applicable Rate</w:t>
      </w:r>
      <w:r>
        <w:rPr>
          <w:rFonts w:ascii="Times New Roman;Times;serif" w:hAnsi="Times New Roman;Times;serif"/>
          <w:sz w:val="20"/>
        </w:rPr>
        <w:t xml:space="preserve">” means, with respect to Revolving Loans, Swingline Loans, Letter of Credit Fees and the Commitment Fee, the following percentages per annum, based upon the Lease Adjusted Consolidated Leverage Ratio as set forth in the most recent Compliance Certificate received by the Administrative Agent pursuant to </w:t>
      </w:r>
      <w:r>
        <w:rPr>
          <w:rFonts w:ascii="Times New Roman;Times;serif" w:hAnsi="Times New Roman;Times;serif"/>
          <w:sz w:val="20"/>
          <w:u w:val="single"/>
        </w:rPr>
        <w:t>Section 6.02(a)</w:t>
      </w:r>
      <w:r>
        <w:rPr>
          <w:rFonts w:ascii="Times New Roman;Times;serif" w:hAnsi="Times New Roman;Times;serif"/>
          <w:sz w:val="20"/>
        </w:rPr>
        <w:t>:</w:t>
      </w:r>
    </w:p>
    <w:tbl>
      <w:tblPr>
        <w:tblW w:w="8301" w:type="dxa"/>
        <w:jc w:val="center"/>
        <w:tblInd w:w="0" w:type="dxa"/>
        <w:tblLayout w:type="fixed"/>
        <w:tblCellMar>
          <w:top w:w="0" w:type="dxa"/>
          <w:left w:w="0" w:type="dxa"/>
          <w:bottom w:w="0" w:type="dxa"/>
          <w:right w:w="0" w:type="dxa"/>
        </w:tblCellMar>
      </w:tblPr>
      <w:tblGrid>
        <w:gridCol w:w="586"/>
        <w:gridCol w:w="1441"/>
        <w:gridCol w:w="1501"/>
        <w:gridCol w:w="1681"/>
        <w:gridCol w:w="1591"/>
        <w:gridCol w:w="1501"/>
      </w:tblGrid>
      <w:tr>
        <w:trPr/>
        <w:tc>
          <w:tcPr>
            <w:tcW w:w="58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left"/>
              <w:rPr/>
            </w:pPr>
            <w:r>
              <w:rPr/>
              <w:t>​</w:t>
            </w:r>
          </w:p>
        </w:tc>
      </w:tr>
      <w:tr>
        <w:trPr/>
        <w:tc>
          <w:tcPr>
            <w:tcW w:w="5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w:t>
            </w:r>
          </w:p>
        </w:tc>
        <w:tc>
          <w:tcPr>
            <w:tcW w:w="144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 Adjusted</w:t>
              <w:br/>
              <w:t>Consolidated</w:t>
              <w:br/>
              <w:t>Leverage Ratio</w:t>
            </w:r>
          </w:p>
        </w:tc>
        <w:tc>
          <w:tcPr>
            <w:tcW w:w="15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Commitment Fee</w:t>
            </w:r>
          </w:p>
        </w:tc>
        <w:tc>
          <w:tcPr>
            <w:tcW w:w="16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Letter of Credit Fee</w:t>
            </w:r>
          </w:p>
        </w:tc>
        <w:tc>
          <w:tcPr>
            <w:tcW w:w="15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Term SOFR Loans</w:t>
            </w:r>
          </w:p>
        </w:tc>
        <w:tc>
          <w:tcPr>
            <w:tcW w:w="15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Base Rate Loans</w:t>
            </w:r>
          </w:p>
        </w:tc>
      </w:tr>
      <w:tr>
        <w:trPr/>
        <w:tc>
          <w:tcPr>
            <w:tcW w:w="5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w:t>
            </w:r>
          </w:p>
        </w:tc>
        <w:tc>
          <w:tcPr>
            <w:tcW w:w="144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&lt; 3.00 to 1.0</w:t>
            </w:r>
          </w:p>
        </w:tc>
        <w:tc>
          <w:tcPr>
            <w:tcW w:w="15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0.20%</w:t>
            </w:r>
          </w:p>
        </w:tc>
        <w:tc>
          <w:tcPr>
            <w:tcW w:w="16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1.75%</w:t>
            </w:r>
          </w:p>
        </w:tc>
        <w:tc>
          <w:tcPr>
            <w:tcW w:w="15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1.75%</w:t>
            </w:r>
          </w:p>
        </w:tc>
        <w:tc>
          <w:tcPr>
            <w:tcW w:w="15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0.75%</w:t>
            </w:r>
          </w:p>
        </w:tc>
      </w:tr>
      <w:tr>
        <w:trPr/>
        <w:tc>
          <w:tcPr>
            <w:tcW w:w="5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II</w:t>
            </w:r>
          </w:p>
        </w:tc>
        <w:tc>
          <w:tcPr>
            <w:tcW w:w="144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&lt; 3.50 to 1.0 but</w:t>
            </w:r>
          </w:p>
          <w:p>
            <w:pPr>
              <w:pStyle w:val="TableContents"/>
              <w:bidi w:val="0"/>
              <w:spacing w:before="0" w:after="0"/>
              <w:ind w:left="0" w:right="0" w:hanging="0"/>
              <w:jc w:val="center"/>
              <w:rPr/>
            </w:pPr>
            <w:r>
              <w:rPr/>
              <w:t xml:space="preserve">≥ </w:t>
            </w:r>
            <w:r>
              <w:rPr>
                <w:rFonts w:ascii="Times New Roman;Times;serif" w:hAnsi="Times New Roman;Times;serif"/>
                <w:sz w:val="20"/>
              </w:rPr>
              <w:t>3.00 to 1.0</w:t>
            </w:r>
          </w:p>
        </w:tc>
        <w:tc>
          <w:tcPr>
            <w:tcW w:w="15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0.20%</w:t>
            </w:r>
          </w:p>
        </w:tc>
        <w:tc>
          <w:tcPr>
            <w:tcW w:w="16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2.00%</w:t>
            </w:r>
          </w:p>
        </w:tc>
        <w:tc>
          <w:tcPr>
            <w:tcW w:w="15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2.00%</w:t>
            </w:r>
          </w:p>
        </w:tc>
        <w:tc>
          <w:tcPr>
            <w:tcW w:w="15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5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III</w:t>
            </w:r>
          </w:p>
        </w:tc>
        <w:tc>
          <w:tcPr>
            <w:tcW w:w="144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&lt; 4.00 to 1.0 but</w:t>
            </w:r>
          </w:p>
          <w:p>
            <w:pPr>
              <w:pStyle w:val="TableContents"/>
              <w:bidi w:val="0"/>
              <w:spacing w:before="0" w:after="0"/>
              <w:ind w:left="0" w:right="0" w:hanging="0"/>
              <w:jc w:val="center"/>
              <w:rPr/>
            </w:pPr>
            <w:r>
              <w:rPr/>
              <w:t xml:space="preserve">≥ </w:t>
            </w:r>
            <w:r>
              <w:rPr>
                <w:rFonts w:ascii="Times New Roman;Times;serif" w:hAnsi="Times New Roman;Times;serif"/>
                <w:sz w:val="20"/>
              </w:rPr>
              <w:t>3.50 to 1.0</w:t>
            </w:r>
          </w:p>
        </w:tc>
        <w:tc>
          <w:tcPr>
            <w:tcW w:w="15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0.20%</w:t>
            </w:r>
          </w:p>
        </w:tc>
        <w:tc>
          <w:tcPr>
            <w:tcW w:w="16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2.25%</w:t>
            </w:r>
          </w:p>
        </w:tc>
        <w:tc>
          <w:tcPr>
            <w:tcW w:w="15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2.25%</w:t>
            </w:r>
          </w:p>
        </w:tc>
        <w:tc>
          <w:tcPr>
            <w:tcW w:w="15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1.25%</w:t>
            </w:r>
          </w:p>
        </w:tc>
      </w:tr>
      <w:tr>
        <w:trPr/>
        <w:tc>
          <w:tcPr>
            <w:tcW w:w="5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IV</w:t>
            </w:r>
          </w:p>
        </w:tc>
        <w:tc>
          <w:tcPr>
            <w:tcW w:w="144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&lt; 4.50 to 1.0 but</w:t>
            </w:r>
          </w:p>
          <w:p>
            <w:pPr>
              <w:pStyle w:val="TableContents"/>
              <w:bidi w:val="0"/>
              <w:spacing w:before="0" w:after="0"/>
              <w:ind w:left="0" w:right="0" w:hanging="0"/>
              <w:jc w:val="center"/>
              <w:rPr/>
            </w:pPr>
            <w:r>
              <w:rPr/>
              <w:t xml:space="preserve">≥ </w:t>
            </w:r>
            <w:r>
              <w:rPr>
                <w:rFonts w:ascii="Times New Roman;Times;serif" w:hAnsi="Times New Roman;Times;serif"/>
                <w:sz w:val="20"/>
              </w:rPr>
              <w:t>4.00 to 1.0</w:t>
            </w:r>
          </w:p>
        </w:tc>
        <w:tc>
          <w:tcPr>
            <w:tcW w:w="15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0.30%</w:t>
            </w:r>
          </w:p>
        </w:tc>
        <w:tc>
          <w:tcPr>
            <w:tcW w:w="16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2.50%</w:t>
            </w:r>
          </w:p>
        </w:tc>
        <w:tc>
          <w:tcPr>
            <w:tcW w:w="15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2.50%</w:t>
            </w:r>
          </w:p>
        </w:tc>
        <w:tc>
          <w:tcPr>
            <w:tcW w:w="15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1.50%</w:t>
            </w:r>
          </w:p>
        </w:tc>
      </w:tr>
      <w:tr>
        <w:trPr/>
        <w:tc>
          <w:tcPr>
            <w:tcW w:w="5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w:t>
            </w:r>
          </w:p>
        </w:tc>
        <w:tc>
          <w:tcPr>
            <w:tcW w:w="144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 xml:space="preserve">≥ </w:t>
            </w:r>
            <w:r>
              <w:rPr>
                <w:rFonts w:ascii="Times New Roman;Times;serif" w:hAnsi="Times New Roman;Times;serif"/>
                <w:sz w:val="20"/>
              </w:rPr>
              <w:t>4.50 to 1.0</w:t>
            </w:r>
          </w:p>
        </w:tc>
        <w:tc>
          <w:tcPr>
            <w:tcW w:w="15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0.30%</w:t>
            </w:r>
          </w:p>
        </w:tc>
        <w:tc>
          <w:tcPr>
            <w:tcW w:w="16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2.75%</w:t>
            </w:r>
          </w:p>
        </w:tc>
        <w:tc>
          <w:tcPr>
            <w:tcW w:w="15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2.75%</w:t>
            </w:r>
          </w:p>
        </w:tc>
        <w:tc>
          <w:tcPr>
            <w:tcW w:w="15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1.75%</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Any increase or decrease in the Applicable Rate resulting from a change in the Lease Adjusted Consolidated Leverage Ratio shall become effective as of the first Business Day immediately following the date a Compliance Certificate is delivered pursuant to </w:t>
      </w:r>
      <w:r>
        <w:rPr>
          <w:rFonts w:ascii="Times New Roman;Times;serif" w:hAnsi="Times New Roman;Times;serif"/>
          <w:sz w:val="20"/>
          <w:u w:val="single"/>
        </w:rPr>
        <w:t>Section 6.02(a)</w:t>
      </w:r>
      <w:r>
        <w:rPr>
          <w:rFonts w:ascii="Times New Roman;Times;serif" w:hAnsi="Times New Roman;Times;serif"/>
          <w:sz w:val="20"/>
        </w:rPr>
        <w:t xml:space="preserve">;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if a Compliance Certificate is not delivered when due in accordance with such Section, then, upon the request</w:t>
      </w:r>
    </w:p>
    <w:p>
      <w:pPr>
        <w:pStyle w:val="TextBody"/>
        <w:bidi w:val="0"/>
        <w:spacing w:before="0" w:after="0"/>
        <w:ind w:left="36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of the Required Lenders, Level V shall apply, in each case as of the first Business Day after the date on which such Compliance Certificate was required to have been delivered and in each case shall remain in effect until the first Business Day following the date on which such Compliance Certificate is delivered. Notwithstanding anything to the contrary contained in this definition, (a) the determination of the Applicable Rate for any period shall be subject to the provisions of </w:t>
      </w:r>
      <w:r>
        <w:rPr>
          <w:rFonts w:ascii="Times New Roman;Times;serif" w:hAnsi="Times New Roman;Times;serif"/>
          <w:sz w:val="20"/>
          <w:u w:val="single"/>
        </w:rPr>
        <w:t>Section 2.10(b)</w:t>
      </w:r>
      <w:r>
        <w:rPr>
          <w:rFonts w:ascii="Times New Roman;Times;serif" w:hAnsi="Times New Roman;Times;serif"/>
          <w:sz w:val="20"/>
        </w:rPr>
        <w:t xml:space="preserve">, (b) the Applicable Rate shall be set forth in Level I from the Second Amendment Closing Date until the first Business Day immediately following the date a Compliance Certificate is delivered pursuant to </w:t>
      </w:r>
      <w:r>
        <w:rPr>
          <w:rFonts w:ascii="Times New Roman;Times;serif" w:hAnsi="Times New Roman;Times;serif"/>
          <w:sz w:val="20"/>
          <w:u w:val="single"/>
        </w:rPr>
        <w:t>Section 6.02(a)</w:t>
      </w:r>
      <w:r>
        <w:rPr>
          <w:rFonts w:ascii="Times New Roman;Times;serif" w:hAnsi="Times New Roman;Times;serif"/>
          <w:sz w:val="20"/>
        </w:rPr>
        <w:t xml:space="preserve"> for the fiscal quarter ending on or about June 30, 2026.</w:t>
      </w:r>
    </w:p>
    <w:p>
      <w:pPr>
        <w:pStyle w:val="TextBody"/>
        <w:bidi w:val="0"/>
        <w:spacing w:before="0" w:after="240"/>
        <w:ind w:left="0" w:right="0" w:firstLine="1440"/>
        <w:jc w:val="both"/>
        <w:rPr/>
      </w:pPr>
      <w:r>
        <w:rPr/>
        <w:t>“</w:t>
      </w:r>
      <w:r>
        <w:rPr>
          <w:rFonts w:ascii="Times New Roman;Times;serif" w:hAnsi="Times New Roman;Times;serif"/>
          <w:sz w:val="20"/>
          <w:u w:val="single"/>
        </w:rPr>
        <w:t>Maturity Date</w:t>
      </w:r>
      <w:r>
        <w:rPr>
          <w:rFonts w:ascii="Times New Roman;Times;serif" w:hAnsi="Times New Roman;Times;serif"/>
          <w:sz w:val="20"/>
        </w:rPr>
        <w:t xml:space="preserve">” means August 4, 2031;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if such date is not a Business Day, the Maturity Date shall be the next preceding Business Day.</w:t>
      </w:r>
    </w:p>
    <w:p>
      <w:pPr>
        <w:pStyle w:val="TextBody"/>
        <w:bidi w:val="0"/>
        <w:spacing w:before="0" w:after="240"/>
        <w:ind w:left="0" w:right="0" w:firstLine="1440"/>
        <w:jc w:val="both"/>
        <w:rPr/>
      </w:pPr>
      <w:r>
        <w:rPr/>
        <w:t>“</w:t>
      </w:r>
      <w:r>
        <w:rPr>
          <w:rFonts w:ascii="Times New Roman;Times;serif" w:hAnsi="Times New Roman;Times;serif"/>
          <w:sz w:val="20"/>
          <w:u w:val="single"/>
        </w:rPr>
        <w:t>Sanction(s)</w:t>
      </w:r>
      <w:r>
        <w:rPr>
          <w:rFonts w:ascii="Times New Roman;Times;serif" w:hAnsi="Times New Roman;Times;serif"/>
          <w:sz w:val="20"/>
        </w:rPr>
        <w:t>” means any sanction administered or enforced by the United States Government (including, without limitation, OFAC), the United Nations Security Council, the European Union, His Majesty’s Treasury or other relevant sanctions authority recognized by the foregoing.</w:t>
      </w:r>
    </w:p>
    <w:p>
      <w:pPr>
        <w:pStyle w:val="TextBody"/>
        <w:bidi w:val="0"/>
        <w:spacing w:before="0" w:after="240"/>
        <w:ind w:left="0" w:right="0" w:firstLine="1440"/>
        <w:jc w:val="both"/>
        <w:rPr/>
      </w:pPr>
      <w:r>
        <w:rPr/>
        <w:t>“</w:t>
      </w:r>
      <w:r>
        <w:rPr>
          <w:rFonts w:ascii="Times New Roman;Times;serif" w:hAnsi="Times New Roman;Times;serif"/>
          <w:sz w:val="20"/>
          <w:u w:val="single"/>
        </w:rPr>
        <w:t>Threshold Amount</w:t>
      </w:r>
      <w:r>
        <w:rPr>
          <w:rFonts w:ascii="Times New Roman;Times;serif" w:hAnsi="Times New Roman;Times;serif"/>
          <w:sz w:val="20"/>
        </w:rPr>
        <w:t>” means $20,000,000.</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Section 1.01</w:t>
      </w:r>
      <w:r>
        <w:rPr>
          <w:rFonts w:ascii="Times New Roman;Times;serif" w:hAnsi="Times New Roman;Times;serif"/>
          <w:sz w:val="20"/>
        </w:rPr>
        <w:t xml:space="preserve"> of the Credit Agreement is hereby amended by inserting the following new definition in the appropriate alphabetical order to read as follows:</w:t>
      </w:r>
    </w:p>
    <w:p>
      <w:pPr>
        <w:pStyle w:val="TextBody"/>
        <w:bidi w:val="0"/>
        <w:spacing w:before="0" w:after="240"/>
        <w:ind w:left="0" w:right="0" w:hanging="0"/>
        <w:jc w:val="center"/>
        <w:rPr/>
      </w:pPr>
      <w:r>
        <w:rPr/>
        <w:t>“</w:t>
      </w:r>
      <w:r>
        <w:rPr>
          <w:rFonts w:ascii="Times New Roman;Times;serif" w:hAnsi="Times New Roman;Times;serif"/>
          <w:sz w:val="20"/>
          <w:u w:val="single"/>
        </w:rPr>
        <w:t>Second Amendment Closing Date</w:t>
      </w:r>
      <w:r>
        <w:rPr>
          <w:rFonts w:ascii="Times New Roman;Times;serif" w:hAnsi="Times New Roman;Times;serif"/>
          <w:sz w:val="20"/>
        </w:rPr>
        <w:t>” means August 4, 2026.</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definition of “</w:t>
      </w:r>
      <w:r>
        <w:rPr>
          <w:rFonts w:ascii="Times New Roman;Times;serif" w:hAnsi="Times New Roman;Times;serif"/>
          <w:sz w:val="20"/>
          <w:u w:val="single"/>
        </w:rPr>
        <w:t>Audited Financial Statements</w:t>
      </w:r>
      <w:r>
        <w:rPr>
          <w:rFonts w:ascii="Times New Roman;Times;serif" w:hAnsi="Times New Roman;Times;serif"/>
          <w:sz w:val="20"/>
        </w:rPr>
        <w:t>” in Section 1.01 of the Credit Agreement is hereby amended by replacing “December 29, 2021” with “December 31, 2025”.</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definition of “</w:t>
      </w:r>
      <w:r>
        <w:rPr>
          <w:rFonts w:ascii="Times New Roman;Times;serif" w:hAnsi="Times New Roman;Times;serif"/>
          <w:sz w:val="20"/>
          <w:u w:val="single"/>
        </w:rPr>
        <w:t>SOFR Adjustment</w:t>
      </w:r>
      <w:r>
        <w:rPr>
          <w:rFonts w:ascii="Times New Roman;Times;serif" w:hAnsi="Times New Roman;Times;serif"/>
          <w:sz w:val="20"/>
        </w:rPr>
        <w:t xml:space="preserve">” is hereby deleted from </w:t>
      </w:r>
      <w:r>
        <w:rPr>
          <w:rFonts w:ascii="Times New Roman;Times;serif" w:hAnsi="Times New Roman;Times;serif"/>
          <w:sz w:val="20"/>
          <w:u w:val="single"/>
        </w:rPr>
        <w:t>Section 1.01</w:t>
      </w:r>
      <w:r>
        <w:rPr>
          <w:rFonts w:ascii="Times New Roman;Times;serif" w:hAnsi="Times New Roman;Times;serif"/>
          <w:sz w:val="20"/>
        </w:rPr>
        <w:t xml:space="preserve"> of the Credit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 xml:space="preserve">Each instance of the phrase “, in each case, plus the SOFR Adjustment for such Interest Period” is hereby deleted from the definition of “Term SOFR” in </w:t>
      </w:r>
      <w:r>
        <w:rPr>
          <w:rFonts w:ascii="Times New Roman;Times;serif" w:hAnsi="Times New Roman;Times;serif"/>
          <w:sz w:val="20"/>
          <w:u w:val="single"/>
        </w:rPr>
        <w:t>Section 1.01</w:t>
      </w:r>
      <w:r>
        <w:rPr>
          <w:rFonts w:ascii="Times New Roman;Times;serif" w:hAnsi="Times New Roman;Times;serif"/>
          <w:sz w:val="20"/>
        </w:rPr>
        <w:t xml:space="preserve"> of the Credit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Each instance of the phrase “</w:t>
      </w:r>
      <w:r>
        <w:rPr>
          <w:rFonts w:ascii="Times New Roman;Times;serif" w:hAnsi="Times New Roman;Times;serif"/>
          <w:i/>
          <w:sz w:val="20"/>
        </w:rPr>
        <w:t xml:space="preserve">plus </w:t>
      </w:r>
      <w:r>
        <w:rPr>
          <w:rFonts w:ascii="Times New Roman;Times;serif" w:hAnsi="Times New Roman;Times;serif"/>
          <w:sz w:val="20"/>
        </w:rPr>
        <w:t xml:space="preserve">the SOFR Adjustment” is hereby deleted from </w:t>
      </w:r>
      <w:r>
        <w:rPr>
          <w:rFonts w:ascii="Times New Roman;Times;serif" w:hAnsi="Times New Roman;Times;serif"/>
          <w:sz w:val="20"/>
          <w:u w:val="single"/>
        </w:rPr>
        <w:t>Section 3.03</w:t>
      </w:r>
      <w:r>
        <w:rPr>
          <w:rFonts w:ascii="Times New Roman;Times;serif" w:hAnsi="Times New Roman;Times;serif"/>
          <w:sz w:val="20"/>
        </w:rPr>
        <w:t xml:space="preserve"> of the Credit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u w:val="single"/>
        </w:rPr>
        <w:t>Section 5.05(b)</w:t>
      </w:r>
      <w:r>
        <w:rPr>
          <w:rFonts w:ascii="Times New Roman;Times;serif" w:hAnsi="Times New Roman;Times;serif"/>
          <w:sz w:val="20"/>
        </w:rPr>
        <w:t xml:space="preserve"> of the Credit Agreement is hereby amended by replacing “March 30, 2022” with “April 1, 2026”.</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u w:val="single"/>
        </w:rPr>
        <w:t>Section 5.05(c)</w:t>
      </w:r>
      <w:r>
        <w:rPr>
          <w:rFonts w:ascii="Times New Roman;Times;serif" w:hAnsi="Times New Roman;Times;serif"/>
          <w:sz w:val="20"/>
        </w:rPr>
        <w:t xml:space="preserve"> of the Credit Agreement is hereby amended by replacing “December 29, 2021” with “December 31, 2025”.</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u w:val="single"/>
        </w:rPr>
        <w:t>Section 7.02(c)(i)</w:t>
      </w:r>
      <w:r>
        <w:rPr>
          <w:rFonts w:ascii="Times New Roman;Times;serif" w:hAnsi="Times New Roman;Times;serif"/>
          <w:sz w:val="20"/>
        </w:rPr>
        <w:t xml:space="preserve"> of the Credit Agreement is hereby amended by replacing “$10,000,000” with “the greater of (A) $10,000,000 and (B) 10.0% of Consolidated EBITDAR as of the last day of the most recently ended Measurement Period for which financial statements have been delivered hereunder”.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u w:val="single"/>
        </w:rPr>
        <w:t>Section 7.05(b)</w:t>
      </w:r>
      <w:r>
        <w:rPr>
          <w:rFonts w:ascii="Times New Roman;Times;serif" w:hAnsi="Times New Roman;Times;serif"/>
          <w:sz w:val="20"/>
        </w:rPr>
        <w:t xml:space="preserve"> of the Credit Agreement is hereby amended by replacing “shall not exceed $10,000,000 in any four consecutive fiscal quarter period” with “shall not exceed, in any four consecutive fiscal quarter period, the greater of (A) $10,000,000 and (B) 10.0% of</w:t>
      </w:r>
    </w:p>
    <w:p>
      <w:pPr>
        <w:pStyle w:val="TextBody"/>
        <w:bidi w:val="0"/>
        <w:spacing w:before="0" w:after="0"/>
        <w:ind w:left="108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Consolidated EBITDAR as of the last day of the most recently ended Measurement Period for which financial statements have been delivered hereunder”.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u w:val="single"/>
        </w:rPr>
        <w:t>Section 7.05(j)(i)(A)</w:t>
      </w:r>
      <w:r>
        <w:rPr>
          <w:rFonts w:ascii="Times New Roman;Times;serif" w:hAnsi="Times New Roman;Times;serif"/>
          <w:sz w:val="20"/>
        </w:rPr>
        <w:t xml:space="preserve"> of the Credit Agreement is hereby amended by replacing “$20,00,000” with “$20,000,000”.</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u w:val="single"/>
        </w:rPr>
        <w:t>Section 7.06(h)</w:t>
      </w:r>
      <w:r>
        <w:rPr>
          <w:rFonts w:ascii="Times New Roman;Times;serif" w:hAnsi="Times New Roman;Times;serif"/>
          <w:sz w:val="20"/>
        </w:rPr>
        <w:t xml:space="preserve"> of the Credit Agreement is hereby amended by replacing “shall not exceed $5,000,000 in any fiscal year” with “shall not exceed, in any fiscal year, the greater of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(i) $5,000,000 and (ii) 5.0% of Consolidated EBITDAR as of the last day of the most recently ended Measurement Period for which financial statements have been delivered hereunder”.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sz w:val="20"/>
          <w:u w:val="single"/>
        </w:rPr>
        <w:t>Section 8.01(c)</w:t>
      </w:r>
      <w:r>
        <w:rPr>
          <w:rFonts w:ascii="Times New Roman;Times;serif" w:hAnsi="Times New Roman;Times;serif"/>
          <w:sz w:val="20"/>
        </w:rPr>
        <w:t xml:space="preserve"> of the Credit Agreement is hereby amended by replacing “becoming aware if such failure” with “becoming aware of such failure”.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w:t>
      </w:r>
      <w:r>
        <w:rPr>
          <w:rFonts w:ascii="Times New Roman;Times;serif" w:hAnsi="Times New Roman;Times;serif"/>
          <w:sz w:val="20"/>
          <w:u w:val="single"/>
        </w:rPr>
        <w:t>Section 11.01(a)(iv)</w:t>
      </w:r>
      <w:r>
        <w:rPr>
          <w:rFonts w:ascii="Times New Roman;Times;serif" w:hAnsi="Times New Roman;Times;serif"/>
          <w:sz w:val="20"/>
        </w:rPr>
        <w:t xml:space="preserve"> of the Credit Agreement is hereby amended and restated in its entirety to read as follows: “(iv) change </w:t>
      </w:r>
      <w:r>
        <w:rPr>
          <w:rFonts w:ascii="Times New Roman;Times;serif" w:hAnsi="Times New Roman;Times;serif"/>
          <w:sz w:val="20"/>
          <w:u w:val="single"/>
        </w:rPr>
        <w:t>Section 8.03</w:t>
      </w:r>
      <w:r>
        <w:rPr>
          <w:rFonts w:ascii="Times New Roman;Times;serif" w:hAnsi="Times New Roman;Times;serif"/>
          <w:sz w:val="20"/>
        </w:rPr>
        <w:t xml:space="preserve"> or </w:t>
      </w:r>
      <w:r>
        <w:rPr>
          <w:rFonts w:ascii="Times New Roman;Times;serif" w:hAnsi="Times New Roman;Times;serif"/>
          <w:sz w:val="20"/>
          <w:u w:val="single"/>
        </w:rPr>
        <w:t>Section 2.13</w:t>
      </w:r>
      <w:r>
        <w:rPr>
          <w:rFonts w:ascii="Times New Roman;Times;serif" w:hAnsi="Times New Roman;Times;serif"/>
          <w:sz w:val="20"/>
        </w:rPr>
        <w:t xml:space="preserve"> in a manner that would alter the order or pro rata sharing of payments required thereby without the written consent of each Lender directly affected thereby;”.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w:t>
      </w:r>
      <w:r>
        <w:rPr>
          <w:rFonts w:ascii="Times New Roman;Times;serif" w:hAnsi="Times New Roman;Times;serif"/>
          <w:sz w:val="20"/>
          <w:u w:val="single"/>
        </w:rPr>
        <w:t>Section 11.01(a)</w:t>
      </w:r>
      <w:r>
        <w:rPr>
          <w:rFonts w:ascii="Times New Roman;Times;serif" w:hAnsi="Times New Roman;Times;serif"/>
          <w:sz w:val="20"/>
        </w:rPr>
        <w:t xml:space="preserve"> of the Credit Agreement is hereby amended by (i) deleting the word “or” at the end of clause (vii), (ii) adding the word “or” at the end of clause (viii), and (iii) inserting a new clause (ix) to read as follows: “(ix) without the prior written consent of each Lender directly and adversely affected thereby, (A) subordinate the Obligations hereunder to any other Indebtedness or (B) except as contemplated by </w:t>
      </w:r>
      <w:r>
        <w:rPr>
          <w:rFonts w:ascii="Times New Roman;Times;serif" w:hAnsi="Times New Roman;Times;serif"/>
          <w:sz w:val="20"/>
          <w:u w:val="single"/>
        </w:rPr>
        <w:t>Section 9.10</w:t>
      </w:r>
      <w:r>
        <w:rPr>
          <w:rFonts w:ascii="Times New Roman;Times;serif" w:hAnsi="Times New Roman;Times;serif"/>
          <w:sz w:val="20"/>
        </w:rPr>
        <w:t xml:space="preserve"> as in effect on the Second Amendment Closing Date, subordinate the Liens securing the Obligations to Liens securing any other Indebtedness;”.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(p)</w:t>
      </w:r>
      <w:r>
        <w:rPr>
          <w:rFonts w:ascii="Times New Roman;Times;serif" w:hAnsi="Times New Roman;Times;serif"/>
          <w:sz w:val="20"/>
          <w:u w:val="single"/>
        </w:rPr>
        <w:t>Schedule 2.01</w:t>
      </w:r>
      <w:r>
        <w:rPr>
          <w:rFonts w:ascii="Times New Roman;Times;serif" w:hAnsi="Times New Roman;Times;serif"/>
          <w:sz w:val="20"/>
        </w:rPr>
        <w:t xml:space="preserve"> of the Credit Agreement is hereby amended and restated in its entirety as set of the </w:t>
      </w:r>
      <w:r>
        <w:rPr>
          <w:rFonts w:ascii="Times New Roman;Times;serif" w:hAnsi="Times New Roman;Times;serif"/>
          <w:sz w:val="20"/>
          <w:u w:val="single"/>
        </w:rPr>
        <w:t>Schedule 2.01</w:t>
      </w:r>
      <w:r>
        <w:rPr>
          <w:rFonts w:ascii="Times New Roman;Times;serif" w:hAnsi="Times New Roman;Times;serif"/>
          <w:sz w:val="20"/>
        </w:rPr>
        <w:t xml:space="preserve"> attached hereto.</w:t>
      </w:r>
    </w:p>
    <w:tbl>
      <w:tblPr>
        <w:tblW w:w="2463" w:type="dxa"/>
        <w:jc w:val="left"/>
        <w:tblInd w:w="0" w:type="dxa"/>
        <w:tblLayout w:type="fixed"/>
        <w:tblCellMar>
          <w:top w:w="0" w:type="dxa"/>
          <w:left w:w="0" w:type="dxa"/>
          <w:bottom w:w="0" w:type="dxa"/>
          <w:right w:w="0" w:type="dxa"/>
        </w:tblCellMar>
      </w:tblPr>
      <w:tblGrid>
        <w:gridCol w:w="23"/>
        <w:gridCol w:w="170"/>
        <w:gridCol w:w="22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22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New Lenders; Reallocation</w:t>
            </w:r>
            <w:r>
              <w:rPr>
                <w:rFonts w:ascii="Times New Roman;Times;serif" w:hAnsi="Times New Roman;Times;serif"/>
                <w:sz w:val="20"/>
              </w:rPr>
              <w:t>.</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Each Person that signs this Amendment as a Lender and that was not a Lender party to the Credit Agreement immediately prior to the effectiveness of this Amendment (each, a “</w:t>
      </w:r>
      <w:r>
        <w:rPr>
          <w:rFonts w:ascii="Times New Roman;Times;serif" w:hAnsi="Times New Roman;Times;serif"/>
          <w:sz w:val="20"/>
          <w:u w:val="single"/>
        </w:rPr>
        <w:t>New Lender</w:t>
      </w:r>
      <w:r>
        <w:rPr>
          <w:rFonts w:ascii="Times New Roman;Times;serif" w:hAnsi="Times New Roman;Times;serif"/>
          <w:sz w:val="20"/>
        </w:rPr>
        <w:t xml:space="preserve">”) (i) represents and warrants that (A) it has full power and authority, and has taken all action necessary, to execute and deliver this Amendment and to consummate the transactions contemplated hereby and to become a Lender under the Credit Agreement, (B) it meets all requirements of an Eligible Assignee under the Credit Agreement (subject to receipt of such consents as may be required under the Credit Agreement), (C) from and after the date hereof, it shall be bound by the provisions of the Credit Agreement as a Lender thereunder and shall have the obligations of a Lender thereunder, (D) it has received a copy of the Credit Agreement, together with copies of the most recent financial statements delivered pursuant to </w:t>
      </w:r>
      <w:r>
        <w:rPr>
          <w:rFonts w:ascii="Times New Roman;Times;serif" w:hAnsi="Times New Roman;Times;serif"/>
          <w:sz w:val="20"/>
          <w:u w:val="single"/>
        </w:rPr>
        <w:t>Section 6.01</w:t>
      </w:r>
      <w:r>
        <w:rPr>
          <w:rFonts w:ascii="Times New Roman;Times;serif" w:hAnsi="Times New Roman;Times;serif"/>
          <w:sz w:val="20"/>
        </w:rPr>
        <w:t xml:space="preserve"> thereof, and such other documents and information as it has deemed appropriate to make its own credit analysis and decision to enter into this Amendment and become a Lender under the Credit Agreement, on the basis of which it has made such analysis and decision independently and without reliance on the Administrative Agent or any other Lender, and (E) if it is a Foreign Lender, it has delivered any documentation required to be delivered by it pursuant to the terms of the Credit Agreement; and (ii) agrees that (A) it will, independently and without reliance on the Administrative Agent or any other Lender, and based on such documents and information as it shall deem appropriate at the time, continue to make its own credit decisions in taking or not</w:t>
      </w:r>
    </w:p>
    <w:p>
      <w:pPr>
        <w:pStyle w:val="TextBody"/>
        <w:bidi w:val="0"/>
        <w:spacing w:before="0" w:after="0"/>
        <w:ind w:left="108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taking action under the Loan Documents, and (B) it will perform in accordance with their terms all of the obligations which by the terms of the Loan Documents are required to be performed by it as a Lender.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Each of the Administrative Agent and each Loan Party agree that, as of the date hereof, each New Lender shall (i) be a party to the Credit Agreement (and, as applicable, the other Loan Documents), (ii) be a “Lender” for all purposes of the Credit Agreement and the other Loan Documents, and (iii) have the rights and obligations of a Lender under the Credit Agreement and the other Loan Documents.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address of each New Lender for purposes of all notices and other communications is as set forth on the Administrative Questionnaire delivered by such New Lender to the Administrative Agent.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 xml:space="preserve">On the Second Amendment Closing Date upon the effectiveness of this Amendment, each Lender shall fund Revolving Loans, and the Administrative Agent shall make such assignments, reallocations and transfers of funds (including prepayments of Revolving Loans of certain Lenders with Revolving Loans funded by other Lenders, as applicable) and such adjustments to the Register, as are necessary in order that (i) the Revolving Loans outstanding under the Credit Agreement (including any Revolving Loans funded on the Second Amendment Closing Date) and (ii) the Lenders’ respective participation interests in Letters of Credit and Swingline Loans shall, in each case, reflect the Revolving Commitments of the Lenders hereunder as set forth on </w:t>
      </w:r>
      <w:r>
        <w:rPr>
          <w:rFonts w:ascii="Times New Roman;Times;serif" w:hAnsi="Times New Roman;Times;serif"/>
          <w:sz w:val="20"/>
          <w:u w:val="single"/>
        </w:rPr>
        <w:t>Schedule 2.01</w:t>
      </w:r>
      <w:r>
        <w:rPr>
          <w:rFonts w:ascii="Times New Roman;Times;serif" w:hAnsi="Times New Roman;Times;serif"/>
          <w:sz w:val="20"/>
        </w:rPr>
        <w:t xml:space="preserve"> attached hereto on the Second Amendment Closing Date. The parties hereto consent to such assignments, reallocations, transfers of funds and adjustments by the Administrative Agent and agree that neither any Assignment and Assumption nor any other action of any Person is required to give effect thereto. Notwithstanding the assignments, reallocations, transfers of funds and adjustments contemplated above in this clause (d), each Borrowing of Term SOFR Loans outstanding under the Credit Agreement on the date hereof immediately prior to effectiveness of this Amendment shall, after giving effect to such assignments, reallocations, transfers of funds and adjustments, maintain the same Interest Period as was applicable to such Borrowing immediately prior to effectiveness of this Amendment. Each of the Lenders waives any right to compensation under </w:t>
      </w:r>
      <w:r>
        <w:rPr>
          <w:rFonts w:ascii="Times New Roman;Times;serif" w:hAnsi="Times New Roman;Times;serif"/>
          <w:sz w:val="20"/>
          <w:u w:val="single"/>
        </w:rPr>
        <w:t>Section 3.05</w:t>
      </w:r>
      <w:r>
        <w:rPr>
          <w:rFonts w:ascii="Times New Roman;Times;serif" w:hAnsi="Times New Roman;Times;serif"/>
          <w:sz w:val="20"/>
        </w:rPr>
        <w:t xml:space="preserve"> of the Credit Agreement in connection with the transactions and matters contemplated by this clause (d). For the avoidance of doubt, each reference to a Lender in this Section and elsewhere in this amendment shall include the New Lenders.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u w:val="single"/>
        </w:rPr>
        <w:t>Effectiveness</w:t>
      </w:r>
      <w:r>
        <w:rPr>
          <w:rFonts w:ascii="Times New Roman;Times;serif" w:hAnsi="Times New Roman;Times;serif"/>
          <w:sz w:val="20"/>
        </w:rPr>
        <w:t>. This Amendment shall be effective upon satisfaction of the following conditions precedent: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Receipt by the Administrative Agent of counterparts of this Amendment duly executed by (i) a Responsible Officer of the Borrower and each Guarantor, (ii) the Lenders and (iii) the Administrative Agent;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Receipt by the Administrative Agent for the account of each Lender requesting a Note, a Note executed by a Responsible Officer of the Borrower;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Receipt by the Administrative Agent of the following, in form and substance reasonably satisfactory to the Administrative Agent:</w:t>
      </w:r>
    </w:p>
    <w:p>
      <w:pPr>
        <w:pStyle w:val="TextBody"/>
        <w:bidi w:val="0"/>
        <w:spacing w:before="0" w:after="0"/>
        <w:ind w:left="2160" w:right="0" w:firstLine="720"/>
        <w:jc w:val="both"/>
        <w:rPr>
          <w:rFonts w:ascii="Times New Roman;Times;serif" w:hAnsi="Times New Roman;Times;serif"/>
          <w:sz w:val="20"/>
        </w:rPr>
      </w:pPr>
      <w:r>
        <w:rPr>
          <w:rFonts w:ascii="Times New Roman;Times;serif" w:hAnsi="Times New Roman;Times;serif"/>
          <w:sz w:val="20"/>
        </w:rPr>
        <w:t>(i)Copies of the Organization Documents of each Loan Party certified to be true and complete as of a recent date by the appropriate</w:t>
      </w:r>
    </w:p>
    <w:p>
      <w:pPr>
        <w:pStyle w:val="TextBody"/>
        <w:bidi w:val="0"/>
        <w:spacing w:before="0" w:after="0"/>
        <w:ind w:left="252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2160" w:right="0" w:hanging="0"/>
        <w:jc w:val="both"/>
        <w:rPr>
          <w:rFonts w:ascii="Times New Roman;Times;serif" w:hAnsi="Times New Roman;Times;serif"/>
          <w:sz w:val="20"/>
        </w:rPr>
      </w:pPr>
      <w:r>
        <w:rPr>
          <w:rFonts w:ascii="Times New Roman;Times;serif" w:hAnsi="Times New Roman;Times;serif"/>
          <w:sz w:val="20"/>
        </w:rPr>
        <w:t>Governmental Authority of the state or other jurisdiction of its incorporation or organization, where applicable, and certified by a secretary or assistant secretary of such Loan Party to be true and correct as of the date hereof;</w:t>
      </w:r>
    </w:p>
    <w:p>
      <w:pPr>
        <w:pStyle w:val="TextBody"/>
        <w:bidi w:val="0"/>
        <w:spacing w:before="0" w:after="240"/>
        <w:ind w:left="2160" w:right="0" w:firstLine="720"/>
        <w:jc w:val="both"/>
        <w:rPr>
          <w:rFonts w:ascii="Times New Roman;Times;serif" w:hAnsi="Times New Roman;Times;serif"/>
          <w:sz w:val="20"/>
        </w:rPr>
      </w:pPr>
      <w:r>
        <w:rPr>
          <w:rFonts w:ascii="Times New Roman;Times;serif" w:hAnsi="Times New Roman;Times;serif"/>
          <w:sz w:val="20"/>
        </w:rPr>
        <w:t>(ii)Such certificates of resolutions or other action,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Amendment and the other Loan Documents to which such Loan Party is a party; and</w:t>
      </w:r>
    </w:p>
    <w:p>
      <w:pPr>
        <w:pStyle w:val="TextBody"/>
        <w:bidi w:val="0"/>
        <w:spacing w:before="0" w:after="240"/>
        <w:ind w:left="2160" w:right="0" w:firstLine="720"/>
        <w:jc w:val="both"/>
        <w:rPr>
          <w:rFonts w:ascii="Times New Roman;Times;serif" w:hAnsi="Times New Roman;Times;serif"/>
          <w:sz w:val="20"/>
        </w:rPr>
      </w:pPr>
      <w:r>
        <w:rPr>
          <w:rFonts w:ascii="Times New Roman;Times;serif" w:hAnsi="Times New Roman;Times;serif"/>
          <w:sz w:val="20"/>
        </w:rPr>
        <w:t>(iii)Such documents and certifications as the Administrative Agent may reasonably require to evidence that each Loan Paty is duly organized or formed, and is validly existing and, if applicable, in good standing in its state of organization or formation;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Receipt by the Administrative Agent of a favorable opinion of counsel to the Loan Parties, dated as of the date hereof and addressed to the Administrative Agent and the Lenders, in form and substance reasonably satisfactory to the Administrative Agent;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Receipt by the Administrative Agent of copies of insurance policies or certificates of insurance of the Loan Parties evidencing liability and casualty insurance meeting the requirements set forth in the Loan Documents, including naming the Administrative Agent as additional insured (in the case of liability insurance) or lenders loss payee (in the case of property insurance) on behalf of the Secured Parties;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Receipt by the Administrative Agent of (i) audited financial statements of Holdings and its Subsidiaries for the most recently ended fiscal year for which such statements are available and (ii) projections for Holdings and its Subsidiaries for the five (5) fiscal years following the date hereof, which projections shall be in form and substance reasonably satisfactory to the Administrative Agent;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 xml:space="preserve">Receipt by the Administrative Agent of a certificate of a Responsible Officer of the Borrower, dated as of the date hereof, certifying that (i) the representations and warranties of the Borrower and each other Loan Party contained in Article V of the Credit Agreement or any other Loan Document are true and correct in all material respects (or, with respect to any representation or warranty qualified by materiality or Material Adverse Effect, in all respects) on and as of the Second Amendment Closing Date after giving effect to the Amendment, except to the extent that any such representation and warranty specifically relates to an earlier date, in which case they shall be true and correct in all material respects (or, with respect to any representation and warranty qualified by materiality or Material Adverse Effect, in all respects) as of such earlier date, and except that for purposes of this clause, the representations and warranties contained in </w:t>
      </w:r>
      <w:r>
        <w:rPr>
          <w:rFonts w:ascii="Times New Roman;Times;serif" w:hAnsi="Times New Roman;Times;serif"/>
          <w:sz w:val="20"/>
          <w:u w:val="single"/>
        </w:rPr>
        <w:t>Sections 5.05(a)</w:t>
      </w:r>
      <w:r>
        <w:rPr>
          <w:rFonts w:ascii="Times New Roman;Times;serif" w:hAnsi="Times New Roman;Times;serif"/>
          <w:sz w:val="20"/>
        </w:rPr>
        <w:t xml:space="preserve"> and </w:t>
      </w:r>
      <w:r>
        <w:rPr>
          <w:rFonts w:ascii="Times New Roman;Times;serif" w:hAnsi="Times New Roman;Times;serif"/>
          <w:sz w:val="20"/>
          <w:u w:val="single"/>
        </w:rPr>
        <w:t>(b)</w:t>
      </w:r>
      <w:r>
        <w:rPr>
          <w:rFonts w:ascii="Times New Roman;Times;serif" w:hAnsi="Times New Roman;Times;serif"/>
          <w:sz w:val="20"/>
        </w:rPr>
        <w:t xml:space="preserve"> of the Credit Agreement shall be deemed to refer to the most recent statements furnished pursuant to </w:t>
      </w:r>
      <w:r>
        <w:rPr>
          <w:rFonts w:ascii="Times New Roman;Times;serif" w:hAnsi="Times New Roman;Times;serif"/>
          <w:sz w:val="20"/>
          <w:u w:val="single"/>
        </w:rPr>
        <w:t>Sections 6.01(a</w:t>
      </w:r>
      <w:r>
        <w:rPr>
          <w:rFonts w:ascii="Times New Roman;Times;serif" w:hAnsi="Times New Roman;Times;serif"/>
          <w:sz w:val="20"/>
        </w:rPr>
        <w:t xml:space="preserve">) and </w:t>
      </w:r>
      <w:r>
        <w:rPr>
          <w:rFonts w:ascii="Times New Roman;Times;serif" w:hAnsi="Times New Roman;Times;serif"/>
          <w:sz w:val="20"/>
          <w:u w:val="single"/>
        </w:rPr>
        <w:t>(b)</w:t>
      </w:r>
      <w:r>
        <w:rPr>
          <w:rFonts w:ascii="Times New Roman;Times;serif" w:hAnsi="Times New Roman;Times;serif"/>
          <w:sz w:val="20"/>
        </w:rPr>
        <w:t xml:space="preserve"> of the Credit Agreement, respectively, (ii) since December 31, 2025, there has not occurred any event or circumstance, either individually or in the aggregate, that has had or could reasonably be expected to have a Material Adverse Effect, and (iii) no Default or Event of Default exists or would result from entering into this Amendment;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Receipt by the Administrative Agent of a solvency certificate signed by a Responsible Officer of Holdings (not in his or her individual capacity but solely in his or her</w:t>
      </w:r>
    </w:p>
    <w:p>
      <w:pPr>
        <w:pStyle w:val="TextBody"/>
        <w:bidi w:val="0"/>
        <w:spacing w:before="0" w:after="0"/>
        <w:ind w:left="1171" w:right="0" w:firstLine="629"/>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capacity as an officer of Holdings) as to the solvency of Holdings and its Subsidiaries, on a Consolidated basis, after giving effect to the transactions contemplated hereby;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Receipt by the Administrative Agent and, if requested by a Lender, such Lender of: (i) documentation and other information reasonably requested by the Administrative Agent or such Lender in order to comply with applicable “know your customer” and anti-money laundering requirements, including the PATRIOT Act; and (ii) with respect to the Borrower, to the extent the Borrower qualifies as a “legal entity customer” under the Beneficial Ownership Regulation, a Beneficial Ownership Certification;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Receipt by the Administrative Agent of (i) accrued and unpaid interest and fees under the Loan Documents as of the date hereof, (ii) all fees required to be paid pursuant to any separate fee letter between the Borrower and the Administrative Agent and (iii) all reasonable and documented or invoiced fees, charges and disbursements of counsel to the Administrative Agent (directly to such counsel if requested by the Administrative Agent) to the extent invoiced at least one (1) Business Day prior to the date hereof, plus such additional amounts of such reasonable fees, charges and disbursements as shall constitute its reasonable estimate of such reasonable fees, charges and disbursements incurred or to be incurred by it through the closing proceedings (provided that neither such waiver nor such estimate shall thereafter preclude a final settling of accounts between the Borrower and the Administrative Agent).</w:t>
      </w:r>
    </w:p>
    <w:tbl>
      <w:tblPr>
        <w:tblW w:w="1443" w:type="dxa"/>
        <w:jc w:val="left"/>
        <w:tblInd w:w="0" w:type="dxa"/>
        <w:tblLayout w:type="fixed"/>
        <w:tblCellMar>
          <w:top w:w="0" w:type="dxa"/>
          <w:left w:w="0" w:type="dxa"/>
          <w:bottom w:w="0" w:type="dxa"/>
          <w:right w:w="0" w:type="dxa"/>
        </w:tblCellMar>
      </w:tblPr>
      <w:tblGrid>
        <w:gridCol w:w="23"/>
        <w:gridCol w:w="170"/>
        <w:gridCol w:w="12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25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Miscellaneous</w:t>
            </w:r>
            <w:r>
              <w:rPr>
                <w:rFonts w:ascii="Times New Roman;Times;serif" w:hAnsi="Times New Roman;Times;serif"/>
                <w:sz w:val="20"/>
              </w:rPr>
              <w:t>.</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Credit Agreement (as amended hereby) and the obligations of the Loan Parties thereunder and under the other Loan Documents are hereby ratified and confirmed and shall remain in full force and effect according to their terms. This Amendment shall not be deemed or construed to be a satisfaction, reinstatement, novation or release of any Loan Document or a waiver by the Administrative Agent or any Lender of any rights and remedies under the Loan Documents, at law or in equity.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Each Guarantor (i) acknowledges and consents to all of the terms and conditions of this Amendment, (ii) affirms all of its obligations under the Loan Documents and (iii) agrees that this Amendment and all documents executed in connection herewith do not operate to reduce or discharge its obligations under the Credit Agreement (as amended hereby) or the other Loan Documents.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Borrower and the Guarantors hereby represent and warrant to the Administrative Agent and the Lenders as follows:</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(i)Each Loan Party has taken all necessary corporate or other organizational action to authorize the execution, delivery and performance of this Amendment and the Credit Agreement as amended hereby. This Amendment and the execution and performance hereof by the Loan Parties do not conflict with any Loan Party’s Organization Documents or any law, agreement or obligation by which any Loan Party is bound.</w:t>
      </w:r>
    </w:p>
    <w:p>
      <w:pPr>
        <w:pStyle w:val="TextBody"/>
        <w:bidi w:val="0"/>
        <w:spacing w:before="0" w:after="0"/>
        <w:ind w:left="1440" w:right="0" w:firstLine="720"/>
        <w:jc w:val="both"/>
        <w:rPr>
          <w:rFonts w:ascii="Times New Roman;Times;serif" w:hAnsi="Times New Roman;Times;serif"/>
          <w:sz w:val="20"/>
        </w:rPr>
      </w:pPr>
      <w:r>
        <w:rPr>
          <w:rFonts w:ascii="Times New Roman;Times;serif" w:hAnsi="Times New Roman;Times;serif"/>
          <w:sz w:val="20"/>
        </w:rPr>
        <w:t>(ii)This Amendment has been duly executed and delivered by each Loan Party and constitutes a legal, valid and binding obligation of each Loan Party, enforceable against each such Loan Party in accordance with its terms, subject to applicable bankruptcy, insolvency, reorganization, moratorium or other laws affecting</w:t>
      </w:r>
    </w:p>
    <w:p>
      <w:pPr>
        <w:pStyle w:val="TextBody"/>
        <w:bidi w:val="0"/>
        <w:spacing w:before="0" w:after="0"/>
        <w:ind w:left="180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sz w:val="20"/>
        </w:rPr>
        <w:t>creditors’ rights generally and subject to general principles of equity and principles of good faith and fair dealing.</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(iii)No approval, consent, exemption, authorization or other action by, or notice to, or filing with, any Governmental Authority or any other Person is necessary or required in connection with the execution, delivery or performance by, or enforcement against, any Loan Party of this Amendment.</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(iv)The Persons signing this Amendment as Guarantors include all of the Subsidiaries existing as of the date of this Amendment that are required to become Guarantors pursuant to the Credit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 xml:space="preserve">The Loan Parties represent and warrant to the Administrative Agent and the Lenders that (i) after giving effect to this Amendment, the representations and warranties of the Borrower and each other Loan Party contained in </w:t>
      </w:r>
      <w:r>
        <w:rPr>
          <w:rFonts w:ascii="Times New Roman;Times;serif" w:hAnsi="Times New Roman;Times;serif"/>
          <w:sz w:val="20"/>
          <w:u w:val="single"/>
        </w:rPr>
        <w:t>Article V</w:t>
      </w:r>
      <w:r>
        <w:rPr>
          <w:rFonts w:ascii="Times New Roman;Times;serif" w:hAnsi="Times New Roman;Times;serif"/>
          <w:sz w:val="20"/>
        </w:rPr>
        <w:t xml:space="preserve"> of the Credit Agreement or any other Loan Document, or which are contained in any Compliance Certificate furnished at any time under or in connection therewith, are true and correct in all material respects (or, with respect to any representation or warranty qualified by materiality or Material Adverse Effect, in all respects) on and as of the date hereof, except to the extent that such representations and warranties specifically refer to an earlier date, in which case they are true and correct in all material respects (or, with respect to any representation and warranty qualified by materiality or Material Adverse Effect, in all respects) as of such earlier date, and except that for purposes of this </w:t>
      </w:r>
      <w:r>
        <w:rPr>
          <w:rFonts w:ascii="Times New Roman;Times;serif" w:hAnsi="Times New Roman;Times;serif"/>
          <w:sz w:val="20"/>
          <w:u w:val="single"/>
        </w:rPr>
        <w:t>Section 4(d)(i)</w:t>
      </w:r>
      <w:r>
        <w:rPr>
          <w:rFonts w:ascii="Times New Roman;Times;serif" w:hAnsi="Times New Roman;Times;serif"/>
          <w:sz w:val="20"/>
        </w:rPr>
        <w:t xml:space="preserve">, the representations and warranties contained in </w:t>
      </w:r>
      <w:r>
        <w:rPr>
          <w:rFonts w:ascii="Times New Roman;Times;serif" w:hAnsi="Times New Roman;Times;serif"/>
          <w:sz w:val="20"/>
          <w:u w:val="single"/>
        </w:rPr>
        <w:t>Sections 5.05(a)</w:t>
      </w:r>
      <w:r>
        <w:rPr>
          <w:rFonts w:ascii="Times New Roman;Times;serif" w:hAnsi="Times New Roman;Times;serif"/>
          <w:sz w:val="20"/>
        </w:rPr>
        <w:t xml:space="preserve"> and </w:t>
      </w:r>
      <w:r>
        <w:rPr>
          <w:rFonts w:ascii="Times New Roman;Times;serif" w:hAnsi="Times New Roman;Times;serif"/>
          <w:sz w:val="20"/>
          <w:u w:val="single"/>
        </w:rPr>
        <w:t>(b)</w:t>
      </w:r>
      <w:r>
        <w:rPr>
          <w:rFonts w:ascii="Times New Roman;Times;serif" w:hAnsi="Times New Roman;Times;serif"/>
          <w:sz w:val="20"/>
        </w:rPr>
        <w:t xml:space="preserve"> of the Credit Agreement shall be deemed to refer to the most recent statements furnished pursuant to </w:t>
      </w:r>
      <w:r>
        <w:rPr>
          <w:rFonts w:ascii="Times New Roman;Times;serif" w:hAnsi="Times New Roman;Times;serif"/>
          <w:sz w:val="20"/>
          <w:u w:val="single"/>
        </w:rPr>
        <w:t>Sections 6.01(a)</w:t>
      </w:r>
      <w:r>
        <w:rPr>
          <w:rFonts w:ascii="Times New Roman;Times;serif" w:hAnsi="Times New Roman;Times;serif"/>
          <w:sz w:val="20"/>
        </w:rPr>
        <w:t xml:space="preserve"> and </w:t>
      </w:r>
      <w:r>
        <w:rPr>
          <w:rFonts w:ascii="Times New Roman;Times;serif" w:hAnsi="Times New Roman;Times;serif"/>
          <w:sz w:val="20"/>
          <w:u w:val="single"/>
        </w:rPr>
        <w:t>(b)</w:t>
      </w:r>
      <w:r>
        <w:rPr>
          <w:rFonts w:ascii="Times New Roman;Times;serif" w:hAnsi="Times New Roman;Times;serif"/>
          <w:sz w:val="20"/>
        </w:rPr>
        <w:t>, respectively, of the Credit Agreement, and (ii) after giving effect to this Amendment, no event has occurred and is continuing which constitutes a Default or an Event of Default.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 xml:space="preserve">This Amendment shall constitute a Loan Document for all purposes. This Amendment may be executed in counterparts (and by different parties hereto in different counterparts), each of which shall constitute an original, but all of which when taken together shall constitute a single contract. The provisions of </w:t>
      </w:r>
      <w:r>
        <w:rPr>
          <w:rFonts w:ascii="Times New Roman;Times;serif" w:hAnsi="Times New Roman;Times;serif"/>
          <w:sz w:val="20"/>
          <w:u w:val="single"/>
        </w:rPr>
        <w:t>Section 11.17</w:t>
      </w:r>
      <w:r>
        <w:rPr>
          <w:rFonts w:ascii="Times New Roman;Times;serif" w:hAnsi="Times New Roman;Times;serif"/>
          <w:sz w:val="20"/>
        </w:rPr>
        <w:t xml:space="preserve"> of the Credit Agreement are incorporated herein by reference, </w:t>
      </w:r>
      <w:r>
        <w:rPr>
          <w:rFonts w:ascii="Times New Roman;Times;serif" w:hAnsi="Times New Roman;Times;serif"/>
          <w:i/>
          <w:sz w:val="20"/>
        </w:rPr>
        <w:t>mutatis mutandis</w:t>
      </w:r>
      <w:r>
        <w:rPr>
          <w:rFonts w:ascii="Times New Roman;Times;serif" w:hAnsi="Times New Roman;Times;serif"/>
          <w:sz w:val="20"/>
        </w:rPr>
        <w:t>. This Amendment constitutes the entire contract among the parties relating to the subject matter hereof and supersedes any and all previous agreements and understandings, oral or written, relating to the subject matter hereof. This Amendment will inure to the benefit of and bind the respective successors and permitted assigns of the parties hereto.</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THIS AMENDMENT AND THE RIGHTS AND OBLIGATIONS OF THE PARTIES HEREUNDER SHALL BE GOVERNED BY AND CONSTRUED AND INTERPRETED IN ACCORDANCE WITH THE LAWS OF THE STATE OF NEW YORK. THE TERMS OF SECTIONS 11.14</w:t>
      </w:r>
      <w:r>
        <w:rPr>
          <w:rFonts w:ascii="Times New Roman;Times;serif" w:hAnsi="Times New Roman;Times;serif"/>
          <w:sz w:val="20"/>
        </w:rPr>
        <w:t xml:space="preserve"> </w:t>
      </w:r>
      <w:r>
        <w:rPr>
          <w:rFonts w:ascii="Times New Roman;Times;serif" w:hAnsi="Times New Roman;Times;serif"/>
          <w:b/>
          <w:sz w:val="20"/>
        </w:rPr>
        <w:t>AND 11.15</w:t>
      </w:r>
      <w:r>
        <w:rPr>
          <w:rFonts w:ascii="Times New Roman;Times;serif" w:hAnsi="Times New Roman;Times;serif"/>
          <w:sz w:val="20"/>
        </w:rPr>
        <w:t xml:space="preserve"> </w:t>
      </w:r>
      <w:r>
        <w:rPr>
          <w:rFonts w:ascii="Times New Roman;Times;serif" w:hAnsi="Times New Roman;Times;serif"/>
          <w:b/>
          <w:sz w:val="20"/>
        </w:rPr>
        <w:t xml:space="preserve">OF THE CREDIT AGREEMENT ARE INCORPORATED HEREIN BY REFERENCE, </w:t>
      </w:r>
      <w:r>
        <w:rPr>
          <w:rFonts w:ascii="Times New Roman;Times;serif" w:hAnsi="Times New Roman;Times;serif"/>
          <w:b/>
          <w:i/>
          <w:sz w:val="20"/>
        </w:rPr>
        <w:t>MUTATIS MUTANDIS</w:t>
      </w:r>
      <w:r>
        <w:rPr>
          <w:rFonts w:ascii="Times New Roman;Times;serif" w:hAnsi="Times New Roman;Times;serif"/>
          <w:b/>
          <w:sz w:val="20"/>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PAGES FOLLOW]</w:t>
      </w:r>
    </w:p>
    <w:p>
      <w:pPr>
        <w:pStyle w:val="TextBody"/>
        <w:bidi w:val="0"/>
        <w:spacing w:before="0" w:after="0"/>
        <w:ind w:left="0" w:right="0" w:hanging="0"/>
        <w:jc w:val="center"/>
        <w:rPr/>
      </w:pPr>
      <w:r>
        <w:rPr/>
        <w:t>​</w:t>
      </w:r>
    </w:p>
    <w:p>
      <w:pPr>
        <w:pStyle w:val="TextBody"/>
        <w:bidi w:val="0"/>
        <w:spacing w:before="0" w:after="0"/>
        <w:ind w:left="0" w:right="0" w:hanging="0"/>
        <w:jc w:val="left"/>
        <w:rPr>
          <w:color w:val="343434"/>
        </w:rPr>
      </w:pPr>
      <w:r>
        <w:rPr>
          <w:color w:val="343434"/>
        </w:rPr>
        <w:t>​</w:t>
      </w:r>
    </w:p>
    <w:p>
      <w:pPr>
        <w:pStyle w:val="TextBody"/>
        <w:bidi w:val="0"/>
        <w:spacing w:before="0" w:after="0"/>
        <w:ind w:left="0" w:right="0" w:hanging="0"/>
        <w:jc w:val="left"/>
        <w:rPr>
          <w:color w:val="343434"/>
        </w:rPr>
      </w:pPr>
      <w:r>
        <w:rPr>
          <w:color w:val="343434"/>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6"/>
        <w:ind w:left="0" w:right="0" w:firstLine="720"/>
        <w:jc w:val="left"/>
        <w:rPr>
          <w:rFonts w:ascii="Times New Roman;Times;serif" w:hAnsi="Times New Roman;Times;serif"/>
          <w:sz w:val="20"/>
        </w:rPr>
      </w:pPr>
      <w:r>
        <w:rPr>
          <w:rFonts w:ascii="Times New Roman;Times;serif" w:hAnsi="Times New Roman;Times;serif"/>
          <w:color w:val="343434"/>
          <w:sz w:val="20"/>
        </w:rPr>
        <w:t xml:space="preserve">IN WITNESS WHEREOF, the parties hereto have caused this Amendment to </w:t>
      </w:r>
      <w:r>
        <w:rPr>
          <w:rFonts w:ascii="Times New Roman;Times;serif" w:hAnsi="Times New Roman;Times;serif"/>
          <w:color w:val="1F1F1F"/>
          <w:sz w:val="20"/>
        </w:rPr>
        <w:t xml:space="preserve">be </w:t>
      </w:r>
      <w:r>
        <w:rPr>
          <w:rFonts w:ascii="Times New Roman;Times;serif" w:hAnsi="Times New Roman;Times;serif"/>
          <w:color w:val="343434"/>
          <w:sz w:val="20"/>
        </w:rPr>
        <w:t>duly executed as of the date first above written.</w:t>
      </w:r>
    </w:p>
    <w:p>
      <w:pPr>
        <w:pStyle w:val="TextBody"/>
        <w:bidi w:val="0"/>
        <w:spacing w:before="0" w:after="0"/>
        <w:ind w:left="0" w:right="0" w:hanging="0"/>
        <w:jc w:val="left"/>
        <w:rPr/>
      </w:pPr>
      <w:r>
        <w:rPr/>
        <w:t>​</w:t>
      </w:r>
    </w:p>
    <w:tbl>
      <w:tblPr>
        <w:tblW w:w="5628" w:type="dxa"/>
        <w:jc w:val="left"/>
        <w:tblInd w:w="0" w:type="dxa"/>
        <w:tblLayout w:type="fixed"/>
        <w:tblCellMar>
          <w:top w:w="0" w:type="dxa"/>
          <w:left w:w="0" w:type="dxa"/>
          <w:bottom w:w="0" w:type="dxa"/>
          <w:right w:w="0" w:type="dxa"/>
        </w:tblCellMar>
      </w:tblPr>
      <w:tblGrid>
        <w:gridCol w:w="1291"/>
        <w:gridCol w:w="631"/>
        <w:gridCol w:w="3706"/>
      </w:tblGrid>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BORROWER:</w:t>
            </w:r>
          </w:p>
        </w:tc>
        <w:tc>
          <w:tcPr>
            <w:tcW w:w="433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EL POLLO </w:t>
            </w:r>
            <w:r>
              <w:rPr>
                <w:rFonts w:ascii="Times New Roman;Times;serif" w:hAnsi="Times New Roman;Times;serif"/>
                <w:color w:val="1F1F1F"/>
                <w:sz w:val="20"/>
              </w:rPr>
              <w:t xml:space="preserve">LOCO, </w:t>
            </w:r>
            <w:r>
              <w:rPr>
                <w:rFonts w:ascii="Times New Roman;Times;serif" w:hAnsi="Times New Roman;Times;serif"/>
                <w:sz w:val="20"/>
              </w:rPr>
              <w:t>INC.,</w:t>
            </w:r>
          </w:p>
        </w:tc>
      </w:tr>
      <w:tr>
        <w:trPr/>
        <w:tc>
          <w:tcPr>
            <w:tcW w:w="1291" w:type="dxa"/>
            <w:tcBorders/>
            <w:vAlign w:val="center"/>
          </w:tcPr>
          <w:p>
            <w:pPr>
              <w:pStyle w:val="TableContents"/>
              <w:bidi w:val="0"/>
              <w:spacing w:before="0" w:after="0"/>
              <w:ind w:left="0" w:right="0" w:hanging="0"/>
              <w:jc w:val="left"/>
              <w:rPr/>
            </w:pPr>
            <w:r>
              <w:rPr/>
              <w:t>​</w:t>
            </w:r>
          </w:p>
        </w:tc>
        <w:tc>
          <w:tcPr>
            <w:tcW w:w="433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Delaware corporation</w:t>
            </w:r>
          </w:p>
        </w:tc>
      </w:tr>
      <w:tr>
        <w:trPr/>
        <w:tc>
          <w:tcPr>
            <w:tcW w:w="1291" w:type="dxa"/>
            <w:tcBorders/>
            <w:vAlign w:val="center"/>
          </w:tcPr>
          <w:p>
            <w:pPr>
              <w:pStyle w:val="TableContents"/>
              <w:bidi w:val="0"/>
              <w:spacing w:before="0" w:after="0"/>
              <w:ind w:left="0" w:right="0" w:hanging="0"/>
              <w:jc w:val="left"/>
              <w:rPr/>
            </w:pPr>
            <w:r>
              <w:rPr/>
              <w:t>​</w:t>
            </w:r>
          </w:p>
        </w:tc>
        <w:tc>
          <w:tcPr>
            <w:tcW w:w="4337" w:type="dxa"/>
            <w:gridSpan w:val="2"/>
            <w:tcBorders/>
            <w:vAlign w:val="center"/>
          </w:tcPr>
          <w:p>
            <w:pPr>
              <w:pStyle w:val="TableContents"/>
              <w:bidi w:val="0"/>
              <w:spacing w:before="0" w:after="0"/>
              <w:ind w:left="0" w:right="0" w:hanging="0"/>
              <w:jc w:val="left"/>
              <w:rPr/>
            </w:pPr>
            <w:r>
              <w:rPr/>
              <w:t>​</w:t>
            </w:r>
          </w:p>
        </w:tc>
      </w:tr>
      <w:tr>
        <w:trPr/>
        <w:tc>
          <w:tcPr>
            <w:tcW w:w="129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Jason Weintraub</w:t>
            </w:r>
          </w:p>
        </w:tc>
      </w:tr>
      <w:tr>
        <w:trPr/>
        <w:tc>
          <w:tcPr>
            <w:tcW w:w="129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7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Jason Weintraub</w:t>
            </w:r>
          </w:p>
        </w:tc>
      </w:tr>
      <w:tr>
        <w:trPr/>
        <w:tc>
          <w:tcPr>
            <w:tcW w:w="129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Legal </w:t>
            </w:r>
            <w:r>
              <w:rPr>
                <w:rFonts w:ascii="Times New Roman;Times;serif" w:hAnsi="Times New Roman;Times;serif"/>
                <w:color w:val="1F1F1F"/>
                <w:sz w:val="20"/>
              </w:rPr>
              <w:t xml:space="preserve">Officer </w:t>
            </w:r>
            <w:r>
              <w:rPr>
                <w:rFonts w:ascii="Times New Roman;Times;serif" w:hAnsi="Times New Roman;Times;serif"/>
                <w:sz w:val="20"/>
              </w:rPr>
              <w:t>and Corporate Secretary</w:t>
            </w:r>
          </w:p>
        </w:tc>
      </w:tr>
    </w:tbl>
    <w:p>
      <w:pPr>
        <w:pStyle w:val="TextBody"/>
        <w:bidi w:val="0"/>
        <w:spacing w:before="0" w:after="8"/>
        <w:ind w:left="0" w:right="0" w:hanging="0"/>
        <w:jc w:val="left"/>
        <w:rPr/>
      </w:pPr>
      <w:r>
        <w:rPr/>
        <w:t>​</w:t>
      </w:r>
    </w:p>
    <w:tbl>
      <w:tblPr>
        <w:tblW w:w="5823" w:type="dxa"/>
        <w:jc w:val="left"/>
        <w:tblInd w:w="0" w:type="dxa"/>
        <w:tblLayout w:type="fixed"/>
        <w:tblCellMar>
          <w:top w:w="0" w:type="dxa"/>
          <w:left w:w="0" w:type="dxa"/>
          <w:bottom w:w="0" w:type="dxa"/>
          <w:right w:w="0" w:type="dxa"/>
        </w:tblCellMar>
      </w:tblPr>
      <w:tblGrid>
        <w:gridCol w:w="1486"/>
        <w:gridCol w:w="631"/>
        <w:gridCol w:w="3706"/>
      </w:tblGrid>
      <w:tr>
        <w:trPr/>
        <w:tc>
          <w:tcPr>
            <w:tcW w:w="1486" w:type="dxa"/>
            <w:tcBorders/>
            <w:vAlign w:val="center"/>
          </w:tcPr>
          <w:p>
            <w:pPr>
              <w:pStyle w:val="TableContents"/>
              <w:bidi w:val="0"/>
              <w:spacing w:before="0" w:after="0"/>
              <w:ind w:left="0" w:right="0" w:hanging="0"/>
              <w:jc w:val="left"/>
              <w:rPr>
                <w:rFonts w:ascii="Times New Roman;Times;serif" w:hAnsi="Times New Roman;Times;serif"/>
                <w:color w:val="343434"/>
                <w:sz w:val="20"/>
              </w:rPr>
            </w:pPr>
            <w:r>
              <w:rPr>
                <w:rFonts w:ascii="Times New Roman;Times;serif" w:hAnsi="Times New Roman;Times;serif"/>
                <w:color w:val="343434"/>
                <w:sz w:val="20"/>
              </w:rPr>
              <w:t>GUARANTORS:</w:t>
            </w:r>
          </w:p>
        </w:tc>
        <w:tc>
          <w:tcPr>
            <w:tcW w:w="4337" w:type="dxa"/>
            <w:gridSpan w:val="2"/>
            <w:tcBorders/>
            <w:vAlign w:val="center"/>
          </w:tcPr>
          <w:p>
            <w:pPr>
              <w:pStyle w:val="TableContents"/>
              <w:bidi w:val="0"/>
              <w:spacing w:before="0" w:after="0"/>
              <w:ind w:left="0" w:right="0" w:hanging="0"/>
              <w:jc w:val="left"/>
              <w:rPr>
                <w:rFonts w:ascii="Times New Roman;Times;serif" w:hAnsi="Times New Roman;Times;serif"/>
                <w:color w:val="343434"/>
                <w:sz w:val="20"/>
              </w:rPr>
            </w:pPr>
            <w:r>
              <w:rPr>
                <w:rFonts w:ascii="Times New Roman;Times;serif" w:hAnsi="Times New Roman;Times;serif"/>
                <w:color w:val="343434"/>
                <w:sz w:val="20"/>
              </w:rPr>
              <w:t>EL POLLO LOCO HOLDINGS, INC.,</w:t>
            </w:r>
          </w:p>
        </w:tc>
      </w:tr>
      <w:tr>
        <w:trPr/>
        <w:tc>
          <w:tcPr>
            <w:tcW w:w="1486" w:type="dxa"/>
            <w:tcBorders/>
            <w:vAlign w:val="center"/>
          </w:tcPr>
          <w:p>
            <w:pPr>
              <w:pStyle w:val="TableContents"/>
              <w:bidi w:val="0"/>
              <w:spacing w:before="0" w:after="0"/>
              <w:ind w:left="0" w:right="0" w:hanging="0"/>
              <w:jc w:val="left"/>
              <w:rPr/>
            </w:pPr>
            <w:r>
              <w:rPr/>
              <w:t>​</w:t>
            </w:r>
          </w:p>
        </w:tc>
        <w:tc>
          <w:tcPr>
            <w:tcW w:w="433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Delaware corporation</w:t>
            </w:r>
          </w:p>
        </w:tc>
      </w:tr>
      <w:tr>
        <w:trPr/>
        <w:tc>
          <w:tcPr>
            <w:tcW w:w="1486" w:type="dxa"/>
            <w:tcBorders/>
            <w:vAlign w:val="center"/>
          </w:tcPr>
          <w:p>
            <w:pPr>
              <w:pStyle w:val="TableContents"/>
              <w:bidi w:val="0"/>
              <w:spacing w:before="0" w:after="0"/>
              <w:ind w:left="0" w:right="0" w:hanging="0"/>
              <w:jc w:val="left"/>
              <w:rPr/>
            </w:pPr>
            <w:r>
              <w:rPr/>
              <w:t>​</w:t>
            </w:r>
          </w:p>
        </w:tc>
        <w:tc>
          <w:tcPr>
            <w:tcW w:w="4337" w:type="dxa"/>
            <w:gridSpan w:val="2"/>
            <w:tcBorders/>
            <w:vAlign w:val="center"/>
          </w:tcPr>
          <w:p>
            <w:pPr>
              <w:pStyle w:val="TableContents"/>
              <w:bidi w:val="0"/>
              <w:spacing w:before="0" w:after="0"/>
              <w:ind w:left="0" w:right="0" w:hanging="0"/>
              <w:jc w:val="left"/>
              <w:rPr/>
            </w:pPr>
            <w:r>
              <w:rPr/>
              <w:t>​</w:t>
            </w:r>
          </w:p>
        </w:tc>
      </w:tr>
      <w:tr>
        <w:trPr/>
        <w:tc>
          <w:tcPr>
            <w:tcW w:w="14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Jason Weintraub</w:t>
            </w:r>
          </w:p>
        </w:tc>
      </w:tr>
      <w:tr>
        <w:trPr/>
        <w:tc>
          <w:tcPr>
            <w:tcW w:w="14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7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Jason Weintraub</w:t>
            </w:r>
          </w:p>
        </w:tc>
      </w:tr>
      <w:tr>
        <w:trPr/>
        <w:tc>
          <w:tcPr>
            <w:tcW w:w="14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Legal </w:t>
            </w:r>
            <w:r>
              <w:rPr>
                <w:rFonts w:ascii="Times New Roman;Times;serif" w:hAnsi="Times New Roman;Times;serif"/>
                <w:color w:val="1F1F1F"/>
                <w:sz w:val="20"/>
              </w:rPr>
              <w:t xml:space="preserve">Officer </w:t>
            </w:r>
            <w:r>
              <w:rPr>
                <w:rFonts w:ascii="Times New Roman;Times;serif" w:hAnsi="Times New Roman;Times;serif"/>
                <w:sz w:val="20"/>
              </w:rPr>
              <w:t>and Corporate Secretary</w:t>
            </w:r>
          </w:p>
        </w:tc>
      </w:tr>
    </w:tbl>
    <w:p>
      <w:pPr>
        <w:pStyle w:val="TextBody"/>
        <w:bidi w:val="0"/>
        <w:spacing w:before="0" w:after="8"/>
        <w:ind w:left="0" w:right="0" w:hanging="0"/>
        <w:jc w:val="left"/>
        <w:rPr/>
      </w:pPr>
      <w:r>
        <w:rPr/>
        <w:t>​</w:t>
      </w:r>
    </w:p>
    <w:tbl>
      <w:tblPr>
        <w:tblW w:w="4461" w:type="dxa"/>
        <w:jc w:val="left"/>
        <w:tblInd w:w="0" w:type="dxa"/>
        <w:tblLayout w:type="fixed"/>
        <w:tblCellMar>
          <w:top w:w="0" w:type="dxa"/>
          <w:left w:w="0" w:type="dxa"/>
          <w:bottom w:w="0" w:type="dxa"/>
          <w:right w:w="0" w:type="dxa"/>
        </w:tblCellMar>
      </w:tblPr>
      <w:tblGrid>
        <w:gridCol w:w="124"/>
        <w:gridCol w:w="631"/>
        <w:gridCol w:w="370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78740" cy="175260"/>
                      <wp:effectExtent l="0" t="0" r="0" b="0"/>
                      <wp:wrapNone/>
                      <wp:docPr id="404" name="Frame40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400685" cy="175260"/>
                      <wp:effectExtent l="0" t="0" r="0" b="0"/>
                      <wp:wrapNone/>
                      <wp:docPr id="405" name="Frame40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353310" cy="175260"/>
                      <wp:effectExtent l="0" t="0" r="0" b="0"/>
                      <wp:wrapNone/>
                      <wp:docPr id="406" name="Frame406"/>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433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color w:val="343434"/>
                <w:sz w:val="20"/>
              </w:rPr>
              <w:t>EPL</w:t>
            </w:r>
            <w:r>
              <w:rPr>
                <w:rFonts w:ascii="Times New Roman;Times;serif" w:hAnsi="Times New Roman;Times;serif"/>
                <w:color w:val="343434"/>
                <w:spacing w:val="-9"/>
                <w:sz w:val="20"/>
              </w:rPr>
              <w:t xml:space="preserve"> </w:t>
            </w:r>
            <w:r>
              <w:rPr>
                <w:rFonts w:ascii="Times New Roman;Times;serif" w:hAnsi="Times New Roman;Times;serif"/>
                <w:color w:val="343434"/>
                <w:sz w:val="20"/>
              </w:rPr>
              <w:t>INTERMEDIATE</w:t>
            </w:r>
            <w:r>
              <w:rPr>
                <w:rFonts w:ascii="Times New Roman;Times;serif" w:hAnsi="Times New Roman;Times;serif"/>
                <w:i/>
                <w:color w:val="343434"/>
                <w:sz w:val="20"/>
              </w:rPr>
              <w:t>,</w:t>
            </w:r>
            <w:r>
              <w:rPr>
                <w:rFonts w:ascii="Times New Roman;Times;serif" w:hAnsi="Times New Roman;Times;serif"/>
                <w:color w:val="343434"/>
                <w:spacing w:val="9"/>
                <w:sz w:val="20"/>
              </w:rPr>
              <w:t xml:space="preserve"> </w:t>
            </w:r>
            <w:r>
              <w:rPr>
                <w:rFonts w:ascii="Times New Roman;Times;serif" w:hAnsi="Times New Roman;Times;serif"/>
                <w:color w:val="343434"/>
                <w:spacing w:val="-2"/>
                <w:sz w:val="20"/>
              </w:rPr>
              <w:t>INC</w:t>
            </w:r>
            <w:r>
              <w:rPr>
                <w:rFonts w:ascii="Times New Roman;Times;serif" w:hAnsi="Times New Roman;Times;serif"/>
                <w:color w:val="080808"/>
                <w:spacing w:val="-2"/>
                <w:sz w:val="20"/>
              </w:rPr>
              <w:t>.</w:t>
            </w:r>
            <w:r>
              <w:rPr>
                <w:rFonts w:ascii="Times New Roman;Times;serif" w:hAnsi="Times New Roman;Times;serif"/>
                <w:color w:val="545454"/>
                <w:spacing w:val="-2"/>
                <w:sz w:val="20"/>
              </w:rPr>
              <w:t>,</w:t>
            </w:r>
          </w:p>
        </w:tc>
      </w:tr>
      <w:tr>
        <w:trPr/>
        <w:tc>
          <w:tcPr>
            <w:tcW w:w="124" w:type="dxa"/>
            <w:tcBorders/>
            <w:vAlign w:val="center"/>
          </w:tcPr>
          <w:p>
            <w:pPr>
              <w:pStyle w:val="TableContents"/>
              <w:bidi w:val="0"/>
              <w:spacing w:before="0" w:after="0"/>
              <w:ind w:left="0" w:right="0" w:hanging="0"/>
              <w:jc w:val="left"/>
              <w:rPr/>
            </w:pPr>
            <w:r>
              <w:rPr/>
              <w:t>​</w:t>
            </w:r>
          </w:p>
        </w:tc>
        <w:tc>
          <w:tcPr>
            <w:tcW w:w="433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Delaware corporation</w:t>
            </w:r>
          </w:p>
        </w:tc>
      </w:tr>
      <w:tr>
        <w:trPr/>
        <w:tc>
          <w:tcPr>
            <w:tcW w:w="124" w:type="dxa"/>
            <w:tcBorders/>
            <w:vAlign w:val="center"/>
          </w:tcPr>
          <w:p>
            <w:pPr>
              <w:pStyle w:val="TableContents"/>
              <w:bidi w:val="0"/>
              <w:spacing w:before="0" w:after="0"/>
              <w:ind w:left="0" w:right="0" w:hanging="0"/>
              <w:jc w:val="left"/>
              <w:rPr/>
            </w:pPr>
            <w:r>
              <w:rPr/>
              <w:t>​</w:t>
            </w:r>
          </w:p>
        </w:tc>
        <w:tc>
          <w:tcPr>
            <w:tcW w:w="433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Jason Weintraub</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7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Jason Weintraub</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Legal </w:t>
            </w:r>
            <w:r>
              <w:rPr>
                <w:rFonts w:ascii="Times New Roman;Times;serif" w:hAnsi="Times New Roman;Times;serif"/>
                <w:color w:val="1F1F1F"/>
                <w:sz w:val="20"/>
              </w:rPr>
              <w:t xml:space="preserve">Officer </w:t>
            </w:r>
            <w:r>
              <w:rPr>
                <w:rFonts w:ascii="Times New Roman;Times;serif" w:hAnsi="Times New Roman;Times;serif"/>
                <w:sz w:val="20"/>
              </w:rPr>
              <w:t>and Corporate Secretary</w:t>
            </w:r>
          </w:p>
        </w:tc>
      </w:tr>
    </w:tbl>
    <w:p>
      <w:pPr>
        <w:pStyle w:val="TextBody"/>
        <w:bidi w:val="0"/>
        <w:spacing w:before="0" w:after="0"/>
        <w:ind w:left="0" w:right="0" w:hanging="0"/>
        <w:jc w:val="left"/>
        <w:rPr/>
      </w:pPr>
      <w:r>
        <w:rPr/>
        <w:t>​</w:t>
      </w:r>
    </w:p>
    <w:p>
      <w:pPr>
        <w:pStyle w:val="TextBody"/>
        <w:bidi w:val="0"/>
        <w:spacing w:before="0" w:after="8"/>
        <w:ind w:left="0" w:right="0" w:hanging="0"/>
        <w:jc w:val="left"/>
        <w:rPr/>
      </w:pPr>
      <w:r>
        <w:rPr/>
        <w:t>​</w:t>
      </w:r>
    </w:p>
    <w:tbl>
      <w:tblPr>
        <w:tblW w:w="4461" w:type="dxa"/>
        <w:jc w:val="left"/>
        <w:tblInd w:w="0" w:type="dxa"/>
        <w:tblLayout w:type="fixed"/>
        <w:tblCellMar>
          <w:top w:w="0" w:type="dxa"/>
          <w:left w:w="0" w:type="dxa"/>
          <w:bottom w:w="0" w:type="dxa"/>
          <w:right w:w="0" w:type="dxa"/>
        </w:tblCellMar>
      </w:tblPr>
      <w:tblGrid>
        <w:gridCol w:w="124"/>
        <w:gridCol w:w="631"/>
        <w:gridCol w:w="370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78740" cy="146685"/>
                      <wp:effectExtent l="0" t="0" r="0" b="0"/>
                      <wp:wrapNone/>
                      <wp:docPr id="407" name="Frame407"/>
                      <a:graphic xmlns:a="http://schemas.openxmlformats.org/drawingml/2006/main">
                        <a:graphicData uri="http://schemas.microsoft.com/office/word/2010/wordprocessingShape">
                          <wps:wsp>
                            <wps:cNvSpPr txBox="1"/>
                            <wps:spPr>
                              <a:xfrm>
                                <a:off x="0" y="0"/>
                                <a:ext cx="78740" cy="14668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400685" cy="175260"/>
                      <wp:effectExtent l="0" t="0" r="0" b="0"/>
                      <wp:wrapNone/>
                      <wp:docPr id="408" name="Frame408"/>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353310" cy="175260"/>
                      <wp:effectExtent l="0" t="0" r="0" b="0"/>
                      <wp:wrapNone/>
                      <wp:docPr id="409" name="Frame409"/>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4337" w:type="dxa"/>
            <w:gridSpan w:val="2"/>
            <w:tcBorders/>
            <w:vAlign w:val="center"/>
          </w:tcPr>
          <w:p>
            <w:pPr>
              <w:pStyle w:val="TableContents"/>
              <w:bidi w:val="0"/>
              <w:spacing w:before="0" w:after="0"/>
              <w:ind w:left="0" w:right="0" w:hanging="0"/>
              <w:jc w:val="left"/>
              <w:rPr>
                <w:rFonts w:ascii="Times New Roman;Times;serif" w:hAnsi="Times New Roman;Times;serif"/>
                <w:color w:val="343434"/>
                <w:sz w:val="20"/>
              </w:rPr>
            </w:pPr>
            <w:r>
              <w:rPr>
                <w:rFonts w:ascii="Times New Roman;Times;serif" w:hAnsi="Times New Roman;Times;serif"/>
                <w:color w:val="343434"/>
                <w:sz w:val="20"/>
              </w:rPr>
              <w:t>LOCO MARKETING, INC.,</w:t>
            </w:r>
          </w:p>
        </w:tc>
      </w:tr>
      <w:tr>
        <w:trPr/>
        <w:tc>
          <w:tcPr>
            <w:tcW w:w="124" w:type="dxa"/>
            <w:tcBorders/>
            <w:vAlign w:val="center"/>
          </w:tcPr>
          <w:p>
            <w:pPr>
              <w:pStyle w:val="TableContents"/>
              <w:bidi w:val="0"/>
              <w:spacing w:before="0" w:after="0"/>
              <w:ind w:left="0" w:right="0" w:hanging="0"/>
              <w:jc w:val="left"/>
              <w:rPr/>
            </w:pPr>
            <w:r>
              <w:rPr/>
              <w:t>​</w:t>
            </w:r>
          </w:p>
        </w:tc>
        <w:tc>
          <w:tcPr>
            <w:tcW w:w="433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Kentucky corporation</w:t>
            </w:r>
          </w:p>
        </w:tc>
      </w:tr>
      <w:tr>
        <w:trPr/>
        <w:tc>
          <w:tcPr>
            <w:tcW w:w="124" w:type="dxa"/>
            <w:tcBorders/>
            <w:vAlign w:val="center"/>
          </w:tcPr>
          <w:p>
            <w:pPr>
              <w:pStyle w:val="TableContents"/>
              <w:bidi w:val="0"/>
              <w:spacing w:before="0" w:after="0"/>
              <w:ind w:left="0" w:right="0" w:hanging="0"/>
              <w:jc w:val="left"/>
              <w:rPr/>
            </w:pPr>
            <w:r>
              <w:rPr/>
              <w:t>​</w:t>
            </w:r>
          </w:p>
        </w:tc>
        <w:tc>
          <w:tcPr>
            <w:tcW w:w="433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Jason Weintraub</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7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Jason Weintraub</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Legal </w:t>
            </w:r>
            <w:r>
              <w:rPr>
                <w:rFonts w:ascii="Times New Roman;Times;serif" w:hAnsi="Times New Roman;Times;serif"/>
                <w:color w:val="1F1F1F"/>
                <w:sz w:val="20"/>
              </w:rPr>
              <w:t xml:space="preserve">Officer </w:t>
            </w:r>
            <w:r>
              <w:rPr>
                <w:rFonts w:ascii="Times New Roman;Times;serif" w:hAnsi="Times New Roman;Times;serif"/>
                <w:sz w:val="20"/>
              </w:rPr>
              <w:t>and Corporate Secretary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16"/>
        </w:rPr>
      </w:pPr>
      <w:r>
        <w:rPr>
          <w:rFonts w:ascii="Times New Roman;Times;serif" w:hAnsi="Times New Roman;Times;serif"/>
          <w:sz w:val="16"/>
        </w:rPr>
        <w:t>EL POLLO LOCO, INC.</w:t>
      </w:r>
    </w:p>
    <w:p>
      <w:pPr>
        <w:pStyle w:val="TextBody"/>
        <w:bidi w:val="0"/>
        <w:spacing w:before="0" w:after="0"/>
        <w:ind w:left="0" w:right="0" w:hanging="0"/>
        <w:jc w:val="right"/>
        <w:rPr>
          <w:rFonts w:ascii="Times New Roman;Times;serif" w:hAnsi="Times New Roman;Times;serif"/>
          <w:sz w:val="16"/>
        </w:rPr>
      </w:pPr>
      <w:r>
        <w:rPr>
          <w:rFonts w:ascii="Times New Roman;Times;serif" w:hAnsi="Times New Roman;Times;serif"/>
          <w:sz w:val="16"/>
        </w:rPr>
        <w:t>SECOND AMENDMENT TO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921" w:type="dxa"/>
        <w:jc w:val="left"/>
        <w:tblInd w:w="0" w:type="dxa"/>
        <w:tblLayout w:type="fixed"/>
        <w:tblCellMar>
          <w:top w:w="0" w:type="dxa"/>
          <w:left w:w="0" w:type="dxa"/>
          <w:bottom w:w="0" w:type="dxa"/>
          <w:right w:w="0" w:type="dxa"/>
        </w:tblCellMar>
      </w:tblPr>
      <w:tblGrid>
        <w:gridCol w:w="2506"/>
        <w:gridCol w:w="763"/>
        <w:gridCol w:w="1652"/>
      </w:tblGrid>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ADMINISTRATIVE AGENT:</w:t>
            </w:r>
          </w:p>
        </w:tc>
        <w:tc>
          <w:tcPr>
            <w:tcW w:w="24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OF AMERICA, N.A.,</w:t>
            </w:r>
          </w:p>
        </w:tc>
      </w:tr>
      <w:tr>
        <w:trPr/>
        <w:tc>
          <w:tcPr>
            <w:tcW w:w="2506" w:type="dxa"/>
            <w:tcBorders/>
            <w:vAlign w:val="center"/>
          </w:tcPr>
          <w:p>
            <w:pPr>
              <w:pStyle w:val="TableContents"/>
              <w:bidi w:val="0"/>
              <w:spacing w:before="0" w:after="0"/>
              <w:ind w:left="0" w:right="0" w:hanging="0"/>
              <w:jc w:val="left"/>
              <w:rPr/>
            </w:pPr>
            <w:r>
              <w:rPr/>
              <w:t>​</w:t>
            </w:r>
          </w:p>
        </w:tc>
        <w:tc>
          <w:tcPr>
            <w:tcW w:w="24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Administrative Agent</w:t>
            </w:r>
          </w:p>
        </w:tc>
      </w:tr>
      <w:tr>
        <w:trPr/>
        <w:tc>
          <w:tcPr>
            <w:tcW w:w="2506" w:type="dxa"/>
            <w:tcBorders/>
            <w:vAlign w:val="center"/>
          </w:tcPr>
          <w:p>
            <w:pPr>
              <w:pStyle w:val="TableContents"/>
              <w:bidi w:val="0"/>
              <w:spacing w:before="0" w:after="0"/>
              <w:ind w:left="0" w:right="0" w:hanging="0"/>
              <w:jc w:val="left"/>
              <w:rPr/>
            </w:pPr>
            <w:r>
              <w:rPr/>
              <w:t>​</w:t>
            </w:r>
          </w:p>
        </w:tc>
        <w:tc>
          <w:tcPr>
            <w:tcW w:w="2415" w:type="dxa"/>
            <w:gridSpan w:val="2"/>
            <w:tcBorders/>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pPr>
            <w:r>
              <w:rPr/>
              <w:t>​</w:t>
            </w:r>
          </w:p>
        </w:tc>
        <w:tc>
          <w:tcPr>
            <w:tcW w:w="7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65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Erik Truette</w:t>
            </w:r>
          </w:p>
        </w:tc>
      </w:tr>
      <w:tr>
        <w:trPr/>
        <w:tc>
          <w:tcPr>
            <w:tcW w:w="2506" w:type="dxa"/>
            <w:tcBorders/>
            <w:vAlign w:val="center"/>
          </w:tcPr>
          <w:p>
            <w:pPr>
              <w:pStyle w:val="TableContents"/>
              <w:bidi w:val="0"/>
              <w:spacing w:before="0" w:after="0"/>
              <w:ind w:left="0" w:right="0" w:hanging="0"/>
              <w:jc w:val="left"/>
              <w:rPr/>
            </w:pPr>
            <w:r>
              <w:rPr/>
              <w:t>​</w:t>
            </w:r>
          </w:p>
        </w:tc>
        <w:tc>
          <w:tcPr>
            <w:tcW w:w="7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65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Erik Truette</w:t>
            </w:r>
          </w:p>
        </w:tc>
      </w:tr>
      <w:tr>
        <w:trPr/>
        <w:tc>
          <w:tcPr>
            <w:tcW w:w="2506" w:type="dxa"/>
            <w:tcBorders/>
            <w:vAlign w:val="center"/>
          </w:tcPr>
          <w:p>
            <w:pPr>
              <w:pStyle w:val="TableContents"/>
              <w:bidi w:val="0"/>
              <w:spacing w:before="0" w:after="0"/>
              <w:ind w:left="0" w:right="0" w:hanging="0"/>
              <w:jc w:val="left"/>
              <w:rPr/>
            </w:pPr>
            <w:r>
              <w:rPr/>
              <w:t>​</w:t>
            </w:r>
          </w:p>
        </w:tc>
        <w:tc>
          <w:tcPr>
            <w:tcW w:w="7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6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16"/>
        </w:rPr>
      </w:pPr>
      <w:r>
        <w:rPr>
          <w:rFonts w:ascii="Times New Roman;Times;serif" w:hAnsi="Times New Roman;Times;serif"/>
          <w:sz w:val="16"/>
        </w:rPr>
        <w:t>EL POLLO LOCO, INC.</w:t>
      </w:r>
    </w:p>
    <w:p>
      <w:pPr>
        <w:pStyle w:val="TextBody"/>
        <w:bidi w:val="0"/>
        <w:spacing w:before="0" w:after="0"/>
        <w:ind w:left="0" w:right="0" w:hanging="0"/>
        <w:jc w:val="right"/>
        <w:rPr>
          <w:rFonts w:ascii="Times New Roman;Times;serif" w:hAnsi="Times New Roman;Times;serif"/>
          <w:sz w:val="16"/>
        </w:rPr>
      </w:pPr>
      <w:r>
        <w:rPr>
          <w:rFonts w:ascii="Times New Roman;Times;serif" w:hAnsi="Times New Roman;Times;serif"/>
          <w:sz w:val="16"/>
        </w:rPr>
        <w:t>SECOND AMENDMENT TO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461" w:type="dxa"/>
        <w:jc w:val="left"/>
        <w:tblInd w:w="0" w:type="dxa"/>
        <w:tblLayout w:type="fixed"/>
        <w:tblCellMar>
          <w:top w:w="0" w:type="dxa"/>
          <w:left w:w="0" w:type="dxa"/>
          <w:bottom w:w="0" w:type="dxa"/>
          <w:right w:w="0" w:type="dxa"/>
        </w:tblCellMar>
      </w:tblPr>
      <w:tblGrid>
        <w:gridCol w:w="1051"/>
        <w:gridCol w:w="1103"/>
        <w:gridCol w:w="3307"/>
      </w:tblGrid>
      <w:tr>
        <w:trPr/>
        <w:tc>
          <w:tcPr>
            <w:tcW w:w="1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LENDERS:</w:t>
            </w:r>
          </w:p>
        </w:tc>
        <w:tc>
          <w:tcPr>
            <w:tcW w:w="44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OF AMERICA, N.A.,</w:t>
            </w:r>
          </w:p>
        </w:tc>
      </w:tr>
      <w:tr>
        <w:trPr/>
        <w:tc>
          <w:tcPr>
            <w:tcW w:w="1051" w:type="dxa"/>
            <w:tcBorders/>
            <w:vAlign w:val="center"/>
          </w:tcPr>
          <w:p>
            <w:pPr>
              <w:pStyle w:val="TableContents"/>
              <w:bidi w:val="0"/>
              <w:spacing w:before="0" w:after="0"/>
              <w:ind w:left="0" w:right="0" w:hanging="0"/>
              <w:jc w:val="left"/>
              <w:rPr/>
            </w:pPr>
            <w:r>
              <w:rPr/>
              <w:t>​</w:t>
            </w:r>
          </w:p>
        </w:tc>
        <w:tc>
          <w:tcPr>
            <w:tcW w:w="44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 Lender, the L/C Issuer and the Swingline Lender</w:t>
            </w:r>
          </w:p>
        </w:tc>
      </w:tr>
      <w:tr>
        <w:trPr/>
        <w:tc>
          <w:tcPr>
            <w:tcW w:w="1051" w:type="dxa"/>
            <w:tcBorders/>
            <w:vAlign w:val="center"/>
          </w:tcPr>
          <w:p>
            <w:pPr>
              <w:pStyle w:val="TableContents"/>
              <w:bidi w:val="0"/>
              <w:spacing w:before="0" w:after="0"/>
              <w:ind w:left="0" w:right="0" w:hanging="0"/>
              <w:jc w:val="left"/>
              <w:rPr/>
            </w:pPr>
            <w:r>
              <w:rPr/>
              <w:t>​</w:t>
            </w:r>
          </w:p>
        </w:tc>
        <w:tc>
          <w:tcPr>
            <w:tcW w:w="4410" w:type="dxa"/>
            <w:gridSpan w:val="2"/>
            <w:tcBorders/>
            <w:vAlign w:val="center"/>
          </w:tcPr>
          <w:p>
            <w:pPr>
              <w:pStyle w:val="TableContents"/>
              <w:bidi w:val="0"/>
              <w:spacing w:before="0" w:after="0"/>
              <w:ind w:left="0" w:right="0" w:hanging="0"/>
              <w:jc w:val="left"/>
              <w:rPr/>
            </w:pPr>
            <w:r>
              <w:rPr/>
              <w:t>​</w:t>
            </w:r>
          </w:p>
        </w:tc>
      </w:tr>
      <w:tr>
        <w:trPr/>
        <w:tc>
          <w:tcPr>
            <w:tcW w:w="1051" w:type="dxa"/>
            <w:tcBorders/>
            <w:vAlign w:val="center"/>
          </w:tcPr>
          <w:p>
            <w:pPr>
              <w:pStyle w:val="TableContents"/>
              <w:bidi w:val="0"/>
              <w:spacing w:before="0" w:after="0"/>
              <w:ind w:left="0" w:right="0" w:hanging="0"/>
              <w:jc w:val="left"/>
              <w:rPr/>
            </w:pPr>
            <w:r>
              <w:rPr/>
              <w:t>​</w:t>
            </w:r>
          </w:p>
        </w:tc>
        <w:tc>
          <w:tcPr>
            <w:tcW w:w="11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30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Rhonda Baughn</w:t>
            </w:r>
          </w:p>
        </w:tc>
      </w:tr>
      <w:tr>
        <w:trPr/>
        <w:tc>
          <w:tcPr>
            <w:tcW w:w="1051" w:type="dxa"/>
            <w:tcBorders/>
            <w:vAlign w:val="center"/>
          </w:tcPr>
          <w:p>
            <w:pPr>
              <w:pStyle w:val="TableContents"/>
              <w:bidi w:val="0"/>
              <w:spacing w:before="0" w:after="0"/>
              <w:ind w:left="0" w:right="0" w:hanging="0"/>
              <w:jc w:val="left"/>
              <w:rPr/>
            </w:pPr>
            <w:r>
              <w:rPr/>
              <w:t>​</w:t>
            </w:r>
          </w:p>
        </w:tc>
        <w:tc>
          <w:tcPr>
            <w:tcW w:w="11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30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Rhonda Baughn</w:t>
            </w:r>
          </w:p>
        </w:tc>
      </w:tr>
      <w:tr>
        <w:trPr/>
        <w:tc>
          <w:tcPr>
            <w:tcW w:w="1051" w:type="dxa"/>
            <w:tcBorders/>
            <w:vAlign w:val="center"/>
          </w:tcPr>
          <w:p>
            <w:pPr>
              <w:pStyle w:val="TableContents"/>
              <w:bidi w:val="0"/>
              <w:spacing w:before="0" w:after="0"/>
              <w:ind w:left="0" w:right="0" w:hanging="0"/>
              <w:jc w:val="left"/>
              <w:rPr/>
            </w:pPr>
            <w:r>
              <w:rPr/>
              <w:t>​</w:t>
            </w:r>
          </w:p>
        </w:tc>
        <w:tc>
          <w:tcPr>
            <w:tcW w:w="11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16"/>
        </w:rPr>
      </w:pPr>
      <w:r>
        <w:rPr>
          <w:rFonts w:ascii="Times New Roman;Times;serif" w:hAnsi="Times New Roman;Times;serif"/>
          <w:sz w:val="16"/>
        </w:rPr>
        <w:t>EL POLLO LOCO, INC.</w:t>
      </w:r>
    </w:p>
    <w:p>
      <w:pPr>
        <w:pStyle w:val="TextBody"/>
        <w:bidi w:val="0"/>
        <w:spacing w:before="0" w:after="0"/>
        <w:ind w:left="0" w:right="0" w:hanging="0"/>
        <w:jc w:val="right"/>
        <w:rPr>
          <w:rFonts w:ascii="Times New Roman;Times;serif" w:hAnsi="Times New Roman;Times;serif"/>
          <w:sz w:val="16"/>
        </w:rPr>
      </w:pPr>
      <w:r>
        <w:rPr>
          <w:rFonts w:ascii="Times New Roman;Times;serif" w:hAnsi="Times New Roman;Times;serif"/>
          <w:sz w:val="16"/>
        </w:rPr>
        <w:t>SECOND AMENDMENT TO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609" w:type="dxa"/>
        <w:jc w:val="left"/>
        <w:tblInd w:w="0" w:type="dxa"/>
        <w:tblLayout w:type="fixed"/>
        <w:tblCellMar>
          <w:top w:w="0" w:type="dxa"/>
          <w:left w:w="0" w:type="dxa"/>
          <w:bottom w:w="0" w:type="dxa"/>
          <w:right w:w="0" w:type="dxa"/>
        </w:tblCellMar>
      </w:tblPr>
      <w:tblGrid>
        <w:gridCol w:w="124"/>
        <w:gridCol w:w="1273"/>
        <w:gridCol w:w="3212"/>
      </w:tblGrid>
      <w:tr>
        <w:trPr/>
        <w:tc>
          <w:tcPr>
            <w:tcW w:w="124" w:type="dxa"/>
            <w:tcBorders/>
            <w:vAlign w:val="center"/>
          </w:tcPr>
          <w:p>
            <w:pPr>
              <w:pStyle w:val="TableContents"/>
              <w:bidi w:val="0"/>
              <w:spacing w:before="0" w:after="0"/>
              <w:ind w:left="0" w:right="0" w:hanging="0"/>
              <w:jc w:val="left"/>
              <w:rPr/>
            </w:pPr>
            <w:r>
              <w:rPr/>
              <w:t>​</w:t>
            </w:r>
          </w:p>
        </w:tc>
        <w:tc>
          <w:tcPr>
            <w:tcW w:w="448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WELLS FARGO BANK, NATIONAL ASSOCIATION,</w:t>
            </w:r>
          </w:p>
        </w:tc>
      </w:tr>
      <w:tr>
        <w:trPr/>
        <w:tc>
          <w:tcPr>
            <w:tcW w:w="124" w:type="dxa"/>
            <w:tcBorders/>
            <w:vAlign w:val="center"/>
          </w:tcPr>
          <w:p>
            <w:pPr>
              <w:pStyle w:val="TableContents"/>
              <w:bidi w:val="0"/>
              <w:spacing w:before="0" w:after="0"/>
              <w:ind w:left="0" w:right="0" w:hanging="0"/>
              <w:jc w:val="left"/>
              <w:rPr/>
            </w:pPr>
            <w:r>
              <w:rPr/>
              <w:t>​</w:t>
            </w:r>
          </w:p>
        </w:tc>
        <w:tc>
          <w:tcPr>
            <w:tcW w:w="448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 Lender</w:t>
            </w:r>
          </w:p>
        </w:tc>
      </w:tr>
      <w:tr>
        <w:trPr/>
        <w:tc>
          <w:tcPr>
            <w:tcW w:w="124" w:type="dxa"/>
            <w:tcBorders/>
            <w:vAlign w:val="center"/>
          </w:tcPr>
          <w:p>
            <w:pPr>
              <w:pStyle w:val="TableContents"/>
              <w:bidi w:val="0"/>
              <w:spacing w:before="0" w:after="0"/>
              <w:ind w:left="0" w:right="0" w:hanging="0"/>
              <w:jc w:val="left"/>
              <w:rPr/>
            </w:pPr>
            <w:r>
              <w:rPr/>
              <w:t>​</w:t>
            </w:r>
          </w:p>
        </w:tc>
        <w:tc>
          <w:tcPr>
            <w:tcW w:w="448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Denise Crouch</w:t>
            </w:r>
          </w:p>
        </w:tc>
      </w:tr>
      <w:tr>
        <w:trPr/>
        <w:tc>
          <w:tcPr>
            <w:tcW w:w="124" w:type="dxa"/>
            <w:tcBorders/>
            <w:vAlign w:val="center"/>
          </w:tcPr>
          <w:p>
            <w:pPr>
              <w:pStyle w:val="TableContents"/>
              <w:bidi w:val="0"/>
              <w:spacing w:before="0" w:after="0"/>
              <w:ind w:left="0" w:right="0" w:hanging="0"/>
              <w:jc w:val="left"/>
              <w:rPr/>
            </w:pPr>
            <w:r>
              <w:rPr/>
              <w:t>​</w:t>
            </w:r>
          </w:p>
        </w:tc>
        <w:tc>
          <w:tcPr>
            <w:tcW w:w="1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Denise Crouch</w:t>
            </w:r>
          </w:p>
        </w:tc>
      </w:tr>
      <w:tr>
        <w:trPr/>
        <w:tc>
          <w:tcPr>
            <w:tcW w:w="124" w:type="dxa"/>
            <w:tcBorders/>
            <w:vAlign w:val="center"/>
          </w:tcPr>
          <w:p>
            <w:pPr>
              <w:pStyle w:val="TableContents"/>
              <w:bidi w:val="0"/>
              <w:spacing w:before="0" w:after="0"/>
              <w:ind w:left="0" w:right="0" w:hanging="0"/>
              <w:jc w:val="left"/>
              <w:rPr/>
            </w:pPr>
            <w:r>
              <w:rPr/>
              <w:t>​</w:t>
            </w:r>
          </w:p>
        </w:tc>
        <w:tc>
          <w:tcPr>
            <w:tcW w:w="1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16"/>
        </w:rPr>
      </w:pPr>
      <w:r>
        <w:rPr>
          <w:rFonts w:ascii="Times New Roman;Times;serif" w:hAnsi="Times New Roman;Times;serif"/>
          <w:sz w:val="16"/>
        </w:rPr>
        <w:t>EL POLLO LOCO, INC.</w:t>
      </w:r>
    </w:p>
    <w:p>
      <w:pPr>
        <w:pStyle w:val="TextBody"/>
        <w:bidi w:val="0"/>
        <w:spacing w:before="0" w:after="0"/>
        <w:ind w:left="0" w:right="0" w:hanging="0"/>
        <w:jc w:val="right"/>
        <w:rPr>
          <w:rFonts w:ascii="Times New Roman;Times;serif" w:hAnsi="Times New Roman;Times;serif"/>
          <w:sz w:val="16"/>
        </w:rPr>
      </w:pPr>
      <w:r>
        <w:rPr>
          <w:rFonts w:ascii="Times New Roman;Times;serif" w:hAnsi="Times New Roman;Times;serif"/>
          <w:sz w:val="16"/>
        </w:rPr>
        <w:t>SECOND AMENDMENT TO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064" w:type="dxa"/>
        <w:jc w:val="left"/>
        <w:tblInd w:w="0" w:type="dxa"/>
        <w:tblLayout w:type="fixed"/>
        <w:tblCellMar>
          <w:top w:w="0" w:type="dxa"/>
          <w:left w:w="0" w:type="dxa"/>
          <w:bottom w:w="0" w:type="dxa"/>
          <w:right w:w="0" w:type="dxa"/>
        </w:tblCellMar>
      </w:tblPr>
      <w:tblGrid>
        <w:gridCol w:w="124"/>
        <w:gridCol w:w="802"/>
        <w:gridCol w:w="2138"/>
      </w:tblGrid>
      <w:tr>
        <w:trPr/>
        <w:tc>
          <w:tcPr>
            <w:tcW w:w="124" w:type="dxa"/>
            <w:tcBorders/>
            <w:vAlign w:val="center"/>
          </w:tcPr>
          <w:p>
            <w:pPr>
              <w:pStyle w:val="TableContents"/>
              <w:bidi w:val="0"/>
              <w:spacing w:before="0" w:after="0"/>
              <w:ind w:left="0" w:right="0" w:hanging="0"/>
              <w:jc w:val="left"/>
              <w:rPr/>
            </w:pPr>
            <w:r>
              <w:rPr/>
              <w:t>​</w:t>
            </w:r>
          </w:p>
        </w:tc>
        <w:tc>
          <w:tcPr>
            <w:tcW w:w="29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JPMORGAN CHASE BANK. N.A.,</w:t>
            </w:r>
          </w:p>
        </w:tc>
      </w:tr>
      <w:tr>
        <w:trPr/>
        <w:tc>
          <w:tcPr>
            <w:tcW w:w="124" w:type="dxa"/>
            <w:tcBorders/>
            <w:vAlign w:val="center"/>
          </w:tcPr>
          <w:p>
            <w:pPr>
              <w:pStyle w:val="TableContents"/>
              <w:bidi w:val="0"/>
              <w:spacing w:before="0" w:after="0"/>
              <w:ind w:left="0" w:right="0" w:hanging="0"/>
              <w:jc w:val="left"/>
              <w:rPr/>
            </w:pPr>
            <w:r>
              <w:rPr/>
              <w:t>​</w:t>
            </w:r>
          </w:p>
        </w:tc>
        <w:tc>
          <w:tcPr>
            <w:tcW w:w="29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 Lender</w:t>
            </w:r>
          </w:p>
        </w:tc>
      </w:tr>
      <w:tr>
        <w:trPr/>
        <w:tc>
          <w:tcPr>
            <w:tcW w:w="124" w:type="dxa"/>
            <w:tcBorders/>
            <w:vAlign w:val="center"/>
          </w:tcPr>
          <w:p>
            <w:pPr>
              <w:pStyle w:val="TableContents"/>
              <w:bidi w:val="0"/>
              <w:spacing w:before="0" w:after="0"/>
              <w:ind w:left="0" w:right="0" w:hanging="0"/>
              <w:jc w:val="left"/>
              <w:rPr/>
            </w:pPr>
            <w:r>
              <w:rPr/>
              <w:t>​</w:t>
            </w:r>
          </w:p>
        </w:tc>
        <w:tc>
          <w:tcPr>
            <w:tcW w:w="294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13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Sean Bodkin</w:t>
            </w:r>
          </w:p>
        </w:tc>
      </w:tr>
      <w:tr>
        <w:trPr/>
        <w:tc>
          <w:tcPr>
            <w:tcW w:w="124" w:type="dxa"/>
            <w:tcBorders/>
            <w:vAlign w:val="center"/>
          </w:tcPr>
          <w:p>
            <w:pPr>
              <w:pStyle w:val="TableContents"/>
              <w:bidi w:val="0"/>
              <w:spacing w:before="0" w:after="0"/>
              <w:ind w:left="0" w:right="0" w:hanging="0"/>
              <w:jc w:val="left"/>
              <w:rPr/>
            </w:pPr>
            <w:r>
              <w:rPr/>
              <w:t>​</w:t>
            </w:r>
          </w:p>
        </w:tc>
        <w:tc>
          <w:tcPr>
            <w:tcW w:w="8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138"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Sean Bodkin</w:t>
            </w:r>
          </w:p>
        </w:tc>
      </w:tr>
      <w:tr>
        <w:trPr/>
        <w:tc>
          <w:tcPr>
            <w:tcW w:w="124" w:type="dxa"/>
            <w:tcBorders/>
            <w:vAlign w:val="center"/>
          </w:tcPr>
          <w:p>
            <w:pPr>
              <w:pStyle w:val="TableContents"/>
              <w:bidi w:val="0"/>
              <w:spacing w:before="0" w:after="0"/>
              <w:ind w:left="0" w:right="0" w:hanging="0"/>
              <w:jc w:val="left"/>
              <w:rPr/>
            </w:pPr>
            <w:r>
              <w:rPr/>
              <w:t>​</w:t>
            </w:r>
          </w:p>
        </w:tc>
        <w:tc>
          <w:tcPr>
            <w:tcW w:w="8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1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Director</w:t>
            </w:r>
          </w:p>
        </w:tc>
      </w:tr>
    </w:tbl>
    <w:p>
      <w:pPr>
        <w:pStyle w:val="TextBody"/>
        <w:bidi w:val="0"/>
        <w:spacing w:before="0" w:after="8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16"/>
        </w:rPr>
      </w:pPr>
      <w:r>
        <w:rPr>
          <w:rFonts w:ascii="Times New Roman;Times;serif" w:hAnsi="Times New Roman;Times;serif"/>
          <w:sz w:val="16"/>
        </w:rPr>
        <w:t>EL POLLO LOCO, INC.</w:t>
      </w:r>
    </w:p>
    <w:p>
      <w:pPr>
        <w:pStyle w:val="TextBody"/>
        <w:bidi w:val="0"/>
        <w:spacing w:before="0" w:after="0"/>
        <w:ind w:left="0" w:right="0" w:hanging="0"/>
        <w:jc w:val="right"/>
        <w:rPr>
          <w:rFonts w:ascii="Times New Roman;Times;serif" w:hAnsi="Times New Roman;Times;serif"/>
          <w:sz w:val="16"/>
        </w:rPr>
      </w:pPr>
      <w:r>
        <w:rPr>
          <w:rFonts w:ascii="Times New Roman;Times;serif" w:hAnsi="Times New Roman;Times;serif"/>
          <w:sz w:val="16"/>
        </w:rPr>
        <w:t>SECOND AMENDMENT TO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Schedule 2.01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Commitments and Applicable Percentages</w:t>
      </w:r>
    </w:p>
    <w:tbl>
      <w:tblPr>
        <w:tblW w:w="9843" w:type="dxa"/>
        <w:jc w:val="center"/>
        <w:tblInd w:w="0" w:type="dxa"/>
        <w:tblLayout w:type="fixed"/>
        <w:tblCellMar>
          <w:top w:w="0" w:type="dxa"/>
          <w:left w:w="0" w:type="dxa"/>
          <w:bottom w:w="0" w:type="dxa"/>
          <w:right w:w="0" w:type="dxa"/>
        </w:tblCellMar>
      </w:tblPr>
      <w:tblGrid>
        <w:gridCol w:w="3376"/>
        <w:gridCol w:w="2131"/>
        <w:gridCol w:w="4336"/>
      </w:tblGrid>
      <w:tr>
        <w:trPr/>
        <w:tc>
          <w:tcPr>
            <w:tcW w:w="3376" w:type="dxa"/>
            <w:tcBorders/>
            <w:vAlign w:val="center"/>
          </w:tcPr>
          <w:p>
            <w:pPr>
              <w:pStyle w:val="TableContents"/>
              <w:bidi w:val="0"/>
              <w:spacing w:before="0" w:after="0"/>
              <w:ind w:left="0" w:right="0" w:hanging="0"/>
              <w:jc w:val="left"/>
              <w:rPr/>
            </w:pPr>
            <w:r>
              <w:rPr/>
              <w:t>​</w:t>
            </w:r>
          </w:p>
        </w:tc>
        <w:tc>
          <w:tcPr>
            <w:tcW w:w="2131" w:type="dxa"/>
            <w:tcBorders/>
            <w:vAlign w:val="center"/>
          </w:tcPr>
          <w:p>
            <w:pPr>
              <w:pStyle w:val="TableContents"/>
              <w:bidi w:val="0"/>
              <w:spacing w:before="0" w:after="0"/>
              <w:ind w:left="0" w:right="0" w:hanging="0"/>
              <w:jc w:val="left"/>
              <w:rPr/>
            </w:pPr>
            <w:r>
              <w:rPr/>
              <w:t>​</w:t>
            </w:r>
          </w:p>
        </w:tc>
        <w:tc>
          <w:tcPr>
            <w:tcW w:w="4336" w:type="dxa"/>
            <w:tcBorders/>
            <w:vAlign w:val="center"/>
          </w:tcPr>
          <w:p>
            <w:pPr>
              <w:pStyle w:val="TableContents"/>
              <w:bidi w:val="0"/>
              <w:spacing w:before="0" w:after="0"/>
              <w:ind w:left="0" w:right="0" w:hanging="0"/>
              <w:jc w:val="left"/>
              <w:rPr/>
            </w:pPr>
            <w:r>
              <w:rPr/>
              <w:t>​</w:t>
            </w:r>
          </w:p>
        </w:tc>
      </w:tr>
      <w:tr>
        <w:trPr/>
        <w:tc>
          <w:tcPr>
            <w:tcW w:w="3376" w:type="dxa"/>
            <w:tcBorders>
              <w:top w:val="double" w:sz="6" w:space="0" w:color="000000"/>
              <w:left w:val="double" w:sz="6" w:space="0" w:color="000000"/>
              <w:bottom w:val="double" w:sz="6" w:space="0" w:color="000000"/>
              <w:right w:val="single" w:sz="2" w:space="0" w:color="000000"/>
            </w:tcBorders>
            <w:shd w:fill="C0C0C0"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Lender</w:t>
            </w:r>
          </w:p>
        </w:tc>
        <w:tc>
          <w:tcPr>
            <w:tcW w:w="2131" w:type="dxa"/>
            <w:tcBorders>
              <w:top w:val="double" w:sz="6" w:space="0" w:color="000000"/>
              <w:left w:val="single" w:sz="2" w:space="0" w:color="000000"/>
              <w:bottom w:val="double" w:sz="6" w:space="0" w:color="000000"/>
              <w:right w:val="single" w:sz="2" w:space="0" w:color="000000"/>
            </w:tcBorders>
            <w:shd w:fill="C0C0C0"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Revolving Commitment</w:t>
            </w:r>
          </w:p>
        </w:tc>
        <w:tc>
          <w:tcPr>
            <w:tcW w:w="4336" w:type="dxa"/>
            <w:tcBorders>
              <w:top w:val="double" w:sz="6" w:space="0" w:color="000000"/>
              <w:left w:val="single" w:sz="2" w:space="0" w:color="000000"/>
              <w:bottom w:val="double" w:sz="6" w:space="0" w:color="000000"/>
              <w:right w:val="double" w:sz="6" w:space="0" w:color="000000"/>
            </w:tcBorders>
            <w:shd w:fill="C0C0C0"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Applicable Percentage of Revolving Commitment</w:t>
            </w:r>
          </w:p>
        </w:tc>
      </w:tr>
      <w:tr>
        <w:trPr/>
        <w:tc>
          <w:tcPr>
            <w:tcW w:w="3376" w:type="dxa"/>
            <w:tcBorders>
              <w:top w:val="double" w:sz="6" w:space="0" w:color="000000"/>
              <w:left w:val="double" w:sz="6" w:space="0" w:color="000000"/>
              <w:bottom w:val="double" w:sz="6"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Bank of America, N.A.</w:t>
            </w:r>
          </w:p>
        </w:tc>
        <w:tc>
          <w:tcPr>
            <w:tcW w:w="2131" w:type="dxa"/>
            <w:tcBorders>
              <w:top w:val="double" w:sz="6"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$65,000,000.00</w:t>
            </w:r>
          </w:p>
        </w:tc>
        <w:tc>
          <w:tcPr>
            <w:tcW w:w="4336" w:type="dxa"/>
            <w:tcBorders>
              <w:top w:val="double" w:sz="6" w:space="0" w:color="000000"/>
              <w:left w:val="single" w:sz="2" w:space="0" w:color="000000"/>
              <w:bottom w:val="double" w:sz="6" w:space="0" w:color="000000"/>
              <w:right w:val="double" w:sz="6"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43.333333333%</w:t>
            </w:r>
          </w:p>
        </w:tc>
      </w:tr>
      <w:tr>
        <w:trPr/>
        <w:tc>
          <w:tcPr>
            <w:tcW w:w="3376" w:type="dxa"/>
            <w:tcBorders>
              <w:top w:val="double" w:sz="6" w:space="0" w:color="000000"/>
              <w:left w:val="double" w:sz="6" w:space="0" w:color="000000"/>
              <w:bottom w:val="double" w:sz="6"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Wells Fargo Bank, National Association</w:t>
            </w:r>
          </w:p>
        </w:tc>
        <w:tc>
          <w:tcPr>
            <w:tcW w:w="2131" w:type="dxa"/>
            <w:tcBorders>
              <w:top w:val="double" w:sz="6"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$60,000,000.00</w:t>
            </w:r>
          </w:p>
        </w:tc>
        <w:tc>
          <w:tcPr>
            <w:tcW w:w="4336" w:type="dxa"/>
            <w:tcBorders>
              <w:top w:val="double" w:sz="6" w:space="0" w:color="000000"/>
              <w:left w:val="single" w:sz="2" w:space="0" w:color="000000"/>
              <w:bottom w:val="double" w:sz="6" w:space="0" w:color="000000"/>
              <w:right w:val="double" w:sz="6"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40.000000000%</w:t>
            </w:r>
          </w:p>
        </w:tc>
      </w:tr>
      <w:tr>
        <w:trPr/>
        <w:tc>
          <w:tcPr>
            <w:tcW w:w="3376" w:type="dxa"/>
            <w:tcBorders>
              <w:top w:val="double" w:sz="6" w:space="0" w:color="000000"/>
              <w:left w:val="double" w:sz="6" w:space="0" w:color="000000"/>
              <w:bottom w:val="double" w:sz="6"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JPMorgan Chase Bank, N.A.</w:t>
            </w:r>
          </w:p>
        </w:tc>
        <w:tc>
          <w:tcPr>
            <w:tcW w:w="2131" w:type="dxa"/>
            <w:tcBorders>
              <w:top w:val="double" w:sz="6"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$25,000,000.00</w:t>
            </w:r>
          </w:p>
        </w:tc>
        <w:tc>
          <w:tcPr>
            <w:tcW w:w="4336" w:type="dxa"/>
            <w:tcBorders>
              <w:top w:val="double" w:sz="6" w:space="0" w:color="000000"/>
              <w:left w:val="single" w:sz="2" w:space="0" w:color="000000"/>
              <w:bottom w:val="double" w:sz="6" w:space="0" w:color="000000"/>
              <w:right w:val="double" w:sz="6"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16.666666667%</w:t>
            </w:r>
          </w:p>
        </w:tc>
      </w:tr>
      <w:tr>
        <w:trPr/>
        <w:tc>
          <w:tcPr>
            <w:tcW w:w="3376" w:type="dxa"/>
            <w:tcBorders>
              <w:top w:val="double" w:sz="6" w:space="0" w:color="000000"/>
              <w:left w:val="double" w:sz="6" w:space="0" w:color="000000"/>
              <w:bottom w:val="double" w:sz="6"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c>
          <w:tcPr>
            <w:tcW w:w="2131" w:type="dxa"/>
            <w:tcBorders>
              <w:top w:val="double" w:sz="6"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$150,000,000.00</w:t>
            </w:r>
          </w:p>
        </w:tc>
        <w:tc>
          <w:tcPr>
            <w:tcW w:w="4336" w:type="dxa"/>
            <w:tcBorders>
              <w:top w:val="double" w:sz="6" w:space="0" w:color="000000"/>
              <w:left w:val="single" w:sz="2" w:space="0" w:color="000000"/>
              <w:bottom w:val="double" w:sz="6" w:space="0" w:color="000000"/>
              <w:right w:val="double" w:sz="6"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100.000000000%</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pPr>
      <w:r>
        <w:rPr/>
        <w:t>​</w:t>
      </w:r>
    </w:p>
    <w:p>
      <w:pPr>
        <w:pStyle w:val="HorizontalLine"/>
        <w:pBdr>
          <w:bottom w:val="double" w:sz="2" w:space="0" w:color="808080"/>
        </w:pBdr>
        <w:bidi w:val="0"/>
        <w:spacing w:before="0" w:after="283"/>
        <w:jc w:val="left"/>
        <w:rPr/>
      </w:pPr>
      <w:r>
        <w:rPr/>
      </w:r>
    </w:p>
    <w:p>
      <w:pPr>
        <w:pStyle w:val="TextBody"/>
        <w:bidi w:val="0"/>
        <w:spacing w:lineRule="auto" w:line="343" w:before="0" w:after="0"/>
        <w:ind w:left="0" w:right="0" w:hanging="0"/>
        <w:jc w:val="left"/>
        <w:rPr/>
      </w:pPr>
      <w:bookmarkStart w:id="1290" w:name="loco-20260701xex31d1.htm"/>
      <w:bookmarkStart w:id="1291" w:name="ksloco20260701xex31d1"/>
      <w:bookmarkEnd w:id="1290"/>
      <w:bookmarkEnd w:id="1291"/>
      <w:r>
        <w:rPr/>
        <w:t>​</w:t>
      </w:r>
      <w:r>
        <w:br w:type="page"/>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b/>
          <w:sz w:val="20"/>
        </w:rPr>
        <w:t>Exhibit 31.</w:t>
      </w:r>
      <w:bookmarkStart w:id="1292" w:name="New_Section_1"/>
      <w:bookmarkEnd w:id="1292"/>
      <w:r>
        <w:rPr>
          <w:rFonts w:ascii="Times New Roman;Times;serif" w:hAnsi="Times New Roman;Times;serif"/>
          <w:b/>
          <w:sz w:val="20"/>
        </w:rPr>
        <w:t>1</w:t>
      </w:r>
    </w:p>
    <w:p>
      <w:pPr>
        <w:pStyle w:val="TextBody"/>
        <w:bidi w:val="0"/>
        <w:spacing w:before="120" w:after="120"/>
        <w:ind w:left="0" w:right="0" w:hanging="0"/>
        <w:jc w:val="center"/>
        <w:rPr>
          <w:rFonts w:ascii="Times New Roman;Times;serif" w:hAnsi="Times New Roman;Times;serif"/>
          <w:b/>
          <w:sz w:val="20"/>
        </w:rPr>
      </w:pPr>
      <w:r>
        <w:rPr>
          <w:rFonts w:ascii="Times New Roman;Times;serif" w:hAnsi="Times New Roman;Times;serif"/>
          <w:b/>
          <w:sz w:val="20"/>
        </w:rPr>
        <w:t>RULE 13a-14(a)/15d-14(a) CERTIFICATION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Elizabeth Williams, certify that:</w:t>
      </w:r>
    </w:p>
    <w:tbl>
      <w:tblPr>
        <w:tblW w:w="7038" w:type="dxa"/>
        <w:jc w:val="left"/>
        <w:tblInd w:w="0" w:type="dxa"/>
        <w:tblLayout w:type="fixed"/>
        <w:tblCellMar>
          <w:top w:w="0" w:type="dxa"/>
          <w:left w:w="0" w:type="dxa"/>
          <w:bottom w:w="0" w:type="dxa"/>
          <w:right w:w="0" w:type="dxa"/>
        </w:tblCellMar>
      </w:tblPr>
      <w:tblGrid>
        <w:gridCol w:w="23"/>
        <w:gridCol w:w="170"/>
        <w:gridCol w:w="68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El Pollo Loco Holdings,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3006" w:type="dxa"/>
        <w:jc w:val="center"/>
        <w:tblInd w:w="0" w:type="dxa"/>
        <w:tblLayout w:type="fixed"/>
        <w:tblCellMar>
          <w:top w:w="0" w:type="dxa"/>
          <w:left w:w="0" w:type="dxa"/>
          <w:bottom w:w="0" w:type="dxa"/>
          <w:right w:w="0" w:type="dxa"/>
        </w:tblCellMar>
      </w:tblPr>
      <w:tblGrid>
        <w:gridCol w:w="124"/>
        <w:gridCol w:w="406"/>
        <w:gridCol w:w="2476"/>
      </w:tblGrid>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ELIZABETH WILLIAMS</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Elizabeth Williams</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Date: August 7, 2026</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343" w:before="0" w:after="0"/>
        <w:ind w:left="0" w:right="0" w:hanging="0"/>
        <w:jc w:val="left"/>
        <w:rPr/>
      </w:pPr>
      <w:bookmarkStart w:id="1293" w:name="loco-20260701xex31d2.htm"/>
      <w:bookmarkStart w:id="1294" w:name="ksloco20260701xex31d2"/>
      <w:bookmarkEnd w:id="1293"/>
      <w:bookmarkEnd w:id="1294"/>
      <w:r>
        <w:rPr/>
        <w:t>​</w:t>
      </w:r>
      <w:r>
        <w:br w:type="page"/>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b/>
          <w:sz w:val="20"/>
        </w:rPr>
        <w:t>Exhibit 31.</w:t>
      </w:r>
      <w:bookmarkStart w:id="1295" w:name="New_Section_11"/>
      <w:bookmarkEnd w:id="1295"/>
      <w:r>
        <w:rPr>
          <w:rFonts w:ascii="Times New Roman;Times;serif" w:hAnsi="Times New Roman;Times;serif"/>
          <w:b/>
          <w:sz w:val="20"/>
        </w:rPr>
        <w:t>2</w:t>
      </w:r>
    </w:p>
    <w:p>
      <w:pPr>
        <w:pStyle w:val="TextBody"/>
        <w:bidi w:val="0"/>
        <w:spacing w:before="120" w:after="120"/>
        <w:ind w:left="0" w:right="0" w:hanging="0"/>
        <w:jc w:val="center"/>
        <w:rPr>
          <w:rFonts w:ascii="Times New Roman;Times;serif" w:hAnsi="Times New Roman;Times;serif"/>
          <w:b/>
          <w:sz w:val="20"/>
        </w:rPr>
      </w:pPr>
      <w:r>
        <w:rPr>
          <w:rFonts w:ascii="Times New Roman;Times;serif" w:hAnsi="Times New Roman;Times;serif"/>
          <w:b/>
          <w:sz w:val="20"/>
        </w:rPr>
        <w:t>RULE 13a-14(a)/15d-14(a) CERTIFICATION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Ira Fils, certify that:</w:t>
      </w:r>
    </w:p>
    <w:tbl>
      <w:tblPr>
        <w:tblW w:w="7038" w:type="dxa"/>
        <w:jc w:val="left"/>
        <w:tblInd w:w="0" w:type="dxa"/>
        <w:tblLayout w:type="fixed"/>
        <w:tblCellMar>
          <w:top w:w="0" w:type="dxa"/>
          <w:left w:w="0" w:type="dxa"/>
          <w:bottom w:w="0" w:type="dxa"/>
          <w:right w:w="0" w:type="dxa"/>
        </w:tblCellMar>
      </w:tblPr>
      <w:tblGrid>
        <w:gridCol w:w="23"/>
        <w:gridCol w:w="170"/>
        <w:gridCol w:w="68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El Pollo Loco Holdings,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4296" w:type="dxa"/>
        <w:jc w:val="center"/>
        <w:tblInd w:w="0" w:type="dxa"/>
        <w:tblLayout w:type="fixed"/>
        <w:tblCellMar>
          <w:top w:w="0" w:type="dxa"/>
          <w:left w:w="0" w:type="dxa"/>
          <w:bottom w:w="0" w:type="dxa"/>
          <w:right w:w="0" w:type="dxa"/>
        </w:tblCellMar>
      </w:tblPr>
      <w:tblGrid>
        <w:gridCol w:w="124"/>
        <w:gridCol w:w="406"/>
        <w:gridCol w:w="3766"/>
      </w:tblGrid>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IRA FILS</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Ira Fils</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Date: August 7, 2026</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343" w:before="0" w:after="0"/>
        <w:ind w:left="0" w:right="0" w:hanging="0"/>
        <w:jc w:val="left"/>
        <w:rPr/>
      </w:pPr>
      <w:bookmarkStart w:id="1296" w:name="loco-20260701xex32d1.htm"/>
      <w:bookmarkStart w:id="1297" w:name="ksloco20260701xex32d1"/>
      <w:bookmarkEnd w:id="1296"/>
      <w:bookmarkEnd w:id="1297"/>
      <w:r>
        <w:rPr/>
        <w:t>​</w:t>
      </w:r>
      <w:r>
        <w:br w:type="page"/>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b/>
          <w:sz w:val="20"/>
        </w:rPr>
        <w:t>Exhibit 32.</w:t>
      </w:r>
      <w:bookmarkStart w:id="1298" w:name="New_Section_12"/>
      <w:bookmarkEnd w:id="1298"/>
      <w:r>
        <w:rPr>
          <w:rFonts w:ascii="Times New Roman;Times;serif" w:hAnsi="Times New Roman;Times;serif"/>
          <w:b/>
          <w:sz w:val="20"/>
        </w:rPr>
        <w:t>1</w:t>
      </w:r>
    </w:p>
    <w:p>
      <w:pPr>
        <w:pStyle w:val="TextBody"/>
        <w:bidi w:val="0"/>
        <w:spacing w:before="12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lineRule="auto" w:line="343" w:before="240" w:after="0"/>
        <w:ind w:left="0" w:right="0" w:hanging="0"/>
        <w:jc w:val="both"/>
        <w:rPr>
          <w:rFonts w:ascii="Times New Roman;Times;serif" w:hAnsi="Times New Roman;Times;serif"/>
          <w:sz w:val="20"/>
        </w:rPr>
      </w:pPr>
      <w:r>
        <w:rPr>
          <w:rFonts w:ascii="Times New Roman;Times;serif" w:hAnsi="Times New Roman;Times;serif"/>
          <w:sz w:val="20"/>
        </w:rPr>
        <w:t>Under 18 U.S.C. section 1350, adopted by section 906 of the Sarbanes-Oxley Act of 2002, in connection with the attached periodic report, the undersigned each certify that (i) the periodic report fully complies with the requirements of section 13(a) or 15(d) of the Securities Exchange Act of 1934 and (ii) the information contained in the periodic report fairly presents, in all material respects, the financial condition and results of operations of the issuer.</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Date: August 7, 2026</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3781" w:type="dxa"/>
        <w:jc w:val="left"/>
        <w:tblInd w:w="0" w:type="dxa"/>
        <w:tblLayout w:type="fixed"/>
        <w:tblCellMar>
          <w:top w:w="0" w:type="dxa"/>
          <w:left w:w="0" w:type="dxa"/>
          <w:bottom w:w="0" w:type="dxa"/>
          <w:right w:w="0" w:type="dxa"/>
        </w:tblCellMar>
      </w:tblPr>
      <w:tblGrid>
        <w:gridCol w:w="3781"/>
      </w:tblGrid>
      <w:tr>
        <w:trPr/>
        <w:tc>
          <w:tcPr>
            <w:tcW w:w="3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400935" cy="321945"/>
                      <wp:effectExtent l="0" t="0" r="0" b="0"/>
                      <wp:wrapNone/>
                      <wp:docPr id="410" name="Frame410"/>
                      <a:graphic xmlns:a="http://schemas.openxmlformats.org/drawingml/2006/main">
                        <a:graphicData uri="http://schemas.microsoft.com/office/word/2010/wordprocessingShape">
                          <wps:wsp>
                            <wps:cNvSpPr txBox="1"/>
                            <wps:spPr>
                              <a:xfrm>
                                <a:off x="0" y="0"/>
                                <a:ext cx="2400935" cy="32194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ELI</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0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ELI</w:t>
                            </w:r>
                          </w:p>
                          <w:p>
                            <w:pPr>
                              <w:pStyle w:val="TableContents"/>
                              <w:bidi w:val="0"/>
                              <w:spacing w:before="0" w:after="0"/>
                              <w:ind w:left="0" w:right="0" w:hanging="0"/>
                              <w:jc w:val="left"/>
                              <w:rPr/>
                            </w:pPr>
                            <w:r>
                              <w:rPr/>
                              <w:t>​</w:t>
                            </w:r>
                          </w:p>
                        </w:txbxContent>
                      </v:textbox>
                      <w10:wrap type="none"/>
                    </v:rect>
                  </w:pict>
                </mc:Fallback>
              </mc:AlternateContent>
            </w:r>
          </w:p>
        </w:tc>
      </w:tr>
      <w:tr>
        <w:trPr/>
        <w:tc>
          <w:tcPr>
            <w:tcW w:w="3781" w:type="dxa"/>
            <w:tcBorders/>
            <w:vAlign w:val="center"/>
          </w:tcPr>
          <w:p>
            <w:pPr>
              <w:pStyle w:val="TableContents"/>
              <w:bidi w:val="0"/>
              <w:spacing w:before="40" w:after="40"/>
              <w:ind w:left="0" w:right="0" w:hanging="0"/>
              <w:jc w:val="left"/>
              <w:rPr/>
            </w:pPr>
            <w:r>
              <w:rPr/>
              <w:t>​</w:t>
            </w:r>
          </w:p>
          <w:p>
            <w:pPr>
              <w:pStyle w:val="TableContents"/>
              <w:bidi w:val="0"/>
              <w:spacing w:before="0" w:after="0"/>
              <w:ind w:left="0" w:right="0" w:hanging="0"/>
              <w:jc w:val="left"/>
              <w:rPr/>
            </w:pPr>
            <w:r>
              <w:rPr/>
              <w:t>​</w:t>
            </w:r>
          </w:p>
        </w:tc>
      </w:tr>
      <w:tr>
        <w:trPr/>
        <w:tc>
          <w:tcPr>
            <w:tcW w:w="3781" w:type="dxa"/>
            <w:tcBorders>
              <w:bottom w:val="single" w:sz="8" w:space="0" w:color="000000"/>
            </w:tcBorders>
            <w:tcMar>
              <w:bottom w:w="28" w:type="dxa"/>
            </w:tcMar>
            <w:vAlign w:val="center"/>
          </w:tcPr>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/s/ ELIZABETH WILLIAMS</w:t>
            </w:r>
          </w:p>
        </w:tc>
      </w:tr>
      <w:tr>
        <w:trPr/>
        <w:tc>
          <w:tcPr>
            <w:tcW w:w="3781" w:type="dxa"/>
            <w:tcBorders>
              <w:top w:val="single" w:sz="8" w:space="0" w:color="000000"/>
            </w:tcBorders>
            <w:tcMar>
              <w:top w:w="28" w:type="dxa"/>
            </w:tcMar>
            <w:vAlign w:val="center"/>
          </w:tcPr>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Elizabeth Williams</w:t>
            </w:r>
          </w:p>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Chief Executive Officer</w:t>
            </w:r>
          </w:p>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3781" w:type="dxa"/>
            <w:tcBorders/>
            <w:vAlign w:val="center"/>
          </w:tcPr>
          <w:p>
            <w:pPr>
              <w:pStyle w:val="TableContents"/>
              <w:bidi w:val="0"/>
              <w:spacing w:before="40" w:after="40"/>
              <w:ind w:left="0" w:right="0" w:hanging="0"/>
              <w:jc w:val="left"/>
              <w:rPr/>
            </w:pPr>
            <w:r>
              <w:rPr/>
              <w:t>​</w:t>
            </w:r>
          </w:p>
          <w:p>
            <w:pPr>
              <w:pStyle w:val="TableContents"/>
              <w:bidi w:val="0"/>
              <w:spacing w:before="0" w:after="0"/>
              <w:ind w:left="0" w:right="0" w:hanging="0"/>
              <w:jc w:val="left"/>
              <w:rPr/>
            </w:pPr>
            <w:r>
              <w:rPr/>
              <w:t>​</w:t>
            </w:r>
          </w:p>
        </w:tc>
      </w:tr>
      <w:tr>
        <w:trPr/>
        <w:tc>
          <w:tcPr>
            <w:tcW w:w="3781" w:type="dxa"/>
            <w:tcBorders>
              <w:bottom w:val="single" w:sz="8" w:space="0" w:color="000000"/>
            </w:tcBorders>
            <w:tcMar>
              <w:bottom w:w="28" w:type="dxa"/>
            </w:tcMar>
            <w:vAlign w:val="center"/>
          </w:tcPr>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/s/ IRA FILS</w:t>
            </w:r>
          </w:p>
        </w:tc>
      </w:tr>
      <w:tr>
        <w:trPr/>
        <w:tc>
          <w:tcPr>
            <w:tcW w:w="3781" w:type="dxa"/>
            <w:tcBorders>
              <w:top w:val="single" w:sz="8" w:space="0" w:color="000000"/>
            </w:tcBorders>
            <w:tcMar>
              <w:top w:w="28" w:type="dxa"/>
            </w:tcMar>
            <w:vAlign w:val="center"/>
          </w:tcPr>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Ira Fils</w:t>
            </w:r>
          </w:p>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Chief Financial Officer</w:t>
            </w:r>
          </w:p>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inherit">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06366/000121390025051311/ea024478001ex3-1_elpollo.htm" TargetMode="External"/><Relationship Id="rId3" Type="http://schemas.openxmlformats.org/officeDocument/2006/relationships/hyperlink" Target="https://www.sec.gov/Archives/edgar/data/1606366/000138713123009442/ex3-1.htm" TargetMode="External"/><Relationship Id="rId4" Type="http://schemas.openxmlformats.org/officeDocument/2006/relationships/hyperlink" Target="https://www.sec.gov/Archives/edgar/data/1606366/000160636624000002/loco-20240130xex3d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26510</Words>
  <Characters>148243</Characters>
  <CharactersWithSpaces>177077</CharactersWithSpaces>
  <Paragraphs>7085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