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oco-20240626x10q.htm"/>
        <w:bookmarkStart w:id="1" w:name="ksloco20240626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bookmarkStart w:id="2" w:name="_0f855d37_b0d4_4e1a_bdb1_86c4818d6b19"/>
      <w:bookmarkEnd w:id="2"/>
      <w:r>
        <w:rPr>
          <w:rFonts w:ascii="Times New Roman;Times;serif" w:hAnsi="Times New Roman;Times;serif"/>
          <w:b/>
          <w:sz w:val="26"/>
        </w:rPr>
        <w:t>UNITED STATES</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FORM 10-Q</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Cg_nXkigcUanMrmonHLNLA_1_1"/>
      <w:bookmarkStart w:id="4" w:name="_ef14052a_5c29_4ef4_8825_0f6a0c08e1c6"/>
      <w:bookmarkStart w:id="5" w:name="Tc_Cg_nXkigcUanMrmonHLNLA_1_1"/>
      <w:bookmarkStart w:id="6" w:name="_ef14052a_5c29_4ef4_8825_0f6a0c08e1c6"/>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26, 2024</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7" w:name="Tc_J8WghGgcpU-VzHvHj3orkQ_1_1"/>
      <w:bookmarkStart w:id="8" w:name="_a400526e_2f46_49c8_9539_be94fc5aba59"/>
      <w:bookmarkStart w:id="9" w:name="Tc_J8WghGgcpU-VzHvHj3orkQ_1_1"/>
      <w:bookmarkStart w:id="10" w:name="_a400526e_2f46_49c8_9539_be94fc5aba59"/>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001-36556</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EL POLLO LOCO HOLDINGS, INC.</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Normal"/>
        <w:bidi w:val="0"/>
        <w:spacing w:before="0" w:after="0"/>
        <w:jc w:val="left"/>
        <w:rPr>
          <w:sz w:val="4"/>
          <w:szCs w:val="4"/>
        </w:rPr>
      </w:pPr>
      <w:r>
        <w:rPr>
          <w:sz w:val="4"/>
          <w:szCs w:val="4"/>
        </w:rPr>
      </w:r>
      <w:bookmarkStart w:id="11" w:name="Tc_9bR0yLjtQU6Y8Mx10dsTTw_2_2"/>
      <w:bookmarkStart w:id="12" w:name="Tc_GLMHeo_PcEWDzvCUNWrv6w_2_0"/>
      <w:bookmarkStart w:id="13" w:name="_84d322b7_2ffc_414d_8ff1_aa534fb0db0b"/>
      <w:bookmarkStart w:id="14" w:name="Tc_9bR0yLjtQU6Y8Mx10dsTTw_2_2"/>
      <w:bookmarkStart w:id="15" w:name="Tc_GLMHeo_PcEWDzvCUNWrv6w_2_0"/>
      <w:bookmarkStart w:id="16" w:name="_84d322b7_2ffc_414d_8ff1_aa534fb0db0b"/>
      <w:bookmarkEnd w:id="14"/>
      <w:bookmarkEnd w:id="15"/>
      <w:bookmarkEnd w:id="16"/>
    </w:p>
    <w:tbl>
      <w:tblPr>
        <w:tblW w:w="6111" w:type="dxa"/>
        <w:jc w:val="left"/>
        <w:tblInd w:w="0" w:type="dxa"/>
        <w:tblLayout w:type="fixed"/>
        <w:tblCellMar>
          <w:top w:w="0" w:type="dxa"/>
          <w:left w:w="0" w:type="dxa"/>
          <w:bottom w:w="0" w:type="dxa"/>
          <w:right w:w="0" w:type="dxa"/>
        </w:tblCellMar>
      </w:tblPr>
      <w:tblGrid>
        <w:gridCol w:w="3751"/>
        <w:gridCol w:w="109"/>
        <w:gridCol w:w="2251"/>
      </w:tblGrid>
      <w:tr>
        <w:trPr/>
        <w:tc>
          <w:tcPr>
            <w:tcW w:w="37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vAlign w:val="center"/>
          </w:tcPr>
          <w:p>
            <w:pPr>
              <w:pStyle w:val="TableContents"/>
              <w:bidi w:val="0"/>
              <w:spacing w:before="0" w:after="240"/>
              <w:ind w:left="0" w:right="0" w:hanging="0"/>
              <w:jc w:val="left"/>
              <w:rPr/>
            </w:pPr>
            <w:r>
              <w:rPr/>
              <w:t>​</w:t>
            </w:r>
          </w:p>
        </w:tc>
        <w:tc>
          <w:tcPr>
            <w:tcW w:w="22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20-3563182</w:t>
            </w:r>
          </w:p>
        </w:tc>
      </w:tr>
      <w:tr>
        <w:trPr/>
        <w:tc>
          <w:tcPr>
            <w:tcW w:w="3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 incorporation or organization)</w:t>
            </w:r>
          </w:p>
        </w:tc>
        <w:tc>
          <w:tcPr>
            <w:tcW w:w="109" w:type="dxa"/>
            <w:tcBorders/>
            <w:vAlign w:val="center"/>
          </w:tcPr>
          <w:p>
            <w:pPr>
              <w:pStyle w:val="TableContents"/>
              <w:bidi w:val="0"/>
              <w:spacing w:before="0" w:after="240"/>
              <w:ind w:left="0" w:right="0" w:hanging="0"/>
              <w:jc w:val="left"/>
              <w:rPr/>
            </w:pPr>
            <w:r>
              <w:rPr/>
              <w:t>​</w:t>
            </w:r>
          </w:p>
        </w:tc>
        <w:tc>
          <w:tcPr>
            <w:tcW w:w="22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 Identification No.)</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aOCNsERTG0W-CPn7bZwIoA_2_2"/>
      <w:bookmarkStart w:id="18" w:name="Tc_vu8Matn4Y0K7j3ZVf-uQ6Q_2_0"/>
      <w:bookmarkStart w:id="19" w:name="Tc_95YjzxMINUO2o_6NLxERjg_1_0"/>
      <w:bookmarkStart w:id="20" w:name="_0663e90b_dd0e_41b9_933b_f1d3da5820c0"/>
      <w:bookmarkStart w:id="21" w:name="Tc_aOCNsERTG0W-CPn7bZwIoA_2_2"/>
      <w:bookmarkStart w:id="22" w:name="Tc_vu8Matn4Y0K7j3ZVf-uQ6Q_2_0"/>
      <w:bookmarkStart w:id="23" w:name="Tc_95YjzxMINUO2o_6NLxERjg_1_0"/>
      <w:bookmarkStart w:id="24" w:name="_0663e90b_dd0e_41b9_933b_f1d3da5820c0"/>
      <w:bookmarkEnd w:id="21"/>
      <w:bookmarkEnd w:id="22"/>
      <w:bookmarkEnd w:id="23"/>
      <w:bookmarkEnd w:id="24"/>
    </w:p>
    <w:tbl>
      <w:tblPr>
        <w:tblW w:w="5091" w:type="dxa"/>
        <w:jc w:val="left"/>
        <w:tblInd w:w="0" w:type="dxa"/>
        <w:tblLayout w:type="fixed"/>
        <w:tblCellMar>
          <w:top w:w="0" w:type="dxa"/>
          <w:left w:w="0" w:type="dxa"/>
          <w:bottom w:w="0" w:type="dxa"/>
          <w:right w:w="0" w:type="dxa"/>
        </w:tblCellMar>
      </w:tblPr>
      <w:tblGrid>
        <w:gridCol w:w="4201"/>
        <w:gridCol w:w="109"/>
        <w:gridCol w:w="781"/>
      </w:tblGrid>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3535 Harbor Blvd., Suite 100, Costa Mesa, California</w:t>
            </w:r>
          </w:p>
        </w:tc>
        <w:tc>
          <w:tcPr>
            <w:tcW w:w="109" w:type="dxa"/>
            <w:tcBorders/>
            <w:vAlign w:val="center"/>
          </w:tcPr>
          <w:p>
            <w:pPr>
              <w:pStyle w:val="TableContents"/>
              <w:bidi w:val="0"/>
              <w:spacing w:before="0" w:after="24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92626</w:t>
            </w:r>
          </w:p>
        </w:tc>
      </w:tr>
      <w:tr>
        <w:trPr/>
        <w:tc>
          <w:tcPr>
            <w:tcW w:w="420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109" w:type="dxa"/>
            <w:tcBorders/>
            <w:vAlign w:val="center"/>
          </w:tcPr>
          <w:p>
            <w:pPr>
              <w:pStyle w:val="TableContents"/>
              <w:bidi w:val="0"/>
              <w:spacing w:before="0" w:after="24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(714) 599-5000</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QeZ1781wd0q6n_HvR5gB8w_1_2"/>
      <w:bookmarkStart w:id="26" w:name="Tc_9KcO_wAFXEOAgPLVG7ThoA_1_1"/>
      <w:bookmarkStart w:id="27" w:name="Tc_Y7kBhtt--EykqFyThDeunA_1_0"/>
      <w:bookmarkStart w:id="28" w:name="_aa1cc2db_a0ce_484d_8019_ca04bd10e824"/>
      <w:bookmarkStart w:id="29" w:name="Tc_QeZ1781wd0q6n_HvR5gB8w_1_2"/>
      <w:bookmarkStart w:id="30" w:name="Tc_9KcO_wAFXEOAgPLVG7ThoA_1_1"/>
      <w:bookmarkStart w:id="31" w:name="Tc_Y7kBhtt--EykqFyThDeunA_1_0"/>
      <w:bookmarkStart w:id="32" w:name="_aa1cc2db_a0ce_484d_8019_ca04bd10e824"/>
      <w:bookmarkEnd w:id="29"/>
      <w:bookmarkEnd w:id="30"/>
      <w:bookmarkEnd w:id="31"/>
      <w:bookmarkEnd w:id="32"/>
    </w:p>
    <w:tbl>
      <w:tblPr>
        <w:tblW w:w="9873" w:type="dxa"/>
        <w:jc w:val="left"/>
        <w:tblInd w:w="0" w:type="dxa"/>
        <w:tblLayout w:type="fixed"/>
        <w:tblCellMar>
          <w:top w:w="0" w:type="dxa"/>
          <w:left w:w="0" w:type="dxa"/>
          <w:bottom w:w="0" w:type="dxa"/>
          <w:right w:w="0" w:type="dxa"/>
        </w:tblCellMar>
      </w:tblPr>
      <w:tblGrid>
        <w:gridCol w:w="5146"/>
        <w:gridCol w:w="1456"/>
        <w:gridCol w:w="3271"/>
      </w:tblGrid>
      <w:tr>
        <w:trPr/>
        <w:tc>
          <w:tcPr>
            <w:tcW w:w="51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271" w:type="dxa"/>
            <w:tcBorders/>
            <w:vAlign w:val="center"/>
          </w:tcPr>
          <w:p>
            <w:pPr>
              <w:pStyle w:val="TableContents"/>
              <w:bidi w:val="0"/>
              <w:spacing w:before="0" w:after="0"/>
              <w:ind w:left="0" w:right="0" w:hanging="0"/>
              <w:jc w:val="left"/>
              <w:rPr/>
            </w:pPr>
            <w:r>
              <w:rPr/>
              <w:t>​</w:t>
            </w:r>
          </w:p>
        </w:tc>
      </w:tr>
      <w:tr>
        <w:trPr/>
        <w:tc>
          <w:tcPr>
            <w:tcW w:w="514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5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514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$0.01 per share</w:t>
            </w:r>
          </w:p>
        </w:tc>
        <w:tc>
          <w:tcPr>
            <w:tcW w:w="145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LOCO</w:t>
            </w:r>
          </w:p>
        </w:tc>
        <w:tc>
          <w:tcPr>
            <w:tcW w:w="3271"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r>
        <w:trPr/>
        <w:tc>
          <w:tcPr>
            <w:tcW w:w="514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Rights to Purchase Series A Preferred Stock, par value $0.01 per share</w:t>
            </w:r>
          </w:p>
        </w:tc>
        <w:tc>
          <w:tcPr>
            <w:tcW w:w="145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40"/>
              <w:ind w:left="0" w:right="0" w:hanging="0"/>
              <w:jc w:val="center"/>
              <w:rPr/>
            </w:pPr>
            <w:r>
              <w:rPr/>
              <w:t>​</w:t>
            </w:r>
          </w:p>
        </w:tc>
        <w:tc>
          <w:tcPr>
            <w:tcW w:w="3271"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80"/>
        <w:ind w:left="0" w:right="0" w:firstLine="562"/>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8"/>
        </w:rPr>
        <w:t>Yes</w:t>
      </w:r>
      <w:r>
        <w:rPr>
          <w:rFonts w:ascii="Times New Roman;Times;serif" w:hAnsi="Times New Roman;Times;serif"/>
          <w:sz w:val="20"/>
        </w:rPr>
        <w:t>    ☐  </w:t>
      </w:r>
      <w:r>
        <w:rPr>
          <w:rFonts w:ascii="Times New Roman;Times;serif" w:hAnsi="Times New Roman;Times;serif"/>
          <w:sz w:val="18"/>
        </w:rPr>
        <w:t>No</w:t>
      </w:r>
    </w:p>
    <w:p>
      <w:pPr>
        <w:pStyle w:val="TextBody"/>
        <w:bidi w:val="0"/>
        <w:spacing w:before="0" w:after="80"/>
        <w:ind w:left="0" w:right="0" w:firstLine="562"/>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8"/>
        </w:rPr>
        <w:t>Yes</w:t>
      </w:r>
      <w:r>
        <w:rPr>
          <w:rFonts w:ascii="Times New Roman;Times;serif" w:hAnsi="Times New Roman;Times;serif"/>
          <w:sz w:val="20"/>
        </w:rPr>
        <w:t>    ☐  </w:t>
      </w:r>
      <w:r>
        <w:rPr>
          <w:rFonts w:ascii="Times New Roman;Times;serif" w:hAnsi="Times New Roman;Times;serif"/>
          <w:sz w:val="18"/>
        </w:rPr>
        <w:t>No</w:t>
      </w:r>
    </w:p>
    <w:p>
      <w:pPr>
        <w:pStyle w:val="TextBody"/>
        <w:bidi w:val="0"/>
        <w:spacing w:before="0" w:after="0"/>
        <w:ind w:left="0" w:right="0" w:firstLine="562"/>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firstLine="562"/>
        <w:jc w:val="left"/>
        <w:rPr/>
      </w:pPr>
      <w:r>
        <w:rPr/>
        <w:t>​</w:t>
      </w:r>
    </w:p>
    <w:p>
      <w:pPr>
        <w:pStyle w:val="Normal"/>
        <w:bidi w:val="0"/>
        <w:spacing w:before="0" w:after="0"/>
        <w:jc w:val="left"/>
        <w:rPr>
          <w:sz w:val="4"/>
          <w:szCs w:val="4"/>
        </w:rPr>
      </w:pPr>
      <w:r>
        <w:rPr>
          <w:sz w:val="4"/>
          <w:szCs w:val="4"/>
        </w:rPr>
      </w:r>
      <w:bookmarkStart w:id="33" w:name="Tc_iUjmOLxmhkmf9HvU0VQUqw_5_2"/>
      <w:bookmarkStart w:id="34" w:name="Tc_lkQgRktt0UiJNQLsvbt_Zg_3_2"/>
      <w:bookmarkStart w:id="35" w:name="Tc_vjz7edXbGEOp4gYcPQ42YA_3_1"/>
      <w:bookmarkStart w:id="36" w:name="Tc_rb8ihVqr00Gvnne0M_Q4Xg_3_0"/>
      <w:bookmarkStart w:id="37" w:name="Tc_XEQO8gb0j0SRS8b5iVjmeA_1_3"/>
      <w:bookmarkStart w:id="38" w:name="Tc_hgj5ifOTWkyxEg0A0NBx3A_1_1"/>
      <w:bookmarkStart w:id="39" w:name="Tc_sGDewQPFnUSBxS9lfmixqw_1_0"/>
      <w:bookmarkStart w:id="40" w:name="_1e36b7ef_5ef7_4a0f_afaf_eb5a0bfe0b7d"/>
      <w:bookmarkStart w:id="41" w:name="Tc_iUjmOLxmhkmf9HvU0VQUqw_5_2"/>
      <w:bookmarkStart w:id="42" w:name="Tc_lkQgRktt0UiJNQLsvbt_Zg_3_2"/>
      <w:bookmarkStart w:id="43" w:name="Tc_vjz7edXbGEOp4gYcPQ42YA_3_1"/>
      <w:bookmarkStart w:id="44" w:name="Tc_rb8ihVqr00Gvnne0M_Q4Xg_3_0"/>
      <w:bookmarkStart w:id="45" w:name="Tc_XEQO8gb0j0SRS8b5iVjmeA_1_3"/>
      <w:bookmarkStart w:id="46" w:name="Tc_hgj5ifOTWkyxEg0A0NBx3A_1_1"/>
      <w:bookmarkStart w:id="47" w:name="Tc_sGDewQPFnUSBxS9lfmixqw_1_0"/>
      <w:bookmarkStart w:id="48" w:name="_1e36b7ef_5ef7_4a0f_afaf_eb5a0bfe0b7d"/>
      <w:bookmarkEnd w:id="41"/>
      <w:bookmarkEnd w:id="42"/>
      <w:bookmarkEnd w:id="43"/>
      <w:bookmarkEnd w:id="44"/>
      <w:bookmarkEnd w:id="45"/>
      <w:bookmarkEnd w:id="46"/>
      <w:bookmarkEnd w:id="47"/>
      <w:bookmarkEnd w:id="48"/>
    </w:p>
    <w:tbl>
      <w:tblPr>
        <w:tblW w:w="4579" w:type="dxa"/>
        <w:jc w:val="left"/>
        <w:tblInd w:w="0" w:type="dxa"/>
        <w:tblLayout w:type="fixed"/>
        <w:tblCellMar>
          <w:top w:w="0" w:type="dxa"/>
          <w:left w:w="0" w:type="dxa"/>
          <w:bottom w:w="0" w:type="dxa"/>
          <w:right w:w="0" w:type="dxa"/>
        </w:tblCellMar>
      </w:tblPr>
      <w:tblGrid>
        <w:gridCol w:w="1771"/>
        <w:gridCol w:w="316"/>
        <w:gridCol w:w="2131"/>
        <w:gridCol w:w="36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124585" cy="175260"/>
                      <wp:effectExtent l="0" t="0" r="0" b="0"/>
                      <wp:wrapNone/>
                      <wp:docPr id="1" name="Frame1"/>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53185" cy="175260"/>
                      <wp:effectExtent l="0" t="0" r="0" b="0"/>
                      <wp:wrapNone/>
                      <wp:docPr id="3" name="Frame3"/>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firstLine="562"/>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firstLine="562"/>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w:t>
      </w:r>
      <w:r>
        <w:rPr>
          <w:rFonts w:ascii="Times New Roman;Times;serif" w:hAnsi="Times New Roman;Times;serif"/>
          <w:sz w:val="20"/>
        </w:rPr>
        <w:t>☐  </w:t>
      </w:r>
      <w:r>
        <w:rPr>
          <w:rFonts w:ascii="Times New Roman;Times;serif" w:hAnsi="Times New Roman;Times;serif"/>
          <w:sz w:val="18"/>
        </w:rPr>
        <w:t>Yes    </w:t>
      </w:r>
      <w:r>
        <w:rPr>
          <w:rFonts w:ascii="Times New Roman;Times;serif" w:hAnsi="Times New Roman;Times;serif"/>
          <w:sz w:val="20"/>
        </w:rPr>
        <w:t>☒  </w:t>
      </w:r>
      <w:r>
        <w:rPr>
          <w:rFonts w:ascii="Times New Roman;Times;serif" w:hAnsi="Times New Roman;Times;serif"/>
          <w:sz w:val="18"/>
        </w:rPr>
        <w:t>No</w:t>
      </w:r>
    </w:p>
    <w:p>
      <w:pPr>
        <w:pStyle w:val="TextBody"/>
        <w:bidi w:val="0"/>
        <w:spacing w:before="0" w:after="0"/>
        <w:ind w:left="0" w:right="0" w:firstLine="562"/>
        <w:jc w:val="left"/>
        <w:rPr>
          <w:rFonts w:ascii="Times New Roman;Times;serif" w:hAnsi="Times New Roman;Times;serif"/>
          <w:sz w:val="18"/>
        </w:rPr>
      </w:pPr>
      <w:r>
        <w:rPr>
          <w:rFonts w:ascii="Times New Roman;Times;serif" w:hAnsi="Times New Roman;Times;serif"/>
          <w:sz w:val="18"/>
        </w:rPr>
        <w:t>As of July 26, 2024, there were 29,928,318 shares of the issuer’s common stock outstanding.</w:t>
      </w:r>
    </w:p>
    <w:p>
      <w:pPr>
        <w:pStyle w:val="TextBody"/>
        <w:bidi w:val="0"/>
        <w:spacing w:before="0" w:after="240"/>
        <w:ind w:left="0" w:right="0" w:firstLine="562"/>
        <w:jc w:val="left"/>
        <w:rPr/>
      </w:pPr>
      <w:r>
        <w:rPr/>
        <w:t>​</w:t>
      </w:r>
    </w:p>
    <w:p>
      <w:pPr>
        <w:pStyle w:val="TextBody"/>
        <w:pBdr>
          <w:top w:val="single" w:sz="8" w:space="1" w:color="000000"/>
          <w:bottom w:val="single" w:sz="24" w:space="1" w:color="000000"/>
        </w:pBdr>
        <w:bidi w:val="0"/>
        <w:spacing w:before="0" w:after="240"/>
        <w:ind w:left="0" w:right="0" w:firstLine="562"/>
        <w:jc w:val="left"/>
        <w:rPr/>
      </w:pPr>
      <w:r>
        <w:rPr/>
        <w:t>​</w:t>
      </w:r>
    </w:p>
    <w:p>
      <w:pPr>
        <w:pStyle w:val="TextBody"/>
        <w:bidi w:val="0"/>
        <w:spacing w:before="0" w:after="240"/>
        <w:ind w:left="0" w:right="0" w:firstLine="562"/>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49" w:name="_a9db035f_d435_44a0_ac65_fa6d56dd182b"/>
      <w:bookmarkStart w:id="50" w:name="TOC"/>
      <w:bookmarkEnd w:id="49"/>
      <w:bookmarkEnd w:id="50"/>
      <w:r>
        <w:rPr/>
        <w:t>​</w:t>
      </w:r>
    </w:p>
    <w:tbl>
      <w:tblPr>
        <w:tblW w:w="604" w:type="dxa"/>
        <w:jc w:val="left"/>
        <w:tblInd w:w="0" w:type="dxa"/>
        <w:tblLayout w:type="fixed"/>
        <w:tblCellMar>
          <w:top w:w="0" w:type="dxa"/>
          <w:left w:w="0" w:type="dxa"/>
          <w:bottom w:w="0" w:type="dxa"/>
          <w:right w:w="0" w:type="dxa"/>
        </w:tblCellMar>
      </w:tblPr>
      <w:tblGrid>
        <w:gridCol w:w="124"/>
        <w:gridCol w:w="32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175260"/>
                      <wp:effectExtent l="0" t="0" r="0" b="0"/>
                      <wp:wrapNone/>
                      <wp:docPr id="5" name="Frame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7790" cy="175260"/>
                      <wp:effectExtent l="0" t="0" r="0" b="0"/>
                      <wp:wrapNone/>
                      <wp:docPr id="6" name="Frame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8740" cy="1518920"/>
                      <wp:effectExtent l="0" t="0" r="0" b="0"/>
                      <wp:wrapNone/>
                      <wp:docPr id="7" name="Frame7"/>
                      <a:graphic xmlns:a="http://schemas.openxmlformats.org/drawingml/2006/main">
                        <a:graphicData uri="http://schemas.microsoft.com/office/word/2010/wordprocessingShape">
                          <wps:wsp>
                            <wps:cNvSpPr txBox="1"/>
                            <wps:spPr>
                              <a:xfrm>
                                <a:off x="0" y="0"/>
                                <a:ext cx="78740" cy="1518920"/>
                              </a:xfrm>
                              <a:prstGeom prst="rect"/>
                              <a:solidFill>
                                <a:srgbClr val="FFFFFF"/>
                              </a:solidFill>
                            </wps:spPr>
                            <wps:txb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Table of Contents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Table of Contents</w:t>
                            </w:r>
                          </w:p>
                        </w:txbxContent>
                      </v:textbox>
                      <w10:wrap type="none"/>
                    </v:rect>
                  </w:pict>
                </mc:Fallback>
              </mc:AlternateContent>
            </w:r>
          </w:p>
        </w:tc>
        <w:tc>
          <w:tcPr>
            <w:tcW w:w="326" w:type="dxa"/>
            <w:tcBorders/>
            <w:vAlign w:val="center"/>
          </w:tcPr>
          <w:p>
            <w:pPr>
              <w:pStyle w:val="TableContents"/>
              <w:bidi w:val="0"/>
              <w:spacing w:before="0" w:after="40"/>
              <w:ind w:left="0" w:right="0" w:hanging="0"/>
              <w:jc w:val="center"/>
              <w:rPr/>
            </w:pPr>
            <w:r>
              <w:rPr/>
              <w:t>    </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350520"/>
                      <wp:effectExtent l="0" t="0" r="0" b="0"/>
                      <wp:wrapNone/>
                      <wp:docPr id="8" name="Frame8"/>
                      <a:graphic xmlns:a="http://schemas.openxmlformats.org/drawingml/2006/main">
                        <a:graphicData uri="http://schemas.microsoft.com/office/word/2010/wordprocessingShape">
                          <wps:wsp>
                            <wps:cNvSpPr txBox="1"/>
                            <wps:spPr>
                              <a:xfrm>
                                <a:off x="0" y="0"/>
                                <a:ext cx="97790" cy="3505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Page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8740" cy="175260"/>
                      <wp:effectExtent l="0" t="0" r="0" b="0"/>
                      <wp:wrapNone/>
                      <wp:docPr id="9" name="Frame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7790" cy="175260"/>
                      <wp:effectExtent l="0" t="0" r="0" b="0"/>
                      <wp:wrapNone/>
                      <wp:docPr id="10" name="Frame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8740" cy="2649220"/>
                      <wp:effectExtent l="0" t="0" r="0" b="0"/>
                      <wp:wrapNone/>
                      <wp:docPr id="11" name="Frame11"/>
                      <a:graphic xmlns:a="http://schemas.openxmlformats.org/drawingml/2006/main">
                        <a:graphicData uri="http://schemas.microsoft.com/office/word/2010/wordprocessingShape">
                          <wps:wsp>
                            <wps:cNvSpPr txBox="1"/>
                            <wps:spPr>
                              <a:xfrm>
                                <a:off x="0" y="0"/>
                                <a:ext cx="78740" cy="2649220"/>
                              </a:xfrm>
                              <a:prstGeom prst="rect"/>
                              <a:solidFill>
                                <a:srgbClr val="FFFFFF"/>
                              </a:solidFill>
                            </wps:spPr>
                            <wps:txbx>
                              <w:txbxContent>
                                <w:p>
                                  <w:pPr>
                                    <w:pStyle w:val="TableContents"/>
                                    <w:bidi w:val="0"/>
                                    <w:spacing w:before="0" w:after="40"/>
                                    <w:ind w:left="0" w:right="0" w:hanging="0"/>
                                    <w:jc w:val="left"/>
                                    <w:rPr/>
                                  </w:pPr>
                                  <w:hyperlink w:anchor="PARTIFINANCIALINFORMATION_255169">
                                    <w:r>
                                      <w:rPr>
                                        <w:rStyle w:val="InternetLink"/>
                                        <w:rFonts w:ascii="Times New Roman;Times;serif" w:hAnsi="Times New Roman;Times;serif"/>
                                        <w:b w:val="false"/>
                                        <w:i w:val="false"/>
                                        <w:caps w:val="false"/>
                                        <w:smallCaps w:val="false"/>
                                        <w:sz w:val="20"/>
                                      </w:rPr>
                                      <w:t>PART I—FINANCIAL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08.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PARTIFINANCIALINFORMATION_255169">
                              <w:r>
                                <w:rPr>
                                  <w:rStyle w:val="InternetLink"/>
                                  <w:rFonts w:ascii="Times New Roman;Times;serif" w:hAnsi="Times New Roman;Times;serif"/>
                                  <w:b w:val="false"/>
                                  <w:i w:val="false"/>
                                  <w:caps w:val="false"/>
                                  <w:smallCaps w:val="false"/>
                                  <w:sz w:val="20"/>
                                </w:rPr>
                                <w:t>PART I—FINANCIAL INFORMATION</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7790" cy="146685"/>
                      <wp:effectExtent l="0" t="0" r="0" b="0"/>
                      <wp:wrapNone/>
                      <wp:docPr id="12" name="Frame12"/>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78740" cy="2440305"/>
                      <wp:effectExtent l="0" t="0" r="0" b="0"/>
                      <wp:wrapNone/>
                      <wp:docPr id="13" name="Frame13"/>
                      <a:graphic xmlns:a="http://schemas.openxmlformats.org/drawingml/2006/main">
                        <a:graphicData uri="http://schemas.microsoft.com/office/word/2010/wordprocessingShape">
                          <wps:wsp>
                            <wps:cNvSpPr txBox="1"/>
                            <wps:spPr>
                              <a:xfrm>
                                <a:off x="0" y="0"/>
                                <a:ext cx="78740" cy="2440305"/>
                              </a:xfrm>
                              <a:prstGeom prst="rect"/>
                              <a:solidFill>
                                <a:srgbClr val="FFFFFF"/>
                              </a:solidFill>
                            </wps:spPr>
                            <wps:txbx>
                              <w:txbxContent>
                                <w:p>
                                  <w:pPr>
                                    <w:pStyle w:val="TableContents"/>
                                    <w:bidi w:val="0"/>
                                    <w:spacing w:before="0" w:after="40"/>
                                    <w:ind w:left="0" w:right="0" w:hanging="0"/>
                                    <w:jc w:val="left"/>
                                    <w:rPr/>
                                  </w:pPr>
                                  <w:hyperlink w:anchor="Item1FinancialStatements_653632">
                                    <w:r>
                                      <w:rPr>
                                        <w:rStyle w:val="InternetLink"/>
                                        <w:rFonts w:ascii="Times New Roman;Times;serif" w:hAnsi="Times New Roman;Times;serif"/>
                                        <w:b w:val="false"/>
                                        <w:i w:val="false"/>
                                        <w:caps w:val="false"/>
                                        <w:smallCaps w:val="false"/>
                                        <w:sz w:val="20"/>
                                      </w:rPr>
                                      <w:t>Item 1. Financial Statements.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92.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1FinancialStatements_653632">
                              <w:r>
                                <w:rPr>
                                  <w:rStyle w:val="InternetLink"/>
                                  <w:rFonts w:ascii="Times New Roman;Times;serif" w:hAnsi="Times New Roman;Times;serif"/>
                                  <w:b w:val="false"/>
                                  <w:i w:val="false"/>
                                  <w:caps w:val="false"/>
                                  <w:smallCaps w:val="false"/>
                                  <w:sz w:val="20"/>
                                </w:rPr>
                                <w:t>Item 1. Financial Statements.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7790" cy="146685"/>
                      <wp:effectExtent l="0" t="0" r="0" b="0"/>
                      <wp:wrapNone/>
                      <wp:docPr id="14" name="Frame14"/>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8740" cy="2231390"/>
                      <wp:effectExtent l="0" t="0" r="0" b="0"/>
                      <wp:wrapNone/>
                      <wp:docPr id="15" name="Frame15"/>
                      <a:graphic xmlns:a="http://schemas.openxmlformats.org/drawingml/2006/main">
                        <a:graphicData uri="http://schemas.microsoft.com/office/word/2010/wordprocessingShape">
                          <wps:wsp>
                            <wps:cNvSpPr txBox="1"/>
                            <wps:spPr>
                              <a:xfrm>
                                <a:off x="0" y="0"/>
                                <a:ext cx="78740" cy="2231390"/>
                              </a:xfrm>
                              <a:prstGeom prst="rect"/>
                              <a:solidFill>
                                <a:srgbClr val="FFFFFF"/>
                              </a:solidFill>
                            </wps:spPr>
                            <wps:txbx>
                              <w:txbxContent>
                                <w:p>
                                  <w:pPr>
                                    <w:pStyle w:val="TableContents"/>
                                    <w:bidi w:val="0"/>
                                    <w:spacing w:before="0" w:after="40"/>
                                    <w:ind w:left="0" w:right="0" w:firstLine="390"/>
                                    <w:jc w:val="left"/>
                                    <w:rPr/>
                                  </w:pPr>
                                  <w:hyperlink w:anchor="CONDENSEDCONSOLIDATEDBALANCESHEETSUNAUDI">
                                    <w:r>
                                      <w:rPr>
                                        <w:rStyle w:val="InternetLink"/>
                                        <w:rFonts w:ascii="Times New Roman;Times;serif" w:hAnsi="Times New Roman;Times;serif"/>
                                        <w:b w:val="false"/>
                                        <w:i w:val="false"/>
                                        <w:caps w:val="false"/>
                                        <w:smallCaps w:val="false"/>
                                        <w:sz w:val="20"/>
                                      </w:rPr>
                                      <w:t>Condensed Consolidated Balance Sheets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75.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CONDENSEDCONSOLIDATEDBALANCESHEETSUNAUDI">
                              <w:r>
                                <w:rPr>
                                  <w:rStyle w:val="InternetLink"/>
                                  <w:rFonts w:ascii="Times New Roman;Times;serif" w:hAnsi="Times New Roman;Times;serif"/>
                                  <w:b w:val="false"/>
                                  <w:i w:val="false"/>
                                  <w:caps w:val="false"/>
                                  <w:smallCaps w:val="false"/>
                                  <w:sz w:val="20"/>
                                </w:rPr>
                                <w:t>Condensed Consolidated Balance Sheets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7790" cy="146685"/>
                      <wp:effectExtent l="0" t="0" r="0" b="0"/>
                      <wp:wrapNone/>
                      <wp:docPr id="16" name="Frame16"/>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8740" cy="2022475"/>
                      <wp:effectExtent l="0" t="0" r="0" b="0"/>
                      <wp:wrapNone/>
                      <wp:docPr id="17" name="Frame17"/>
                      <a:graphic xmlns:a="http://schemas.openxmlformats.org/drawingml/2006/main">
                        <a:graphicData uri="http://schemas.microsoft.com/office/word/2010/wordprocessingShape">
                          <wps:wsp>
                            <wps:cNvSpPr txBox="1"/>
                            <wps:spPr>
                              <a:xfrm>
                                <a:off x="0" y="0"/>
                                <a:ext cx="78740" cy="2022475"/>
                              </a:xfrm>
                              <a:prstGeom prst="rect"/>
                              <a:solidFill>
                                <a:srgbClr val="FFFFFF"/>
                              </a:solidFill>
                            </wps:spPr>
                            <wps:txbx>
                              <w:txbxContent>
                                <w:p>
                                  <w:pPr>
                                    <w:pStyle w:val="TableContents"/>
                                    <w:bidi w:val="0"/>
                                    <w:spacing w:before="0" w:after="40"/>
                                    <w:ind w:left="0" w:right="0" w:firstLine="390"/>
                                    <w:jc w:val="left"/>
                                    <w:rPr/>
                                  </w:pPr>
                                  <w:hyperlink w:anchor="CONDENSEDCONSOLIDATEDSTATEMENTSOFINCOMEU">
                                    <w:r>
                                      <w:rPr>
                                        <w:rStyle w:val="InternetLink"/>
                                        <w:rFonts w:ascii="Times New Roman;Times;serif" w:hAnsi="Times New Roman;Times;serif"/>
                                        <w:b w:val="false"/>
                                        <w:i w:val="false"/>
                                        <w:caps w:val="false"/>
                                        <w:smallCaps w:val="false"/>
                                        <w:sz w:val="20"/>
                                      </w:rPr>
                                      <w:t>Condensed Consolidated Statements of Income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59.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CONDENSEDCONSOLIDATEDSTATEMENTSOFINCOMEU">
                              <w:r>
                                <w:rPr>
                                  <w:rStyle w:val="InternetLink"/>
                                  <w:rFonts w:ascii="Times New Roman;Times;serif" w:hAnsi="Times New Roman;Times;serif"/>
                                  <w:b w:val="false"/>
                                  <w:i w:val="false"/>
                                  <w:caps w:val="false"/>
                                  <w:smallCaps w:val="false"/>
                                  <w:sz w:val="20"/>
                                </w:rPr>
                                <w:t>Condensed Consolidated Statements of Income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7790" cy="146685"/>
                      <wp:effectExtent l="0" t="0" r="0" b="0"/>
                      <wp:wrapNone/>
                      <wp:docPr id="18" name="Frame18"/>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8740" cy="1813560"/>
                      <wp:effectExtent l="0" t="0" r="0" b="0"/>
                      <wp:wrapNone/>
                      <wp:docPr id="19" name="Frame19"/>
                      <a:graphic xmlns:a="http://schemas.openxmlformats.org/drawingml/2006/main">
                        <a:graphicData uri="http://schemas.microsoft.com/office/word/2010/wordprocessingShape">
                          <wps:wsp>
                            <wps:cNvSpPr txBox="1"/>
                            <wps:spPr>
                              <a:xfrm>
                                <a:off x="0" y="0"/>
                                <a:ext cx="78740" cy="1813560"/>
                              </a:xfrm>
                              <a:prstGeom prst="rect"/>
                              <a:solidFill>
                                <a:srgbClr val="FFFFFF"/>
                              </a:solidFill>
                            </wps:spPr>
                            <wps:txbx>
                              <w:txbxContent>
                                <w:p>
                                  <w:pPr>
                                    <w:pStyle w:val="TableContents"/>
                                    <w:bidi w:val="0"/>
                                    <w:spacing w:before="0" w:after="40"/>
                                    <w:ind w:left="0" w:right="0" w:firstLine="39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42.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7790" cy="146685"/>
                      <wp:effectExtent l="0" t="0" r="0" b="0"/>
                      <wp:wrapNone/>
                      <wp:docPr id="20" name="Frame20"/>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8740" cy="1604645"/>
                      <wp:effectExtent l="0" t="0" r="0" b="0"/>
                      <wp:wrapNone/>
                      <wp:docPr id="21" name="Frame21"/>
                      <a:graphic xmlns:a="http://schemas.openxmlformats.org/drawingml/2006/main">
                        <a:graphicData uri="http://schemas.microsoft.com/office/word/2010/wordprocessingShape">
                          <wps:wsp>
                            <wps:cNvSpPr txBox="1"/>
                            <wps:spPr>
                              <a:xfrm>
                                <a:off x="0" y="0"/>
                                <a:ext cx="78740" cy="1604645"/>
                              </a:xfrm>
                              <a:prstGeom prst="rect"/>
                              <a:solidFill>
                                <a:srgbClr val="FFFFFF"/>
                              </a:solidFill>
                            </wps:spPr>
                            <wps:txbx>
                              <w:txbxContent>
                                <w:p>
                                  <w:pPr>
                                    <w:pStyle w:val="TableContents"/>
                                    <w:bidi w:val="0"/>
                                    <w:spacing w:before="0" w:after="40"/>
                                    <w:ind w:left="0" w:right="0" w:firstLine="39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6.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7790" cy="146685"/>
                      <wp:effectExtent l="0" t="0" r="0" b="0"/>
                      <wp:wrapNone/>
                      <wp:docPr id="22" name="Frame22"/>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8740" cy="1395730"/>
                      <wp:effectExtent l="0" t="0" r="0" b="0"/>
                      <wp:wrapNone/>
                      <wp:docPr id="23" name="Frame23"/>
                      <a:graphic xmlns:a="http://schemas.openxmlformats.org/drawingml/2006/main">
                        <a:graphicData uri="http://schemas.microsoft.com/office/word/2010/wordprocessingShape">
                          <wps:wsp>
                            <wps:cNvSpPr txBox="1"/>
                            <wps:spPr>
                              <a:xfrm>
                                <a:off x="0" y="0"/>
                                <a:ext cx="78740" cy="1395730"/>
                              </a:xfrm>
                              <a:prstGeom prst="rect"/>
                              <a:solidFill>
                                <a:srgbClr val="FFFFFF"/>
                              </a:solidFill>
                            </wps:spPr>
                            <wps:txbx>
                              <w:txbxContent>
                                <w:p>
                                  <w:pPr>
                                    <w:pStyle w:val="TableContents"/>
                                    <w:bidi w:val="0"/>
                                    <w:spacing w:before="0" w:after="40"/>
                                    <w:ind w:left="0" w:right="0" w:firstLine="39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09.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97790" cy="146685"/>
                      <wp:effectExtent l="0" t="0" r="0" b="0"/>
                      <wp:wrapNone/>
                      <wp:docPr id="24" name="Frame24"/>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8740" cy="1186815"/>
                      <wp:effectExtent l="0" t="0" r="0" b="0"/>
                      <wp:wrapNone/>
                      <wp:docPr id="25" name="Frame25"/>
                      <a:graphic xmlns:a="http://schemas.openxmlformats.org/drawingml/2006/main">
                        <a:graphicData uri="http://schemas.microsoft.com/office/word/2010/wordprocessingShape">
                          <wps:wsp>
                            <wps:cNvSpPr txBox="1"/>
                            <wps:spPr>
                              <a:xfrm>
                                <a:off x="0" y="0"/>
                                <a:ext cx="78740" cy="1186815"/>
                              </a:xfrm>
                              <a:prstGeom prst="rect"/>
                              <a:solidFill>
                                <a:srgbClr val="FFFFFF"/>
                              </a:solidFill>
                            </wps:spPr>
                            <wps:txbx>
                              <w:txbxContent>
                                <w:p>
                                  <w:pPr>
                                    <w:pStyle w:val="TableContents"/>
                                    <w:bidi w:val="0"/>
                                    <w:spacing w:before="0" w:after="40"/>
                                    <w:ind w:left="0" w:right="0" w:firstLine="39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93.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97790" cy="146685"/>
                      <wp:effectExtent l="0" t="0" r="0" b="0"/>
                      <wp:wrapNone/>
                      <wp:docPr id="26" name="Frame26"/>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8740" cy="977900"/>
                      <wp:effectExtent l="0" t="0" r="0" b="0"/>
                      <wp:wrapNone/>
                      <wp:docPr id="27" name="Frame27"/>
                      <a:graphic xmlns:a="http://schemas.openxmlformats.org/drawingml/2006/main">
                        <a:graphicData uri="http://schemas.microsoft.com/office/word/2010/wordprocessingShape">
                          <wps:wsp>
                            <wps:cNvSpPr txBox="1"/>
                            <wps:spPr>
                              <a:xfrm>
                                <a:off x="0" y="0"/>
                                <a:ext cx="78740" cy="977900"/>
                              </a:xfrm>
                              <a:prstGeom prst="rect"/>
                              <a:solidFill>
                                <a:srgbClr val="FFFFFF"/>
                              </a:solidFill>
                            </wps:spPr>
                            <wps:txbx>
                              <w:txbxContent>
                                <w:p>
                                  <w:pPr>
                                    <w:pStyle w:val="TableContents"/>
                                    <w:bidi w:val="0"/>
                                    <w:spacing w:before="0" w:after="4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7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7790" cy="293370"/>
                      <wp:effectExtent l="0" t="0" r="0" b="0"/>
                      <wp:wrapNone/>
                      <wp:docPr id="28" name="Frame28"/>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8740" cy="768985"/>
                      <wp:effectExtent l="0" t="0" r="0" b="0"/>
                      <wp:wrapNone/>
                      <wp:docPr id="29" name="Frame29"/>
                      <a:graphic xmlns:a="http://schemas.openxmlformats.org/drawingml/2006/main">
                        <a:graphicData uri="http://schemas.microsoft.com/office/word/2010/wordprocessingShape">
                          <wps:wsp>
                            <wps:cNvSpPr txBox="1"/>
                            <wps:spPr>
                              <a:xfrm>
                                <a:off x="0" y="0"/>
                                <a:ext cx="78740" cy="768985"/>
                              </a:xfrm>
                              <a:prstGeom prst="rect"/>
                              <a:solidFill>
                                <a:srgbClr val="FFFFFF"/>
                              </a:solidFill>
                            </wps:spPr>
                            <wps:txbx>
                              <w:txbxContent>
                                <w:p>
                                  <w:pPr>
                                    <w:pStyle w:val="TableContents"/>
                                    <w:bidi w:val="0"/>
                                    <w:spacing w:before="0" w:after="4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7790" cy="293370"/>
                      <wp:effectExtent l="0" t="0" r="0" b="0"/>
                      <wp:wrapNone/>
                      <wp:docPr id="30" name="Frame30"/>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8740" cy="560070"/>
                      <wp:effectExtent l="0" t="0" r="0" b="0"/>
                      <wp:wrapNone/>
                      <wp:docPr id="31" name="Frame31"/>
                      <a:graphic xmlns:a="http://schemas.openxmlformats.org/drawingml/2006/main">
                        <a:graphicData uri="http://schemas.microsoft.com/office/word/2010/wordprocessingShape">
                          <wps:wsp>
                            <wps:cNvSpPr txBox="1"/>
                            <wps:spPr>
                              <a:xfrm>
                                <a:off x="0" y="0"/>
                                <a:ext cx="78740" cy="560070"/>
                              </a:xfrm>
                              <a:prstGeom prst="rect"/>
                              <a:solidFill>
                                <a:srgbClr val="FFFFFF"/>
                              </a:solidFill>
                            </wps:spPr>
                            <wps:txbx>
                              <w:txbxContent>
                                <w:p>
                                  <w:pPr>
                                    <w:pStyle w:val="TableContents"/>
                                    <w:bidi w:val="0"/>
                                    <w:spacing w:before="0" w:after="40"/>
                                    <w:ind w:left="0" w:right="0" w:hanging="0"/>
                                    <w:jc w:val="left"/>
                                    <w:rPr/>
                                  </w:pPr>
                                  <w:hyperlink w:anchor="Item4ControlsandProcedures_514743">
                                    <w:r>
                                      <w:rPr>
                                        <w:rStyle w:val="InternetLink"/>
                                        <w:rFonts w:ascii="Times New Roman;Times;serif" w:hAnsi="Times New Roman;Times;serif"/>
                                        <w:b w:val="false"/>
                                        <w:i w:val="false"/>
                                        <w:caps w:val="false"/>
                                        <w:smallCaps w:val="false"/>
                                        <w:sz w:val="20"/>
                                      </w:rPr>
                                      <w:t>Item 4. Controls and Procedures.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4.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4ControlsandProcedures_514743">
                              <w:r>
                                <w:rPr>
                                  <w:rStyle w:val="InternetLink"/>
                                  <w:rFonts w:ascii="Times New Roman;Times;serif" w:hAnsi="Times New Roman;Times;serif"/>
                                  <w:b w:val="false"/>
                                  <w:i w:val="false"/>
                                  <w:caps w:val="false"/>
                                  <w:smallCaps w:val="false"/>
                                  <w:sz w:val="20"/>
                                </w:rPr>
                                <w:t>Item 4. Controls and Procedures.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97790" cy="293370"/>
                      <wp:effectExtent l="0" t="0" r="0" b="0"/>
                      <wp:wrapNone/>
                      <wp:docPr id="32" name="Frame32"/>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78740" cy="175260"/>
                      <wp:effectExtent l="0" t="0" r="0" b="0"/>
                      <wp:wrapNone/>
                      <wp:docPr id="33" name="Frame3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97790" cy="175260"/>
                      <wp:effectExtent l="0" t="0" r="0" b="0"/>
                      <wp:wrapNone/>
                      <wp:docPr id="34" name="Frame3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78740" cy="3520440"/>
                      <wp:effectExtent l="0" t="0" r="0" b="0"/>
                      <wp:wrapNone/>
                      <wp:docPr id="35" name="Frame35"/>
                      <a:graphic xmlns:a="http://schemas.openxmlformats.org/drawingml/2006/main">
                        <a:graphicData uri="http://schemas.microsoft.com/office/word/2010/wordprocessingShape">
                          <wps:wsp>
                            <wps:cNvSpPr txBox="1"/>
                            <wps:spPr>
                              <a:xfrm>
                                <a:off x="0" y="0"/>
                                <a:ext cx="78740" cy="3520440"/>
                              </a:xfrm>
                              <a:prstGeom prst="rect"/>
                              <a:solidFill>
                                <a:srgbClr val="FFFFFF"/>
                              </a:solidFill>
                            </wps:spPr>
                            <wps:txbx>
                              <w:txbxContent>
                                <w:p>
                                  <w:pPr>
                                    <w:pStyle w:val="TableContents"/>
                                    <w:bidi w:val="0"/>
                                    <w:spacing w:before="0" w:after="40"/>
                                    <w:ind w:left="0" w:right="0" w:hanging="0"/>
                                    <w:jc w:val="left"/>
                                    <w:rPr/>
                                  </w:pPr>
                                  <w:hyperlink w:anchor="PARTIIOTHERINFORMATION_750351">
                                    <w:r>
                                      <w:rPr>
                                        <w:rStyle w:val="InternetLink"/>
                                        <w:rFonts w:ascii="Times New Roman;Times;serif" w:hAnsi="Times New Roman;Times;serif"/>
                                        <w:b w:val="false"/>
                                        <w:i w:val="false"/>
                                        <w:caps w:val="false"/>
                                        <w:smallCaps w:val="false"/>
                                        <w:sz w:val="20"/>
                                      </w:rPr>
                                      <w:t>PART II—OTHER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77.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PARTIIOTHERINFORMATION_750351">
                              <w:r>
                                <w:rPr>
                                  <w:rStyle w:val="InternetLink"/>
                                  <w:rFonts w:ascii="Times New Roman;Times;serif" w:hAnsi="Times New Roman;Times;serif"/>
                                  <w:b w:val="false"/>
                                  <w:i w:val="false"/>
                                  <w:caps w:val="false"/>
                                  <w:smallCaps w:val="false"/>
                                  <w:sz w:val="20"/>
                                </w:rPr>
                                <w:t>PART II—OTHER INFORMATION</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97790" cy="293370"/>
                      <wp:effectExtent l="0" t="0" r="0" b="0"/>
                      <wp:wrapNone/>
                      <wp:docPr id="36" name="Frame36"/>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8740" cy="3373755"/>
                      <wp:effectExtent l="0" t="0" r="0" b="0"/>
                      <wp:wrapNone/>
                      <wp:docPr id="37" name="Frame37"/>
                      <a:graphic xmlns:a="http://schemas.openxmlformats.org/drawingml/2006/main">
                        <a:graphicData uri="http://schemas.microsoft.com/office/word/2010/wordprocessingShape">
                          <wps:wsp>
                            <wps:cNvSpPr txBox="1"/>
                            <wps:spPr>
                              <a:xfrm>
                                <a:off x="0" y="0"/>
                                <a:ext cx="78740" cy="3373755"/>
                              </a:xfrm>
                              <a:prstGeom prst="rect"/>
                              <a:solidFill>
                                <a:srgbClr val="FFFFFF"/>
                              </a:solidFill>
                            </wps:spPr>
                            <wps:txbx>
                              <w:txbxContent>
                                <w:p>
                                  <w:pPr>
                                    <w:pStyle w:val="TableContents"/>
                                    <w:bidi w:val="0"/>
                                    <w:spacing w:before="0" w:after="40"/>
                                    <w:ind w:left="0" w:right="0" w:hanging="0"/>
                                    <w:jc w:val="left"/>
                                    <w:rPr/>
                                  </w:pPr>
                                  <w:hyperlink w:anchor="Item1LegalProceedings_952142">
                                    <w:r>
                                      <w:rPr>
                                        <w:rStyle w:val="InternetLink"/>
                                        <w:rFonts w:ascii="Times New Roman;Times;serif" w:hAnsi="Times New Roman;Times;serif"/>
                                        <w:b w:val="false"/>
                                        <w:i w:val="false"/>
                                        <w:caps w:val="false"/>
                                        <w:smallCaps w:val="false"/>
                                        <w:sz w:val="20"/>
                                      </w:rPr>
                                      <w:t>Item 1. Legal Proceedings.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65.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1LegalProceedings_952142">
                              <w:r>
                                <w:rPr>
                                  <w:rStyle w:val="InternetLink"/>
                                  <w:rFonts w:ascii="Times New Roman;Times;serif" w:hAnsi="Times New Roman;Times;serif"/>
                                  <w:b w:val="false"/>
                                  <w:i w:val="false"/>
                                  <w:caps w:val="false"/>
                                  <w:smallCaps w:val="false"/>
                                  <w:sz w:val="20"/>
                                </w:rPr>
                                <w:t>Item 1. Legal Proceedings.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97790" cy="293370"/>
                      <wp:effectExtent l="0" t="0" r="0" b="0"/>
                      <wp:wrapNone/>
                      <wp:docPr id="38" name="Frame38"/>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8740" cy="2787015"/>
                      <wp:effectExtent l="0" t="0" r="0" b="0"/>
                      <wp:wrapNone/>
                      <wp:docPr id="39" name="Frame39"/>
                      <a:graphic xmlns:a="http://schemas.openxmlformats.org/drawingml/2006/main">
                        <a:graphicData uri="http://schemas.microsoft.com/office/word/2010/wordprocessingShape">
                          <wps:wsp>
                            <wps:cNvSpPr txBox="1"/>
                            <wps:spPr>
                              <a:xfrm>
                                <a:off x="0" y="0"/>
                                <a:ext cx="78740" cy="2787015"/>
                              </a:xfrm>
                              <a:prstGeom prst="rect"/>
                              <a:solidFill>
                                <a:srgbClr val="FFFFFF"/>
                              </a:solidFill>
                            </wps:spPr>
                            <wps:txbx>
                              <w:txbxContent>
                                <w:p>
                                  <w:pPr>
                                    <w:pStyle w:val="TableContents"/>
                                    <w:bidi w:val="0"/>
                                    <w:spacing w:before="0" w:after="40"/>
                                    <w:ind w:left="0" w:right="0" w:hanging="0"/>
                                    <w:jc w:val="left"/>
                                    <w:rPr/>
                                  </w:pPr>
                                  <w:hyperlink w:anchor="Item1ARiskFactors_611784">
                                    <w:r>
                                      <w:rPr>
                                        <w:rStyle w:val="InternetLink"/>
                                        <w:rFonts w:ascii="Times New Roman;Times;serif" w:hAnsi="Times New Roman;Times;serif"/>
                                        <w:b w:val="false"/>
                                        <w:i w:val="false"/>
                                        <w:caps w:val="false"/>
                                        <w:smallCaps w:val="false"/>
                                        <w:sz w:val="20"/>
                                      </w:rPr>
                                      <w:t>Item 1A. Risk Factors.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19.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1ARiskFactors_611784">
                              <w:r>
                                <w:rPr>
                                  <w:rStyle w:val="InternetLink"/>
                                  <w:rFonts w:ascii="Times New Roman;Times;serif" w:hAnsi="Times New Roman;Times;serif"/>
                                  <w:b w:val="false"/>
                                  <w:i w:val="false"/>
                                  <w:caps w:val="false"/>
                                  <w:smallCaps w:val="false"/>
                                  <w:sz w:val="20"/>
                                </w:rPr>
                                <w:t>Item 1A. Risk Factors.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97790" cy="293370"/>
                      <wp:effectExtent l="0" t="0" r="0" b="0"/>
                      <wp:wrapNone/>
                      <wp:docPr id="40" name="Frame40"/>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8740" cy="8067675"/>
                      <wp:effectExtent l="0" t="0" r="0" b="0"/>
                      <wp:wrapNone/>
                      <wp:docPr id="41" name="Frame41"/>
                      <a:graphic xmlns:a="http://schemas.openxmlformats.org/drawingml/2006/main">
                        <a:graphicData uri="http://schemas.microsoft.com/office/word/2010/wordprocessingShape">
                          <wps:wsp>
                            <wps:cNvSpPr txBox="1"/>
                            <wps:spPr>
                              <a:xfrm>
                                <a:off x="0" y="0"/>
                                <a:ext cx="78740" cy="8067675"/>
                              </a:xfrm>
                              <a:prstGeom prst="rect"/>
                              <a:solidFill>
                                <a:srgbClr val="FFFFFF"/>
                              </a:solidFill>
                            </wps:spPr>
                            <wps:txbx>
                              <w:txbxContent>
                                <w:p>
                                  <w:pPr>
                                    <w:pStyle w:val="TableContents"/>
                                    <w:bidi w:val="0"/>
                                    <w:spacing w:before="0" w:after="4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35.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97790" cy="293370"/>
                      <wp:effectExtent l="0" t="0" r="0" b="0"/>
                      <wp:wrapNone/>
                      <wp:docPr id="42" name="Frame42"/>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8740" cy="4693920"/>
                      <wp:effectExtent l="0" t="0" r="0" b="0"/>
                      <wp:wrapNone/>
                      <wp:docPr id="43" name="Frame43"/>
                      <a:graphic xmlns:a="http://schemas.openxmlformats.org/drawingml/2006/main">
                        <a:graphicData uri="http://schemas.microsoft.com/office/word/2010/wordprocessingShape">
                          <wps:wsp>
                            <wps:cNvSpPr txBox="1"/>
                            <wps:spPr>
                              <a:xfrm>
                                <a:off x="0" y="0"/>
                                <a:ext cx="78740" cy="4693920"/>
                              </a:xfrm>
                              <a:prstGeom prst="rect"/>
                              <a:solidFill>
                                <a:srgbClr val="FFFFFF"/>
                              </a:solidFill>
                            </wps:spPr>
                            <wps:txbx>
                              <w:txbxContent>
                                <w:p>
                                  <w:pPr>
                                    <w:pStyle w:val="TableContents"/>
                                    <w:bidi w:val="0"/>
                                    <w:spacing w:before="0" w:after="40"/>
                                    <w:ind w:left="0" w:right="0" w:hanging="0"/>
                                    <w:jc w:val="left"/>
                                    <w:rPr/>
                                  </w:pPr>
                                  <w:hyperlink w:anchor="Item3DefaultsofSeniorSecurities_13390">
                                    <w:r>
                                      <w:rPr>
                                        <w:rStyle w:val="InternetLink"/>
                                        <w:rFonts w:ascii="Times New Roman;Times;serif" w:hAnsi="Times New Roman;Times;serif"/>
                                        <w:b w:val="false"/>
                                        <w:i w:val="false"/>
                                        <w:caps w:val="false"/>
                                        <w:smallCaps w:val="false"/>
                                        <w:sz w:val="20"/>
                                      </w:rPr>
                                      <w:t>Item 3. Defaults Upon Senior Securities.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6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3DefaultsofSeniorSecurities_13390">
                              <w:r>
                                <w:rPr>
                                  <w:rStyle w:val="InternetLink"/>
                                  <w:rFonts w:ascii="Times New Roman;Times;serif" w:hAnsi="Times New Roman;Times;serif"/>
                                  <w:b w:val="false"/>
                                  <w:i w:val="false"/>
                                  <w:caps w:val="false"/>
                                  <w:smallCaps w:val="false"/>
                                  <w:sz w:val="20"/>
                                </w:rPr>
                                <w:t>Item 3. Defaults Upon Senior Securities.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97790" cy="293370"/>
                      <wp:effectExtent l="0" t="0" r="0" b="0"/>
                      <wp:wrapNone/>
                      <wp:docPr id="44" name="Frame44"/>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8740" cy="4107180"/>
                      <wp:effectExtent l="0" t="0" r="0" b="0"/>
                      <wp:wrapNone/>
                      <wp:docPr id="45" name="Frame45"/>
                      <a:graphic xmlns:a="http://schemas.openxmlformats.org/drawingml/2006/main">
                        <a:graphicData uri="http://schemas.microsoft.com/office/word/2010/wordprocessingShape">
                          <wps:wsp>
                            <wps:cNvSpPr txBox="1"/>
                            <wps:spPr>
                              <a:xfrm>
                                <a:off x="0" y="0"/>
                                <a:ext cx="78740" cy="4107180"/>
                              </a:xfrm>
                              <a:prstGeom prst="rect"/>
                              <a:solidFill>
                                <a:srgbClr val="FFFFFF"/>
                              </a:solidFill>
                            </wps:spPr>
                            <wps:txbx>
                              <w:txbxContent>
                                <w:p>
                                  <w:pPr>
                                    <w:pStyle w:val="TableContents"/>
                                    <w:bidi w:val="0"/>
                                    <w:spacing w:before="0" w:after="40"/>
                                    <w:ind w:left="0" w:right="0" w:hanging="0"/>
                                    <w:jc w:val="left"/>
                                    <w:rPr/>
                                  </w:pPr>
                                  <w:hyperlink w:anchor="Item4MineSafetyDisclosures_432267">
                                    <w:r>
                                      <w:rPr>
                                        <w:rStyle w:val="InternetLink"/>
                                        <w:rFonts w:ascii="Times New Roman;Times;serif" w:hAnsi="Times New Roman;Times;serif"/>
                                        <w:b w:val="false"/>
                                        <w:i w:val="false"/>
                                        <w:caps w:val="false"/>
                                        <w:smallCaps w:val="false"/>
                                        <w:sz w:val="20"/>
                                      </w:rPr>
                                      <w:t>Item 4. Mine Safety Disclosures.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2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4MineSafetyDisclosures_432267">
                              <w:r>
                                <w:rPr>
                                  <w:rStyle w:val="InternetLink"/>
                                  <w:rFonts w:ascii="Times New Roman;Times;serif" w:hAnsi="Times New Roman;Times;serif"/>
                                  <w:b w:val="false"/>
                                  <w:i w:val="false"/>
                                  <w:caps w:val="false"/>
                                  <w:smallCaps w:val="false"/>
                                  <w:sz w:val="20"/>
                                </w:rPr>
                                <w:t>Item 4. Mine Safety Disclosures.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97790" cy="293370"/>
                      <wp:effectExtent l="0" t="0" r="0" b="0"/>
                      <wp:wrapNone/>
                      <wp:docPr id="46" name="Frame46"/>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8740" cy="3227070"/>
                      <wp:effectExtent l="0" t="0" r="0" b="0"/>
                      <wp:wrapNone/>
                      <wp:docPr id="47" name="Frame47"/>
                      <a:graphic xmlns:a="http://schemas.openxmlformats.org/drawingml/2006/main">
                        <a:graphicData uri="http://schemas.microsoft.com/office/word/2010/wordprocessingShape">
                          <wps:wsp>
                            <wps:cNvSpPr txBox="1"/>
                            <wps:spPr>
                              <a:xfrm>
                                <a:off x="0" y="0"/>
                                <a:ext cx="78740" cy="3227070"/>
                              </a:xfrm>
                              <a:prstGeom prst="rect"/>
                              <a:solidFill>
                                <a:srgbClr val="FFFFFF"/>
                              </a:solidFill>
                            </wps:spPr>
                            <wps:txbx>
                              <w:txbxContent>
                                <w:p>
                                  <w:pPr>
                                    <w:pStyle w:val="TableContents"/>
                                    <w:bidi w:val="0"/>
                                    <w:spacing w:before="0" w:after="40"/>
                                    <w:ind w:left="0" w:right="0" w:hanging="0"/>
                                    <w:jc w:val="left"/>
                                    <w:rPr/>
                                  </w:pPr>
                                  <w:hyperlink w:anchor="Item5OtherInformation_929848">
                                    <w:r>
                                      <w:rPr>
                                        <w:rStyle w:val="InternetLink"/>
                                        <w:rFonts w:ascii="Times New Roman;Times;serif" w:hAnsi="Times New Roman;Times;serif"/>
                                        <w:b w:val="false"/>
                                        <w:i w:val="false"/>
                                        <w:caps w:val="false"/>
                                        <w:smallCaps w:val="false"/>
                                        <w:sz w:val="20"/>
                                      </w:rPr>
                                      <w:t>Item 5. Other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54.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5OtherInformation_929848">
                              <w:r>
                                <w:rPr>
                                  <w:rStyle w:val="InternetLink"/>
                                  <w:rFonts w:ascii="Times New Roman;Times;serif" w:hAnsi="Times New Roman;Times;serif"/>
                                  <w:b w:val="false"/>
                                  <w:i w:val="false"/>
                                  <w:caps w:val="false"/>
                                  <w:smallCaps w:val="false"/>
                                  <w:sz w:val="20"/>
                                </w:rPr>
                                <w:t>Item 5. Other Information.</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97790" cy="293370"/>
                      <wp:effectExtent l="0" t="0" r="0" b="0"/>
                      <wp:wrapNone/>
                      <wp:docPr id="48" name="Frame48"/>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78740" cy="2053590"/>
                      <wp:effectExtent l="0" t="0" r="0" b="0"/>
                      <wp:wrapNone/>
                      <wp:docPr id="49" name="Frame49"/>
                      <a:graphic xmlns:a="http://schemas.openxmlformats.org/drawingml/2006/main">
                        <a:graphicData uri="http://schemas.microsoft.com/office/word/2010/wordprocessingShape">
                          <wps:wsp>
                            <wps:cNvSpPr txBox="1"/>
                            <wps:spPr>
                              <a:xfrm>
                                <a:off x="0" y="0"/>
                                <a:ext cx="78740" cy="2053590"/>
                              </a:xfrm>
                              <a:prstGeom prst="rect"/>
                              <a:solidFill>
                                <a:srgbClr val="FFFFFF"/>
                              </a:solidFill>
                            </wps:spPr>
                            <wps:txbx>
                              <w:txbxContent>
                                <w:p>
                                  <w:pPr>
                                    <w:pStyle w:val="TableContents"/>
                                    <w:bidi w:val="0"/>
                                    <w:spacing w:before="0" w:after="40"/>
                                    <w:ind w:left="0" w:right="0" w:hanging="0"/>
                                    <w:jc w:val="left"/>
                                    <w:rPr/>
                                  </w:pPr>
                                  <w:hyperlink w:anchor="Item6Exhibits_636888">
                                    <w:r>
                                      <w:rPr>
                                        <w:rStyle w:val="InternetLink"/>
                                        <w:rFonts w:ascii="Times New Roman;Times;serif" w:hAnsi="Times New Roman;Times;serif"/>
                                        <w:b w:val="false"/>
                                        <w:i w:val="false"/>
                                        <w:caps w:val="false"/>
                                        <w:smallCaps w:val="false"/>
                                        <w:sz w:val="20"/>
                                      </w:rPr>
                                      <w:t>Item 6. Exhibits.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1.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6Exhibits_636888">
                              <w:r>
                                <w:rPr>
                                  <w:rStyle w:val="InternetLink"/>
                                  <w:rFonts w:ascii="Times New Roman;Times;serif" w:hAnsi="Times New Roman;Times;serif"/>
                                  <w:b w:val="false"/>
                                  <w:i w:val="false"/>
                                  <w:caps w:val="false"/>
                                  <w:smallCaps w:val="false"/>
                                  <w:sz w:val="20"/>
                                </w:rPr>
                                <w:t>Item 6. Exhibits.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7790" cy="293370"/>
                      <wp:effectExtent l="0" t="0" r="0" b="0"/>
                      <wp:wrapNone/>
                      <wp:docPr id="50" name="Frame50"/>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8740" cy="1466850"/>
                      <wp:effectExtent l="0" t="0" r="0" b="0"/>
                      <wp:wrapNone/>
                      <wp:docPr id="51" name="Frame51"/>
                      <a:graphic xmlns:a="http://schemas.openxmlformats.org/drawingml/2006/main">
                        <a:graphicData uri="http://schemas.microsoft.com/office/word/2010/wordprocessingShape">
                          <wps:wsp>
                            <wps:cNvSpPr txBox="1"/>
                            <wps:spPr>
                              <a:xfrm>
                                <a:off x="0" y="0"/>
                                <a:ext cx="78740" cy="1466850"/>
                              </a:xfrm>
                              <a:prstGeom prst="rect"/>
                              <a:solidFill>
                                <a:srgbClr val="FFFFFF"/>
                              </a:solidFill>
                            </wps:spPr>
                            <wps:txbx>
                              <w:txbxContent>
                                <w:p>
                                  <w:pPr>
                                    <w:pStyle w:val="TableContents"/>
                                    <w:bidi w:val="0"/>
                                    <w:spacing w:before="0" w:after="40"/>
                                    <w:ind w:left="0" w:right="0" w:hanging="0"/>
                                    <w:jc w:val="left"/>
                                    <w:rPr/>
                                  </w:pPr>
                                  <w:hyperlink w:anchor="SIGNATURES_726842">
                                    <w:r>
                                      <w:rPr>
                                        <w:rStyle w:val="InternetLink"/>
                                        <w:rFonts w:ascii="Times New Roman;Times;serif" w:hAnsi="Times New Roman;Times;serif"/>
                                        <w:b w:val="false"/>
                                        <w:i w:val="false"/>
                                        <w:caps w:val="false"/>
                                        <w:smallCaps w:val="false"/>
                                        <w:sz w:val="20"/>
                                      </w:rPr>
                                      <w:t>Signatures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SIGNATURES_726842">
                              <w:r>
                                <w:rPr>
                                  <w:rStyle w:val="InternetLink"/>
                                  <w:rFonts w:ascii="Times New Roman;Times;serif" w:hAnsi="Times New Roman;Times;serif"/>
                                  <w:b w:val="false"/>
                                  <w:i w:val="false"/>
                                  <w:caps w:val="false"/>
                                  <w:smallCaps w:val="false"/>
                                  <w:sz w:val="20"/>
                                </w:rPr>
                                <w:t>Signatures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97790" cy="293370"/>
                      <wp:effectExtent l="0" t="0" r="0" b="0"/>
                      <wp:wrapNone/>
                      <wp:docPr id="52" name="Frame52"/>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51" w:name="PARTIFINANCIALINFORMATION_255169"/>
      <w:bookmarkStart w:id="52" w:name="_f0066148_bb23_44b5_938d_3f38c9c22ef6"/>
      <w:bookmarkEnd w:id="51"/>
      <w:bookmarkEnd w:id="52"/>
      <w:r>
        <w:rPr>
          <w:rFonts w:ascii="Times New Roman;Times;serif" w:hAnsi="Times New Roman;Times;serif"/>
          <w:b/>
          <w:sz w:val="20"/>
        </w:rPr>
        <w:t>PART I—FINANCIAL INFORMATION</w:t>
      </w:r>
    </w:p>
    <w:p>
      <w:pPr>
        <w:pStyle w:val="TextBody"/>
        <w:bidi w:val="0"/>
        <w:spacing w:before="0" w:after="120"/>
        <w:ind w:left="0" w:right="0" w:hanging="0"/>
        <w:jc w:val="left"/>
        <w:rPr>
          <w:rFonts w:ascii="Times New Roman;Times;serif" w:hAnsi="Times New Roman;Times;serif"/>
          <w:b/>
          <w:sz w:val="20"/>
        </w:rPr>
      </w:pPr>
      <w:bookmarkStart w:id="53" w:name="Item1FinancialStatements_653632"/>
      <w:bookmarkEnd w:id="53"/>
      <w:r>
        <w:rPr>
          <w:rFonts w:ascii="Times New Roman;Times;serif" w:hAnsi="Times New Roman;Times;serif"/>
          <w:b/>
          <w:sz w:val="20"/>
        </w:rPr>
        <w:t>Item 1.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54" w:name="CONDENSEDCONSOLIDATEDBALANCESHEETSUNAUDI"/>
      <w:bookmarkEnd w:id="54"/>
      <w:r>
        <w:rPr>
          <w:rFonts w:ascii="Times New Roman;Times;serif" w:hAnsi="Times New Roman;Times;serif"/>
          <w:b/>
          <w:sz w:val="20"/>
        </w:rPr>
        <w:t>CONDENSED CONSOLIDATED BALANCE SHEETS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5" w:name="Tc_HyVm0GU2DUqVzNuDP3uirA_43_5"/>
      <w:bookmarkStart w:id="56" w:name="Tc_RhtaPagHVU6OM6lFufnl3g_43_2"/>
      <w:bookmarkStart w:id="57" w:name="Tc_CY5yCqgz3UKrC44KYAHeWg_43_0"/>
      <w:bookmarkStart w:id="58" w:name="Tc_3-UNNvvWtUSj1G9EP3o14A_42_0"/>
      <w:bookmarkStart w:id="59" w:name="Tc_6iKdeUEs60OLs41nedUsVQ_41_0"/>
      <w:bookmarkStart w:id="60" w:name="Tc_UGqW0e-EiUSGxQCgWUL9Bg_40_0"/>
      <w:bookmarkStart w:id="61" w:name="Tc_u8LBnL38FEGC2JGximuyIA_39_0"/>
      <w:bookmarkStart w:id="62" w:name="_9a6b5006_b5f0_4afd_881a_b5252250741a_3"/>
      <w:bookmarkStart w:id="63" w:name="_9a6b5006_b5f0_4afd_881a_b5252250741a_2"/>
      <w:bookmarkStart w:id="64" w:name="_9a6b5006_b5f0_4afd_881a_b5252250741a"/>
      <w:bookmarkStart w:id="65" w:name="Tc_XHiUfb1Ye0eNQmrQZC_8cw_38_0"/>
      <w:bookmarkStart w:id="66" w:name="Tc_hlT60YBamkGdikyIvpHU1A_37_0"/>
      <w:bookmarkStart w:id="67" w:name="Tc_yFmHsu7clUm0kQdyJX8l0w_36_0"/>
      <w:bookmarkStart w:id="68" w:name="Tc_5woVer9kNkeH5OWnkcxe1g_35_0"/>
      <w:bookmarkStart w:id="69" w:name="Tc_qKZfq0suGECveDCaly2jpw_34_0"/>
      <w:bookmarkStart w:id="70" w:name="Tc_gNdmHc9rCEaLUT3_uTbVrw_33_0"/>
      <w:bookmarkStart w:id="71" w:name="Tc_BgHeBNMhLUSTTFsbMh0agQ_32_0"/>
      <w:bookmarkStart w:id="72" w:name="Tc_SQoGh3I-bESs2y03Rfq1DQ_31_0"/>
      <w:bookmarkStart w:id="73" w:name="Tc_JLwcBnGqsEmDCXExLGcBBw_30_0"/>
      <w:bookmarkStart w:id="74" w:name="Tc_65EEf6nSok-0aisYTNfEKw_29_0"/>
      <w:bookmarkStart w:id="75" w:name="Tc_0A234y6R4UOrDFKEcfuGpw_28_0"/>
      <w:bookmarkStart w:id="76" w:name="Tc_dw1-KQPzukWeCUFnu1EtlA_27_0"/>
      <w:bookmarkStart w:id="77" w:name="Tc_PnomfhKuPkyK-NhRi7Jltw_26_0"/>
      <w:bookmarkStart w:id="78" w:name="Tc_hRUiBKSVP0qWRCc7Ml9qLw_25_0"/>
      <w:bookmarkStart w:id="79" w:name="Tc_8EX9SMjyCEG9iJ8E9SuluA_24_0"/>
      <w:bookmarkStart w:id="80" w:name="Tc_lfk21QyVeUqLw-k_jwu3ow_23_0"/>
      <w:bookmarkStart w:id="81" w:name="Tc_7mr_pwN4UEK-yPiq2EREdg_22_0"/>
      <w:bookmarkStart w:id="82" w:name="Tc_Lrsu6_PKkE-FxMtyYJRTCA_21_0"/>
      <w:bookmarkStart w:id="83" w:name="Tc_D5tXJYriikesplID12MFNw_20_5"/>
      <w:bookmarkStart w:id="84" w:name="Tc_4Sp8OM5DDEG5FSGY7ATJhw_20_2"/>
      <w:bookmarkStart w:id="85" w:name="Tc_5gvI0MJ4CUioVedviz-Fkw_20_0"/>
      <w:bookmarkStart w:id="86" w:name="Tc_sEXfq8iLRUujbh5OaJ5X4Q_19_0"/>
      <w:bookmarkStart w:id="87" w:name="Tc_RSW-nBQ-gEK1k2zmBqyg6Q_18_0"/>
      <w:bookmarkStart w:id="88" w:name="Tc_ljSQbCg450mDVoZFBY2uGg_17_5"/>
      <w:bookmarkStart w:id="89" w:name="Tc_Xyi_z-NQCE2LQVHt4babbw_17_2"/>
      <w:bookmarkStart w:id="90" w:name="Tc__UUXVUmZYU269RrUjD2iOg_17_0"/>
      <w:bookmarkStart w:id="91" w:name="Tc_Ixndbw9B7UKBmOOC5_oRUg_16_0"/>
      <w:bookmarkStart w:id="92" w:name="Tc_32XN_rF5vE-fQdgvg_MPHw_15_0"/>
      <w:bookmarkStart w:id="93" w:name="Tc_JwZRpe1hAUCcvI7_I6EiWQ_14_0"/>
      <w:bookmarkStart w:id="94" w:name="Tc_cOO5qIgVqUqOlj-UFaxMuQ_13_0"/>
      <w:bookmarkStart w:id="95" w:name="Tc_r_VbpeD5pku--GtVVUmSDA_12_0"/>
      <w:bookmarkStart w:id="96" w:name="Tc_KLmZyrAsrUieDQpW_zKdKg_11_0"/>
      <w:bookmarkStart w:id="97" w:name="Tc_oZSf008k20qBUHb9ww2X8g_10_0"/>
      <w:bookmarkStart w:id="98" w:name="Tc_Yj-Mt6UFX0K1TWSJ8CXKbQ_9_3"/>
      <w:bookmarkStart w:id="99" w:name="Tc_YzAu9YomH06advgbzWrhfg_9_0"/>
      <w:bookmarkStart w:id="100" w:name="Tc_mK77yqZyzEKSeZodEJk0Yw_8_0"/>
      <w:bookmarkStart w:id="101" w:name="Tc_mHcXpUNXv0OnMbwt_RqxVA_7_0"/>
      <w:bookmarkStart w:id="102" w:name="Tc_fAf0i4uraka7DVBInXLWvg_6_0"/>
      <w:bookmarkStart w:id="103" w:name="Tc_xPHmya17nECXSJxlOAy9bg_5_5"/>
      <w:bookmarkStart w:id="104" w:name="Tc_wfUmJgNKhE2jWHnKuzm7TQ_5_2"/>
      <w:bookmarkStart w:id="105" w:name="Tc_u7ghlJy0SkmGFC2k1B1aWw_5_0"/>
      <w:bookmarkStart w:id="106" w:name="Tc_ZdylxVs4VEynt4bAAAP6NA_4_0"/>
      <w:bookmarkStart w:id="107" w:name="Tc_iDjmp2D_Z0qURLxxrOfBAA_3_0"/>
      <w:bookmarkStart w:id="108" w:name="Tc_GUMJ2gZfG0WB5U6vsMyCTw_2_5"/>
      <w:bookmarkStart w:id="109" w:name="Tc_Mx2KU-VFXEScMMAQrZPySQ_2_2"/>
      <w:bookmarkStart w:id="110" w:name="Tc_UZcyZkRxk0y7VUPHF4tkqQ_1_5"/>
      <w:bookmarkStart w:id="111" w:name="Tc_g7QIrNKAZkOTylu1GKn4KA_1_2"/>
      <w:bookmarkStart w:id="112" w:name="_41d33600_14ce_4518_a32d_c92244d6600b"/>
      <w:bookmarkStart w:id="113" w:name="Tc_HyVm0GU2DUqVzNuDP3uirA_43_5"/>
      <w:bookmarkStart w:id="114" w:name="Tc_RhtaPagHVU6OM6lFufnl3g_43_2"/>
      <w:bookmarkStart w:id="115" w:name="Tc_CY5yCqgz3UKrC44KYAHeWg_43_0"/>
      <w:bookmarkStart w:id="116" w:name="Tc_3-UNNvvWtUSj1G9EP3o14A_42_0"/>
      <w:bookmarkStart w:id="117" w:name="Tc_6iKdeUEs60OLs41nedUsVQ_41_0"/>
      <w:bookmarkStart w:id="118" w:name="Tc_UGqW0e-EiUSGxQCgWUL9Bg_40_0"/>
      <w:bookmarkStart w:id="119" w:name="Tc_u8LBnL38FEGC2JGximuyIA_39_0"/>
      <w:bookmarkStart w:id="120" w:name="_9a6b5006_b5f0_4afd_881a_b5252250741a_3"/>
      <w:bookmarkStart w:id="121" w:name="_9a6b5006_b5f0_4afd_881a_b5252250741a_2"/>
      <w:bookmarkStart w:id="122" w:name="_9a6b5006_b5f0_4afd_881a_b5252250741a"/>
      <w:bookmarkStart w:id="123" w:name="Tc_XHiUfb1Ye0eNQmrQZC_8cw_38_0"/>
      <w:bookmarkStart w:id="124" w:name="Tc_hlT60YBamkGdikyIvpHU1A_37_0"/>
      <w:bookmarkStart w:id="125" w:name="Tc_yFmHsu7clUm0kQdyJX8l0w_36_0"/>
      <w:bookmarkStart w:id="126" w:name="Tc_5woVer9kNkeH5OWnkcxe1g_35_0"/>
      <w:bookmarkStart w:id="127" w:name="Tc_qKZfq0suGECveDCaly2jpw_34_0"/>
      <w:bookmarkStart w:id="128" w:name="Tc_gNdmHc9rCEaLUT3_uTbVrw_33_0"/>
      <w:bookmarkStart w:id="129" w:name="Tc_BgHeBNMhLUSTTFsbMh0agQ_32_0"/>
      <w:bookmarkStart w:id="130" w:name="Tc_SQoGh3I-bESs2y03Rfq1DQ_31_0"/>
      <w:bookmarkStart w:id="131" w:name="Tc_JLwcBnGqsEmDCXExLGcBBw_30_0"/>
      <w:bookmarkStart w:id="132" w:name="Tc_65EEf6nSok-0aisYTNfEKw_29_0"/>
      <w:bookmarkStart w:id="133" w:name="Tc_0A234y6R4UOrDFKEcfuGpw_28_0"/>
      <w:bookmarkStart w:id="134" w:name="Tc_dw1-KQPzukWeCUFnu1EtlA_27_0"/>
      <w:bookmarkStart w:id="135" w:name="Tc_PnomfhKuPkyK-NhRi7Jltw_26_0"/>
      <w:bookmarkStart w:id="136" w:name="Tc_hRUiBKSVP0qWRCc7Ml9qLw_25_0"/>
      <w:bookmarkStart w:id="137" w:name="Tc_8EX9SMjyCEG9iJ8E9SuluA_24_0"/>
      <w:bookmarkStart w:id="138" w:name="Tc_lfk21QyVeUqLw-k_jwu3ow_23_0"/>
      <w:bookmarkStart w:id="139" w:name="Tc_7mr_pwN4UEK-yPiq2EREdg_22_0"/>
      <w:bookmarkStart w:id="140" w:name="Tc_Lrsu6_PKkE-FxMtyYJRTCA_21_0"/>
      <w:bookmarkStart w:id="141" w:name="Tc_D5tXJYriikesplID12MFNw_20_5"/>
      <w:bookmarkStart w:id="142" w:name="Tc_4Sp8OM5DDEG5FSGY7ATJhw_20_2"/>
      <w:bookmarkStart w:id="143" w:name="Tc_5gvI0MJ4CUioVedviz-Fkw_20_0"/>
      <w:bookmarkStart w:id="144" w:name="Tc_sEXfq8iLRUujbh5OaJ5X4Q_19_0"/>
      <w:bookmarkStart w:id="145" w:name="Tc_RSW-nBQ-gEK1k2zmBqyg6Q_18_0"/>
      <w:bookmarkStart w:id="146" w:name="Tc_ljSQbCg450mDVoZFBY2uGg_17_5"/>
      <w:bookmarkStart w:id="147" w:name="Tc_Xyi_z-NQCE2LQVHt4babbw_17_2"/>
      <w:bookmarkStart w:id="148" w:name="Tc__UUXVUmZYU269RrUjD2iOg_17_0"/>
      <w:bookmarkStart w:id="149" w:name="Tc_Ixndbw9B7UKBmOOC5_oRUg_16_0"/>
      <w:bookmarkStart w:id="150" w:name="Tc_32XN_rF5vE-fQdgvg_MPHw_15_0"/>
      <w:bookmarkStart w:id="151" w:name="Tc_JwZRpe1hAUCcvI7_I6EiWQ_14_0"/>
      <w:bookmarkStart w:id="152" w:name="Tc_cOO5qIgVqUqOlj-UFaxMuQ_13_0"/>
      <w:bookmarkStart w:id="153" w:name="Tc_r_VbpeD5pku--GtVVUmSDA_12_0"/>
      <w:bookmarkStart w:id="154" w:name="Tc_KLmZyrAsrUieDQpW_zKdKg_11_0"/>
      <w:bookmarkStart w:id="155" w:name="Tc_oZSf008k20qBUHb9ww2X8g_10_0"/>
      <w:bookmarkStart w:id="156" w:name="Tc_Yj-Mt6UFX0K1TWSJ8CXKbQ_9_3"/>
      <w:bookmarkStart w:id="157" w:name="Tc_YzAu9YomH06advgbzWrhfg_9_0"/>
      <w:bookmarkStart w:id="158" w:name="Tc_mK77yqZyzEKSeZodEJk0Yw_8_0"/>
      <w:bookmarkStart w:id="159" w:name="Tc_mHcXpUNXv0OnMbwt_RqxVA_7_0"/>
      <w:bookmarkStart w:id="160" w:name="Tc_fAf0i4uraka7DVBInXLWvg_6_0"/>
      <w:bookmarkStart w:id="161" w:name="Tc_xPHmya17nECXSJxlOAy9bg_5_5"/>
      <w:bookmarkStart w:id="162" w:name="Tc_wfUmJgNKhE2jWHnKuzm7TQ_5_2"/>
      <w:bookmarkStart w:id="163" w:name="Tc_u7ghlJy0SkmGFC2k1B1aWw_5_0"/>
      <w:bookmarkStart w:id="164" w:name="Tc_ZdylxVs4VEynt4bAAAP6NA_4_0"/>
      <w:bookmarkStart w:id="165" w:name="Tc_iDjmp2D_Z0qURLxxrOfBAA_3_0"/>
      <w:bookmarkStart w:id="166" w:name="Tc_GUMJ2gZfG0WB5U6vsMyCTw_2_5"/>
      <w:bookmarkStart w:id="167" w:name="Tc_Mx2KU-VFXEScMMAQrZPySQ_2_2"/>
      <w:bookmarkStart w:id="168" w:name="Tc_UZcyZkRxk0y7VUPHF4tkqQ_1_5"/>
      <w:bookmarkStart w:id="169" w:name="Tc_g7QIrNKAZkOTylu1GKn4KA_1_2"/>
      <w:bookmarkStart w:id="170" w:name="_41d33600_14ce_4518_a32d_c92244d6600b"/>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tbl>
      <w:tblPr>
        <w:tblW w:w="10205" w:type="dxa"/>
        <w:jc w:val="left"/>
        <w:tblInd w:w="0" w:type="dxa"/>
        <w:tblLayout w:type="fixed"/>
        <w:tblCellMar>
          <w:top w:w="0" w:type="dxa"/>
          <w:left w:w="0" w:type="dxa"/>
          <w:bottom w:w="0" w:type="dxa"/>
          <w:right w:w="0" w:type="dxa"/>
        </w:tblCellMar>
      </w:tblPr>
      <w:tblGrid>
        <w:gridCol w:w="7546"/>
        <w:gridCol w:w="326"/>
        <w:gridCol w:w="196"/>
        <w:gridCol w:w="691"/>
        <w:gridCol w:w="326"/>
        <w:gridCol w:w="220"/>
        <w:gridCol w:w="900"/>
      </w:tblGrid>
      <w:tr>
        <w:trPr/>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791710" cy="175260"/>
                      <wp:effectExtent l="0" t="0" r="0" b="0"/>
                      <wp:wrapNone/>
                      <wp:docPr id="53" name="Frame53"/>
                      <a:graphic xmlns:a="http://schemas.openxmlformats.org/drawingml/2006/main">
                        <a:graphicData uri="http://schemas.microsoft.com/office/word/2010/wordprocessingShape">
                          <wps:wsp>
                            <wps:cNvSpPr txBox="1"/>
                            <wps:spPr>
                              <a:xfrm>
                                <a:off x="0" y="0"/>
                                <a:ext cx="479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5"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38785" cy="175260"/>
                      <wp:effectExtent l="0" t="0" r="0" b="0"/>
                      <wp:wrapNone/>
                      <wp:docPr id="56" name="Frame5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9700" cy="175260"/>
                      <wp:effectExtent l="0" t="0" r="0" b="0"/>
                      <wp:wrapNone/>
                      <wp:docPr id="58" name="Frame5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71500" cy="175260"/>
                      <wp:effectExtent l="0" t="0" r="0" b="0"/>
                      <wp:wrapNone/>
                      <wp:docPr id="59" name="Frame59"/>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w:t>
            </w:r>
          </w:p>
        </w:tc>
        <w:tc>
          <w:tcPr>
            <w:tcW w:w="326"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r>
      <w:tr>
        <w:trPr/>
        <w:tc>
          <w:tcPr>
            <w:tcW w:w="7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  </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7,288</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and other receivables,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10,279</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10,148</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1,743</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1,911</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5,634</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receivable</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26,005</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25,134</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86,178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84,027</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held under finance lease,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1,511</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1,528</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held under operating leases, net ("ROU asset")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166,507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168,007</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248,674</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248,674</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Trademarks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61,888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61,888</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3,083</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3,043</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593,846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592,301</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  </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t>  </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obligations under finance leases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obligations under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19,903</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19,490</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11,704</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12,541</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salaries and vacation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11,782</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9,332</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insurance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11,930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11,831</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income taxes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income tax receivable agreement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expenses and 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18,854</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18,361</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74,886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72,581</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Revolver loan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87,000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84,000</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under finance leases,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1,617</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under operating leases, net of current portion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166,408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168,084</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9,076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8,878</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6,301</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6,445</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345,268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341,605</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  </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t>  </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$0.01 par value, 100,000,000 shares authorized; 100,000 shares designated as Series A Preferred Stock; none issued or outstanding</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Common stock, $0.01</w:t>
            </w:r>
            <w:r>
              <w:rPr>
                <w:rFonts w:ascii="Times New Roman;Times;serif" w:hAnsi="Times New Roman;Times;serif"/>
                <w:sz w:val="20"/>
              </w:rPr>
              <w:t xml:space="preserve"> </w:t>
            </w:r>
            <w:r>
              <w:rPr>
                <w:rFonts w:ascii="Times New Roman;Times;serif" w:hAnsi="Times New Roman;Times;serif"/>
                <w:sz w:val="18"/>
              </w:rPr>
              <w:t>par value, 200,000,000</w:t>
            </w:r>
            <w:r>
              <w:rPr>
                <w:rFonts w:ascii="Times New Roman;Times;serif" w:hAnsi="Times New Roman;Times;serif"/>
                <w:sz w:val="20"/>
              </w:rPr>
              <w:t xml:space="preserve"> </w:t>
            </w:r>
            <w:r>
              <w:rPr>
                <w:rFonts w:ascii="Times New Roman;Times;serif" w:hAnsi="Times New Roman;Times;serif"/>
                <w:sz w:val="18"/>
              </w:rPr>
              <w:t>shares authorized; 29,988,771</w:t>
            </w:r>
            <w:r>
              <w:rPr>
                <w:rFonts w:ascii="Times New Roman;Times;serif" w:hAnsi="Times New Roman;Times;serif"/>
                <w:sz w:val="20"/>
              </w:rPr>
              <w:t xml:space="preserve"> </w:t>
            </w:r>
            <w:r>
              <w:rPr>
                <w:rFonts w:ascii="Times New Roman;Times;serif" w:hAnsi="Times New Roman;Times;serif"/>
                <w:sz w:val="18"/>
              </w:rPr>
              <w:t>and 31,353,223</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as of June 26, 2024 and December 27, 2023,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220,772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236,421</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27,507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13,962</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stockholders’ equity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248,578</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250,696</w: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593,846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592,301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71" w:name="_b3f6e1b3_93a8_433a_ba01_994bdf536fca"/>
      <w:bookmarkEnd w:id="171"/>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172" w:name="CONDENSEDCONSOLIDATEDSTATEMENTSOFINCOMEU"/>
      <w:bookmarkEnd w:id="172"/>
      <w:r>
        <w:rPr>
          <w:rFonts w:ascii="Times New Roman;Times;serif" w:hAnsi="Times New Roman;Times;serif"/>
          <w:b/>
          <w:sz w:val="20"/>
        </w:rPr>
        <w:t>CONDENSED CONSOLIDATED STATEMENTS OF INCOME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3" w:name="Tc_Ov9eVz47IESB35cyeXV0PA_34_0"/>
      <w:bookmarkStart w:id="174" w:name="Tc_ZRlnTlt8YkOub5ggUzjmtA_33_0"/>
      <w:bookmarkStart w:id="175" w:name="Tc_ihb93PKMMUqUv3ASP2Z92w_32_0"/>
      <w:bookmarkStart w:id="176" w:name="Tc_Jauty1iVUUOEvf-zQxqlYw_31_11"/>
      <w:bookmarkStart w:id="177" w:name="Tc_FNJywkOB60G4ylCRfY1IFg_31_8"/>
      <w:bookmarkStart w:id="178" w:name="Tc_VaSRtchU9keY63RAotcFGQ_31_5"/>
      <w:bookmarkStart w:id="179" w:name="Tc_FKgXXddNm0SP1le7xzjRRw_31_2"/>
      <w:bookmarkStart w:id="180" w:name="Tc_-Tj3dDrYS06Xkf3Vojdfew_31_0"/>
      <w:bookmarkStart w:id="181" w:name="Tc_vbXrcRVx2UWNW0cXYLDRqQ_30_11"/>
      <w:bookmarkStart w:id="182" w:name="Tc_m5ZE29JcMkSxhPvnm2a2iw_30_8"/>
      <w:bookmarkStart w:id="183" w:name="Tc_JeocWJyO_0K8qxOdydDIEg_30_5"/>
      <w:bookmarkStart w:id="184" w:name="Tc_xS-hDM7bdk6YkX1rxhugqw_30_2"/>
      <w:bookmarkStart w:id="185" w:name="Tc_MLdtjvNvSEinh-1XDmPYRg_30_0"/>
      <w:bookmarkStart w:id="186" w:name="Tc_0dfvwA_ByEuIcTEN3cktPQ_29_0"/>
      <w:bookmarkStart w:id="187" w:name="Tc_BIrJzt2zc0inMGf6UryG3g_28_11"/>
      <w:bookmarkStart w:id="188" w:name="Tc__2HD8nwHmEK_BIwEV6SjsA_28_8"/>
      <w:bookmarkStart w:id="189" w:name="Tc_tflmiz49W0uotrfEg4Hs0A_28_5"/>
      <w:bookmarkStart w:id="190" w:name="Tc_TwPGskCtFEGMhRShAaI15A_28_2"/>
      <w:bookmarkStart w:id="191" w:name="Tc_6C70RJXZlkubXcgTn6p9JA_28_0"/>
      <w:bookmarkStart w:id="192" w:name="Tc_Bbu06eQ10E6gpp86opFCrQ_27_0"/>
      <w:bookmarkStart w:id="193" w:name="Tc_PLWRYkW_7ESU7kE49SNaOw_26_0"/>
      <w:bookmarkStart w:id="194" w:name="Tc_EQ-1eHWuwUeQ7Anq4sDqzQ_25_9"/>
      <w:bookmarkStart w:id="195" w:name="Tc_yTCCaAyYZ0moHIvouiAH3Q_25_3"/>
      <w:bookmarkStart w:id="196" w:name="Tc_lzt6pMAHX06Koh3TgADnuQ_25_0"/>
      <w:bookmarkStart w:id="197" w:name="Tc_f62bnXQCwUG61zLWsGHMAA_24_0"/>
      <w:bookmarkStart w:id="198" w:name="Tc_L48PdKALoEmgtR5jRLdPeA_23_0"/>
      <w:bookmarkStart w:id="199" w:name="Tc_KU1WaNpEKEumhefdK8LUuw_22_0"/>
      <w:bookmarkStart w:id="200" w:name="Tc_J_G_DqvGO0qLkd7uB9IuDw_21_0"/>
      <w:bookmarkStart w:id="201" w:name="Tc_2KeZa9LrY02MBiLmzkUGcA_20_0"/>
      <w:bookmarkStart w:id="202" w:name="Tc_fL84mTr82ky9zq1dHYozXw_19_6"/>
      <w:bookmarkStart w:id="203" w:name="Tc__Chq4FcU5EKor_jv3EsyjQ_19_3"/>
      <w:bookmarkStart w:id="204" w:name="Tc_bhJpL9_cgESPYIsnj15niA_19_0"/>
      <w:bookmarkStart w:id="205" w:name="Tc_EAuZcY2K2kqDcO967OYBLw_18_0"/>
      <w:bookmarkStart w:id="206" w:name="Tc_k8Mi_P02ZUKZjYoMkM1uDw_17_0"/>
      <w:bookmarkStart w:id="207" w:name="Tc_bTkP2v-9hkKYMz-Ei8Fxng_16_0"/>
      <w:bookmarkStart w:id="208" w:name="Tc_RYPN_7v2jkOs89EpX2y9uA_15_0"/>
      <w:bookmarkStart w:id="209" w:name="Tc_8cNdcDklnEiUfltxUGp3ww_14_0"/>
      <w:bookmarkStart w:id="210" w:name="Tc_OZgDy33aYECj9NRaxadong_13_9"/>
      <w:bookmarkStart w:id="211" w:name="Tc_Xpfx7hFhu0CAm96u5Np0bQ_13_6"/>
      <w:bookmarkStart w:id="212" w:name="Tc_MvSs-hO2q0uvNgbgH1i-zw_13_3"/>
      <w:bookmarkStart w:id="213" w:name="Tc_3wlgqsLWPEStkohMd9KlZQ_13_0"/>
      <w:bookmarkStart w:id="214" w:name="Tc_idDT8dOi_E2T6w50L8C2rw_12_0"/>
      <w:bookmarkStart w:id="215" w:name="Tc_uiTm9uvRbEqEub_oVf5ArQ_11_0"/>
      <w:bookmarkStart w:id="216" w:name="Tc_VvQqcReRmUeQdnYVpf-CKQ_10_0"/>
      <w:bookmarkStart w:id="217" w:name="Tc_qcR0_t_OJkS-99Gca5kBsA_9_0"/>
      <w:bookmarkStart w:id="218" w:name="Tc_vSCDHRc_y0-E-RWaeH_xwg_8_0"/>
      <w:bookmarkStart w:id="219" w:name="Tc_sXU1sXCEK0OD9Uyx6CmLdQ_7_0"/>
      <w:bookmarkStart w:id="220" w:name="Tc_n-9nm7fYGU23lHCNcboASg_6_0"/>
      <w:bookmarkStart w:id="221" w:name="Tc_X_3qXI2GYECSWOC1k6hTrQ_5_11"/>
      <w:bookmarkStart w:id="222" w:name="Tc_QA0WxEV_5EqZ6tV9CwFicg_5_8"/>
      <w:bookmarkStart w:id="223" w:name="Tc_4Vtmk2PKIESugOFoaz9R9w_5_5"/>
      <w:bookmarkStart w:id="224" w:name="Tc_JjcayFCUw0mqMBn-11uARg_5_2"/>
      <w:bookmarkStart w:id="225" w:name="Tc_2KzBCw1U4kuBGn5j4vRHZg_5_0"/>
      <w:bookmarkStart w:id="226" w:name="Tc_N4rU-G_cRE67BxRrLbAP9Q_4_0"/>
      <w:bookmarkStart w:id="227" w:name="Tc_LySJHeS4Xk2YcF6z_xG9Vg_3_11"/>
      <w:bookmarkStart w:id="228" w:name="Tc_ubTOBwnYJkasfX236oRlDQ_3_8"/>
      <w:bookmarkStart w:id="229" w:name="Tc_tHydQ910b0uIwqMST96iSA_3_5"/>
      <w:bookmarkStart w:id="230" w:name="Tc_fs4XoNltbkeniDqiaq0xfw_3_2"/>
      <w:bookmarkStart w:id="231" w:name="Tc_29vR51-yakeQA_uUKDwZUA_2_8"/>
      <w:bookmarkStart w:id="232" w:name="Tc_9gbC4rjcc02vO5mdhqDshg_2_2"/>
      <w:bookmarkStart w:id="233" w:name="_0e6641e6_d489_442e_9cda_5e48c2ed0862"/>
      <w:bookmarkStart w:id="234" w:name="Tc_Ov9eVz47IESB35cyeXV0PA_34_0"/>
      <w:bookmarkStart w:id="235" w:name="Tc_ZRlnTlt8YkOub5ggUzjmtA_33_0"/>
      <w:bookmarkStart w:id="236" w:name="Tc_ihb93PKMMUqUv3ASP2Z92w_32_0"/>
      <w:bookmarkStart w:id="237" w:name="Tc_Jauty1iVUUOEvf-zQxqlYw_31_11"/>
      <w:bookmarkStart w:id="238" w:name="Tc_FNJywkOB60G4ylCRfY1IFg_31_8"/>
      <w:bookmarkStart w:id="239" w:name="Tc_VaSRtchU9keY63RAotcFGQ_31_5"/>
      <w:bookmarkStart w:id="240" w:name="Tc_FKgXXddNm0SP1le7xzjRRw_31_2"/>
      <w:bookmarkStart w:id="241" w:name="Tc_-Tj3dDrYS06Xkf3Vojdfew_31_0"/>
      <w:bookmarkStart w:id="242" w:name="Tc_vbXrcRVx2UWNW0cXYLDRqQ_30_11"/>
      <w:bookmarkStart w:id="243" w:name="Tc_m5ZE29JcMkSxhPvnm2a2iw_30_8"/>
      <w:bookmarkStart w:id="244" w:name="Tc_JeocWJyO_0K8qxOdydDIEg_30_5"/>
      <w:bookmarkStart w:id="245" w:name="Tc_xS-hDM7bdk6YkX1rxhugqw_30_2"/>
      <w:bookmarkStart w:id="246" w:name="Tc_MLdtjvNvSEinh-1XDmPYRg_30_0"/>
      <w:bookmarkStart w:id="247" w:name="Tc_0dfvwA_ByEuIcTEN3cktPQ_29_0"/>
      <w:bookmarkStart w:id="248" w:name="Tc_BIrJzt2zc0inMGf6UryG3g_28_11"/>
      <w:bookmarkStart w:id="249" w:name="Tc__2HD8nwHmEK_BIwEV6SjsA_28_8"/>
      <w:bookmarkStart w:id="250" w:name="Tc_tflmiz49W0uotrfEg4Hs0A_28_5"/>
      <w:bookmarkStart w:id="251" w:name="Tc_TwPGskCtFEGMhRShAaI15A_28_2"/>
      <w:bookmarkStart w:id="252" w:name="Tc_6C70RJXZlkubXcgTn6p9JA_28_0"/>
      <w:bookmarkStart w:id="253" w:name="Tc_Bbu06eQ10E6gpp86opFCrQ_27_0"/>
      <w:bookmarkStart w:id="254" w:name="Tc_PLWRYkW_7ESU7kE49SNaOw_26_0"/>
      <w:bookmarkStart w:id="255" w:name="Tc_EQ-1eHWuwUeQ7Anq4sDqzQ_25_9"/>
      <w:bookmarkStart w:id="256" w:name="Tc_yTCCaAyYZ0moHIvouiAH3Q_25_3"/>
      <w:bookmarkStart w:id="257" w:name="Tc_lzt6pMAHX06Koh3TgADnuQ_25_0"/>
      <w:bookmarkStart w:id="258" w:name="Tc_f62bnXQCwUG61zLWsGHMAA_24_0"/>
      <w:bookmarkStart w:id="259" w:name="Tc_L48PdKALoEmgtR5jRLdPeA_23_0"/>
      <w:bookmarkStart w:id="260" w:name="Tc_KU1WaNpEKEumhefdK8LUuw_22_0"/>
      <w:bookmarkStart w:id="261" w:name="Tc_J_G_DqvGO0qLkd7uB9IuDw_21_0"/>
      <w:bookmarkStart w:id="262" w:name="Tc_2KeZa9LrY02MBiLmzkUGcA_20_0"/>
      <w:bookmarkStart w:id="263" w:name="Tc_fL84mTr82ky9zq1dHYozXw_19_6"/>
      <w:bookmarkStart w:id="264" w:name="Tc__Chq4FcU5EKor_jv3EsyjQ_19_3"/>
      <w:bookmarkStart w:id="265" w:name="Tc_bhJpL9_cgESPYIsnj15niA_19_0"/>
      <w:bookmarkStart w:id="266" w:name="Tc_EAuZcY2K2kqDcO967OYBLw_18_0"/>
      <w:bookmarkStart w:id="267" w:name="Tc_k8Mi_P02ZUKZjYoMkM1uDw_17_0"/>
      <w:bookmarkStart w:id="268" w:name="Tc_bTkP2v-9hkKYMz-Ei8Fxng_16_0"/>
      <w:bookmarkStart w:id="269" w:name="Tc_RYPN_7v2jkOs89EpX2y9uA_15_0"/>
      <w:bookmarkStart w:id="270" w:name="Tc_8cNdcDklnEiUfltxUGp3ww_14_0"/>
      <w:bookmarkStart w:id="271" w:name="Tc_OZgDy33aYECj9NRaxadong_13_9"/>
      <w:bookmarkStart w:id="272" w:name="Tc_Xpfx7hFhu0CAm96u5Np0bQ_13_6"/>
      <w:bookmarkStart w:id="273" w:name="Tc_MvSs-hO2q0uvNgbgH1i-zw_13_3"/>
      <w:bookmarkStart w:id="274" w:name="Tc_3wlgqsLWPEStkohMd9KlZQ_13_0"/>
      <w:bookmarkStart w:id="275" w:name="Tc_idDT8dOi_E2T6w50L8C2rw_12_0"/>
      <w:bookmarkStart w:id="276" w:name="Tc_uiTm9uvRbEqEub_oVf5ArQ_11_0"/>
      <w:bookmarkStart w:id="277" w:name="Tc_VvQqcReRmUeQdnYVpf-CKQ_10_0"/>
      <w:bookmarkStart w:id="278" w:name="Tc_qcR0_t_OJkS-99Gca5kBsA_9_0"/>
      <w:bookmarkStart w:id="279" w:name="Tc_vSCDHRc_y0-E-RWaeH_xwg_8_0"/>
      <w:bookmarkStart w:id="280" w:name="Tc_sXU1sXCEK0OD9Uyx6CmLdQ_7_0"/>
      <w:bookmarkStart w:id="281" w:name="Tc_n-9nm7fYGU23lHCNcboASg_6_0"/>
      <w:bookmarkStart w:id="282" w:name="Tc_X_3qXI2GYECSWOC1k6hTrQ_5_11"/>
      <w:bookmarkStart w:id="283" w:name="Tc_QA0WxEV_5EqZ6tV9CwFicg_5_8"/>
      <w:bookmarkStart w:id="284" w:name="Tc_4Vtmk2PKIESugOFoaz9R9w_5_5"/>
      <w:bookmarkStart w:id="285" w:name="Tc_JjcayFCUw0mqMBn-11uARg_5_2"/>
      <w:bookmarkStart w:id="286" w:name="Tc_2KzBCw1U4kuBGn5j4vRHZg_5_0"/>
      <w:bookmarkStart w:id="287" w:name="Tc_N4rU-G_cRE67BxRrLbAP9Q_4_0"/>
      <w:bookmarkStart w:id="288" w:name="Tc_LySJHeS4Xk2YcF6z_xG9Vg_3_11"/>
      <w:bookmarkStart w:id="289" w:name="Tc_ubTOBwnYJkasfX236oRlDQ_3_8"/>
      <w:bookmarkStart w:id="290" w:name="Tc_tHydQ910b0uIwqMST96iSA_3_5"/>
      <w:bookmarkStart w:id="291" w:name="Tc_fs4XoNltbkeniDqiaq0xfw_3_2"/>
      <w:bookmarkStart w:id="292" w:name="Tc_29vR51-yakeQA_uUKDwZUA_2_8"/>
      <w:bookmarkStart w:id="293" w:name="Tc_9gbC4rjcc02vO5mdhqDshg_2_2"/>
      <w:bookmarkStart w:id="294" w:name="_0e6641e6_d489_442e_9cda_5e48c2ed0862"/>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tbl>
      <w:tblPr>
        <w:tblW w:w="10205" w:type="dxa"/>
        <w:jc w:val="left"/>
        <w:tblInd w:w="0" w:type="dxa"/>
        <w:tblLayout w:type="fixed"/>
        <w:tblCellMar>
          <w:top w:w="0" w:type="dxa"/>
          <w:left w:w="0" w:type="dxa"/>
          <w:bottom w:w="0" w:type="dxa"/>
          <w:right w:w="0" w:type="dxa"/>
        </w:tblCellMar>
      </w:tblPr>
      <w:tblGrid>
        <w:gridCol w:w="3902"/>
        <w:gridCol w:w="326"/>
        <w:gridCol w:w="211"/>
        <w:gridCol w:w="1036"/>
        <w:gridCol w:w="146"/>
        <w:gridCol w:w="211"/>
        <w:gridCol w:w="1036"/>
        <w:gridCol w:w="326"/>
        <w:gridCol w:w="211"/>
        <w:gridCol w:w="1036"/>
        <w:gridCol w:w="146"/>
        <w:gridCol w:w="211"/>
        <w:gridCol w:w="1036"/>
        <w:gridCol w:w="371"/>
      </w:tblGrid>
      <w:tr>
        <w:trPr/>
        <w:tc>
          <w:tcPr>
            <w:tcW w:w="3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477770" cy="175260"/>
                      <wp:effectExtent l="0" t="0" r="0" b="0"/>
                      <wp:wrapNone/>
                      <wp:docPr id="60" name="Frame60"/>
                      <a:graphic xmlns:a="http://schemas.openxmlformats.org/drawingml/2006/main">
                        <a:graphicData uri="http://schemas.microsoft.com/office/word/2010/wordprocessingShape">
                          <wps:wsp>
                            <wps:cNvSpPr txBox="1"/>
                            <wps:spPr>
                              <a:xfrm>
                                <a:off x="0" y="0"/>
                                <a:ext cx="2477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57860" cy="175260"/>
                      <wp:effectExtent l="0" t="0" r="0" b="0"/>
                      <wp:wrapNone/>
                      <wp:docPr id="63" name="Frame6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92710" cy="175260"/>
                      <wp:effectExtent l="0" t="0" r="0" b="0"/>
                      <wp:wrapNone/>
                      <wp:docPr id="64" name="Frame6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57860" cy="175260"/>
                      <wp:effectExtent l="0" t="0" r="0" b="0"/>
                      <wp:wrapNone/>
                      <wp:docPr id="66" name="Frame6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57860" cy="175260"/>
                      <wp:effectExtent l="0" t="0" r="0" b="0"/>
                      <wp:wrapNone/>
                      <wp:docPr id="69" name="Frame6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92710" cy="175260"/>
                      <wp:effectExtent l="0" t="0" r="0" b="0"/>
                      <wp:wrapNone/>
                      <wp:docPr id="70" name="Frame7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57860" cy="175260"/>
                      <wp:effectExtent l="0" t="0" r="0" b="0"/>
                      <wp:wrapNone/>
                      <wp:docPr id="72" name="Frame7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35585" cy="175260"/>
                      <wp:effectExtent l="0" t="0" r="0" b="0"/>
                      <wp:wrapNone/>
                      <wp:docPr id="73" name="Frame7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6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    </w:t>
            </w:r>
          </w:p>
        </w:tc>
        <w:tc>
          <w:tcPr>
            <w:tcW w:w="26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71" w:type="dxa"/>
            <w:tcBorders/>
            <w:vAlign w:val="center"/>
          </w:tcPr>
          <w:p>
            <w:pPr>
              <w:pStyle w:val="TableContents"/>
              <w:bidi w:val="0"/>
              <w:spacing w:before="0" w:after="0"/>
              <w:ind w:left="0" w:right="0" w:hanging="0"/>
              <w:jc w:val="left"/>
              <w:rPr/>
            </w:pPr>
            <w:r>
              <w:rPr/>
              <w:t>    </w:t>
            </w:r>
          </w:p>
        </w:tc>
      </w:tr>
      <w:tr>
        <w:trPr/>
        <w:tc>
          <w:tcPr>
            <w:tcW w:w="390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102,307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199,460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201,774</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8,218</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15,870</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14,453</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122,176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238,329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236,018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paper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25,731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51,350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55,376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32,868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63,448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63,818</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and other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48,521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50,462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recovery of insurance proceeds, lost profits,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 restaurant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83,255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163,319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169,505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22,307</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21,473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7,331</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disposal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recovery of insurance proceeds, property, equipment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disposition of restaurants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109,858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216,332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217,379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18,639</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 agreement expense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5,361</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4,686</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Weighted-average shares used in computing net income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30,240,170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35,433,414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30,508,970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35,833,759</w:t>
            </w:r>
          </w:p>
        </w:tc>
        <w:tc>
          <w:tcPr>
            <w:tcW w:w="371" w:type="dxa"/>
            <w:tcBorders/>
            <w:vAlign w:val="center"/>
          </w:tcPr>
          <w:p>
            <w:pPr>
              <w:pStyle w:val="TableContents"/>
              <w:bidi w:val="0"/>
              <w:spacing w:before="0" w:after="0"/>
              <w:ind w:left="0" w:right="0" w:hanging="0"/>
              <w:jc w:val="left"/>
              <w:rPr/>
            </w:pPr>
            <w:r>
              <w:rPr/>
              <w:t>​</w:t>
            </w:r>
          </w:p>
        </w:tc>
      </w:tr>
      <w:tr>
        <w:trPr/>
        <w:tc>
          <w:tcPr>
            <w:tcW w:w="3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30,378,048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35,534,104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30,661,830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36,018,288</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95" w:name="_fe5fdad9_e242_4c7b_ade5_3d2718877282"/>
      <w:bookmarkEnd w:id="295"/>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296" w:name="CONDENSEDCONSOLIDATEDSTATEMENTSOFCOMPREH"/>
      <w:bookmarkEnd w:id="296"/>
      <w:r>
        <w:rPr>
          <w:rFonts w:ascii="Times New Roman;Times;serif" w:hAnsi="Times New Roman;Times;serif"/>
          <w:b/>
          <w:sz w:val="20"/>
        </w:rPr>
        <w:t>CONDENSED CONSOLIDATED STATEMENTS OF COMPREHENSIVE INCOME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97" w:name="Tc_wr5rDSxCN0qaoyF-usGhVQ_10_11"/>
      <w:bookmarkStart w:id="298" w:name="Tc_7mMErTHFF0SHW_kMk9FxSQ_10_8"/>
      <w:bookmarkStart w:id="299" w:name="Tc_Uh90T62WBkSggvjl8mW48w_10_5"/>
      <w:bookmarkStart w:id="300" w:name="Tc_p9nM_GiuKEeUrlkUknuevw_10_2"/>
      <w:bookmarkStart w:id="301" w:name="Tc_tS1OFbwFv0avVrs5n5Adwg_10_0"/>
      <w:bookmarkStart w:id="302" w:name="Tc_FZXHyTQ2gUeqjaWP71tWxg_9_9"/>
      <w:bookmarkStart w:id="303" w:name="Tc_g9sZa2OMmU22oYtGiEjn0g_9_3"/>
      <w:bookmarkStart w:id="304" w:name="Tc_1ege4gX4d0GMlOQm4my8Bw_9_0"/>
      <w:bookmarkStart w:id="305" w:name="Tc_dAfrl9Swyk-qROcMUoYtBA_8_9"/>
      <w:bookmarkStart w:id="306" w:name="Tc_3ecRFQ4Iuke1ExaqB4VhMA_8_3"/>
      <w:bookmarkStart w:id="307" w:name="Tc_3ZYtPrJ8VEeoPNS6ES5Ntg_8_0"/>
      <w:bookmarkStart w:id="308" w:name="Tc_61uBNtjI5E2drj6XN2Flmg_7_9"/>
      <w:bookmarkStart w:id="309" w:name="Tc_zJlhvMYi00GLRNPqSkj-uw_7_3"/>
      <w:bookmarkStart w:id="310" w:name="Tc_pM2pPUfTQkurkq6w1S7drw_7_0"/>
      <w:bookmarkStart w:id="311" w:name="Tc_MaUUuRn5YEaGMbFMTVO9kQ_6_0"/>
      <w:bookmarkStart w:id="312" w:name="Tc_B-lvjHyh40CXt4fRM7u3ew_5_0"/>
      <w:bookmarkStart w:id="313" w:name="Tc__Ls_KnBUo0mpM-KOELlKrg_4_11"/>
      <w:bookmarkStart w:id="314" w:name="Tc_5HR0Wfh7cESbB6xuNKvp4w_4_8"/>
      <w:bookmarkStart w:id="315" w:name="Tc_q0nTidDrs0-88LQEMRZAGw_4_5"/>
      <w:bookmarkStart w:id="316" w:name="Tc_qP5LT4Lse0CjMLupp-O3RQ_4_2"/>
      <w:bookmarkStart w:id="317" w:name="Tc_Pb9Ti5rnYkeLmHy6fOmtsg_4_0"/>
      <w:bookmarkStart w:id="318" w:name="Tc_6iuiULgZaUGjKfKrguebQQ_3_11"/>
      <w:bookmarkStart w:id="319" w:name="Tc_00MYjLHq9Ey8KZUaSVV9tw_3_8"/>
      <w:bookmarkStart w:id="320" w:name="Tc_UnrsbCmvAU6VfGeQs2U04Q_3_5"/>
      <w:bookmarkStart w:id="321" w:name="Tc_x1M9J0eMo0OFpVxasUHGmg_3_2"/>
      <w:bookmarkStart w:id="322" w:name="Tc_d417JTRrOEKrQ1U_BpEoFA_2_8"/>
      <w:bookmarkStart w:id="323" w:name="Tc_7bAbWxEXYEyCvgszvJoOEA_2_2"/>
      <w:bookmarkStart w:id="324" w:name="_ae623775_6d31_4a6d_8a99_0f28a4ce8f95"/>
      <w:bookmarkStart w:id="325" w:name="Tc_wr5rDSxCN0qaoyF-usGhVQ_10_11"/>
      <w:bookmarkStart w:id="326" w:name="Tc_7mMErTHFF0SHW_kMk9FxSQ_10_8"/>
      <w:bookmarkStart w:id="327" w:name="Tc_Uh90T62WBkSggvjl8mW48w_10_5"/>
      <w:bookmarkStart w:id="328" w:name="Tc_p9nM_GiuKEeUrlkUknuevw_10_2"/>
      <w:bookmarkStart w:id="329" w:name="Tc_tS1OFbwFv0avVrs5n5Adwg_10_0"/>
      <w:bookmarkStart w:id="330" w:name="Tc_FZXHyTQ2gUeqjaWP71tWxg_9_9"/>
      <w:bookmarkStart w:id="331" w:name="Tc_g9sZa2OMmU22oYtGiEjn0g_9_3"/>
      <w:bookmarkStart w:id="332" w:name="Tc_1ege4gX4d0GMlOQm4my8Bw_9_0"/>
      <w:bookmarkStart w:id="333" w:name="Tc_dAfrl9Swyk-qROcMUoYtBA_8_9"/>
      <w:bookmarkStart w:id="334" w:name="Tc_3ecRFQ4Iuke1ExaqB4VhMA_8_3"/>
      <w:bookmarkStart w:id="335" w:name="Tc_3ZYtPrJ8VEeoPNS6ES5Ntg_8_0"/>
      <w:bookmarkStart w:id="336" w:name="Tc_61uBNtjI5E2drj6XN2Flmg_7_9"/>
      <w:bookmarkStart w:id="337" w:name="Tc_zJlhvMYi00GLRNPqSkj-uw_7_3"/>
      <w:bookmarkStart w:id="338" w:name="Tc_pM2pPUfTQkurkq6w1S7drw_7_0"/>
      <w:bookmarkStart w:id="339" w:name="Tc_MaUUuRn5YEaGMbFMTVO9kQ_6_0"/>
      <w:bookmarkStart w:id="340" w:name="Tc_B-lvjHyh40CXt4fRM7u3ew_5_0"/>
      <w:bookmarkStart w:id="341" w:name="Tc__Ls_KnBUo0mpM-KOELlKrg_4_11"/>
      <w:bookmarkStart w:id="342" w:name="Tc_5HR0Wfh7cESbB6xuNKvp4w_4_8"/>
      <w:bookmarkStart w:id="343" w:name="Tc_q0nTidDrs0-88LQEMRZAGw_4_5"/>
      <w:bookmarkStart w:id="344" w:name="Tc_qP5LT4Lse0CjMLupp-O3RQ_4_2"/>
      <w:bookmarkStart w:id="345" w:name="Tc_Pb9Ti5rnYkeLmHy6fOmtsg_4_0"/>
      <w:bookmarkStart w:id="346" w:name="Tc_6iuiULgZaUGjKfKrguebQQ_3_11"/>
      <w:bookmarkStart w:id="347" w:name="Tc_00MYjLHq9Ey8KZUaSVV9tw_3_8"/>
      <w:bookmarkStart w:id="348" w:name="Tc_UnrsbCmvAU6VfGeQs2U04Q_3_5"/>
      <w:bookmarkStart w:id="349" w:name="Tc_x1M9J0eMo0OFpVxasUHGmg_3_2"/>
      <w:bookmarkStart w:id="350" w:name="Tc_d417JTRrOEKrQ1U_BpEoFA_2_8"/>
      <w:bookmarkStart w:id="351" w:name="Tc_7bAbWxEXYEyCvgszvJoOEA_2_2"/>
      <w:bookmarkStart w:id="352" w:name="_ae623775_6d31_4a6d_8a99_0f28a4ce8f95"/>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tbl>
      <w:tblPr>
        <w:tblW w:w="9288" w:type="dxa"/>
        <w:jc w:val="left"/>
        <w:tblInd w:w="0" w:type="dxa"/>
        <w:tblLayout w:type="fixed"/>
        <w:tblCellMar>
          <w:top w:w="0" w:type="dxa"/>
          <w:left w:w="0" w:type="dxa"/>
          <w:bottom w:w="0" w:type="dxa"/>
          <w:right w:w="0" w:type="dxa"/>
        </w:tblCellMar>
      </w:tblPr>
      <w:tblGrid>
        <w:gridCol w:w="3391"/>
        <w:gridCol w:w="326"/>
        <w:gridCol w:w="303"/>
        <w:gridCol w:w="823"/>
        <w:gridCol w:w="112"/>
        <w:gridCol w:w="303"/>
        <w:gridCol w:w="823"/>
        <w:gridCol w:w="326"/>
        <w:gridCol w:w="267"/>
        <w:gridCol w:w="859"/>
        <w:gridCol w:w="112"/>
        <w:gridCol w:w="267"/>
        <w:gridCol w:w="859"/>
        <w:gridCol w:w="326"/>
        <w:gridCol w:w="191"/>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53285" cy="175260"/>
                      <wp:effectExtent l="0" t="0" r="0" b="0"/>
                      <wp:wrapNone/>
                      <wp:docPr id="74" name="Frame74"/>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92405" cy="175260"/>
                      <wp:effectExtent l="0" t="0" r="0" b="0"/>
                      <wp:wrapNone/>
                      <wp:docPr id="76" name="Frame7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22605" cy="175260"/>
                      <wp:effectExtent l="0" t="0" r="0" b="0"/>
                      <wp:wrapNone/>
                      <wp:docPr id="77" name="Frame77"/>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71120" cy="175260"/>
                      <wp:effectExtent l="0" t="0" r="0" b="0"/>
                      <wp:wrapNone/>
                      <wp:docPr id="78" name="Frame78"/>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92405" cy="175260"/>
                      <wp:effectExtent l="0" t="0" r="0" b="0"/>
                      <wp:wrapNone/>
                      <wp:docPr id="79" name="Frame7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22605" cy="175260"/>
                      <wp:effectExtent l="0" t="0" r="0" b="0"/>
                      <wp:wrapNone/>
                      <wp:docPr id="80" name="Frame80"/>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9545" cy="175260"/>
                      <wp:effectExtent l="0" t="0" r="0" b="0"/>
                      <wp:wrapNone/>
                      <wp:docPr id="82" name="Frame8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45465" cy="175260"/>
                      <wp:effectExtent l="0" t="0" r="0" b="0"/>
                      <wp:wrapNone/>
                      <wp:docPr id="83" name="Frame83"/>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1120" cy="175260"/>
                      <wp:effectExtent l="0" t="0" r="0" b="0"/>
                      <wp:wrapNone/>
                      <wp:docPr id="84" name="Frame84"/>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69545" cy="175260"/>
                      <wp:effectExtent l="0" t="0" r="0" b="0"/>
                      <wp:wrapNone/>
                      <wp:docPr id="85" name="Frame8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45465" cy="175260"/>
                      <wp:effectExtent l="0" t="0" r="0" b="0"/>
                      <wp:wrapNone/>
                      <wp:docPr id="86" name="Frame86"/>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1285" cy="175260"/>
                      <wp:effectExtent l="0" t="0" r="0" b="0"/>
                      <wp:wrapNone/>
                      <wp:docPr id="88" name="Frame8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center"/>
              <w:rPr/>
            </w:pPr>
            <w:r>
              <w:rPr/>
              <w:t>​</w:t>
            </w:r>
          </w:p>
        </w:tc>
        <w:tc>
          <w:tcPr>
            <w:tcW w:w="823" w:type="dxa"/>
            <w:tcBorders/>
            <w:vAlign w:val="center"/>
          </w:tcPr>
          <w:p>
            <w:pPr>
              <w:pStyle w:val="TableContents"/>
              <w:bidi w:val="0"/>
              <w:spacing w:before="0" w:after="0"/>
              <w:ind w:left="0" w:right="0" w:hanging="0"/>
              <w:jc w:val="center"/>
              <w:rPr/>
            </w:pPr>
            <w:r>
              <w:rPr/>
              <w:t>​</w:t>
            </w:r>
          </w:p>
        </w:tc>
        <w:tc>
          <w:tcPr>
            <w:tcW w:w="112" w:type="dxa"/>
            <w:tcBorders/>
            <w:vAlign w:val="center"/>
          </w:tcPr>
          <w:p>
            <w:pPr>
              <w:pStyle w:val="TableContents"/>
              <w:bidi w:val="0"/>
              <w:spacing w:before="0" w:after="0"/>
              <w:ind w:left="0" w:right="0" w:hanging="0"/>
              <w:jc w:val="center"/>
              <w:rPr/>
            </w:pPr>
            <w:r>
              <w:rPr/>
              <w:t>​</w:t>
            </w:r>
          </w:p>
        </w:tc>
        <w:tc>
          <w:tcPr>
            <w:tcW w:w="303" w:type="dxa"/>
            <w:tcBorders/>
            <w:vAlign w:val="center"/>
          </w:tcPr>
          <w:p>
            <w:pPr>
              <w:pStyle w:val="TableContents"/>
              <w:bidi w:val="0"/>
              <w:spacing w:before="0" w:after="0"/>
              <w:ind w:left="0" w:right="0" w:hanging="0"/>
              <w:jc w:val="center"/>
              <w:rPr/>
            </w:pPr>
            <w:r>
              <w:rPr/>
              <w:t>​</w:t>
            </w:r>
          </w:p>
        </w:tc>
        <w:tc>
          <w:tcPr>
            <w:tcW w:w="8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7" w:type="dxa"/>
            <w:tcBorders/>
            <w:vAlign w:val="center"/>
          </w:tcPr>
          <w:p>
            <w:pPr>
              <w:pStyle w:val="TableContents"/>
              <w:bidi w:val="0"/>
              <w:spacing w:before="0" w:after="0"/>
              <w:ind w:left="0" w:right="0" w:hanging="0"/>
              <w:jc w:val="center"/>
              <w:rPr/>
            </w:pPr>
            <w:r>
              <w:rPr/>
              <w:t>​</w:t>
            </w:r>
          </w:p>
        </w:tc>
        <w:tc>
          <w:tcPr>
            <w:tcW w:w="859" w:type="dxa"/>
            <w:tcBorders/>
            <w:vAlign w:val="center"/>
          </w:tcPr>
          <w:p>
            <w:pPr>
              <w:pStyle w:val="TableContents"/>
              <w:bidi w:val="0"/>
              <w:spacing w:before="0" w:after="0"/>
              <w:ind w:left="0" w:right="0" w:hanging="0"/>
              <w:jc w:val="center"/>
              <w:rPr/>
            </w:pPr>
            <w:r>
              <w:rPr/>
              <w:t>​</w:t>
            </w:r>
          </w:p>
        </w:tc>
        <w:tc>
          <w:tcPr>
            <w:tcW w:w="112" w:type="dxa"/>
            <w:tcBorders/>
            <w:vAlign w:val="center"/>
          </w:tcPr>
          <w:p>
            <w:pPr>
              <w:pStyle w:val="TableContents"/>
              <w:bidi w:val="0"/>
              <w:spacing w:before="0" w:after="0"/>
              <w:ind w:left="0" w:right="0" w:hanging="0"/>
              <w:jc w:val="center"/>
              <w:rPr/>
            </w:pPr>
            <w:r>
              <w:rPr/>
              <w:t>​</w:t>
            </w:r>
          </w:p>
        </w:tc>
        <w:tc>
          <w:tcPr>
            <w:tcW w:w="267" w:type="dxa"/>
            <w:tcBorders/>
            <w:vAlign w:val="center"/>
          </w:tcPr>
          <w:p>
            <w:pPr>
              <w:pStyle w:val="TableContents"/>
              <w:bidi w:val="0"/>
              <w:spacing w:before="0" w:after="0"/>
              <w:ind w:left="0" w:right="0" w:hanging="0"/>
              <w:jc w:val="center"/>
              <w:rPr/>
            </w:pPr>
            <w:r>
              <w:rPr/>
              <w:t>​</w:t>
            </w:r>
          </w:p>
        </w:tc>
        <w:tc>
          <w:tcPr>
            <w:tcW w:w="85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    </w:t>
            </w:r>
          </w:p>
        </w:tc>
        <w:tc>
          <w:tcPr>
            <w:tcW w:w="23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2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12"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12"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2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7,633</w:t>
            </w:r>
          </w:p>
        </w:tc>
        <w:tc>
          <w:tcPr>
            <w:tcW w:w="112"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7,056</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13,545</w:t>
            </w:r>
          </w:p>
        </w:tc>
        <w:tc>
          <w:tcPr>
            <w:tcW w:w="112"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11,974</w:t>
            </w:r>
          </w:p>
        </w:tc>
        <w:tc>
          <w:tcPr>
            <w:tcW w:w="32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pPr>
            <w:r>
              <w:rPr/>
              <w:t>  </w:t>
            </w:r>
          </w:p>
        </w:tc>
        <w:tc>
          <w:tcPr>
            <w:tcW w:w="112"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derivative instruments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pPr>
            <w:r>
              <w:rPr/>
              <w:t>  </w:t>
            </w:r>
          </w:p>
        </w:tc>
        <w:tc>
          <w:tcPr>
            <w:tcW w:w="112"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Reclassifications of loss into net income</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2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benefit </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net of taxes</w:t>
            </w:r>
          </w:p>
        </w:tc>
        <w:tc>
          <w:tcPr>
            <w:tcW w:w="32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7,633</w:t>
            </w:r>
          </w:p>
        </w:tc>
        <w:tc>
          <w:tcPr>
            <w:tcW w:w="112"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6,993</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13,545</w:t>
            </w:r>
          </w:p>
        </w:tc>
        <w:tc>
          <w:tcPr>
            <w:tcW w:w="112"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11,848</w:t>
            </w:r>
          </w:p>
        </w:tc>
        <w:tc>
          <w:tcPr>
            <w:tcW w:w="32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53" w:name="_961fd958_b366_4c58_be96_4090866e410b"/>
      <w:bookmarkEnd w:id="353"/>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354" w:name="CONDENSEDCONSOLIDATEDSTATEMENTSOFCHANGES"/>
      <w:bookmarkEnd w:id="354"/>
      <w:r>
        <w:rPr>
          <w:rFonts w:ascii="Times New Roman;Times;serif" w:hAnsi="Times New Roman;Times;serif"/>
          <w:b/>
          <w:sz w:val="20"/>
        </w:rPr>
        <w:t>CONDENSED CONSOLIDATED STATEMENTS OF CHANGES IN STOCKHOLDERS’ EQUITY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55" w:name="Tc_xFm4D-tmqU-ksGWKTfuhZA_32_16"/>
      <w:bookmarkStart w:id="356" w:name="Tc_nQzZjNbfc0Om7NESeYCAAA_32_14"/>
      <w:bookmarkStart w:id="357" w:name="Tc_OeCW95kvrk2M0a-J3vqCsA_32_13"/>
      <w:bookmarkStart w:id="358" w:name="Tc_NjdSmnkaBkuKsAW8BcWhlQ_32_10"/>
      <w:bookmarkStart w:id="359" w:name="Tc_jvzYH7h7_k6kl0flUDPrMw_32_7"/>
      <w:bookmarkStart w:id="360" w:name="Tc_chayZQbPcUec8CSBDn0zdw_32_4"/>
      <w:bookmarkStart w:id="361" w:name="Tc_cWgTCdEOXUOgAdjeaBjSOg_32_0"/>
      <w:bookmarkStart w:id="362" w:name="Tc_RF3AvdJ6Gkipu4Fof9CW0g_31_14"/>
      <w:bookmarkStart w:id="363" w:name="Tc_mFApqlnjVUimGtuBDHcI_g_31_8"/>
      <w:bookmarkStart w:id="364" w:name="Tc_3BBrpaFiTkiXhTDpQyauKg_31_5"/>
      <w:bookmarkStart w:id="365" w:name="Tc_8U_dCIxGg0i5YCzw3rDmxw_31_2"/>
      <w:bookmarkStart w:id="366" w:name="Tc_sXj7493KLkKhNsckUk5i8g_31_0"/>
      <w:bookmarkStart w:id="367" w:name="Tc_xp6aGnxgXka8CfaUr8AHpA_30_11"/>
      <w:bookmarkStart w:id="368" w:name="Tc_iSVr35fYl0y-V0UPEqRvwg_30_8"/>
      <w:bookmarkStart w:id="369" w:name="Tc_tfnoKY5yGke140rwNgI9Dg_30_5"/>
      <w:bookmarkStart w:id="370" w:name="Tc_ywBS_hXC50Kg5vWkah19aA_30_2"/>
      <w:bookmarkStart w:id="371" w:name="Tc_ZWrQ4J5AbUuVNDnBG9bYag_30_0"/>
      <w:bookmarkStart w:id="372" w:name="Tc_O6mW3RabskeZrW7B6Ys5og_29_17"/>
      <w:bookmarkStart w:id="373" w:name="Tc_AdinTyWCQES9v7ByxVUwKQ_29_14"/>
      <w:bookmarkStart w:id="374" w:name="Tc_tJPuQLSesEeP1hBHRU-a0A_29_11"/>
      <w:bookmarkStart w:id="375" w:name="Tc_B90m14Piik-qNygYhR6TSw_29_0"/>
      <w:bookmarkStart w:id="376" w:name="Tc_JNGyKSdImEeL6iPnlvmrLw_28_14"/>
      <w:bookmarkStart w:id="377" w:name="Tc_7WtC6yjG_E2dYF5e4z1GDg_28_11"/>
      <w:bookmarkStart w:id="378" w:name="Tc_RDJ-op_Dm0mMktnPn23PHg_28_5"/>
      <w:bookmarkStart w:id="379" w:name="Tc_VR3dtcpinU-_0FH4B_h4Aw_28_2"/>
      <w:bookmarkStart w:id="380" w:name="Tc_ZsS-WeyM8kig9Ab7bbRpAA_28_0"/>
      <w:bookmarkStart w:id="381" w:name="Tc_PuBKe8VDrkqp6VgQU_sAJQ_27_14"/>
      <w:bookmarkStart w:id="382" w:name="Tc_KUu2oQlN50q_-IUQf8PmxA_27_11"/>
      <w:bookmarkStart w:id="383" w:name="Tc_NG8U3uHNnEGyVpDAf2aL5Q_27_0"/>
      <w:bookmarkStart w:id="384" w:name="Tc_udktY4wYJky_O6Ow2rRFhQ_26_14"/>
      <w:bookmarkStart w:id="385" w:name="Tc_bzNG-umPNUm-FBjY3ppe5w_26_11"/>
      <w:bookmarkStart w:id="386" w:name="Tc_6Az3xxGDMEWdJw_ChCg6AA_26_5"/>
      <w:bookmarkStart w:id="387" w:name="Tc_2qEX7J40X0iuDS35PXAXBg_26_0"/>
      <w:bookmarkStart w:id="388" w:name="Tc_ClZtvFBV50u7sZhEPRhpww_25_14"/>
      <w:bookmarkStart w:id="389" w:name="Tc_3D_bEwxg902su1W7DoeRFA_25_11"/>
      <w:bookmarkStart w:id="390" w:name="Tc_M6YBqpvuGEeBbN0NnZ35PQ_25_0"/>
      <w:bookmarkStart w:id="391" w:name="Tc_X0DP1xKaz0SZshp0Mr2nBQ_24_17"/>
      <w:bookmarkStart w:id="392" w:name="Tc_R0QH9R-AU0iBMOUgrGji0w_24_14"/>
      <w:bookmarkStart w:id="393" w:name="Tc_HebZWPUExkegnSR2xPqUGg_24_11"/>
      <w:bookmarkStart w:id="394" w:name="Tc___wwQDiGX0C9LGgbDNolcw_24_0"/>
      <w:bookmarkStart w:id="395" w:name="Tc_8eRWmoUKSEibBq4AKQc0mQ_23_14"/>
      <w:bookmarkStart w:id="396" w:name="Tc_bVlcpLX04U2eMwkzrtv9tw_23_11"/>
      <w:bookmarkStart w:id="397" w:name="Tc_4rXsrjPSjEWeRINI8H-Z6A_23_5"/>
      <w:bookmarkStart w:id="398" w:name="Tc_5Ayl4NGJXEOcP5enUI6pVg_23_2"/>
      <w:bookmarkStart w:id="399" w:name="Tc_1tqUPko3SkiD0mmp00ApqA_23_0"/>
      <w:bookmarkStart w:id="400" w:name="Tc_1u92_dub8k6xriErx_ZrSQ_22_16"/>
      <w:bookmarkStart w:id="401" w:name="Tc_KNHeMYEfekGGTe7SqrrkWw_22_13"/>
      <w:bookmarkStart w:id="402" w:name="Tc_I-ewwnyqmU2efZCjxmt_7A_22_10"/>
      <w:bookmarkStart w:id="403" w:name="Tc_iQTg6LosYUuuPKDSU2cEUQ_22_7"/>
      <w:bookmarkStart w:id="404" w:name="Tc_6Fe5-cpurEKI1cOlfb-Rkg_22_4"/>
      <w:bookmarkStart w:id="405" w:name="Tc_2APFxv8quEiwbRKvixtiVA_22_0"/>
      <w:bookmarkStart w:id="406" w:name="Tc_TRlvvwc9R0CHyP0myiXr5A_21_16"/>
      <w:bookmarkStart w:id="407" w:name="Tc_YU6G32AKPkCpT-f9G0sm1w_21_13"/>
      <w:bookmarkStart w:id="408" w:name="Tc_M41-sAL9-0SUOT26rNkADg_21_10"/>
      <w:bookmarkStart w:id="409" w:name="Tc_VE7Zn1f5WUSdJnX4qVe4LQ_21_7"/>
      <w:bookmarkStart w:id="410" w:name="Tc_3JZywzqgW0-mJ8quAW33BQ_21_4"/>
      <w:bookmarkStart w:id="411" w:name="Tc_ZIP1K7BjQkK7N-GuinvCfQ_21_2"/>
      <w:bookmarkStart w:id="412" w:name="Tc_3LgIWcQXG025U9125jPKew_20_16"/>
      <w:bookmarkStart w:id="413" w:name="Tc_VmRuQrzon0O2pa7mgWUWkw_20_13"/>
      <w:bookmarkStart w:id="414" w:name="Tc_hLQL6Z3bGUu-QHXguLrwbA_20_10"/>
      <w:bookmarkStart w:id="415" w:name="Tc_wu9iz3yoNEe6GUEqDQ5m0A_20_7"/>
      <w:bookmarkStart w:id="416" w:name="Tc_EVs6BBzi1EOVJ5AD-CDCnw_20_2"/>
      <w:bookmarkStart w:id="417" w:name="Tc_Br9j0G8oUE-D4JI0q250Sw_19_16"/>
      <w:bookmarkStart w:id="418" w:name="Tc_Z1yJFIAIGECVMFVABZ_fJA_19_13"/>
      <w:bookmarkStart w:id="419" w:name="Tc_ZNUAs_G_v0CowhLo222wfQ_19_7"/>
      <w:bookmarkStart w:id="420" w:name="Tc_QsR9s9pSWkC0ab1FnK6mxQ_18_13"/>
      <w:bookmarkStart w:id="421" w:name="Tc_BEqzD3avmkKeQg0Cmo9OIQ_17_2"/>
      <w:bookmarkStart w:id="422" w:name="Tc_VLV7grUJD0ek4LnsV6eqNg_15_16"/>
      <w:bookmarkStart w:id="423" w:name="Tc_eegPYChpDE6A8Bd5CyG5kA_15_14"/>
      <w:bookmarkStart w:id="424" w:name="Tc_r_6P1S0uGUOt6l24GEjzlQ_15_13"/>
      <w:bookmarkStart w:id="425" w:name="Tc_1PEgNyU5Ck6iNccIcMyTvA_15_10"/>
      <w:bookmarkStart w:id="426" w:name="Tc_u_GmzlkmDU2n54uUtM1h-Q_15_7"/>
      <w:bookmarkStart w:id="427" w:name="Tc_KqZ8HRMmdUCH_Z-e3NXpTw_15_4"/>
      <w:bookmarkStart w:id="428" w:name="Tc_1h_nnGiP9E2lJ9Dv-C20Cw_15_0"/>
      <w:bookmarkStart w:id="429" w:name="Tc_Hofit_h_1kKt2Y2R5n69dw_14_14"/>
      <w:bookmarkStart w:id="430" w:name="Tc_Ohn7qXoxiUm9_A_wXaHs0Q_14_8"/>
      <w:bookmarkStart w:id="431" w:name="Tc_g-fsOCEPR06264iVWa1hDA_14_5"/>
      <w:bookmarkStart w:id="432" w:name="Tc_lZVslUFklEGlKoOCLaa3Rw_14_2"/>
      <w:bookmarkStart w:id="433" w:name="Tc_c5DzSwrSgUGCLJTGk-reNw_14_0"/>
      <w:bookmarkStart w:id="434" w:name="Tc_RWFfvS9RkUqyhpjKdZAH3g_13_17"/>
      <w:bookmarkStart w:id="435" w:name="Tc_Fi19t-nsVUe37l1FU5HBOQ_13_14"/>
      <w:bookmarkStart w:id="436" w:name="Tc_ML819H_HgEWkPD18_-BV5w_13_11"/>
      <w:bookmarkStart w:id="437" w:name="Tc_a9BOPt5sFUWwoPZinqRQQQ_13_0"/>
      <w:bookmarkStart w:id="438" w:name="Tc_mhQ1Q3eW-0K8fLndoCg7iA_12_14"/>
      <w:bookmarkStart w:id="439" w:name="Tc_Za1KKPati0q6zwOt_TyOLg_12_11"/>
      <w:bookmarkStart w:id="440" w:name="Tc_5aK6YdhONU-icWoLkdnAmw_12_5"/>
      <w:bookmarkStart w:id="441" w:name="Tc_kXD1qkaXeUy83uW81-0lGQ_12_2"/>
      <w:bookmarkStart w:id="442" w:name="Tc_6On1qlWeSEWTCIUH9TGT0A_12_0"/>
      <w:bookmarkStart w:id="443" w:name="Tc_alViKs7p2kahDAtTduwNfw_11_14"/>
      <w:bookmarkStart w:id="444" w:name="Tc_zp-H0YdwjEiB1p4lH3CDCw_11_11"/>
      <w:bookmarkStart w:id="445" w:name="Tc_erm4QiTBg0-VFGWt9o0Row_11_0"/>
      <w:bookmarkStart w:id="446" w:name="Tc__f6JdMjBhkSek0jHS9NCHg_10_14"/>
      <w:bookmarkStart w:id="447" w:name="Tc_dKPQvkpfo0ayn4isKIz_QA_10_11"/>
      <w:bookmarkStart w:id="448" w:name="Tc_JRKB9F8JeUOPmDeTTUAl-Q_10_5"/>
      <w:bookmarkStart w:id="449" w:name="Tc_ET5yEN4jOUaZwum1UqQNUg_10_0"/>
      <w:bookmarkStart w:id="450" w:name="Tc_3_Sln5mIeECN_TgIn5BRKg_9_14"/>
      <w:bookmarkStart w:id="451" w:name="Tc_bXBpVEFXkU2yE9o0kLshdg_9_11"/>
      <w:bookmarkStart w:id="452" w:name="Tc_snKsaHrCnUaBvc9jr8gSLg_9_0"/>
      <w:bookmarkStart w:id="453" w:name="Tc_NxT1-OrMNEOuP4N8F7v7pg_8_17"/>
      <w:bookmarkStart w:id="454" w:name="Tc_MdlQ7gsZ0kS1cPR2SghDlQ_8_14"/>
      <w:bookmarkStart w:id="455" w:name="Tc_ntF7jlK5q0GxQMNC-iJDbQ_8_11"/>
      <w:bookmarkStart w:id="456" w:name="Tc_qkPxtnlsKUGsDmq3JVGHaA_8_0"/>
      <w:bookmarkStart w:id="457" w:name="Tc_tkMS3JMzVkOvxb6WOC661Q_7_14"/>
      <w:bookmarkStart w:id="458" w:name="Tc_r-uQm8HXKEKYUiH5uCFWqQ_7_11"/>
      <w:bookmarkStart w:id="459" w:name="Tc_3qok0kGFQ0-g-SCoHA3SRw_7_5"/>
      <w:bookmarkStart w:id="460" w:name="Tc_SyOUZSdKpE-5uXDNn33u0Q_7_2"/>
      <w:bookmarkStart w:id="461" w:name="Tc_xADB5ieKA02ryM2i7wrxLw_7_0"/>
      <w:bookmarkStart w:id="462" w:name="Tc_pcLuJOiyZUKOp7pDhJq0wA_6_16"/>
      <w:bookmarkStart w:id="463" w:name="Tc_tPwpN1RN-Emjx8B1VaV0WA_6_14"/>
      <w:bookmarkStart w:id="464" w:name="Tc_YbRO4XIEnUOPUIKnI5i23Q_6_13"/>
      <w:bookmarkStart w:id="465" w:name="Tc_cLtKqKQTaEKj2Qoy56wQPQ_6_10"/>
      <w:bookmarkStart w:id="466" w:name="Tc_7rUlzIdBTEqepVd3KsnHWQ_6_7"/>
      <w:bookmarkStart w:id="467" w:name="Tc_nV8TN4QJD0OYTv_0EI6tog_6_4"/>
      <w:bookmarkStart w:id="468" w:name="Tc_KnqTcxCrGk6Ag5cTQPDkmQ_6_0"/>
      <w:bookmarkStart w:id="469" w:name="Tc_imE8khqpCk2-TFFR8zM1oA_5_16"/>
      <w:bookmarkStart w:id="470" w:name="Tc_g7z3u1MTdUiG7Oy7SNi5NA_5_13"/>
      <w:bookmarkStart w:id="471" w:name="Tc_0J-sK9hUIk-vgipzOEOwiw_5_10"/>
      <w:bookmarkStart w:id="472" w:name="Tc_-mW-KC-6QEuEIVFDD_K_fw_5_7"/>
      <w:bookmarkStart w:id="473" w:name="Tc_vQxYBt7F3UKfVRU98lDprw_5_4"/>
      <w:bookmarkStart w:id="474" w:name="Tc_UjDcJbq0_kuUD-tPoYUR6g_5_2"/>
      <w:bookmarkStart w:id="475" w:name="Tc_pP9Ep4KiCEeuvUMY48YtfA_4_16"/>
      <w:bookmarkStart w:id="476" w:name="Tc_XiIo3JVTjkquU6817ekW8w_4_13"/>
      <w:bookmarkStart w:id="477" w:name="Tc_H0RGHs0keUeely4MbrVM-w_4_10"/>
      <w:bookmarkStart w:id="478" w:name="Tc_sIRJL4LLtEqKKoAvBVGBgQ_4_7"/>
      <w:bookmarkStart w:id="479" w:name="Tc_Dx3FbL8X8EmD_ypS1lCOUA_4_2"/>
      <w:bookmarkStart w:id="480" w:name="Tc_vVxkLvBUFUmrkg9HHPb0dA_3_16"/>
      <w:bookmarkStart w:id="481" w:name="Tc_YJDc8G_6IUuphazYYUUASw_3_13"/>
      <w:bookmarkStart w:id="482" w:name="Tc_oHVmY8VrfEOnoC_v1wJ2Nw_3_7"/>
      <w:bookmarkStart w:id="483" w:name="Tc_kMCsmvJ9QUuf1Gy3NXnwXA_2_13"/>
      <w:bookmarkStart w:id="484" w:name="Tc_IZNrfPpthkKMkf8Kta7qqg_1_2"/>
      <w:bookmarkStart w:id="485" w:name="_045f3ac7_4867_4321_8d9d_ce9018c0d70b"/>
      <w:bookmarkStart w:id="486" w:name="Tc_xFm4D-tmqU-ksGWKTfuhZA_32_16"/>
      <w:bookmarkStart w:id="487" w:name="Tc_nQzZjNbfc0Om7NESeYCAAA_32_14"/>
      <w:bookmarkStart w:id="488" w:name="Tc_OeCW95kvrk2M0a-J3vqCsA_32_13"/>
      <w:bookmarkStart w:id="489" w:name="Tc_NjdSmnkaBkuKsAW8BcWhlQ_32_10"/>
      <w:bookmarkStart w:id="490" w:name="Tc_jvzYH7h7_k6kl0flUDPrMw_32_7"/>
      <w:bookmarkStart w:id="491" w:name="Tc_chayZQbPcUec8CSBDn0zdw_32_4"/>
      <w:bookmarkStart w:id="492" w:name="Tc_cWgTCdEOXUOgAdjeaBjSOg_32_0"/>
      <w:bookmarkStart w:id="493" w:name="Tc_RF3AvdJ6Gkipu4Fof9CW0g_31_14"/>
      <w:bookmarkStart w:id="494" w:name="Tc_mFApqlnjVUimGtuBDHcI_g_31_8"/>
      <w:bookmarkStart w:id="495" w:name="Tc_3BBrpaFiTkiXhTDpQyauKg_31_5"/>
      <w:bookmarkStart w:id="496" w:name="Tc_8U_dCIxGg0i5YCzw3rDmxw_31_2"/>
      <w:bookmarkStart w:id="497" w:name="Tc_sXj7493KLkKhNsckUk5i8g_31_0"/>
      <w:bookmarkStart w:id="498" w:name="Tc_xp6aGnxgXka8CfaUr8AHpA_30_11"/>
      <w:bookmarkStart w:id="499" w:name="Tc_iSVr35fYl0y-V0UPEqRvwg_30_8"/>
      <w:bookmarkStart w:id="500" w:name="Tc_tfnoKY5yGke140rwNgI9Dg_30_5"/>
      <w:bookmarkStart w:id="501" w:name="Tc_ywBS_hXC50Kg5vWkah19aA_30_2"/>
      <w:bookmarkStart w:id="502" w:name="Tc_ZWrQ4J5AbUuVNDnBG9bYag_30_0"/>
      <w:bookmarkStart w:id="503" w:name="Tc_O6mW3RabskeZrW7B6Ys5og_29_17"/>
      <w:bookmarkStart w:id="504" w:name="Tc_AdinTyWCQES9v7ByxVUwKQ_29_14"/>
      <w:bookmarkStart w:id="505" w:name="Tc_tJPuQLSesEeP1hBHRU-a0A_29_11"/>
      <w:bookmarkStart w:id="506" w:name="Tc_B90m14Piik-qNygYhR6TSw_29_0"/>
      <w:bookmarkStart w:id="507" w:name="Tc_JNGyKSdImEeL6iPnlvmrLw_28_14"/>
      <w:bookmarkStart w:id="508" w:name="Tc_7WtC6yjG_E2dYF5e4z1GDg_28_11"/>
      <w:bookmarkStart w:id="509" w:name="Tc_RDJ-op_Dm0mMktnPn23PHg_28_5"/>
      <w:bookmarkStart w:id="510" w:name="Tc_VR3dtcpinU-_0FH4B_h4Aw_28_2"/>
      <w:bookmarkStart w:id="511" w:name="Tc_ZsS-WeyM8kig9Ab7bbRpAA_28_0"/>
      <w:bookmarkStart w:id="512" w:name="Tc_PuBKe8VDrkqp6VgQU_sAJQ_27_14"/>
      <w:bookmarkStart w:id="513" w:name="Tc_KUu2oQlN50q_-IUQf8PmxA_27_11"/>
      <w:bookmarkStart w:id="514" w:name="Tc_NG8U3uHNnEGyVpDAf2aL5Q_27_0"/>
      <w:bookmarkStart w:id="515" w:name="Tc_udktY4wYJky_O6Ow2rRFhQ_26_14"/>
      <w:bookmarkStart w:id="516" w:name="Tc_bzNG-umPNUm-FBjY3ppe5w_26_11"/>
      <w:bookmarkStart w:id="517" w:name="Tc_6Az3xxGDMEWdJw_ChCg6AA_26_5"/>
      <w:bookmarkStart w:id="518" w:name="Tc_2qEX7J40X0iuDS35PXAXBg_26_0"/>
      <w:bookmarkStart w:id="519" w:name="Tc_ClZtvFBV50u7sZhEPRhpww_25_14"/>
      <w:bookmarkStart w:id="520" w:name="Tc_3D_bEwxg902su1W7DoeRFA_25_11"/>
      <w:bookmarkStart w:id="521" w:name="Tc_M6YBqpvuGEeBbN0NnZ35PQ_25_0"/>
      <w:bookmarkStart w:id="522" w:name="Tc_X0DP1xKaz0SZshp0Mr2nBQ_24_17"/>
      <w:bookmarkStart w:id="523" w:name="Tc_R0QH9R-AU0iBMOUgrGji0w_24_14"/>
      <w:bookmarkStart w:id="524" w:name="Tc_HebZWPUExkegnSR2xPqUGg_24_11"/>
      <w:bookmarkStart w:id="525" w:name="Tc___wwQDiGX0C9LGgbDNolcw_24_0"/>
      <w:bookmarkStart w:id="526" w:name="Tc_8eRWmoUKSEibBq4AKQc0mQ_23_14"/>
      <w:bookmarkStart w:id="527" w:name="Tc_bVlcpLX04U2eMwkzrtv9tw_23_11"/>
      <w:bookmarkStart w:id="528" w:name="Tc_4rXsrjPSjEWeRINI8H-Z6A_23_5"/>
      <w:bookmarkStart w:id="529" w:name="Tc_5Ayl4NGJXEOcP5enUI6pVg_23_2"/>
      <w:bookmarkStart w:id="530" w:name="Tc_1tqUPko3SkiD0mmp00ApqA_23_0"/>
      <w:bookmarkStart w:id="531" w:name="Tc_1u92_dub8k6xriErx_ZrSQ_22_16"/>
      <w:bookmarkStart w:id="532" w:name="Tc_KNHeMYEfekGGTe7SqrrkWw_22_13"/>
      <w:bookmarkStart w:id="533" w:name="Tc_I-ewwnyqmU2efZCjxmt_7A_22_10"/>
      <w:bookmarkStart w:id="534" w:name="Tc_iQTg6LosYUuuPKDSU2cEUQ_22_7"/>
      <w:bookmarkStart w:id="535" w:name="Tc_6Fe5-cpurEKI1cOlfb-Rkg_22_4"/>
      <w:bookmarkStart w:id="536" w:name="Tc_2APFxv8quEiwbRKvixtiVA_22_0"/>
      <w:bookmarkStart w:id="537" w:name="Tc_TRlvvwc9R0CHyP0myiXr5A_21_16"/>
      <w:bookmarkStart w:id="538" w:name="Tc_YU6G32AKPkCpT-f9G0sm1w_21_13"/>
      <w:bookmarkStart w:id="539" w:name="Tc_M41-sAL9-0SUOT26rNkADg_21_10"/>
      <w:bookmarkStart w:id="540" w:name="Tc_VE7Zn1f5WUSdJnX4qVe4LQ_21_7"/>
      <w:bookmarkStart w:id="541" w:name="Tc_3JZywzqgW0-mJ8quAW33BQ_21_4"/>
      <w:bookmarkStart w:id="542" w:name="Tc_ZIP1K7BjQkK7N-GuinvCfQ_21_2"/>
      <w:bookmarkStart w:id="543" w:name="Tc_3LgIWcQXG025U9125jPKew_20_16"/>
      <w:bookmarkStart w:id="544" w:name="Tc_VmRuQrzon0O2pa7mgWUWkw_20_13"/>
      <w:bookmarkStart w:id="545" w:name="Tc_hLQL6Z3bGUu-QHXguLrwbA_20_10"/>
      <w:bookmarkStart w:id="546" w:name="Tc_wu9iz3yoNEe6GUEqDQ5m0A_20_7"/>
      <w:bookmarkStart w:id="547" w:name="Tc_EVs6BBzi1EOVJ5AD-CDCnw_20_2"/>
      <w:bookmarkStart w:id="548" w:name="Tc_Br9j0G8oUE-D4JI0q250Sw_19_16"/>
      <w:bookmarkStart w:id="549" w:name="Tc_Z1yJFIAIGECVMFVABZ_fJA_19_13"/>
      <w:bookmarkStart w:id="550" w:name="Tc_ZNUAs_G_v0CowhLo222wfQ_19_7"/>
      <w:bookmarkStart w:id="551" w:name="Tc_QsR9s9pSWkC0ab1FnK6mxQ_18_13"/>
      <w:bookmarkStart w:id="552" w:name="Tc_BEqzD3avmkKeQg0Cmo9OIQ_17_2"/>
      <w:bookmarkStart w:id="553" w:name="Tc_VLV7grUJD0ek4LnsV6eqNg_15_16"/>
      <w:bookmarkStart w:id="554" w:name="Tc_eegPYChpDE6A8Bd5CyG5kA_15_14"/>
      <w:bookmarkStart w:id="555" w:name="Tc_r_6P1S0uGUOt6l24GEjzlQ_15_13"/>
      <w:bookmarkStart w:id="556" w:name="Tc_1PEgNyU5Ck6iNccIcMyTvA_15_10"/>
      <w:bookmarkStart w:id="557" w:name="Tc_u_GmzlkmDU2n54uUtM1h-Q_15_7"/>
      <w:bookmarkStart w:id="558" w:name="Tc_KqZ8HRMmdUCH_Z-e3NXpTw_15_4"/>
      <w:bookmarkStart w:id="559" w:name="Tc_1h_nnGiP9E2lJ9Dv-C20Cw_15_0"/>
      <w:bookmarkStart w:id="560" w:name="Tc_Hofit_h_1kKt2Y2R5n69dw_14_14"/>
      <w:bookmarkStart w:id="561" w:name="Tc_Ohn7qXoxiUm9_A_wXaHs0Q_14_8"/>
      <w:bookmarkStart w:id="562" w:name="Tc_g-fsOCEPR06264iVWa1hDA_14_5"/>
      <w:bookmarkStart w:id="563" w:name="Tc_lZVslUFklEGlKoOCLaa3Rw_14_2"/>
      <w:bookmarkStart w:id="564" w:name="Tc_c5DzSwrSgUGCLJTGk-reNw_14_0"/>
      <w:bookmarkStart w:id="565" w:name="Tc_RWFfvS9RkUqyhpjKdZAH3g_13_17"/>
      <w:bookmarkStart w:id="566" w:name="Tc_Fi19t-nsVUe37l1FU5HBOQ_13_14"/>
      <w:bookmarkStart w:id="567" w:name="Tc_ML819H_HgEWkPD18_-BV5w_13_11"/>
      <w:bookmarkStart w:id="568" w:name="Tc_a9BOPt5sFUWwoPZinqRQQQ_13_0"/>
      <w:bookmarkStart w:id="569" w:name="Tc_mhQ1Q3eW-0K8fLndoCg7iA_12_14"/>
      <w:bookmarkStart w:id="570" w:name="Tc_Za1KKPati0q6zwOt_TyOLg_12_11"/>
      <w:bookmarkStart w:id="571" w:name="Tc_5aK6YdhONU-icWoLkdnAmw_12_5"/>
      <w:bookmarkStart w:id="572" w:name="Tc_kXD1qkaXeUy83uW81-0lGQ_12_2"/>
      <w:bookmarkStart w:id="573" w:name="Tc_6On1qlWeSEWTCIUH9TGT0A_12_0"/>
      <w:bookmarkStart w:id="574" w:name="Tc_alViKs7p2kahDAtTduwNfw_11_14"/>
      <w:bookmarkStart w:id="575" w:name="Tc_zp-H0YdwjEiB1p4lH3CDCw_11_11"/>
      <w:bookmarkStart w:id="576" w:name="Tc_erm4QiTBg0-VFGWt9o0Row_11_0"/>
      <w:bookmarkStart w:id="577" w:name="Tc__f6JdMjBhkSek0jHS9NCHg_10_14"/>
      <w:bookmarkStart w:id="578" w:name="Tc_dKPQvkpfo0ayn4isKIz_QA_10_11"/>
      <w:bookmarkStart w:id="579" w:name="Tc_JRKB9F8JeUOPmDeTTUAl-Q_10_5"/>
      <w:bookmarkStart w:id="580" w:name="Tc_ET5yEN4jOUaZwum1UqQNUg_10_0"/>
      <w:bookmarkStart w:id="581" w:name="Tc_3_Sln5mIeECN_TgIn5BRKg_9_14"/>
      <w:bookmarkStart w:id="582" w:name="Tc_bXBpVEFXkU2yE9o0kLshdg_9_11"/>
      <w:bookmarkStart w:id="583" w:name="Tc_snKsaHrCnUaBvc9jr8gSLg_9_0"/>
      <w:bookmarkStart w:id="584" w:name="Tc_NxT1-OrMNEOuP4N8F7v7pg_8_17"/>
      <w:bookmarkStart w:id="585" w:name="Tc_MdlQ7gsZ0kS1cPR2SghDlQ_8_14"/>
      <w:bookmarkStart w:id="586" w:name="Tc_ntF7jlK5q0GxQMNC-iJDbQ_8_11"/>
      <w:bookmarkStart w:id="587" w:name="Tc_qkPxtnlsKUGsDmq3JVGHaA_8_0"/>
      <w:bookmarkStart w:id="588" w:name="Tc_tkMS3JMzVkOvxb6WOC661Q_7_14"/>
      <w:bookmarkStart w:id="589" w:name="Tc_r-uQm8HXKEKYUiH5uCFWqQ_7_11"/>
      <w:bookmarkStart w:id="590" w:name="Tc_3qok0kGFQ0-g-SCoHA3SRw_7_5"/>
      <w:bookmarkStart w:id="591" w:name="Tc_SyOUZSdKpE-5uXDNn33u0Q_7_2"/>
      <w:bookmarkStart w:id="592" w:name="Tc_xADB5ieKA02ryM2i7wrxLw_7_0"/>
      <w:bookmarkStart w:id="593" w:name="Tc_pcLuJOiyZUKOp7pDhJq0wA_6_16"/>
      <w:bookmarkStart w:id="594" w:name="Tc_tPwpN1RN-Emjx8B1VaV0WA_6_14"/>
      <w:bookmarkStart w:id="595" w:name="Tc_YbRO4XIEnUOPUIKnI5i23Q_6_13"/>
      <w:bookmarkStart w:id="596" w:name="Tc_cLtKqKQTaEKj2Qoy56wQPQ_6_10"/>
      <w:bookmarkStart w:id="597" w:name="Tc_7rUlzIdBTEqepVd3KsnHWQ_6_7"/>
      <w:bookmarkStart w:id="598" w:name="Tc_nV8TN4QJD0OYTv_0EI6tog_6_4"/>
      <w:bookmarkStart w:id="599" w:name="Tc_KnqTcxCrGk6Ag5cTQPDkmQ_6_0"/>
      <w:bookmarkStart w:id="600" w:name="Tc_imE8khqpCk2-TFFR8zM1oA_5_16"/>
      <w:bookmarkStart w:id="601" w:name="Tc_g7z3u1MTdUiG7Oy7SNi5NA_5_13"/>
      <w:bookmarkStart w:id="602" w:name="Tc_0J-sK9hUIk-vgipzOEOwiw_5_10"/>
      <w:bookmarkStart w:id="603" w:name="Tc_-mW-KC-6QEuEIVFDD_K_fw_5_7"/>
      <w:bookmarkStart w:id="604" w:name="Tc_vQxYBt7F3UKfVRU98lDprw_5_4"/>
      <w:bookmarkStart w:id="605" w:name="Tc_UjDcJbq0_kuUD-tPoYUR6g_5_2"/>
      <w:bookmarkStart w:id="606" w:name="Tc_pP9Ep4KiCEeuvUMY48YtfA_4_16"/>
      <w:bookmarkStart w:id="607" w:name="Tc_XiIo3JVTjkquU6817ekW8w_4_13"/>
      <w:bookmarkStart w:id="608" w:name="Tc_H0RGHs0keUeely4MbrVM-w_4_10"/>
      <w:bookmarkStart w:id="609" w:name="Tc_sIRJL4LLtEqKKoAvBVGBgQ_4_7"/>
      <w:bookmarkStart w:id="610" w:name="Tc_Dx3FbL8X8EmD_ypS1lCOUA_4_2"/>
      <w:bookmarkStart w:id="611" w:name="Tc_vVxkLvBUFUmrkg9HHPb0dA_3_16"/>
      <w:bookmarkStart w:id="612" w:name="Tc_YJDc8G_6IUuphazYYUUASw_3_13"/>
      <w:bookmarkStart w:id="613" w:name="Tc_oHVmY8VrfEOnoC_v1wJ2Nw_3_7"/>
      <w:bookmarkStart w:id="614" w:name="Tc_kMCsmvJ9QUuf1Gy3NXnwXA_2_13"/>
      <w:bookmarkStart w:id="615" w:name="Tc_IZNrfPpthkKMkf8Kta7qqg_1_2"/>
      <w:bookmarkStart w:id="616" w:name="_045f3ac7_4867_4321_8d9d_ce9018c0d70b"/>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tbl>
      <w:tblPr>
        <w:tblW w:w="10205" w:type="dxa"/>
        <w:jc w:val="left"/>
        <w:tblInd w:w="0" w:type="dxa"/>
        <w:tblLayout w:type="fixed"/>
        <w:tblCellMar>
          <w:top w:w="0" w:type="dxa"/>
          <w:left w:w="0" w:type="dxa"/>
          <w:bottom w:w="0" w:type="dxa"/>
          <w:right w:w="0" w:type="dxa"/>
        </w:tblCellMar>
      </w:tblPr>
      <w:tblGrid>
        <w:gridCol w:w="2141"/>
        <w:gridCol w:w="326"/>
        <w:gridCol w:w="1039"/>
        <w:gridCol w:w="326"/>
        <w:gridCol w:w="230"/>
        <w:gridCol w:w="461"/>
        <w:gridCol w:w="326"/>
        <w:gridCol w:w="211"/>
        <w:gridCol w:w="784"/>
        <w:gridCol w:w="326"/>
        <w:gridCol w:w="250"/>
        <w:gridCol w:w="801"/>
        <w:gridCol w:w="326"/>
        <w:gridCol w:w="436"/>
        <w:gridCol w:w="780"/>
        <w:gridCol w:w="326"/>
        <w:gridCol w:w="212"/>
        <w:gridCol w:w="904"/>
      </w:tblGrid>
      <w:tr>
        <w:trPr/>
        <w:tc>
          <w:tcPr>
            <w:tcW w:w="2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59535" cy="175260"/>
                      <wp:effectExtent l="0" t="0" r="0" b="0"/>
                      <wp:wrapNone/>
                      <wp:docPr id="89" name="Frame89"/>
                      <a:graphic xmlns:a="http://schemas.openxmlformats.org/drawingml/2006/main">
                        <a:graphicData uri="http://schemas.microsoft.com/office/word/2010/wordprocessingShape">
                          <wps:wsp>
                            <wps:cNvSpPr txBox="1"/>
                            <wps:spPr>
                              <a:xfrm>
                                <a:off x="0" y="0"/>
                                <a:ext cx="135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59765" cy="175260"/>
                      <wp:effectExtent l="0" t="0" r="0" b="0"/>
                      <wp:wrapNone/>
                      <wp:docPr id="91" name="Frame91"/>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6050" cy="175260"/>
                      <wp:effectExtent l="0" t="0" r="0" b="0"/>
                      <wp:wrapNone/>
                      <wp:docPr id="93" name="Frame9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92735" cy="175260"/>
                      <wp:effectExtent l="0" t="0" r="0" b="0"/>
                      <wp:wrapNone/>
                      <wp:docPr id="94" name="Frame94"/>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97840" cy="175260"/>
                      <wp:effectExtent l="0" t="0" r="0" b="0"/>
                      <wp:wrapNone/>
                      <wp:docPr id="97" name="Frame97"/>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8750" cy="175260"/>
                      <wp:effectExtent l="0" t="0" r="0" b="0"/>
                      <wp:wrapNone/>
                      <wp:docPr id="99" name="Frame9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08635" cy="175260"/>
                      <wp:effectExtent l="0" t="0" r="0" b="0"/>
                      <wp:wrapNone/>
                      <wp:docPr id="100" name="Frame100"/>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76860" cy="175260"/>
                      <wp:effectExtent l="0" t="0" r="0" b="0"/>
                      <wp:wrapNone/>
                      <wp:docPr id="102" name="Frame10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95300" cy="175260"/>
                      <wp:effectExtent l="0" t="0" r="0" b="0"/>
                      <wp:wrapNone/>
                      <wp:docPr id="103" name="Frame103"/>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4620" cy="175260"/>
                      <wp:effectExtent l="0" t="0" r="0" b="0"/>
                      <wp:wrapNone/>
                      <wp:docPr id="105" name="Frame105"/>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74040" cy="175260"/>
                      <wp:effectExtent l="0" t="0" r="0" b="0"/>
                      <wp:wrapNone/>
                      <wp:docPr id="106" name="Frame106"/>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738"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 June 26, 2024</w:t>
            </w:r>
          </w:p>
        </w:tc>
      </w:tr>
      <w:tr>
        <w:trPr/>
        <w:tc>
          <w:tcPr>
            <w:tcW w:w="2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center"/>
              <w:rPr/>
            </w:pPr>
            <w:r>
              <w:rPr/>
              <w:t>​</w:t>
            </w:r>
          </w:p>
        </w:tc>
      </w:tr>
      <w:tr>
        <w:trPr/>
        <w:tc>
          <w:tcPr>
            <w:tcW w:w="2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    </w:t>
            </w:r>
          </w:p>
        </w:tc>
        <w:tc>
          <w:tcPr>
            <w:tcW w:w="11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1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vAlign w:val="center"/>
          </w:tcPr>
          <w:p>
            <w:pPr>
              <w:pStyle w:val="TableContents"/>
              <w:bidi w:val="0"/>
              <w:spacing w:before="0" w:after="0"/>
              <w:ind w:left="0" w:right="0" w:hanging="0"/>
              <w:jc w:val="left"/>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March 27, 2024</w:t>
            </w:r>
          </w:p>
        </w:tc>
        <w:tc>
          <w:tcPr>
            <w:tcW w:w="32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31,179,519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236,103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19,874</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256,289</w:t>
            </w:r>
          </w:p>
        </w:tc>
      </w:tr>
      <w:tr>
        <w:trPr/>
        <w:tc>
          <w:tcPr>
            <w:tcW w:w="2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r>
      <w:tr>
        <w:trPr/>
        <w:tc>
          <w:tcPr>
            <w:tcW w:w="2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2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493,496</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w:t>
            </w:r>
          </w:p>
        </w:tc>
      </w:tr>
      <w:tr>
        <w:trPr/>
        <w:tc>
          <w:tcPr>
            <w:tcW w:w="2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2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110,375</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r>
      <w:tr>
        <w:trPr/>
        <w:tc>
          <w:tcPr>
            <w:tcW w:w="2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2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2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(1,737,786)</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(16,986)</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(17,004)</w:t>
            </w:r>
          </w:p>
        </w:tc>
      </w:tr>
      <w:tr>
        <w:trPr/>
        <w:tc>
          <w:tcPr>
            <w:tcW w:w="2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 - excise tax</w:t>
            </w:r>
          </w:p>
        </w:tc>
        <w:tc>
          <w:tcPr>
            <w:tcW w:w="32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2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2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(42,539)</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pPr>
            <w:r>
              <w:rPr/>
              <w:t>—</w:t>
            </w:r>
          </w:p>
        </w:tc>
      </w:tr>
      <w:tr>
        <w:trPr/>
        <w:tc>
          <w:tcPr>
            <w:tcW w:w="2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7,633</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7,633</w:t>
            </w:r>
          </w:p>
        </w:tc>
      </w:tr>
      <w:tr>
        <w:trPr/>
        <w:tc>
          <w:tcPr>
            <w:tcW w:w="2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26, 2024</w:t>
            </w:r>
          </w:p>
        </w:tc>
        <w:tc>
          <w:tcPr>
            <w:tcW w:w="326" w:type="dxa"/>
            <w:tcBorders/>
            <w:vAlign w:val="center"/>
          </w:tcPr>
          <w:p>
            <w:pPr>
              <w:pStyle w:val="TableContents"/>
              <w:bidi w:val="0"/>
              <w:spacing w:before="0" w:after="0"/>
              <w:ind w:left="0" w:right="0" w:hanging="0"/>
              <w:jc w:val="left"/>
              <w:rPr/>
            </w:pPr>
            <w:r>
              <w:rPr/>
              <w:t>​</w:t>
            </w:r>
          </w:p>
        </w:tc>
        <w:tc>
          <w:tcPr>
            <w:tcW w:w="10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29,988,771</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220,772</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27,507</w:t>
            </w:r>
          </w:p>
        </w:tc>
        <w:tc>
          <w:tcPr>
            <w:tcW w:w="326" w:type="dxa"/>
            <w:tcBorders/>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248,578</w:t>
            </w:r>
          </w:p>
        </w:tc>
      </w:tr>
      <w:tr>
        <w:trPr/>
        <w:tc>
          <w:tcPr>
            <w:tcW w:w="2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pPr>
            <w:r>
              <w:rPr/>
              <w:t>​</w:t>
            </w:r>
          </w:p>
        </w:tc>
      </w:tr>
      <w:tr>
        <w:trPr/>
        <w:tc>
          <w:tcPr>
            <w:tcW w:w="2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738"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 June 28, 2023</w:t>
            </w:r>
          </w:p>
        </w:tc>
      </w:tr>
      <w:tr>
        <w:trPr/>
        <w:tc>
          <w:tcPr>
            <w:tcW w:w="2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center"/>
              <w:rPr/>
            </w:pPr>
            <w:r>
              <w:rPr/>
              <w:t>​</w:t>
            </w:r>
          </w:p>
        </w:tc>
      </w:tr>
      <w:tr>
        <w:trPr/>
        <w:tc>
          <w:tcPr>
            <w:tcW w:w="2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    </w:t>
            </w:r>
          </w:p>
        </w:tc>
        <w:tc>
          <w:tcPr>
            <w:tcW w:w="11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1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vAlign w:val="center"/>
          </w:tcPr>
          <w:p>
            <w:pPr>
              <w:pStyle w:val="TableContents"/>
              <w:bidi w:val="0"/>
              <w:spacing w:before="0" w:after="0"/>
              <w:ind w:left="0" w:right="0" w:hanging="0"/>
              <w:jc w:val="left"/>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March 29, 2023</w:t>
            </w:r>
          </w:p>
        </w:tc>
        <w:tc>
          <w:tcPr>
            <w:tcW w:w="32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36,450,477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286,791</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(6,674)</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280,544</w:t>
            </w:r>
          </w:p>
        </w:tc>
      </w:tr>
      <w:tr>
        <w:trPr/>
        <w:tc>
          <w:tcPr>
            <w:tcW w:w="2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r>
      <w:tr>
        <w:trPr/>
        <w:tc>
          <w:tcPr>
            <w:tcW w:w="2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2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363,210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w:t>
            </w:r>
          </w:p>
        </w:tc>
      </w:tr>
      <w:tr>
        <w:trPr/>
        <w:tc>
          <w:tcPr>
            <w:tcW w:w="2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2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179,950</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r>
      <w:tr>
        <w:trPr/>
        <w:tc>
          <w:tcPr>
            <w:tcW w:w="2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2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2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(1,272,287)</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(11,928)</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(11,941)</w:t>
            </w:r>
          </w:p>
        </w:tc>
      </w:tr>
      <w:tr>
        <w:trPr/>
        <w:tc>
          <w:tcPr>
            <w:tcW w:w="2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 - excise tax</w:t>
            </w:r>
          </w:p>
        </w:tc>
        <w:tc>
          <w:tcPr>
            <w:tcW w:w="32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2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26"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(59,113)</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pPr>
            <w:r>
              <w:rPr/>
              <w:t>—</w:t>
            </w:r>
          </w:p>
        </w:tc>
      </w:tr>
      <w:tr>
        <w:trPr/>
        <w:tc>
          <w:tcPr>
            <w:tcW w:w="2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2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7,056</w:t>
            </w:r>
          </w:p>
        </w:tc>
        <w:tc>
          <w:tcPr>
            <w:tcW w:w="32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7,056</w:t>
            </w:r>
          </w:p>
        </w:tc>
      </w:tr>
      <w:tr>
        <w:trPr/>
        <w:tc>
          <w:tcPr>
            <w:tcW w:w="21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June 28, 2023</w:t>
            </w:r>
          </w:p>
        </w:tc>
        <w:tc>
          <w:tcPr>
            <w:tcW w:w="326" w:type="dxa"/>
            <w:tcBorders/>
            <w:shd w:fill="CCEEFF" w:val="clear"/>
            <w:vAlign w:val="center"/>
          </w:tcPr>
          <w:p>
            <w:pPr>
              <w:pStyle w:val="TableContents"/>
              <w:bidi w:val="0"/>
              <w:spacing w:before="0" w:after="0"/>
              <w:ind w:left="0" w:right="0" w:hanging="0"/>
              <w:jc w:val="left"/>
              <w:rPr/>
            </w:pPr>
            <w:r>
              <w:rPr/>
              <w:t>​</w:t>
            </w:r>
          </w:p>
        </w:tc>
        <w:tc>
          <w:tcPr>
            <w:tcW w:w="10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35,643,747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276,222</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276,960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617" w:name="Tc_oMh0ysdDUEGPlYbBW9wwsQ_32_16"/>
      <w:bookmarkStart w:id="618" w:name="Tc_Tx7E2t_QXkCKesDyysslZw_32_14"/>
      <w:bookmarkStart w:id="619" w:name="Tc_f-U4QOpfFESo46RBgLtfVw_32_13"/>
      <w:bookmarkStart w:id="620" w:name="Tc_Dzpbw5TYEUeM_y_xBUWQ3Q_32_10"/>
      <w:bookmarkStart w:id="621" w:name="Tc_DhCgpXjcFkW1AI0bgFPNrA_32_7"/>
      <w:bookmarkStart w:id="622" w:name="Tc_1FNitQxxnEinTkG6QdBpSA_32_4"/>
      <w:bookmarkStart w:id="623" w:name="Tc_gJsfQTzJi0S-jmGcPc9DUA_32_0"/>
      <w:bookmarkStart w:id="624" w:name="Tc_l8nurgVCmk64C2NTWv17Zw_31_14"/>
      <w:bookmarkStart w:id="625" w:name="Tc_sy6R9T5TWk-WMV0OiJAAqA_31_8"/>
      <w:bookmarkStart w:id="626" w:name="Tc_HDf2owWSWkO9aICmfR-P6g_31_5"/>
      <w:bookmarkStart w:id="627" w:name="Tc_WMNV6Miljk2AAgbUeHT2YA_31_2"/>
      <w:bookmarkStart w:id="628" w:name="Tc_JkXLv4FtPUKYNmkyukequg_31_0"/>
      <w:bookmarkStart w:id="629" w:name="Tc_ZeO4pPNRYEGspPN9pSFtHw_30_11"/>
      <w:bookmarkStart w:id="630" w:name="Tc_SCvc8ZKhhEafdsbQNU9bfQ_30_8"/>
      <w:bookmarkStart w:id="631" w:name="Tc_nY92gWLG1ECo0gUlwmvu1Q_30_5"/>
      <w:bookmarkStart w:id="632" w:name="Tc_dhyLuxG6uE6ZKn-GbLyNxQ_30_2"/>
      <w:bookmarkStart w:id="633" w:name="Tc_NZtsRvEL70qo2x-hjFCAAg_30_0"/>
      <w:bookmarkStart w:id="634" w:name="Tc_xDIX2bh150Ojh0YkpDGYBA_29_17"/>
      <w:bookmarkStart w:id="635" w:name="Tc_odeq-lQqWE2AaCOyd_OqOg_29_14"/>
      <w:bookmarkStart w:id="636" w:name="Tc_7prpsW5-20uW6jVy6c4VOw_29_11"/>
      <w:bookmarkStart w:id="637" w:name="Tc_Qh1SLXNYq06h5Zq5HYFxdw_29_0"/>
      <w:bookmarkStart w:id="638" w:name="Tc_W6jY8rIf1kGxp--Gbbl3zQ_28_14"/>
      <w:bookmarkStart w:id="639" w:name="Tc_SyRws1-wYEGo07VPmJzhBQ_28_11"/>
      <w:bookmarkStart w:id="640" w:name="Tc_nc6IRqn3DEavmxJdfEfrHw_28_5"/>
      <w:bookmarkStart w:id="641" w:name="Tc_SQgr0pnslkayoxW_9dP9CQ_28_2"/>
      <w:bookmarkStart w:id="642" w:name="Tc_gPTH2x_I-E6-d-BEt3FLog_28_0"/>
      <w:bookmarkStart w:id="643" w:name="Tc_35ZholA14E2GcE8c8IYoZw_27_14"/>
      <w:bookmarkStart w:id="644" w:name="Tc_V5cnIBe2dUyKsOTGAIvYPA_27_11"/>
      <w:bookmarkStart w:id="645" w:name="Tc_Le-ebKpfvUuUiCw6TbwF7Q_27_0"/>
      <w:bookmarkStart w:id="646" w:name="Tc_2O_RGbjjdEyADFOj-TzjxQ_26_14"/>
      <w:bookmarkStart w:id="647" w:name="Tc_TO3_nlyJvEmEfzekrLo-iA_26_11"/>
      <w:bookmarkStart w:id="648" w:name="Tc_jonoZvMr1Eq37ngWRjuyTg_26_5"/>
      <w:bookmarkStart w:id="649" w:name="Tc_4CrKDXBeHEex4ViKltemLw_26_0"/>
      <w:bookmarkStart w:id="650" w:name="Tc__WBvSY1lCUG3ArNMi_2wcg_25_14"/>
      <w:bookmarkStart w:id="651" w:name="Tc_ozItzjLMm0WJs5ZsniboeA_25_11"/>
      <w:bookmarkStart w:id="652" w:name="Tc_kT_ibfaVW0KYNoLZFBtV9g_25_0"/>
      <w:bookmarkStart w:id="653" w:name="Tc_ddubhlov3EyB_VQUPfwcIA_24_17"/>
      <w:bookmarkStart w:id="654" w:name="Tc_G49tsjzmck-LwyJ46UXPCA_24_14"/>
      <w:bookmarkStart w:id="655" w:name="Tc_twyGZpK5n06ksKrhKyyTFA_24_11"/>
      <w:bookmarkStart w:id="656" w:name="Tc_KVUDM6JukUCSHxBsI04zJg_24_0"/>
      <w:bookmarkStart w:id="657" w:name="Tc_rGwrn9nL3kmsjZ7v-jw_JA_23_14"/>
      <w:bookmarkStart w:id="658" w:name="Tc_cIMCnO_M10KUPzBwYeOuxA_23_11"/>
      <w:bookmarkStart w:id="659" w:name="Tc_Ns1AKQEXIU6dQMe0mjX1zQ_23_5"/>
      <w:bookmarkStart w:id="660" w:name="Tc_GK5yhGgRHUa5CnR69QbAnA_23_2"/>
      <w:bookmarkStart w:id="661" w:name="Tc_0DBUAl2cLk2UQ1DxAnqNIg_23_0"/>
      <w:bookmarkStart w:id="662" w:name="Tc_iapYnicvuEePOjPhxqs8_A_22_16"/>
      <w:bookmarkStart w:id="663" w:name="Tc_vYuyE-WbHkaHFS_BQLWc8Q_22_13"/>
      <w:bookmarkStart w:id="664" w:name="Tc_iSqDvQkwfEekPMbFz5Mw-w_22_10"/>
      <w:bookmarkStart w:id="665" w:name="Tc_k-fDaQ7v-0anxdTjh_rmkg_22_7"/>
      <w:bookmarkStart w:id="666" w:name="Tc_UGUHlHGRZU-hsIooCVXpbQ_22_4"/>
      <w:bookmarkStart w:id="667" w:name="Tc_H_h1q4vXu02onu-6iEfYHg_22_0"/>
      <w:bookmarkStart w:id="668" w:name="Tc_XjALmilCp0WI5F40dGPEOQ_21_16"/>
      <w:bookmarkStart w:id="669" w:name="Tc_qyXmhTlOpEWKVJjoUIs7LA_21_13"/>
      <w:bookmarkStart w:id="670" w:name="Tc_tsa8Je08bkalnfGTBPv5lA_21_10"/>
      <w:bookmarkStart w:id="671" w:name="Tc_1JTe8gV8UUe1drWXxqSkoQ_21_7"/>
      <w:bookmarkStart w:id="672" w:name="Tc_XuzW7YMvjk-dEwyYf5rmUA_21_4"/>
      <w:bookmarkStart w:id="673" w:name="Tc_FR6jBUJMt0G0faRHbFVd2A_21_2"/>
      <w:bookmarkStart w:id="674" w:name="Tc_TDw5WHEocEC-JRw-mve5WQ_20_16"/>
      <w:bookmarkStart w:id="675" w:name="Tc_fSD8p6vcdUKsuUG5ADQyYA_20_13"/>
      <w:bookmarkStart w:id="676" w:name="Tc_pJsQX6YalUibPfdXFLY_KA_20_10"/>
      <w:bookmarkStart w:id="677" w:name="Tc_zF128bymnkCL9g--tZpShg_20_7"/>
      <w:bookmarkStart w:id="678" w:name="Tc_ZSJX3wAgVEOcsHPaqg_nsA_20_2"/>
      <w:bookmarkStart w:id="679" w:name="Tc_CGMSjqT6bk2CTjY9C8FQ0w_19_16"/>
      <w:bookmarkStart w:id="680" w:name="Tc_7TMJpDgbq0inK7x1fPVikA_19_13"/>
      <w:bookmarkStart w:id="681" w:name="Tc_QNDXRx3qlUSMSga_rkt2dw_19_7"/>
      <w:bookmarkStart w:id="682" w:name="Tc_CjOZBUqxG06QCJrnX2t0AA_18_13"/>
      <w:bookmarkStart w:id="683" w:name="Tc_AI8uw6G41Uq7WTzhRWfXtA_17_2"/>
      <w:bookmarkStart w:id="684" w:name="Tc_3KmDI0M2JUut3-XlMs4gkA_15_16"/>
      <w:bookmarkStart w:id="685" w:name="Tc_X47LaPSCRkWHgvotxaDdow_15_14"/>
      <w:bookmarkStart w:id="686" w:name="Tc_WpVRy7zKEEWmW_CSzjvSWg_15_13"/>
      <w:bookmarkStart w:id="687" w:name="Tc_HQi_VWDyJU6dyVmEwma6wQ_15_10"/>
      <w:bookmarkStart w:id="688" w:name="Tc_mU465WgZcUScMMapecS_yg_15_7"/>
      <w:bookmarkStart w:id="689" w:name="Tc_-K6PRKx-BkChW-VRL5qTYg_15_4"/>
      <w:bookmarkStart w:id="690" w:name="Tc_2MCCj6OudkKkrrWX8muxJA_15_0"/>
      <w:bookmarkStart w:id="691" w:name="Tc_U0Af93Tfz06dNx6j2ktOYQ_14_14"/>
      <w:bookmarkStart w:id="692" w:name="Tc_qQ_o8tp7EUWwtIjlW4CIQw_14_8"/>
      <w:bookmarkStart w:id="693" w:name="Tc_GXmd3o72f0O4xbVAeiXoKg_14_5"/>
      <w:bookmarkStart w:id="694" w:name="Tc_AX_cOYpGrkGalZ6ewbL8Uw_14_2"/>
      <w:bookmarkStart w:id="695" w:name="Tc_Ec7RJbKdqUOXboWYWKJQ_A_14_0"/>
      <w:bookmarkStart w:id="696" w:name="Tc_OrJV8jg5CUaJexynSvh0Ow_13_17"/>
      <w:bookmarkStart w:id="697" w:name="Tc_fVxeiFyo8kmFdqE_IbpE0Q_13_14"/>
      <w:bookmarkStart w:id="698" w:name="Tc_1M6PheUYFkqRZvTuACnW2w_13_11"/>
      <w:bookmarkStart w:id="699" w:name="Tc_FS6gyaHWmEaSzpFBUy7yiA_13_0"/>
      <w:bookmarkStart w:id="700" w:name="Tc_FU6td846CUKt0O6uqkh6HA_12_14"/>
      <w:bookmarkStart w:id="701" w:name="Tc_WFaR3ngwm0OCGafh7gRd9A_12_11"/>
      <w:bookmarkStart w:id="702" w:name="Tc_7Ynfizz78ESAdwfVfIGRLQ_12_5"/>
      <w:bookmarkStart w:id="703" w:name="Tc_xodgMXeUEUS8Azj5Sg0izw_12_2"/>
      <w:bookmarkStart w:id="704" w:name="Tc_i8JrO1ZRjEyRx6-wYbMsiQ_12_0"/>
      <w:bookmarkStart w:id="705" w:name="Tc_TT69nLe61UCW-w6KJ-Y72w_11_14"/>
      <w:bookmarkStart w:id="706" w:name="Tc_KZU7ymUW6kGTyAAapZfTjw_11_11"/>
      <w:bookmarkStart w:id="707" w:name="Tc_MUZ-i4kKHEWOa--BYl84iw_11_0"/>
      <w:bookmarkStart w:id="708" w:name="Tc_QmE6h2EWSEGQHgf7lg5t2A_10_14"/>
      <w:bookmarkStart w:id="709" w:name="Tc_ZlAtfOCQzk-FOxSxX_pSNQ_10_11"/>
      <w:bookmarkStart w:id="710" w:name="Tc_BF2jITzP0kOjV4qYAd-Wyw_10_5"/>
      <w:bookmarkStart w:id="711" w:name="Tc_D0abLvGQckio9y9Be_aTvQ_10_0"/>
      <w:bookmarkStart w:id="712" w:name="Tc_65JjOhGp40m6BHEjC8wUOw_9_14"/>
      <w:bookmarkStart w:id="713" w:name="Tc__guOskwyjUq9MjDyuG9xCg_9_11"/>
      <w:bookmarkStart w:id="714" w:name="Tc_vQvEueHL4UuUA_paWt2W9w_9_0"/>
      <w:bookmarkStart w:id="715" w:name="Tc_lrRZxlbWrEWdyyqgbFlQJQ_8_17"/>
      <w:bookmarkStart w:id="716" w:name="Tc_qU_cLIx8akSbLTJeYLnRSQ_8_14"/>
      <w:bookmarkStart w:id="717" w:name="Tc_t9XoBqHc5U2Rf9MMUmMXvQ_8_11"/>
      <w:bookmarkStart w:id="718" w:name="Tc_COScaxfCLUKS438RmceY-A_8_0"/>
      <w:bookmarkStart w:id="719" w:name="Tc_-rKXQDU3p02fd6IHL3hysw_7_14"/>
      <w:bookmarkStart w:id="720" w:name="Tc_Rq6fDFMoxEWvF9r4FJ10lg_7_11"/>
      <w:bookmarkStart w:id="721" w:name="Tc_CUmqRd1EUkybhrBHhf_Rkw_7_5"/>
      <w:bookmarkStart w:id="722" w:name="Tc_nW8AJRpIzUmYmiqfoebRdg_7_2"/>
      <w:bookmarkStart w:id="723" w:name="Tc_g27N94JDxEa7xRV1sU8Sbw_7_0"/>
      <w:bookmarkStart w:id="724" w:name="Tc_Izywx5d8MkCzpSg-sBZTQw_6_16"/>
      <w:bookmarkStart w:id="725" w:name="Tc_oTaEF2aVjkKVD8LY72TNcg_6_14"/>
      <w:bookmarkStart w:id="726" w:name="Tc_0typPN0ijkyyEwLnOVgVMg_6_13"/>
      <w:bookmarkStart w:id="727" w:name="Tc_cpPAJSldBkiMMv1qvcObyA_6_10"/>
      <w:bookmarkStart w:id="728" w:name="Tc_4QffcnTIJUG-Lc7FMibwVQ_6_7"/>
      <w:bookmarkStart w:id="729" w:name="Tc_yIPqY2-h7EC78oKpkr_tjQ_6_4"/>
      <w:bookmarkStart w:id="730" w:name="Tc_Syy9LYyGN0CQS1G_3B1BBA_6_0"/>
      <w:bookmarkStart w:id="731" w:name="Tc_MbPVJFuf9kKLejE0xL2rDg_5_16"/>
      <w:bookmarkStart w:id="732" w:name="Tc_sxRemWBU20msZQL7LuhL6A_5_13"/>
      <w:bookmarkStart w:id="733" w:name="Tc_By2P6tNGBU229C3uh01FRw_5_10"/>
      <w:bookmarkStart w:id="734" w:name="Tc_9S4cbklNnEqT6MT_Sepanw_5_7"/>
      <w:bookmarkStart w:id="735" w:name="Tc_HTsulT8id0Wg1PVdNIXdjw_5_4"/>
      <w:bookmarkStart w:id="736" w:name="Tc_2uoHSFCFB0CIvxp56OSIxA_5_2"/>
      <w:bookmarkStart w:id="737" w:name="Tc_AuJjckrAFkiocZHBCfj67A_4_16"/>
      <w:bookmarkStart w:id="738" w:name="Tc_rXDDRbhQb0at0vQcyKRpSw_4_13"/>
      <w:bookmarkStart w:id="739" w:name="Tc_u_KpOv6hx0GKjXZjvgXVdA_4_10"/>
      <w:bookmarkStart w:id="740" w:name="Tc_hc3pi6ZMIU6qeFItbWJcDA_4_7"/>
      <w:bookmarkStart w:id="741" w:name="Tc_bjObwDLnTE-uidzOekyODA_4_2"/>
      <w:bookmarkStart w:id="742" w:name="Tc_e8j6uvmWZEGmNxFMz_SDRQ_3_16"/>
      <w:bookmarkStart w:id="743" w:name="Tc_E-kkaskeXUamYQAPJ75wGQ_3_13"/>
      <w:bookmarkStart w:id="744" w:name="Tc_rKl2WQNGM0uaPtCwMB_d4A_3_7"/>
      <w:bookmarkStart w:id="745" w:name="Tc_WRz2WDJ-Bk-Ux4xyUn-rRg_2_13"/>
      <w:bookmarkStart w:id="746" w:name="Tc_tuH6LtsXQ0OWrvV_crc5rw_1_2"/>
      <w:bookmarkStart w:id="747" w:name="_144d4bd5_eda0_42e6_afe5_09bfd4ea1594"/>
      <w:bookmarkStart w:id="748" w:name="Tc_oMh0ysdDUEGPlYbBW9wwsQ_32_16"/>
      <w:bookmarkStart w:id="749" w:name="Tc_Tx7E2t_QXkCKesDyysslZw_32_14"/>
      <w:bookmarkStart w:id="750" w:name="Tc_f-U4QOpfFESo46RBgLtfVw_32_13"/>
      <w:bookmarkStart w:id="751" w:name="Tc_Dzpbw5TYEUeM_y_xBUWQ3Q_32_10"/>
      <w:bookmarkStart w:id="752" w:name="Tc_DhCgpXjcFkW1AI0bgFPNrA_32_7"/>
      <w:bookmarkStart w:id="753" w:name="Tc_1FNitQxxnEinTkG6QdBpSA_32_4"/>
      <w:bookmarkStart w:id="754" w:name="Tc_gJsfQTzJi0S-jmGcPc9DUA_32_0"/>
      <w:bookmarkStart w:id="755" w:name="Tc_l8nurgVCmk64C2NTWv17Zw_31_14"/>
      <w:bookmarkStart w:id="756" w:name="Tc_sy6R9T5TWk-WMV0OiJAAqA_31_8"/>
      <w:bookmarkStart w:id="757" w:name="Tc_HDf2owWSWkO9aICmfR-P6g_31_5"/>
      <w:bookmarkStart w:id="758" w:name="Tc_WMNV6Miljk2AAgbUeHT2YA_31_2"/>
      <w:bookmarkStart w:id="759" w:name="Tc_JkXLv4FtPUKYNmkyukequg_31_0"/>
      <w:bookmarkStart w:id="760" w:name="Tc_ZeO4pPNRYEGspPN9pSFtHw_30_11"/>
      <w:bookmarkStart w:id="761" w:name="Tc_SCvc8ZKhhEafdsbQNU9bfQ_30_8"/>
      <w:bookmarkStart w:id="762" w:name="Tc_nY92gWLG1ECo0gUlwmvu1Q_30_5"/>
      <w:bookmarkStart w:id="763" w:name="Tc_dhyLuxG6uE6ZKn-GbLyNxQ_30_2"/>
      <w:bookmarkStart w:id="764" w:name="Tc_NZtsRvEL70qo2x-hjFCAAg_30_0"/>
      <w:bookmarkStart w:id="765" w:name="Tc_xDIX2bh150Ojh0YkpDGYBA_29_17"/>
      <w:bookmarkStart w:id="766" w:name="Tc_odeq-lQqWE2AaCOyd_OqOg_29_14"/>
      <w:bookmarkStart w:id="767" w:name="Tc_7prpsW5-20uW6jVy6c4VOw_29_11"/>
      <w:bookmarkStart w:id="768" w:name="Tc_Qh1SLXNYq06h5Zq5HYFxdw_29_0"/>
      <w:bookmarkStart w:id="769" w:name="Tc_W6jY8rIf1kGxp--Gbbl3zQ_28_14"/>
      <w:bookmarkStart w:id="770" w:name="Tc_SyRws1-wYEGo07VPmJzhBQ_28_11"/>
      <w:bookmarkStart w:id="771" w:name="Tc_nc6IRqn3DEavmxJdfEfrHw_28_5"/>
      <w:bookmarkStart w:id="772" w:name="Tc_SQgr0pnslkayoxW_9dP9CQ_28_2"/>
      <w:bookmarkStart w:id="773" w:name="Tc_gPTH2x_I-E6-d-BEt3FLog_28_0"/>
      <w:bookmarkStart w:id="774" w:name="Tc_35ZholA14E2GcE8c8IYoZw_27_14"/>
      <w:bookmarkStart w:id="775" w:name="Tc_V5cnIBe2dUyKsOTGAIvYPA_27_11"/>
      <w:bookmarkStart w:id="776" w:name="Tc_Le-ebKpfvUuUiCw6TbwF7Q_27_0"/>
      <w:bookmarkStart w:id="777" w:name="Tc_2O_RGbjjdEyADFOj-TzjxQ_26_14"/>
      <w:bookmarkStart w:id="778" w:name="Tc_TO3_nlyJvEmEfzekrLo-iA_26_11"/>
      <w:bookmarkStart w:id="779" w:name="Tc_jonoZvMr1Eq37ngWRjuyTg_26_5"/>
      <w:bookmarkStart w:id="780" w:name="Tc_4CrKDXBeHEex4ViKltemLw_26_0"/>
      <w:bookmarkStart w:id="781" w:name="Tc__WBvSY1lCUG3ArNMi_2wcg_25_14"/>
      <w:bookmarkStart w:id="782" w:name="Tc_ozItzjLMm0WJs5ZsniboeA_25_11"/>
      <w:bookmarkStart w:id="783" w:name="Tc_kT_ibfaVW0KYNoLZFBtV9g_25_0"/>
      <w:bookmarkStart w:id="784" w:name="Tc_ddubhlov3EyB_VQUPfwcIA_24_17"/>
      <w:bookmarkStart w:id="785" w:name="Tc_G49tsjzmck-LwyJ46UXPCA_24_14"/>
      <w:bookmarkStart w:id="786" w:name="Tc_twyGZpK5n06ksKrhKyyTFA_24_11"/>
      <w:bookmarkStart w:id="787" w:name="Tc_KVUDM6JukUCSHxBsI04zJg_24_0"/>
      <w:bookmarkStart w:id="788" w:name="Tc_rGwrn9nL3kmsjZ7v-jw_JA_23_14"/>
      <w:bookmarkStart w:id="789" w:name="Tc_cIMCnO_M10KUPzBwYeOuxA_23_11"/>
      <w:bookmarkStart w:id="790" w:name="Tc_Ns1AKQEXIU6dQMe0mjX1zQ_23_5"/>
      <w:bookmarkStart w:id="791" w:name="Tc_GK5yhGgRHUa5CnR69QbAnA_23_2"/>
      <w:bookmarkStart w:id="792" w:name="Tc_0DBUAl2cLk2UQ1DxAnqNIg_23_0"/>
      <w:bookmarkStart w:id="793" w:name="Tc_iapYnicvuEePOjPhxqs8_A_22_16"/>
      <w:bookmarkStart w:id="794" w:name="Tc_vYuyE-WbHkaHFS_BQLWc8Q_22_13"/>
      <w:bookmarkStart w:id="795" w:name="Tc_iSqDvQkwfEekPMbFz5Mw-w_22_10"/>
      <w:bookmarkStart w:id="796" w:name="Tc_k-fDaQ7v-0anxdTjh_rmkg_22_7"/>
      <w:bookmarkStart w:id="797" w:name="Tc_UGUHlHGRZU-hsIooCVXpbQ_22_4"/>
      <w:bookmarkStart w:id="798" w:name="Tc_H_h1q4vXu02onu-6iEfYHg_22_0"/>
      <w:bookmarkStart w:id="799" w:name="Tc_XjALmilCp0WI5F40dGPEOQ_21_16"/>
      <w:bookmarkStart w:id="800" w:name="Tc_qyXmhTlOpEWKVJjoUIs7LA_21_13"/>
      <w:bookmarkStart w:id="801" w:name="Tc_tsa8Je08bkalnfGTBPv5lA_21_10"/>
      <w:bookmarkStart w:id="802" w:name="Tc_1JTe8gV8UUe1drWXxqSkoQ_21_7"/>
      <w:bookmarkStart w:id="803" w:name="Tc_XuzW7YMvjk-dEwyYf5rmUA_21_4"/>
      <w:bookmarkStart w:id="804" w:name="Tc_FR6jBUJMt0G0faRHbFVd2A_21_2"/>
      <w:bookmarkStart w:id="805" w:name="Tc_TDw5WHEocEC-JRw-mve5WQ_20_16"/>
      <w:bookmarkStart w:id="806" w:name="Tc_fSD8p6vcdUKsuUG5ADQyYA_20_13"/>
      <w:bookmarkStart w:id="807" w:name="Tc_pJsQX6YalUibPfdXFLY_KA_20_10"/>
      <w:bookmarkStart w:id="808" w:name="Tc_zF128bymnkCL9g--tZpShg_20_7"/>
      <w:bookmarkStart w:id="809" w:name="Tc_ZSJX3wAgVEOcsHPaqg_nsA_20_2"/>
      <w:bookmarkStart w:id="810" w:name="Tc_CGMSjqT6bk2CTjY9C8FQ0w_19_16"/>
      <w:bookmarkStart w:id="811" w:name="Tc_7TMJpDgbq0inK7x1fPVikA_19_13"/>
      <w:bookmarkStart w:id="812" w:name="Tc_QNDXRx3qlUSMSga_rkt2dw_19_7"/>
      <w:bookmarkStart w:id="813" w:name="Tc_CjOZBUqxG06QCJrnX2t0AA_18_13"/>
      <w:bookmarkStart w:id="814" w:name="Tc_AI8uw6G41Uq7WTzhRWfXtA_17_2"/>
      <w:bookmarkStart w:id="815" w:name="Tc_3KmDI0M2JUut3-XlMs4gkA_15_16"/>
      <w:bookmarkStart w:id="816" w:name="Tc_X47LaPSCRkWHgvotxaDdow_15_14"/>
      <w:bookmarkStart w:id="817" w:name="Tc_WpVRy7zKEEWmW_CSzjvSWg_15_13"/>
      <w:bookmarkStart w:id="818" w:name="Tc_HQi_VWDyJU6dyVmEwma6wQ_15_10"/>
      <w:bookmarkStart w:id="819" w:name="Tc_mU465WgZcUScMMapecS_yg_15_7"/>
      <w:bookmarkStart w:id="820" w:name="Tc_-K6PRKx-BkChW-VRL5qTYg_15_4"/>
      <w:bookmarkStart w:id="821" w:name="Tc_2MCCj6OudkKkrrWX8muxJA_15_0"/>
      <w:bookmarkStart w:id="822" w:name="Tc_U0Af93Tfz06dNx6j2ktOYQ_14_14"/>
      <w:bookmarkStart w:id="823" w:name="Tc_qQ_o8tp7EUWwtIjlW4CIQw_14_8"/>
      <w:bookmarkStart w:id="824" w:name="Tc_GXmd3o72f0O4xbVAeiXoKg_14_5"/>
      <w:bookmarkStart w:id="825" w:name="Tc_AX_cOYpGrkGalZ6ewbL8Uw_14_2"/>
      <w:bookmarkStart w:id="826" w:name="Tc_Ec7RJbKdqUOXboWYWKJQ_A_14_0"/>
      <w:bookmarkStart w:id="827" w:name="Tc_OrJV8jg5CUaJexynSvh0Ow_13_17"/>
      <w:bookmarkStart w:id="828" w:name="Tc_fVxeiFyo8kmFdqE_IbpE0Q_13_14"/>
      <w:bookmarkStart w:id="829" w:name="Tc_1M6PheUYFkqRZvTuACnW2w_13_11"/>
      <w:bookmarkStart w:id="830" w:name="Tc_FS6gyaHWmEaSzpFBUy7yiA_13_0"/>
      <w:bookmarkStart w:id="831" w:name="Tc_FU6td846CUKt0O6uqkh6HA_12_14"/>
      <w:bookmarkStart w:id="832" w:name="Tc_WFaR3ngwm0OCGafh7gRd9A_12_11"/>
      <w:bookmarkStart w:id="833" w:name="Tc_7Ynfizz78ESAdwfVfIGRLQ_12_5"/>
      <w:bookmarkStart w:id="834" w:name="Tc_xodgMXeUEUS8Azj5Sg0izw_12_2"/>
      <w:bookmarkStart w:id="835" w:name="Tc_i8JrO1ZRjEyRx6-wYbMsiQ_12_0"/>
      <w:bookmarkStart w:id="836" w:name="Tc_TT69nLe61UCW-w6KJ-Y72w_11_14"/>
      <w:bookmarkStart w:id="837" w:name="Tc_KZU7ymUW6kGTyAAapZfTjw_11_11"/>
      <w:bookmarkStart w:id="838" w:name="Tc_MUZ-i4kKHEWOa--BYl84iw_11_0"/>
      <w:bookmarkStart w:id="839" w:name="Tc_QmE6h2EWSEGQHgf7lg5t2A_10_14"/>
      <w:bookmarkStart w:id="840" w:name="Tc_ZlAtfOCQzk-FOxSxX_pSNQ_10_11"/>
      <w:bookmarkStart w:id="841" w:name="Tc_BF2jITzP0kOjV4qYAd-Wyw_10_5"/>
      <w:bookmarkStart w:id="842" w:name="Tc_D0abLvGQckio9y9Be_aTvQ_10_0"/>
      <w:bookmarkStart w:id="843" w:name="Tc_65JjOhGp40m6BHEjC8wUOw_9_14"/>
      <w:bookmarkStart w:id="844" w:name="Tc__guOskwyjUq9MjDyuG9xCg_9_11"/>
      <w:bookmarkStart w:id="845" w:name="Tc_vQvEueHL4UuUA_paWt2W9w_9_0"/>
      <w:bookmarkStart w:id="846" w:name="Tc_lrRZxlbWrEWdyyqgbFlQJQ_8_17"/>
      <w:bookmarkStart w:id="847" w:name="Tc_qU_cLIx8akSbLTJeYLnRSQ_8_14"/>
      <w:bookmarkStart w:id="848" w:name="Tc_t9XoBqHc5U2Rf9MMUmMXvQ_8_11"/>
      <w:bookmarkStart w:id="849" w:name="Tc_COScaxfCLUKS438RmceY-A_8_0"/>
      <w:bookmarkStart w:id="850" w:name="Tc_-rKXQDU3p02fd6IHL3hysw_7_14"/>
      <w:bookmarkStart w:id="851" w:name="Tc_Rq6fDFMoxEWvF9r4FJ10lg_7_11"/>
      <w:bookmarkStart w:id="852" w:name="Tc_CUmqRd1EUkybhrBHhf_Rkw_7_5"/>
      <w:bookmarkStart w:id="853" w:name="Tc_nW8AJRpIzUmYmiqfoebRdg_7_2"/>
      <w:bookmarkStart w:id="854" w:name="Tc_g27N94JDxEa7xRV1sU8Sbw_7_0"/>
      <w:bookmarkStart w:id="855" w:name="Tc_Izywx5d8MkCzpSg-sBZTQw_6_16"/>
      <w:bookmarkStart w:id="856" w:name="Tc_oTaEF2aVjkKVD8LY72TNcg_6_14"/>
      <w:bookmarkStart w:id="857" w:name="Tc_0typPN0ijkyyEwLnOVgVMg_6_13"/>
      <w:bookmarkStart w:id="858" w:name="Tc_cpPAJSldBkiMMv1qvcObyA_6_10"/>
      <w:bookmarkStart w:id="859" w:name="Tc_4QffcnTIJUG-Lc7FMibwVQ_6_7"/>
      <w:bookmarkStart w:id="860" w:name="Tc_yIPqY2-h7EC78oKpkr_tjQ_6_4"/>
      <w:bookmarkStart w:id="861" w:name="Tc_Syy9LYyGN0CQS1G_3B1BBA_6_0"/>
      <w:bookmarkStart w:id="862" w:name="Tc_MbPVJFuf9kKLejE0xL2rDg_5_16"/>
      <w:bookmarkStart w:id="863" w:name="Tc_sxRemWBU20msZQL7LuhL6A_5_13"/>
      <w:bookmarkStart w:id="864" w:name="Tc_By2P6tNGBU229C3uh01FRw_5_10"/>
      <w:bookmarkStart w:id="865" w:name="Tc_9S4cbklNnEqT6MT_Sepanw_5_7"/>
      <w:bookmarkStart w:id="866" w:name="Tc_HTsulT8id0Wg1PVdNIXdjw_5_4"/>
      <w:bookmarkStart w:id="867" w:name="Tc_2uoHSFCFB0CIvxp56OSIxA_5_2"/>
      <w:bookmarkStart w:id="868" w:name="Tc_AuJjckrAFkiocZHBCfj67A_4_16"/>
      <w:bookmarkStart w:id="869" w:name="Tc_rXDDRbhQb0at0vQcyKRpSw_4_13"/>
      <w:bookmarkStart w:id="870" w:name="Tc_u_KpOv6hx0GKjXZjvgXVdA_4_10"/>
      <w:bookmarkStart w:id="871" w:name="Tc_hc3pi6ZMIU6qeFItbWJcDA_4_7"/>
      <w:bookmarkStart w:id="872" w:name="Tc_bjObwDLnTE-uidzOekyODA_4_2"/>
      <w:bookmarkStart w:id="873" w:name="Tc_e8j6uvmWZEGmNxFMz_SDRQ_3_16"/>
      <w:bookmarkStart w:id="874" w:name="Tc_E-kkaskeXUamYQAPJ75wGQ_3_13"/>
      <w:bookmarkStart w:id="875" w:name="Tc_rKl2WQNGM0uaPtCwMB_d4A_3_7"/>
      <w:bookmarkStart w:id="876" w:name="Tc_WRz2WDJ-Bk-Ux4xyUn-rRg_2_13"/>
      <w:bookmarkStart w:id="877" w:name="Tc_tuH6LtsXQ0OWrvV_crc5rw_1_2"/>
      <w:bookmarkStart w:id="878" w:name="_144d4bd5_eda0_42e6_afe5_09bfd4ea1594"/>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tbl>
      <w:tblPr>
        <w:tblW w:w="10205" w:type="dxa"/>
        <w:jc w:val="left"/>
        <w:tblInd w:w="0" w:type="dxa"/>
        <w:tblLayout w:type="fixed"/>
        <w:tblCellMar>
          <w:top w:w="0" w:type="dxa"/>
          <w:left w:w="0" w:type="dxa"/>
          <w:bottom w:w="0" w:type="dxa"/>
          <w:right w:w="0" w:type="dxa"/>
        </w:tblCellMar>
      </w:tblPr>
      <w:tblGrid>
        <w:gridCol w:w="2150"/>
        <w:gridCol w:w="326"/>
        <w:gridCol w:w="1039"/>
        <w:gridCol w:w="326"/>
        <w:gridCol w:w="230"/>
        <w:gridCol w:w="461"/>
        <w:gridCol w:w="326"/>
        <w:gridCol w:w="211"/>
        <w:gridCol w:w="784"/>
        <w:gridCol w:w="326"/>
        <w:gridCol w:w="234"/>
        <w:gridCol w:w="817"/>
        <w:gridCol w:w="326"/>
        <w:gridCol w:w="370"/>
        <w:gridCol w:w="846"/>
        <w:gridCol w:w="326"/>
        <w:gridCol w:w="212"/>
        <w:gridCol w:w="895"/>
      </w:tblGrid>
      <w:tr>
        <w:trPr/>
        <w:tc>
          <w:tcPr>
            <w:tcW w:w="2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65250" cy="175260"/>
                      <wp:effectExtent l="0" t="0" r="0" b="0"/>
                      <wp:wrapNone/>
                      <wp:docPr id="107" name="Frame107"/>
                      <a:graphic xmlns:a="http://schemas.openxmlformats.org/drawingml/2006/main">
                        <a:graphicData uri="http://schemas.microsoft.com/office/word/2010/wordprocessingShape">
                          <wps:wsp>
                            <wps:cNvSpPr txBox="1"/>
                            <wps:spPr>
                              <a:xfrm>
                                <a:off x="0" y="0"/>
                                <a:ext cx="1365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59765" cy="175260"/>
                      <wp:effectExtent l="0" t="0" r="0" b="0"/>
                      <wp:wrapNone/>
                      <wp:docPr id="109" name="Frame109"/>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46050" cy="175260"/>
                      <wp:effectExtent l="0" t="0" r="0" b="0"/>
                      <wp:wrapNone/>
                      <wp:docPr id="111" name="Frame11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92735" cy="175260"/>
                      <wp:effectExtent l="0" t="0" r="0" b="0"/>
                      <wp:wrapNone/>
                      <wp:docPr id="112" name="Frame112"/>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97840" cy="175260"/>
                      <wp:effectExtent l="0" t="0" r="0" b="0"/>
                      <wp:wrapNone/>
                      <wp:docPr id="115" name="Frame115"/>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8590" cy="175260"/>
                      <wp:effectExtent l="0" t="0" r="0" b="0"/>
                      <wp:wrapNone/>
                      <wp:docPr id="117" name="Frame117"/>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18795" cy="175260"/>
                      <wp:effectExtent l="0" t="0" r="0" b="0"/>
                      <wp:wrapNone/>
                      <wp:docPr id="118" name="Frame118"/>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34950" cy="175260"/>
                      <wp:effectExtent l="0" t="0" r="0" b="0"/>
                      <wp:wrapNone/>
                      <wp:docPr id="120" name="Frame120"/>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37210" cy="175260"/>
                      <wp:effectExtent l="0" t="0" r="0" b="0"/>
                      <wp:wrapNone/>
                      <wp:docPr id="121" name="Frame121"/>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4620" cy="175260"/>
                      <wp:effectExtent l="0" t="0" r="0" b="0"/>
                      <wp:wrapNone/>
                      <wp:docPr id="123" name="Frame123"/>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68325" cy="175260"/>
                      <wp:effectExtent l="0" t="0" r="0" b="0"/>
                      <wp:wrapNone/>
                      <wp:docPr id="124" name="Frame124"/>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729"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 June 26, 2024</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center"/>
              <w:rPr/>
            </w:pPr>
            <w:r>
              <w:rPr/>
              <w:t>​</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5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9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27, 2023</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31,353,223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236,421</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13,962</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250,696</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1,817</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 </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1,817</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493,496</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pPr>
            <w:r>
              <w:rPr/>
              <w:t>—</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110,380</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1,056</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1,057</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(14,294)</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(1,874,186)</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(18,212)</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(18,231)</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 - excise tax</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(79,848)</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pPr>
            <w:r>
              <w:rPr/>
              <w:t>—</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13,545</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13,545</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26, 2024</w:t>
            </w:r>
          </w:p>
        </w:tc>
        <w:tc>
          <w:tcPr>
            <w:tcW w:w="326" w:type="dxa"/>
            <w:tcBorders/>
            <w:vAlign w:val="center"/>
          </w:tcPr>
          <w:p>
            <w:pPr>
              <w:pStyle w:val="TableContents"/>
              <w:bidi w:val="0"/>
              <w:spacing w:before="0" w:after="1"/>
              <w:ind w:left="0" w:right="0" w:hanging="0"/>
              <w:jc w:val="left"/>
              <w:rPr/>
            </w:pPr>
            <w:r>
              <w:rPr/>
              <w:t>​</w:t>
            </w:r>
          </w:p>
        </w:tc>
        <w:tc>
          <w:tcPr>
            <w:tcW w:w="10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29,988,771</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220,772</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27,507</w:t>
            </w:r>
          </w:p>
        </w:tc>
        <w:tc>
          <w:tcPr>
            <w:tcW w:w="326" w:type="dxa"/>
            <w:tcBorders/>
            <w:vAlign w:val="center"/>
          </w:tcPr>
          <w:p>
            <w:pPr>
              <w:pStyle w:val="TableContents"/>
              <w:bidi w:val="0"/>
              <w:spacing w:before="0" w:after="1"/>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248,578</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pPr>
            <w:r>
              <w:rPr/>
              <w:t>​</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729"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 June 28, 2023</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center"/>
              <w:rPr/>
            </w:pPr>
            <w:r>
              <w:rPr/>
              <w:t>​</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    </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5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9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(Loss) Income </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28, 2022</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37,008,061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292,244</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(11,592)</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281,148</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363,210</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pPr>
            <w:r>
              <w:rPr/>
              <w:t>—</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184,294</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(18,490)</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(1,824,636)</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(18,133)</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(18,152)</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 - excise tax</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26" w:type="dxa"/>
            <w:tcBorders/>
            <w:vAlign w:val="center"/>
          </w:tcPr>
          <w:p>
            <w:pPr>
              <w:pStyle w:val="TableContents"/>
              <w:bidi w:val="0"/>
              <w:spacing w:before="0" w:after="1"/>
              <w:ind w:left="0" w:right="0" w:hanging="0"/>
              <w:jc w:val="left"/>
              <w:rPr/>
            </w:pPr>
            <w:r>
              <w:rPr/>
              <w:t>​</w:t>
            </w:r>
          </w:p>
        </w:tc>
        <w:tc>
          <w:tcPr>
            <w:tcW w:w="10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(68,692)</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pPr>
            <w:r>
              <w:rPr/>
              <w:t>—</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income,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21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103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11,974</w:t>
            </w:r>
          </w:p>
        </w:tc>
        <w:tc>
          <w:tcPr>
            <w:tcW w:w="326" w:type="dxa"/>
            <w:tcBorders/>
            <w:vAlign w:val="center"/>
          </w:tcPr>
          <w:p>
            <w:pPr>
              <w:pStyle w:val="TableContents"/>
              <w:bidi w:val="0"/>
              <w:spacing w:before="0" w:after="1"/>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11,974</w:t>
            </w:r>
          </w:p>
        </w:tc>
      </w:tr>
      <w:tr>
        <w:trPr/>
        <w:tc>
          <w:tcPr>
            <w:tcW w:w="215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28, 2023</w:t>
            </w:r>
          </w:p>
        </w:tc>
        <w:tc>
          <w:tcPr>
            <w:tcW w:w="326" w:type="dxa"/>
            <w:tcBorders/>
            <w:shd w:fill="CCEEFF" w:val="clear"/>
            <w:vAlign w:val="center"/>
          </w:tcPr>
          <w:p>
            <w:pPr>
              <w:pStyle w:val="TableContents"/>
              <w:bidi w:val="0"/>
              <w:spacing w:before="0" w:after="1"/>
              <w:ind w:left="0" w:right="0" w:hanging="0"/>
              <w:jc w:val="left"/>
              <w:rPr/>
            </w:pPr>
            <w:r>
              <w:rPr/>
              <w:t>​</w:t>
            </w:r>
          </w:p>
        </w:tc>
        <w:tc>
          <w:tcPr>
            <w:tcW w:w="10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35,643,747</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276,222</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276,960</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879" w:name="_e7097cac_2127_4a14_a601_b828a42d30f0"/>
      <w:bookmarkEnd w:id="879"/>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880" w:name="CONDENSEDCONSOLIDATEDSTATEMENTSOFCASHFLO"/>
      <w:bookmarkEnd w:id="880"/>
      <w:r>
        <w:rPr>
          <w:rFonts w:ascii="Times New Roman;Times;serif" w:hAnsi="Times New Roman;Times;serif"/>
          <w:b/>
          <w:sz w:val="20"/>
        </w:rPr>
        <w:t>CONDENSED CONSOLIDATED STATEMENTS OF CASH FLOWS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881" w:name="Tc_tirLkeo8OE-pFEePQ5_V3A_44_5"/>
      <w:bookmarkStart w:id="882" w:name="Tc_iKgCWAlAn0q0cbf7YxcyPw_44_2"/>
      <w:bookmarkStart w:id="883" w:name="Tc_Du_o-YXJt0GDYZhrOuoKCg_44_0"/>
      <w:bookmarkStart w:id="884" w:name="Tc_Ya0EUw-U2UWDvFaiIXUIJg_43_0"/>
      <w:bookmarkStart w:id="885" w:name="Tc_2e1xfObDgUe4fSJuJrOwqQ_42_0"/>
      <w:bookmarkStart w:id="886" w:name="Tc_7uC88xHtpkOI7zqbiUZKkQ_41_0"/>
      <w:bookmarkStart w:id="887" w:name="Tc_8IJ-5ZAv0EmBEGqgI9FU4g_40_0"/>
      <w:bookmarkStart w:id="888" w:name="Tc_bQsCJsUHn0Sprk7lVTEOIg_39_0"/>
      <w:bookmarkStart w:id="889" w:name="Tc_XIQPX_3o_kujgb60wRYT3w_38_0"/>
      <w:bookmarkStart w:id="890" w:name="Tc_0-Gi6CbvrkGteJITSMWtCQ_37_0"/>
      <w:bookmarkStart w:id="891" w:name="Tc_KXoi00vYBEm_SBXwc_7VZQ_36_0"/>
      <w:bookmarkStart w:id="892" w:name="Tc_9tMeDVbkxkaETRuhZC1OpA_35_0"/>
      <w:bookmarkStart w:id="893" w:name="Tc_1tKMVAS2IkyOaSnNvb9uRg_34_0"/>
      <w:bookmarkStart w:id="894" w:name="Tc_e43bGbujvEqXEb8y3OfulA_33_0"/>
      <w:bookmarkStart w:id="895" w:name="Tc_XQ3iYkgUtkSeXN7FwwR10Q_32_0"/>
      <w:bookmarkStart w:id="896" w:name="Tc_cCKNT47V70qJXMzIDGSZ5g_31_0"/>
      <w:bookmarkStart w:id="897" w:name="Tc_RVGH_rk_kkmAbUZuGaVvvw_30_0"/>
      <w:bookmarkStart w:id="898" w:name="Tc_-vn0RqVW50KApq3Ww59mrg_29_0"/>
      <w:bookmarkStart w:id="899" w:name="Tc_ISj_0qWh-0u7_wiTYV-o3w_28_0"/>
      <w:bookmarkStart w:id="900" w:name="Tc_zo6M3qtZlkqv37S4IZe7Og_27_0"/>
      <w:bookmarkStart w:id="901" w:name="Tc_wpyBMXqJpU-vDemzGxDEAw_26_6"/>
      <w:bookmarkStart w:id="902" w:name="Tc_fFhtRwXCF02fvxaoj5mkbw_26_0"/>
      <w:bookmarkStart w:id="903" w:name="Tc_tUCM9T5wyESAhSVRrr9pVg_25_0"/>
      <w:bookmarkStart w:id="904" w:name="Tc_SY0nYrxXPEme1J8W_2_SJw_24_0"/>
      <w:bookmarkStart w:id="905" w:name="Tc_QLZZQOb7g0aqiw2yKFTVvQ_23_0"/>
      <w:bookmarkStart w:id="906" w:name="Tc_usbXVu8780GMuFx_swWsfw_22_0"/>
      <w:bookmarkStart w:id="907" w:name="Tc_KE_66q_XlU6cGSKvyBzsOg_21_0"/>
      <w:bookmarkStart w:id="908" w:name="Tc_QVA_7oKcHU6rg_pnSwFJ_w_20_0"/>
      <w:bookmarkStart w:id="909" w:name="Tc_Ty-ONjJvWE-SgxG8iGXJcg_19_0"/>
      <w:bookmarkStart w:id="910" w:name="Tc_M5W_FiBKSU6fQ-NoFzRA7Q_18_0"/>
      <w:bookmarkStart w:id="911" w:name="Tc_ua8bAHtB7UO5xAskPsBv8A_17_0"/>
      <w:bookmarkStart w:id="912" w:name="Tc_b_u-kb0_10enbC7wvrqG9A_16_0"/>
      <w:bookmarkStart w:id="913" w:name="Tc_LoagOL2Kd0K6N8jWvaU7Wg_15_0"/>
      <w:bookmarkStart w:id="914" w:name="Tc_KpAM6bi9PkiwtDoPfmMDSg_14_0"/>
      <w:bookmarkStart w:id="915" w:name="Tc_JU3qYKbo_UidavUc4I_-5Q_13_0"/>
      <w:bookmarkStart w:id="916" w:name="Tc_hMKTA1eyvECbsuZOPi8sBA_12_0"/>
      <w:bookmarkStart w:id="917" w:name="Tc_at-yG5S4ok-iUtzAyusa4g_11_0"/>
      <w:bookmarkStart w:id="918" w:name="Tc_aQxvF59joUStV7TlPDa6Ng_10_3"/>
      <w:bookmarkStart w:id="919" w:name="Tc_Zl6LIsWfUUS4-HaDq0IW4g_10_0"/>
      <w:bookmarkStart w:id="920" w:name="Tc_U2QxUiDB9ke1jYyB67NxCg_9_3"/>
      <w:bookmarkStart w:id="921" w:name="Tc_Q3VFVN926ECxVr7KCFYMng_9_0"/>
      <w:bookmarkStart w:id="922" w:name="Tc_YeHah3fsz0GGHLuDrfGCPw_8_0"/>
      <w:bookmarkStart w:id="923" w:name="Tc_X1YIkULwC0-iDxmnLmHTAw_7_0"/>
      <w:bookmarkStart w:id="924" w:name="Tc_gA-tRC8YZky3DouKuk7cpg_6_0"/>
      <w:bookmarkStart w:id="925" w:name="Tc_VKXirqKU-kiEhJwFAX5hIw_5_5"/>
      <w:bookmarkStart w:id="926" w:name="Tc_8VtZ1GnIOUipfiCNfu-SAQ_5_2"/>
      <w:bookmarkStart w:id="927" w:name="Tc_7Sdor5p4b0-srKer__MZ3g_5_0"/>
      <w:bookmarkStart w:id="928" w:name="Tc_cF5RYOscekOq2rjeKQ6FCw_4_0"/>
      <w:bookmarkStart w:id="929" w:name="Tc_Lx9_SfwzDEKq4h4ds9sj0A_3_5"/>
      <w:bookmarkStart w:id="930" w:name="Tc_COQbghbRKken4w3HtUt9rA_3_2"/>
      <w:bookmarkStart w:id="931" w:name="Tc_B-28KrkVR0a7ehb0grLf9Q_2_2"/>
      <w:bookmarkStart w:id="932" w:name="_3c40fc06_aba3_474c_9d37_5388fc82aaee"/>
      <w:bookmarkStart w:id="933" w:name="Tc_tirLkeo8OE-pFEePQ5_V3A_44_5"/>
      <w:bookmarkStart w:id="934" w:name="Tc_iKgCWAlAn0q0cbf7YxcyPw_44_2"/>
      <w:bookmarkStart w:id="935" w:name="Tc_Du_o-YXJt0GDYZhrOuoKCg_44_0"/>
      <w:bookmarkStart w:id="936" w:name="Tc_Ya0EUw-U2UWDvFaiIXUIJg_43_0"/>
      <w:bookmarkStart w:id="937" w:name="Tc_2e1xfObDgUe4fSJuJrOwqQ_42_0"/>
      <w:bookmarkStart w:id="938" w:name="Tc_7uC88xHtpkOI7zqbiUZKkQ_41_0"/>
      <w:bookmarkStart w:id="939" w:name="Tc_8IJ-5ZAv0EmBEGqgI9FU4g_40_0"/>
      <w:bookmarkStart w:id="940" w:name="Tc_bQsCJsUHn0Sprk7lVTEOIg_39_0"/>
      <w:bookmarkStart w:id="941" w:name="Tc_XIQPX_3o_kujgb60wRYT3w_38_0"/>
      <w:bookmarkStart w:id="942" w:name="Tc_0-Gi6CbvrkGteJITSMWtCQ_37_0"/>
      <w:bookmarkStart w:id="943" w:name="Tc_KXoi00vYBEm_SBXwc_7VZQ_36_0"/>
      <w:bookmarkStart w:id="944" w:name="Tc_9tMeDVbkxkaETRuhZC1OpA_35_0"/>
      <w:bookmarkStart w:id="945" w:name="Tc_1tKMVAS2IkyOaSnNvb9uRg_34_0"/>
      <w:bookmarkStart w:id="946" w:name="Tc_e43bGbujvEqXEb8y3OfulA_33_0"/>
      <w:bookmarkStart w:id="947" w:name="Tc_XQ3iYkgUtkSeXN7FwwR10Q_32_0"/>
      <w:bookmarkStart w:id="948" w:name="Tc_cCKNT47V70qJXMzIDGSZ5g_31_0"/>
      <w:bookmarkStart w:id="949" w:name="Tc_RVGH_rk_kkmAbUZuGaVvvw_30_0"/>
      <w:bookmarkStart w:id="950" w:name="Tc_-vn0RqVW50KApq3Ww59mrg_29_0"/>
      <w:bookmarkStart w:id="951" w:name="Tc_ISj_0qWh-0u7_wiTYV-o3w_28_0"/>
      <w:bookmarkStart w:id="952" w:name="Tc_zo6M3qtZlkqv37S4IZe7Og_27_0"/>
      <w:bookmarkStart w:id="953" w:name="Tc_wpyBMXqJpU-vDemzGxDEAw_26_6"/>
      <w:bookmarkStart w:id="954" w:name="Tc_fFhtRwXCF02fvxaoj5mkbw_26_0"/>
      <w:bookmarkStart w:id="955" w:name="Tc_tUCM9T5wyESAhSVRrr9pVg_25_0"/>
      <w:bookmarkStart w:id="956" w:name="Tc_SY0nYrxXPEme1J8W_2_SJw_24_0"/>
      <w:bookmarkStart w:id="957" w:name="Tc_QLZZQOb7g0aqiw2yKFTVvQ_23_0"/>
      <w:bookmarkStart w:id="958" w:name="Tc_usbXVu8780GMuFx_swWsfw_22_0"/>
      <w:bookmarkStart w:id="959" w:name="Tc_KE_66q_XlU6cGSKvyBzsOg_21_0"/>
      <w:bookmarkStart w:id="960" w:name="Tc_QVA_7oKcHU6rg_pnSwFJ_w_20_0"/>
      <w:bookmarkStart w:id="961" w:name="Tc_Ty-ONjJvWE-SgxG8iGXJcg_19_0"/>
      <w:bookmarkStart w:id="962" w:name="Tc_M5W_FiBKSU6fQ-NoFzRA7Q_18_0"/>
      <w:bookmarkStart w:id="963" w:name="Tc_ua8bAHtB7UO5xAskPsBv8A_17_0"/>
      <w:bookmarkStart w:id="964" w:name="Tc_b_u-kb0_10enbC7wvrqG9A_16_0"/>
      <w:bookmarkStart w:id="965" w:name="Tc_LoagOL2Kd0K6N8jWvaU7Wg_15_0"/>
      <w:bookmarkStart w:id="966" w:name="Tc_KpAM6bi9PkiwtDoPfmMDSg_14_0"/>
      <w:bookmarkStart w:id="967" w:name="Tc_JU3qYKbo_UidavUc4I_-5Q_13_0"/>
      <w:bookmarkStart w:id="968" w:name="Tc_hMKTA1eyvECbsuZOPi8sBA_12_0"/>
      <w:bookmarkStart w:id="969" w:name="Tc_at-yG5S4ok-iUtzAyusa4g_11_0"/>
      <w:bookmarkStart w:id="970" w:name="Tc_aQxvF59joUStV7TlPDa6Ng_10_3"/>
      <w:bookmarkStart w:id="971" w:name="Tc_Zl6LIsWfUUS4-HaDq0IW4g_10_0"/>
      <w:bookmarkStart w:id="972" w:name="Tc_U2QxUiDB9ke1jYyB67NxCg_9_3"/>
      <w:bookmarkStart w:id="973" w:name="Tc_Q3VFVN926ECxVr7KCFYMng_9_0"/>
      <w:bookmarkStart w:id="974" w:name="Tc_YeHah3fsz0GGHLuDrfGCPw_8_0"/>
      <w:bookmarkStart w:id="975" w:name="Tc_X1YIkULwC0-iDxmnLmHTAw_7_0"/>
      <w:bookmarkStart w:id="976" w:name="Tc_gA-tRC8YZky3DouKuk7cpg_6_0"/>
      <w:bookmarkStart w:id="977" w:name="Tc_VKXirqKU-kiEhJwFAX5hIw_5_5"/>
      <w:bookmarkStart w:id="978" w:name="Tc_8VtZ1GnIOUipfiCNfu-SAQ_5_2"/>
      <w:bookmarkStart w:id="979" w:name="Tc_7Sdor5p4b0-srKer__MZ3g_5_0"/>
      <w:bookmarkStart w:id="980" w:name="Tc_cF5RYOscekOq2rjeKQ6FCw_4_0"/>
      <w:bookmarkStart w:id="981" w:name="Tc_Lx9_SfwzDEKq4h4ds9sj0A_3_5"/>
      <w:bookmarkStart w:id="982" w:name="Tc_COQbghbRKken4w3HtUt9rA_3_2"/>
      <w:bookmarkStart w:id="983" w:name="Tc_B-28KrkVR0a7ehb0grLf9Q_2_2"/>
      <w:bookmarkStart w:id="984" w:name="_3c40fc06_aba3_474c_9d37_5388fc82aaee"/>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p>
    <w:tbl>
      <w:tblPr>
        <w:tblW w:w="9374" w:type="dxa"/>
        <w:jc w:val="left"/>
        <w:tblInd w:w="0" w:type="dxa"/>
        <w:tblLayout w:type="fixed"/>
        <w:tblCellMar>
          <w:top w:w="0" w:type="dxa"/>
          <w:left w:w="0" w:type="dxa"/>
          <w:bottom w:w="0" w:type="dxa"/>
          <w:right w:w="0" w:type="dxa"/>
        </w:tblCellMar>
      </w:tblPr>
      <w:tblGrid>
        <w:gridCol w:w="6316"/>
        <w:gridCol w:w="326"/>
        <w:gridCol w:w="257"/>
        <w:gridCol w:w="869"/>
        <w:gridCol w:w="109"/>
        <w:gridCol w:w="257"/>
        <w:gridCol w:w="869"/>
        <w:gridCol w:w="371"/>
      </w:tblGrid>
      <w:tr>
        <w:trPr/>
        <w:tc>
          <w:tcPr>
            <w:tcW w:w="6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010660" cy="175260"/>
                      <wp:effectExtent l="0" t="0" r="0" b="0"/>
                      <wp:wrapNone/>
                      <wp:docPr id="125" name="Frame125"/>
                      <a:graphic xmlns:a="http://schemas.openxmlformats.org/drawingml/2006/main">
                        <a:graphicData uri="http://schemas.microsoft.com/office/word/2010/wordprocessingShape">
                          <wps:wsp>
                            <wps:cNvSpPr txBox="1"/>
                            <wps:spPr>
                              <a:xfrm>
                                <a:off x="0" y="0"/>
                                <a:ext cx="401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63195" cy="175260"/>
                      <wp:effectExtent l="0" t="0" r="0" b="0"/>
                      <wp:wrapNone/>
                      <wp:docPr id="127" name="Frame127"/>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51815" cy="175260"/>
                      <wp:effectExtent l="0" t="0" r="0" b="0"/>
                      <wp:wrapNone/>
                      <wp:docPr id="128" name="Frame128"/>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63195" cy="175260"/>
                      <wp:effectExtent l="0" t="0" r="0" b="0"/>
                      <wp:wrapNone/>
                      <wp:docPr id="130" name="Frame130"/>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51815" cy="175260"/>
                      <wp:effectExtent l="0" t="0" r="0" b="0"/>
                      <wp:wrapNone/>
                      <wp:docPr id="131" name="Frame131"/>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35585" cy="175260"/>
                      <wp:effectExtent l="0" t="0" r="0" b="0"/>
                      <wp:wrapNone/>
                      <wp:docPr id="132" name="Frame13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8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pPr>
            <w:r>
              <w:rPr/>
              <w:t>​</w:t>
            </w:r>
          </w:p>
        </w:tc>
        <w:tc>
          <w:tcPr>
            <w:tcW w:w="869" w:type="dxa"/>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36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71" w:type="dxa"/>
            <w:tcBorders/>
            <w:vAlign w:val="center"/>
          </w:tcPr>
          <w:p>
            <w:pPr>
              <w:pStyle w:val="TableContents"/>
              <w:bidi w:val="0"/>
              <w:spacing w:before="0" w:after="0"/>
              <w:ind w:left="0" w:right="0" w:hanging="0"/>
              <w:jc w:val="left"/>
              <w:rPr/>
            </w:pPr>
            <w:r>
              <w:rPr/>
              <w:t>    </w: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71" w:type="dxa"/>
            <w:tcBorders/>
            <w:vAlign w:val="center"/>
          </w:tcPr>
          <w:p>
            <w:pPr>
              <w:pStyle w:val="TableContents"/>
              <w:bidi w:val="0"/>
              <w:spacing w:before="0" w:after="0"/>
              <w:ind w:left="0" w:right="0" w:hanging="0"/>
              <w:jc w:val="left"/>
              <w:rPr/>
            </w:pPr>
            <w:r>
              <w:rPr/>
              <w:t>    </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13,545</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11,974</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flows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7,721</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7,331</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1,817</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receivable agreement income</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Fire insurance proceeds for expenses paid and lost profit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(gain) on disposition of restaurants</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(gain) on disposal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recovery of insurance proceeds, property, equipment and expenses, net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deferred financing costs</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 net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and 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2,116</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4,227</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(1,095)</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salaries and vacation</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2,450</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insurance</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related to tax receivable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accrued expenses and liabilities</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(3,749)</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flows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28,117</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21,796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restaurants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fire insurance for property and equipment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(10,687)</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(9,237)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flows used in investing activities</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(10,546)</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(8,899)</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borrowings on revolver and swingline loans</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14,000</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revolver and swingline loan</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(11,000)</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Minimum tax withholdings related to net share settlements</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upon exercise of stock options, net of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1,057</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obligations under finance leases</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(18,202)</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(17,784)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flows used in by financing activities</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(14,394)</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(23,207)</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Increase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3,177</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(10,310)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Cash and cash equivalents,</w:t>
            </w:r>
            <w:r>
              <w:rPr>
                <w:rFonts w:ascii="Times New Roman;Times;serif" w:hAnsi="Times New Roman;Times;serif"/>
                <w:sz w:val="16"/>
              </w:rPr>
              <w:t xml:space="preserve"> beginning of period</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7,288</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20,493</w:t>
            </w:r>
          </w:p>
        </w:tc>
        <w:tc>
          <w:tcPr>
            <w:tcW w:w="371"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 xml:space="preserve">Cash and cash equivalents, </w:t>
            </w:r>
            <w:r>
              <w:rPr>
                <w:rFonts w:ascii="Times New Roman;Times;serif" w:hAnsi="Times New Roman;Times;serif"/>
                <w:sz w:val="16"/>
              </w:rPr>
              <w:t>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10,465</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10,183</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85" w:name="Tc_ozUoU70cdUiYY5vYrvXZJg_8_5"/>
      <w:bookmarkStart w:id="986" w:name="Tc_KWxvCFsrfkC1n6eCTJCPhA_8_2"/>
      <w:bookmarkStart w:id="987" w:name="Tc_1k4yDxYRTkmy4K8XWZ48Hw_8_0"/>
      <w:bookmarkStart w:id="988" w:name="Tc_MtwKT87M50CV398QyrHUzA_7_5"/>
      <w:bookmarkStart w:id="989" w:name="Tc_6pvOX7a7c0aYW4gOcs4BnA_7_2"/>
      <w:bookmarkStart w:id="990" w:name="Tc_pVIBfV7QlkG5o-xL4s9Vsg_7_0"/>
      <w:bookmarkStart w:id="991" w:name="Tc_j9Zgzkug_kazFVp7lYNZ0Q_6_5"/>
      <w:bookmarkStart w:id="992" w:name="Tc_wAsCAiJh6kq7zO1Qsp-u8Q_6_2"/>
      <w:bookmarkStart w:id="993" w:name="Tc_QijJmNdxE0W8vJ48lvBAMA_6_0"/>
      <w:bookmarkStart w:id="994" w:name="Tc_IA5PUMYNLkKJUAQTv5fDLw_5_5"/>
      <w:bookmarkStart w:id="995" w:name="Tc_ClHjVgh8HkuvDZcifnS1pw_5_2"/>
      <w:bookmarkStart w:id="996" w:name="Tc_TlL7ViquOESrPvd2rh6UMA_5_0"/>
      <w:bookmarkStart w:id="997" w:name="Tc_L78azqver0GyvBKy6cg1-w_4_0"/>
      <w:bookmarkStart w:id="998" w:name="Tc_OgHupvSbKU-x3SGMzN7vkg_3_5"/>
      <w:bookmarkStart w:id="999" w:name="Tc_Gciy4FlVdE6rbEPl_W4JYg_3_2"/>
      <w:bookmarkStart w:id="1000" w:name="Tc_IeRV33FKTU2lhZuIbYCn8A_2_2"/>
      <w:bookmarkStart w:id="1001" w:name="_697e80b8_cbd1_4aa2_a313_ff918e7efa59"/>
      <w:bookmarkStart w:id="1002" w:name="Tc_ozUoU70cdUiYY5vYrvXZJg_8_5"/>
      <w:bookmarkStart w:id="1003" w:name="Tc_KWxvCFsrfkC1n6eCTJCPhA_8_2"/>
      <w:bookmarkStart w:id="1004" w:name="Tc_1k4yDxYRTkmy4K8XWZ48Hw_8_0"/>
      <w:bookmarkStart w:id="1005" w:name="Tc_MtwKT87M50CV398QyrHUzA_7_5"/>
      <w:bookmarkStart w:id="1006" w:name="Tc_6pvOX7a7c0aYW4gOcs4BnA_7_2"/>
      <w:bookmarkStart w:id="1007" w:name="Tc_pVIBfV7QlkG5o-xL4s9Vsg_7_0"/>
      <w:bookmarkStart w:id="1008" w:name="Tc_j9Zgzkug_kazFVp7lYNZ0Q_6_5"/>
      <w:bookmarkStart w:id="1009" w:name="Tc_wAsCAiJh6kq7zO1Qsp-u8Q_6_2"/>
      <w:bookmarkStart w:id="1010" w:name="Tc_QijJmNdxE0W8vJ48lvBAMA_6_0"/>
      <w:bookmarkStart w:id="1011" w:name="Tc_IA5PUMYNLkKJUAQTv5fDLw_5_5"/>
      <w:bookmarkStart w:id="1012" w:name="Tc_ClHjVgh8HkuvDZcifnS1pw_5_2"/>
      <w:bookmarkStart w:id="1013" w:name="Tc_TlL7ViquOESrPvd2rh6UMA_5_0"/>
      <w:bookmarkStart w:id="1014" w:name="Tc_L78azqver0GyvBKy6cg1-w_4_0"/>
      <w:bookmarkStart w:id="1015" w:name="Tc_OgHupvSbKU-x3SGMzN7vkg_3_5"/>
      <w:bookmarkStart w:id="1016" w:name="Tc_Gciy4FlVdE6rbEPl_W4JYg_3_2"/>
      <w:bookmarkStart w:id="1017" w:name="Tc_IeRV33FKTU2lhZuIbYCn8A_2_2"/>
      <w:bookmarkStart w:id="1018" w:name="_697e80b8_cbd1_4aa2_a313_ff918e7efa59"/>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p>
    <w:tbl>
      <w:tblPr>
        <w:tblW w:w="6896" w:type="dxa"/>
        <w:jc w:val="left"/>
        <w:tblInd w:w="0" w:type="dxa"/>
        <w:tblLayout w:type="fixed"/>
        <w:tblCellMar>
          <w:top w:w="0" w:type="dxa"/>
          <w:left w:w="0" w:type="dxa"/>
          <w:bottom w:w="0" w:type="dxa"/>
          <w:right w:w="0" w:type="dxa"/>
        </w:tblCellMar>
      </w:tblPr>
      <w:tblGrid>
        <w:gridCol w:w="3766"/>
        <w:gridCol w:w="326"/>
        <w:gridCol w:w="312"/>
        <w:gridCol w:w="814"/>
        <w:gridCol w:w="181"/>
        <w:gridCol w:w="312"/>
        <w:gridCol w:w="814"/>
        <w:gridCol w:w="371"/>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391410" cy="175260"/>
                      <wp:effectExtent l="0" t="0" r="0" b="0"/>
                      <wp:wrapNone/>
                      <wp:docPr id="133" name="Frame133"/>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98120" cy="175260"/>
                      <wp:effectExtent l="0" t="0" r="0" b="0"/>
                      <wp:wrapNone/>
                      <wp:docPr id="135" name="Frame135"/>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16890" cy="175260"/>
                      <wp:effectExtent l="0" t="0" r="0" b="0"/>
                      <wp:wrapNone/>
                      <wp:docPr id="136" name="Frame136"/>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14935" cy="175260"/>
                      <wp:effectExtent l="0" t="0" r="0" b="0"/>
                      <wp:wrapNone/>
                      <wp:docPr id="137" name="Frame13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98120" cy="175260"/>
                      <wp:effectExtent l="0" t="0" r="0" b="0"/>
                      <wp:wrapNone/>
                      <wp:docPr id="138" name="Frame138"/>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16890" cy="175260"/>
                      <wp:effectExtent l="0" t="0" r="0" b="0"/>
                      <wp:wrapNone/>
                      <wp:docPr id="139" name="Frame139"/>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35585" cy="175260"/>
                      <wp:effectExtent l="0" t="0" r="0" b="0"/>
                      <wp:wrapNone/>
                      <wp:docPr id="140" name="Frame14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71" w:type="dxa"/>
            <w:tcBorders/>
            <w:vAlign w:val="center"/>
          </w:tcPr>
          <w:p>
            <w:pPr>
              <w:pStyle w:val="TableContents"/>
              <w:bidi w:val="0"/>
              <w:spacing w:before="0" w:after="0"/>
              <w:ind w:left="0" w:right="0" w:hanging="0"/>
              <w:jc w:val="left"/>
              <w:rPr/>
            </w:pPr>
            <w:r>
              <w:rPr/>
              <w:t>    </w:t>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81"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71"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cash flow information</w:t>
            </w:r>
          </w:p>
        </w:tc>
        <w:tc>
          <w:tcPr>
            <w:tcW w:w="326" w:type="dxa"/>
            <w:tcBorders/>
            <w:shd w:fill="CCEEFF" w:val="clear"/>
            <w:vAlign w:val="center"/>
          </w:tcPr>
          <w:p>
            <w:pPr>
              <w:pStyle w:val="TableContents"/>
              <w:bidi w:val="0"/>
              <w:spacing w:before="0" w:after="0"/>
              <w:ind w:left="0" w:right="0" w:hanging="0"/>
              <w:jc w:val="left"/>
              <w:rPr/>
            </w:pPr>
            <w:r>
              <w:rPr/>
              <w:t> </w:t>
            </w:r>
          </w:p>
        </w:tc>
        <w:tc>
          <w:tcPr>
            <w:tcW w:w="312"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312"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during the period for interest</w:t>
            </w:r>
          </w:p>
        </w:tc>
        <w:tc>
          <w:tcPr>
            <w:tcW w:w="326" w:type="dxa"/>
            <w:tcBorders/>
            <w:vAlign w:val="center"/>
          </w:tcPr>
          <w:p>
            <w:pPr>
              <w:pStyle w:val="TableContents"/>
              <w:bidi w:val="0"/>
              <w:spacing w:before="0" w:after="0"/>
              <w:ind w:left="0" w:right="0" w:hanging="0"/>
              <w:jc w:val="left"/>
              <w:rPr/>
            </w:pPr>
            <w:r>
              <w:rPr/>
              <w:t>​</w:t>
            </w:r>
          </w:p>
        </w:tc>
        <w:tc>
          <w:tcPr>
            <w:tcW w:w="3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3,061</w:t>
            </w:r>
          </w:p>
        </w:tc>
        <w:tc>
          <w:tcPr>
            <w:tcW w:w="181" w:type="dxa"/>
            <w:tcBorders/>
            <w:vAlign w:val="center"/>
          </w:tcPr>
          <w:p>
            <w:pPr>
              <w:pStyle w:val="TableContents"/>
              <w:bidi w:val="0"/>
              <w:spacing w:before="0" w:after="0"/>
              <w:ind w:left="0" w:right="0" w:hanging="0"/>
              <w:jc w:val="left"/>
              <w:rPr/>
            </w:pPr>
            <w:r>
              <w:rPr/>
              <w:t>​</w:t>
            </w:r>
          </w:p>
        </w:tc>
        <w:tc>
          <w:tcPr>
            <w:tcW w:w="3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2,077</w:t>
            </w:r>
          </w:p>
        </w:tc>
        <w:tc>
          <w:tcPr>
            <w:tcW w:w="371"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during the period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4,925</w:t>
            </w:r>
          </w:p>
        </w:tc>
        <w:tc>
          <w:tcPr>
            <w:tcW w:w="181" w:type="dxa"/>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Unpaid purchases of property and equipment</w:t>
            </w:r>
          </w:p>
        </w:tc>
        <w:tc>
          <w:tcPr>
            <w:tcW w:w="326" w:type="dxa"/>
            <w:tcBorders/>
            <w:vAlign w:val="center"/>
          </w:tcPr>
          <w:p>
            <w:pPr>
              <w:pStyle w:val="TableContents"/>
              <w:bidi w:val="0"/>
              <w:spacing w:before="0" w:after="0"/>
              <w:ind w:left="0" w:right="0" w:hanging="0"/>
              <w:jc w:val="left"/>
              <w:rPr/>
            </w:pPr>
            <w:r>
              <w:rPr/>
              <w:t>​</w:t>
            </w:r>
          </w:p>
        </w:tc>
        <w:tc>
          <w:tcPr>
            <w:tcW w:w="3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4,351</w:t>
            </w:r>
          </w:p>
        </w:tc>
        <w:tc>
          <w:tcPr>
            <w:tcW w:w="181" w:type="dxa"/>
            <w:tcBorders/>
            <w:vAlign w:val="center"/>
          </w:tcPr>
          <w:p>
            <w:pPr>
              <w:pStyle w:val="TableContents"/>
              <w:bidi w:val="0"/>
              <w:spacing w:before="0" w:after="0"/>
              <w:ind w:left="0" w:right="0" w:hanging="0"/>
              <w:jc w:val="left"/>
              <w:rPr/>
            </w:pPr>
            <w:r>
              <w:rPr/>
              <w:t>​</w:t>
            </w:r>
          </w:p>
        </w:tc>
        <w:tc>
          <w:tcPr>
            <w:tcW w:w="3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5,894</w:t>
            </w:r>
          </w:p>
        </w:tc>
        <w:tc>
          <w:tcPr>
            <w:tcW w:w="371"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Unpaid repurchases of common stock and excise tax</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742</w:t>
            </w:r>
          </w:p>
        </w:tc>
        <w:tc>
          <w:tcPr>
            <w:tcW w:w="181" w:type="dxa"/>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019" w:name="_0d47d4aa_3420_454b_bfc3_a7cf6262cb02"/>
      <w:bookmarkEnd w:id="1019"/>
      <w:r>
        <w:rPr>
          <w:rFonts w:ascii="Times New Roman;Times;serif" w:hAnsi="Times New Roman;Times;serif"/>
          <w:b/>
          <w:sz w:val="20"/>
        </w:rPr>
        <w:t>EL POLLO LOCO HOLDINGS, INC.</w:t>
      </w:r>
    </w:p>
    <w:p>
      <w:pPr>
        <w:pStyle w:val="TextBody"/>
        <w:bidi w:val="0"/>
        <w:spacing w:before="0" w:after="240"/>
        <w:ind w:left="0" w:right="0" w:hanging="0"/>
        <w:jc w:val="center"/>
        <w:rPr>
          <w:rFonts w:ascii="Times New Roman;Times;serif" w:hAnsi="Times New Roman;Times;serif"/>
          <w:b/>
          <w:sz w:val="20"/>
        </w:rPr>
      </w:pPr>
      <w:bookmarkStart w:id="1020" w:name="NOTESTOCONDENSEDCONSOLIDATEDFINANCIALSTA"/>
      <w:bookmarkEnd w:id="1020"/>
      <w:r>
        <w:rPr>
          <w:rFonts w:ascii="Times New Roman;Times;serif" w:hAnsi="Times New Roman;Times;serif"/>
          <w:b/>
          <w:sz w:val="20"/>
        </w:rPr>
        <w:t>NOTES TO CONDENSED CONSOLIDATED FINANCIAL STATEMENTS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BASIS OF PRESENTATION AND 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El Pollo Loco Holdings, Inc. (“Holdings”) is a Delaware corporation headquartered in Costa Mesa, California. Holdings and its direct and indirect subsidiaries are collectively referred to herein as the “Company.” The Company’s activities are conducted principally through its indirect wholly owned subsidiary, El Pollo Loco, Inc. (“EPL”), which develops, franchises, licenses, and operates quick-service restaurants under the name El Pollo Loco® and operates under one operating segment. At June 26, 2024, the Company operated 171 and franchised 324 El Pollo Loco restaurants in the United States. The Company also licenses 10 restaurants in the Philippines.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statement of the Company’s condensed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27,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2024 and 2023 are both 52-week years, ending on December 25, 2024 and December 27, 2023, respectively. Revenues, expenses, and other financial and operational figures may be elevated in a 53-week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Holdings has no material assets or operations. Holdings and Holdings’ direct subsidiary, EPL Intermediate, Inc. (“Intermediate”), guarantee EPL’s 2022 Revolver (as defined in Note 4 below) on a full and unconditional basis (see Note 4, “Long-Term Debt”), and Intermediate has no subsidiaries other than EPL. EPL is a separate and distinct legal entity and has no obligation to make funds available to Intermediate. EPL and Intermediate may pay dividends to Intermediate and to Holdings, respectively, subject to the terms of the 2022 Revolver.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condensed consolidated financial statements include the accounts of Holdings and its wholly owned subsidiaries. All intercompany balances and transactions have been eliminated in consolidation.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and contingent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considers all liquid instruments with an original maturity of three months or less at the date of purchase to be cash equivalents.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principal liquidity and capital requirements are new restaurants, existing restaurant capital investments (remodels and maintenance), interest payments on its debt, lease obligations and working capital and general corporate needs. At June 26, 2024, the Company’s total debt was $87.0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$10.5 million at June 26, 2024, and the outstanding borrowing availability under the 2022 Revolver will be adequate to meet the Company’s liquidity needs for the next twelve months from the date of filing of these condensed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Subsequent Events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Subsequent to the quarter-end, the Company paid down $4.0 million on its 2022 Revolver resulting in outstanding borrowings of $83.0 million as of August 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Concentration of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and cash equivalents are maintained at financial institutions and, at times, these balances may exceed federally-insured limits. The Company has never experienced any losses related to these balances.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had one supplier to whom amounts due totaled 11.9% and 15.1% of the Company’s accounts payable at June 26, 2024 and December 27, 2023, respectively. Purchases from the Company’s largest supplier totaled 24.2% and 24.4% of total expenses for the thirteen and twenty-six weeks ended June 26, 2024, respectively, and 27.8% and 27.3% of total expenses for the thirteen and twenty-six weeks ended June 28, 2023,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Company-operated and franchised restaurants in the greater Los Angeles area generated, in the aggregate, approximately 71.8% and 71.7% of total revenue for the thirteen and twenty-six weeks ended June 26, 2024, respectively, and 70.9% and 70.8% for the thirteen and twenty-six weeks ended June 28, 2023,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Goodwill and Indefinite Lived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Upon the sale or refranchising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Company reports as one reporting unit. The fair value of the portion of the reporting unit disposed of in a refranchising is determined by reference to the discounted value of the future cash flows expected to be generated by the restaurant and retained by the franchisee, which includes a deduction for the anticipated, future royalties the franchisee will pay the Company associated with the franchise agreement entered into simultaneously with the refranchising transition. The fair value of the reporting unit retained is based on the price a willing buyer would pay for the reporting unit and includes the value of franchise agreements. As such, the fair value of the reporting unit retained can include expected cash flows from future royalties from those restaurants currently being refranchised, future royalties from existing franchise businesses and company restaurant operations. The Company did not record any decrement to goodwill related to the disposition of restaurants in fiscal 2023 or the twenty-six weeks ended June 26,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performs an annual impairment test for goodwill during the fourth fiscal quarter of each year, or more frequently if impairment indicators arise.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determined that there were no indicators of potential impairment of its goodwill and indefinite-lived intangible assets during the thirteen and twenty-six weeks ended June 26, 2024. Accordingly, the Company did not record any impairment to its goodwill or indefinite-lived intangible assets during the thirteen and twenty-six weeks ended June 26,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for identical instruments in active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prices for similar instruments in active markets; quoted prices for identical or similar instruments in markets that are not active; and model-derived valuations whose inputs or significant value drivers are observable.</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used when little or no market data is available.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21" w:name="Tc_dtJGiffPfUGwN5PTjfJFJQ_4_17"/>
      <w:bookmarkStart w:id="1022" w:name="Tc_pLqeJtyX4kaFcBvFTEz75g_4_14"/>
      <w:bookmarkStart w:id="1023" w:name="Tc_Ep2Leja8F0Ki9OKpMnma-A_4_11"/>
      <w:bookmarkStart w:id="1024" w:name="Tc_9nB9DuNuoUCstsyrNqX0IQ_4_8"/>
      <w:bookmarkStart w:id="1025" w:name="Tc_qJr6e5jz9E6oKTMfxXEyww_4_5"/>
      <w:bookmarkStart w:id="1026" w:name="Tc_r9TqMNhbWkm2R5YvAv56kQ_4_2"/>
      <w:bookmarkStart w:id="1027" w:name="Tc_SJEduUZpIkWaFAwz0Uz6gw_4_0"/>
      <w:bookmarkStart w:id="1028" w:name="Tc_wPRb3s1CCEeAvW40x4ur6A_3_17"/>
      <w:bookmarkStart w:id="1029" w:name="Tc_KXsQX60HIUynW9cuNVik8A_3_14"/>
      <w:bookmarkStart w:id="1030" w:name="Tc_tohLkYvQ9kGcdS1rB2A-9Q_3_11"/>
      <w:bookmarkStart w:id="1031" w:name="Tc_A0rkwqMMM0yXWA9DWAC5eQ_3_8"/>
      <w:bookmarkStart w:id="1032" w:name="Tc_Hw_JBAbO6UCrZbVk5Csamg_3_5"/>
      <w:bookmarkStart w:id="1033" w:name="Tc_MR8elg279E6lXZSK9PwiGA_3_2"/>
      <w:bookmarkStart w:id="1034" w:name="Tc_5Ux9KkFr4EaPsdR5kBYrag_2_17"/>
      <w:bookmarkStart w:id="1035" w:name="Tc__8vDwYrh7Ui0GR3J31VSdQ_2_14"/>
      <w:bookmarkStart w:id="1036" w:name="Tc_8b3Sht-aUUm4j-H77fU7mg_2_5"/>
      <w:bookmarkStart w:id="1037" w:name="Tc_zj3gVqCRekCwvs9Y6ynA7g_1_17"/>
      <w:bookmarkStart w:id="1038" w:name="Tc_oeJzQWHDMkaVfnkV195ZfQ_1_14"/>
      <w:bookmarkStart w:id="1039" w:name="_9cad67d7_693f_4220_ae31_3ccdbbf4bc99"/>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r>
        <w:rPr>
          <w:rFonts w:ascii="Times New Roman;Times;serif" w:hAnsi="Times New Roman;Times;serif"/>
          <w:sz w:val="20"/>
        </w:rPr>
        <w:t>There were no non-financial instruments measured at fair value on a nonrecurring basis as of and for the thirteen and twenty-six weeks ended June 26,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non-financial instruments were measured at fair value on a nonrecurring basis as of and for the thirteen and twenty-six weeks ended June 28, 2023, reflecting certain property and equipment assets and right of use (“ROU”) assets for which an impairment loss was recognized during the corresponding periods, as discussed immediately below under “Impairment of Property and Equipment and ROU Assets”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22"/>
        <w:gridCol w:w="326"/>
        <w:gridCol w:w="211"/>
        <w:gridCol w:w="421"/>
        <w:gridCol w:w="326"/>
        <w:gridCol w:w="317"/>
        <w:gridCol w:w="501"/>
        <w:gridCol w:w="471"/>
        <w:gridCol w:w="317"/>
        <w:gridCol w:w="501"/>
        <w:gridCol w:w="471"/>
        <w:gridCol w:w="305"/>
        <w:gridCol w:w="610"/>
        <w:gridCol w:w="146"/>
        <w:gridCol w:w="590"/>
        <w:gridCol w:w="951"/>
        <w:gridCol w:w="326"/>
        <w:gridCol w:w="534"/>
        <w:gridCol w:w="1059"/>
      </w:tblGrid>
      <w:tr>
        <w:trPr/>
        <w:tc>
          <w:tcPr>
            <w:tcW w:w="1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156970" cy="175260"/>
                      <wp:effectExtent l="0" t="0" r="0" b="0"/>
                      <wp:wrapNone/>
                      <wp:docPr id="141" name="Frame141"/>
                      <a:graphic xmlns:a="http://schemas.openxmlformats.org/drawingml/2006/main">
                        <a:graphicData uri="http://schemas.microsoft.com/office/word/2010/wordprocessingShape">
                          <wps:wsp>
                            <wps:cNvSpPr txBox="1"/>
                            <wps:spPr>
                              <a:xfrm>
                                <a:off x="0" y="0"/>
                                <a:ext cx="1156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67335" cy="175260"/>
                      <wp:effectExtent l="0" t="0" r="0" b="0"/>
                      <wp:wrapNone/>
                      <wp:docPr id="144" name="Frame14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1295" cy="175260"/>
                      <wp:effectExtent l="0" t="0" r="0" b="0"/>
                      <wp:wrapNone/>
                      <wp:docPr id="146" name="Frame14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18135" cy="175260"/>
                      <wp:effectExtent l="0" t="0" r="0" b="0"/>
                      <wp:wrapNone/>
                      <wp:docPr id="147" name="Frame147"/>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99085" cy="175260"/>
                      <wp:effectExtent l="0" t="0" r="0" b="0"/>
                      <wp:wrapNone/>
                      <wp:docPr id="148" name="Frame148"/>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1295" cy="175260"/>
                      <wp:effectExtent l="0" t="0" r="0" b="0"/>
                      <wp:wrapNone/>
                      <wp:docPr id="149" name="Frame149"/>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18135" cy="175260"/>
                      <wp:effectExtent l="0" t="0" r="0" b="0"/>
                      <wp:wrapNone/>
                      <wp:docPr id="150" name="Frame150"/>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99085" cy="175260"/>
                      <wp:effectExtent l="0" t="0" r="0" b="0"/>
                      <wp:wrapNone/>
                      <wp:docPr id="151" name="Frame151"/>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93675" cy="175260"/>
                      <wp:effectExtent l="0" t="0" r="0" b="0"/>
                      <wp:wrapNone/>
                      <wp:docPr id="152" name="Frame152"/>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87350" cy="175260"/>
                      <wp:effectExtent l="0" t="0" r="0" b="0"/>
                      <wp:wrapNone/>
                      <wp:docPr id="153" name="Frame153"/>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92710" cy="175260"/>
                      <wp:effectExtent l="0" t="0" r="0" b="0"/>
                      <wp:wrapNone/>
                      <wp:docPr id="154" name="Frame1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74650" cy="175260"/>
                      <wp:effectExtent l="0" t="0" r="0" b="0"/>
                      <wp:wrapNone/>
                      <wp:docPr id="155" name="Frame155"/>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03885" cy="175260"/>
                      <wp:effectExtent l="0" t="0" r="0" b="0"/>
                      <wp:wrapNone/>
                      <wp:docPr id="156" name="Frame156"/>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39090" cy="175260"/>
                      <wp:effectExtent l="0" t="0" r="0" b="0"/>
                      <wp:wrapNone/>
                      <wp:docPr id="158" name="Frame158"/>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72465" cy="175260"/>
                      <wp:effectExtent l="0" t="0" r="0" b="0"/>
                      <wp:wrapNone/>
                      <wp:docPr id="159" name="Frame159"/>
                      <a:graphic xmlns:a="http://schemas.openxmlformats.org/drawingml/2006/main">
                        <a:graphicData uri="http://schemas.microsoft.com/office/word/2010/wordprocessingShape">
                          <wps:wsp>
                            <wps:cNvSpPr txBox="1"/>
                            <wps:spPr>
                              <a:xfrm>
                                <a:off x="0" y="0"/>
                                <a:ext cx="672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471"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471"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5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w:t>
            </w:r>
          </w:p>
        </w:tc>
        <w:tc>
          <w:tcPr>
            <w:tcW w:w="326" w:type="dxa"/>
            <w:tcBorders/>
            <w:vAlign w:val="center"/>
          </w:tcPr>
          <w:p>
            <w:pPr>
              <w:pStyle w:val="TableContents"/>
              <w:bidi w:val="0"/>
              <w:spacing w:before="0" w:after="0"/>
              <w:ind w:left="0" w:right="0" w:hanging="0"/>
              <w:jc w:val="left"/>
              <w:rPr/>
            </w:pPr>
            <w:r>
              <w:rPr/>
              <w:t>​</w:t>
            </w:r>
          </w:p>
        </w:tc>
        <w:tc>
          <w:tcPr>
            <w:tcW w:w="15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w:t>
            </w:r>
          </w:p>
        </w:tc>
      </w:tr>
      <w:tr>
        <w:trPr/>
        <w:tc>
          <w:tcPr>
            <w:tcW w:w="18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June 28, 2023 Using</w:t>
            </w:r>
          </w:p>
        </w:tc>
        <w:tc>
          <w:tcPr>
            <w:tcW w:w="146" w:type="dxa"/>
            <w:tcBorders/>
            <w:vAlign w:val="center"/>
          </w:tcPr>
          <w:p>
            <w:pPr>
              <w:pStyle w:val="TableContents"/>
              <w:bidi w:val="0"/>
              <w:spacing w:before="0" w:after="0"/>
              <w:ind w:left="0" w:right="0" w:hanging="0"/>
              <w:jc w:val="center"/>
              <w:rPr/>
            </w:pPr>
            <w:r>
              <w:rPr/>
              <w:t>​</w:t>
            </w:r>
          </w:p>
        </w:tc>
        <w:tc>
          <w:tcPr>
            <w:tcW w:w="1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 28, 2023</w:t>
            </w:r>
          </w:p>
        </w:tc>
        <w:tc>
          <w:tcPr>
            <w:tcW w:w="326" w:type="dxa"/>
            <w:tcBorders/>
            <w:vAlign w:val="center"/>
          </w:tcPr>
          <w:p>
            <w:pPr>
              <w:pStyle w:val="TableContents"/>
              <w:bidi w:val="0"/>
              <w:spacing w:before="0" w:after="0"/>
              <w:ind w:left="0" w:right="0" w:hanging="0"/>
              <w:jc w:val="left"/>
              <w:rPr/>
            </w:pPr>
            <w:r>
              <w:rPr/>
              <w:t>​</w:t>
            </w:r>
          </w:p>
        </w:tc>
        <w:tc>
          <w:tcPr>
            <w:tcW w:w="15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 28, 2023</w:t>
            </w:r>
          </w:p>
        </w:tc>
      </w:tr>
      <w:tr>
        <w:trPr/>
        <w:tc>
          <w:tcPr>
            <w:tcW w:w="18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    </w:t>
            </w:r>
          </w:p>
        </w:tc>
        <w:tc>
          <w:tcPr>
            <w:tcW w:w="8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71" w:type="dxa"/>
            <w:tcBorders/>
            <w:vAlign w:val="center"/>
          </w:tcPr>
          <w:p>
            <w:pPr>
              <w:pStyle w:val="TableContents"/>
              <w:bidi w:val="0"/>
              <w:spacing w:before="0" w:after="0"/>
              <w:ind w:left="0" w:right="0" w:hanging="0"/>
              <w:jc w:val="left"/>
              <w:rPr/>
            </w:pPr>
            <w:r>
              <w:rPr/>
              <w:t>    </w:t>
            </w:r>
          </w:p>
        </w:tc>
        <w:tc>
          <w:tcPr>
            <w:tcW w:w="8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71"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46" w:type="dxa"/>
            <w:tcBorders/>
            <w:vAlign w:val="center"/>
          </w:tcPr>
          <w:p>
            <w:pPr>
              <w:pStyle w:val="TableContents"/>
              <w:bidi w:val="0"/>
              <w:spacing w:before="0" w:after="0"/>
              <w:ind w:left="0" w:right="0" w:hanging="0"/>
              <w:jc w:val="center"/>
              <w:rPr/>
            </w:pPr>
            <w:r>
              <w:rPr/>
              <w:t> </w:t>
            </w:r>
          </w:p>
        </w:tc>
        <w:tc>
          <w:tcPr>
            <w:tcW w:w="15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 Losses</w:t>
            </w:r>
          </w:p>
        </w:tc>
        <w:tc>
          <w:tcPr>
            <w:tcW w:w="326" w:type="dxa"/>
            <w:tcBorders/>
            <w:vAlign w:val="center"/>
          </w:tcPr>
          <w:p>
            <w:pPr>
              <w:pStyle w:val="TableContents"/>
              <w:bidi w:val="0"/>
              <w:spacing w:before="0" w:after="0"/>
              <w:ind w:left="0" w:right="0" w:hanging="0"/>
              <w:jc w:val="left"/>
              <w:rPr/>
            </w:pPr>
            <w:r>
              <w:rPr/>
              <w:t>    </w:t>
            </w:r>
          </w:p>
        </w:tc>
        <w:tc>
          <w:tcPr>
            <w:tcW w:w="15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 Losses</w:t>
            </w:r>
          </w:p>
        </w:tc>
      </w:tr>
      <w:tr>
        <w:trPr/>
        <w:tc>
          <w:tcPr>
            <w:tcW w:w="18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ROU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471"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471"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146" w:type="dxa"/>
            <w:tcBorders/>
            <w:shd w:fill="CCEEFF" w:val="clear"/>
            <w:vAlign w:val="center"/>
          </w:tcPr>
          <w:p>
            <w:pPr>
              <w:pStyle w:val="TableContents"/>
              <w:bidi w:val="0"/>
              <w:spacing w:before="0" w:after="0"/>
              <w:ind w:left="0" w:right="0" w:hanging="0"/>
              <w:jc w:val="center"/>
              <w:rPr/>
            </w:pPr>
            <w:r>
              <w:rPr/>
              <w:t>​</w:t>
            </w:r>
          </w:p>
        </w:tc>
        <w:tc>
          <w:tcPr>
            <w:tcW w:w="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of Property and Equipment and ROU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reviews its property and equipment and ROU assets for impairment on a restaurant-by-restaurant basis whenever events or changes in circumstances indicate that the carrying value of certain property and equipment and ROU assets may not be recoverable. The Company considers a triggering event related to property and equipment assets or ROU assets in a net asset position to have occurred related to a specific restaurant if the restaurant’s average unit volume for the last twelve months is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closed or been subleased and future estimated sublease income is less than lease payments under the head lease. If the Company concludes that the carrying value of certain property and equipment and ROU assets will not be recovered based on expected undiscounted future cash flows, an impairment loss is recorded to reduce the property and equipment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restaurants during the twenty-six weeks ended June 26, 2024 that required an impairment review of certain of the Company’s property and equipment and ROU assets. Based on the results of the analysis, the Company did not record any non-cash impairment charges for the thirteen and twenty-six weeks ended June 26,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recorded a non-cash impairment charge of less than $0.1 million for the thirteen and twenty-six weeks ended June 28, 2023, primarily related to the carrying value of the ROU assets of one restaurant in California. Given the inherent uncertainty in projecting results for newer restaurants in newer markets, the Company monitors the recoverability of the carrying value of the assets of several restaurants on an ongoing basis. For these restaurants, if expected performance is not realized, an impairment charge may be recognized in future periods, and such charge could be material.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Closed-Store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 During both the thirteen and twenty-six weeks ended June 26, 2024 and June 28, 2023, the Company recognized less than $0.1 million of closed-store reserve expense related to the amortization of ROU assets, property taxes and CAM payments for its closed locations.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Gain on Recovery of Insurance Proceeds, Lost Profits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fiscal 2022, one of the Company’s restaurants incurred damage resulting from a fire. In fiscal 2023, the Company incurred costs directly related to the fire of less than $0.1 million. The Company received $0.4 million in cash, net of the insurance deductible, from the insurance company during fiscal 2023 for which the Company recognized gains of $0.2 million, related to the reimbursement of property and equipment and expenses incurred and $0.2 million related to the reimbursement of lost profits. The gain on recovery of insurance proceeds for the reimbursement of property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equipment and expenses and the reimbursement of lost profits, net of the related costs, is included in the accompanying condensed consolidated statements of income, for the twenty-six weeks ended June 28, 2023, as a reduction of company restaurant expenses.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Loss (Gain) on Disposition of Restaurants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thirteen and twenty-six weeks ended June 26, 2024, the Company completed the sale of one restaurant within California to an existing franchisee due to an expiring lease term on April 30, 2024. During the twenty-six weeks ended June 28, 2023, the Company completed the sale of one restaurant within California to an existing franchisee. The Company determined that these restaurant dispositions represented multiple element arrangements, and as a result, the cash consideration received was allocated to the separate elements based on its relative standalone selling price. Cash proceeds included upfront consideration for the sale of the restaurant and franchise fees. The cash consideration per restaurant related to franchise fees is consistent with the amounts stated in the related franchise agreement, which are charged for separate standalone arrangements. The Company initially defers and subsequently recognizes the franchise fees over the term of the franchise agreement. During the twenty-six weeks ended June 26, 2024 and June 28, 2023, these sales resulted in cash proceeds of $0.1 million and $0.2 million, respectively, and a net loss of sale of restaurant of less than $0.1 million and a net gain on sale of restaurant of $0.1 million, respectively. Since the date of sale, this restaurant is now included in the total number of franchised El Pollo Loco restaurants.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reviews its filing positions for all open tax years in all U.S. federal and state jurisdictions where the Company is required to file.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condensed consolidated financial position, results of operations, and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policy is to recognize interest and penalties related to income tax matters in income tax expense. The Company had no accrual for interest or penalties at June 26, 2024 or at December 27, 2023. The Company did not recognize interest or penalties during the thirteen and twenty-six weeks ended June 26, 2024 and June 28, 2023, respectively, since there were no material unrecognized tax benefits. Management believes no significant changes to the amount of unrecognized tax benefits will occur within the next twelve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30, 2014, the Company entered into the income tax receivable agreement (the “TRA”), which calls for the Company to pay to its pre-initial public offering (“IPO”) stockholders 85% of the savings in cash that the Company realizes in its income taxes as a result of utilizing its net operating losses (“NOLs”) and other tax attributes attributable to preceding periods. For the thirteen and twenty-six weeks ended June 26, 2024, the Company did not record any income tax receivable agreement income or expense, and for the thirteen and twenty-six weeks ended June 28, 2023, the Company recorded income tax receivable agreement expense of $0.1 million and income tax receivable agreement income of less than $0.1 million related to the amortization of interest expense related to the total expected TRA payments and changes in estimates for actual tax returns filed and future forecasted taxable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40" w:name="_Hlk172286843"/>
      <w:bookmarkEnd w:id="1040"/>
      <w:r>
        <w:rPr>
          <w:rFonts w:ascii="Times New Roman;Times;serif" w:hAnsi="Times New Roman;Times;serif"/>
          <w:sz w:val="20"/>
        </w:rPr>
        <w:t xml:space="preserve">On May 29, 2024, the Company terminated most of the obligations under the TRA, dated July 30, 2014, with respect to any payments or obligations owed to the FS Equity Partners V, L.P. and FS Affiliates V, L.P. (together, the “Sellers”) thereunder in exchange for a payment to the Sellers of $398,896. </w:t>
      </w:r>
      <w:r>
        <w:rPr>
          <w:rFonts w:ascii="Times New Roman;Times;serif" w:hAnsi="Times New Roman;Times;serif"/>
          <w:sz w:val="20"/>
          <w:shd w:fill="FFFFFF" w:val="clear"/>
        </w:rPr>
        <w:t xml:space="preserve">As of June 26, 2024, an immaterial amount of obligations owed remained outstanding on the Company’s condensed consolidated balance sheets.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June 26, 2024, the Company recorded an income tax provision of $3.2 million, reflecting an estimated effective tax rate of 29.3%. For the quarter ended June 28, 2023, the Company recorded an income tax provision of $2.7 million, reflecting an estimated effective tax rate of approximately 27.9%. For the year-to-date period ended June 26, 2024, the Company recorded an income tax provision of $5.4 million, reflecting an estimated effective tax rate of approximately 28.4%. For the year-to-date period ended June 28, 2023, the Company recorded an income tax provision of $4.7 million, reflecting an estimated effective tax rate of approximately 28.1%. The difference between the 21.0% statutory rate and the effective tax rate of 28.4% for the </w:t>
      </w:r>
      <w:r>
        <w:rPr>
          <w:rFonts w:ascii="Times New Roman;Times;serif" w:hAnsi="Times New Roman;Times;serif"/>
          <w:sz w:val="20"/>
          <w:shd w:fill="FFFFFF" w:val="clear"/>
        </w:rPr>
        <w:t>year-to-date period</w:t>
      </w:r>
      <w:r>
        <w:rPr>
          <w:rFonts w:ascii="Times New Roman;Times;serif" w:hAnsi="Times New Roman;Times;serif"/>
          <w:sz w:val="20"/>
        </w:rPr>
        <w:t xml:space="preserve"> ended June 26, 2024 is primarily a result </w:t>
      </w:r>
      <w:r>
        <w:rPr>
          <w:rFonts w:ascii="Times New Roman;Times;serif" w:hAnsi="Times New Roman;Times;serif"/>
          <w:sz w:val="20"/>
          <w:shd w:fill="FFFFFF" w:val="clear"/>
        </w:rPr>
        <w:t>of state taxes</w:t>
      </w:r>
      <w:r>
        <w:rPr>
          <w:rFonts w:ascii="Times New Roman;Times;serif" w:hAnsi="Times New Roman;Times;serif"/>
          <w:sz w:val="20"/>
        </w:rPr>
        <w:t>, the impact of non-tax deductible executive compensation, a tax shortfall related to equity compensation deductible for tax as compared to the cumulative amount recorded as stock-based compensation expense, partially offset by a Work Opportunity Tax Credit benefit</w:t>
      </w:r>
      <w:r>
        <w:rPr>
          <w:rFonts w:ascii="Times New Roman;Times;serif" w:hAnsi="Times New Roman;Times;serif"/>
          <w:sz w:val="20"/>
          <w:shd w:fill="FFFFFF" w:val="clear"/>
        </w:rPr>
        <w:t xml:space="preserve">. </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Recently Issued Accounting Pronouncements</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 November 2023, the Financial Accounting Standards Board (“FASB”) issued ASU No. 2023-07, “Segment Reporting (Topic 280): Improvements to Reportable Segment Disclosure.” The ASU updates reportable segment disclosure requirements, primarily through requiring enhanced disclosures about significant segment expenses and information used to assess segment performance. These disclosures are required quarterly. The ASU is effective for fiscal years beginning after December 15, 2023 and interim periods beginning after December 15, 2024, with early adoption permitted. It is required to be adopted retrospectively for all prior periods presented in the financial statements The Company is currently evaluating the impact of adopting this ASU on its disclosures.</w:t>
      </w:r>
    </w:p>
    <w:p>
      <w:pPr>
        <w:pStyle w:val="TextBody"/>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 December 2023, the FASB issued ASU No. 2023-09, “Income Taxes (Topic 740): Improvements to Income Tax Disclosures.” The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prospectively with the option of retrospective application. The Company is currently evaluating the impact of adopting this ASU on its disclosures.</w:t>
      </w:r>
    </w:p>
    <w:p>
      <w:pPr>
        <w:pStyle w:val="TextBody"/>
        <w:shd w:fill="FFFFFF" w:val="clear"/>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Company reviewed all other recently issued accounting pronouncements and concluded that they were either not applicable or not expected to have a significant impact to the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41" w:name="Tc__ytYZZ4anUm-wWj16h-Cvw_8_5"/>
      <w:bookmarkStart w:id="1042" w:name="Tc_LUegDclol0Ol4EzHq_0ovw_8_2"/>
      <w:bookmarkStart w:id="1043" w:name="Tc_zm6Z5dPAuUmA65PtjAiM8w_7_0"/>
      <w:bookmarkStart w:id="1044" w:name="Tc_FNcpBrduaUCTLFFeXaTsJQ_5_0"/>
      <w:bookmarkStart w:id="1045" w:name="Tc_FSz-XtJznk6krsOTgxZKyA_4_0"/>
      <w:bookmarkStart w:id="1046" w:name="Tc_HbcKtcen9EiVkJff4O3AfQ_3_0"/>
      <w:bookmarkStart w:id="1047" w:name="Tc_W4X1rwdPSkOoaIOiOUneKA_2_5"/>
      <w:bookmarkStart w:id="1048" w:name="Tc_ugwyDZJnCEKEefUHvs3r7A_2_2"/>
      <w:bookmarkStart w:id="1049" w:name="Tc_lYCIRGMhU0OfESoeiSWc0g_2_0"/>
      <w:bookmarkStart w:id="1050" w:name="Tc_kQpiOgpmYkK0zX4mJr50lg_1_5"/>
      <w:bookmarkStart w:id="1051" w:name="Tc_06oC88BU30OLGqoNyyH28Q_1_2"/>
      <w:bookmarkStart w:id="1052" w:name="_18a3f819_26f2_4ccb_beee_6b08219d4cef"/>
      <w:bookmarkEnd w:id="1041"/>
      <w:bookmarkEnd w:id="1042"/>
      <w:bookmarkEnd w:id="1043"/>
      <w:bookmarkEnd w:id="1044"/>
      <w:bookmarkEnd w:id="1045"/>
      <w:bookmarkEnd w:id="1046"/>
      <w:bookmarkEnd w:id="1047"/>
      <w:bookmarkEnd w:id="1048"/>
      <w:bookmarkEnd w:id="1049"/>
      <w:bookmarkEnd w:id="1050"/>
      <w:bookmarkEnd w:id="1051"/>
      <w:bookmarkEnd w:id="1052"/>
      <w:r>
        <w:rPr>
          <w:rFonts w:ascii="Times New Roman;Times;serif" w:hAnsi="Times New Roman;Times;serif"/>
          <w:b/>
          <w:sz w:val="20"/>
        </w:rPr>
        <w:t>2. PROPERTY AND EQUIPMENT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costs and related accumulated depreciation and amortization of major classes of property and equipment are as follows (in thousands):</w:t>
      </w:r>
    </w:p>
    <w:p>
      <w:pPr>
        <w:pStyle w:val="TextBody"/>
        <w:bidi w:val="0"/>
        <w:spacing w:before="0" w:after="240"/>
        <w:ind w:left="0" w:right="0" w:hanging="0"/>
        <w:jc w:val="left"/>
        <w:rPr/>
      </w:pPr>
      <w:r>
        <w:rPr/>
        <w:t>​</w:t>
      </w:r>
    </w:p>
    <w:tbl>
      <w:tblPr>
        <w:tblW w:w="7434" w:type="dxa"/>
        <w:jc w:val="left"/>
        <w:tblInd w:w="0" w:type="dxa"/>
        <w:tblLayout w:type="fixed"/>
        <w:tblCellMar>
          <w:top w:w="0" w:type="dxa"/>
          <w:left w:w="0" w:type="dxa"/>
          <w:bottom w:w="0" w:type="dxa"/>
          <w:right w:w="0" w:type="dxa"/>
        </w:tblCellMar>
      </w:tblPr>
      <w:tblGrid>
        <w:gridCol w:w="4111"/>
        <w:gridCol w:w="326"/>
        <w:gridCol w:w="225"/>
        <w:gridCol w:w="901"/>
        <w:gridCol w:w="326"/>
        <w:gridCol w:w="281"/>
        <w:gridCol w:w="1264"/>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610485" cy="175260"/>
                      <wp:effectExtent l="0" t="0" r="0" b="0"/>
                      <wp:wrapNone/>
                      <wp:docPr id="160" name="Frame160"/>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42875" cy="175260"/>
                      <wp:effectExtent l="0" t="0" r="0" b="0"/>
                      <wp:wrapNone/>
                      <wp:docPr id="162" name="Frame162"/>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72135" cy="175260"/>
                      <wp:effectExtent l="0" t="0" r="0" b="0"/>
                      <wp:wrapNone/>
                      <wp:docPr id="163" name="Frame16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78435" cy="175260"/>
                      <wp:effectExtent l="0" t="0" r="0" b="0"/>
                      <wp:wrapNone/>
                      <wp:docPr id="165" name="Frame16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802640" cy="175260"/>
                      <wp:effectExtent l="0" t="0" r="0" b="0"/>
                      <wp:wrapNone/>
                      <wp:docPr id="166" name="Frame166"/>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 2023</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12,323</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12,323</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32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149,012</w:t>
            </w:r>
          </w:p>
        </w:tc>
        <w:tc>
          <w:tcPr>
            <w:tcW w:w="32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148,259</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property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89,709</w:t>
            </w:r>
          </w:p>
        </w:tc>
        <w:tc>
          <w:tcPr>
            <w:tcW w:w="326"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86,423</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0"/>
              <w:ind w:left="0" w:right="0" w:hanging="0"/>
              <w:jc w:val="left"/>
              <w:rPr/>
            </w:pPr>
            <w:r>
              <w:rPr/>
              <w:t> </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10,863</w:t>
            </w:r>
          </w:p>
        </w:tc>
        <w:tc>
          <w:tcPr>
            <w:tcW w:w="326" w:type="dxa"/>
            <w:tcBorders/>
            <w:vAlign w:val="center"/>
          </w:tcPr>
          <w:p>
            <w:pPr>
              <w:pStyle w:val="TableContents"/>
              <w:bidi w:val="0"/>
              <w:spacing w:before="0" w:after="0"/>
              <w:ind w:left="0" w:right="0" w:hanging="0"/>
              <w:jc w:val="left"/>
              <w:rPr/>
            </w:pPr>
            <w:r>
              <w:rPr/>
              <w:t> </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7,270</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261,907</w:t>
            </w:r>
          </w:p>
        </w:tc>
        <w:tc>
          <w:tcPr>
            <w:tcW w:w="326"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254,275</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0"/>
              <w:ind w:left="0" w:right="0" w:hanging="0"/>
              <w:jc w:val="left"/>
              <w:rPr/>
            </w:pPr>
            <w:r>
              <w:rPr/>
              <w:t> </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(175,729)</w:t>
            </w:r>
          </w:p>
        </w:tc>
        <w:tc>
          <w:tcPr>
            <w:tcW w:w="326" w:type="dxa"/>
            <w:tcBorders/>
            <w:vAlign w:val="center"/>
          </w:tcPr>
          <w:p>
            <w:pPr>
              <w:pStyle w:val="TableContents"/>
              <w:bidi w:val="0"/>
              <w:spacing w:before="0" w:after="0"/>
              <w:ind w:left="0" w:right="0" w:hanging="0"/>
              <w:jc w:val="left"/>
              <w:rPr/>
            </w:pPr>
            <w:r>
              <w:rPr/>
              <w:t> </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(170,248)</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86,178</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84,027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Depreciation and amortization expense was </w:t>
      </w:r>
      <w:r>
        <w:rPr>
          <w:rFonts w:ascii="Times New Roman;Times;serif" w:hAnsi="Times New Roman;Times;serif"/>
          <w:sz w:val="20"/>
          <w:shd w:fill="FFFFFF" w:val="clear"/>
        </w:rPr>
        <w:t>$3.9 million and</w:t>
      </w:r>
      <w:r>
        <w:rPr>
          <w:rFonts w:ascii="Times New Roman;Times;serif" w:hAnsi="Times New Roman;Times;serif"/>
          <w:sz w:val="20"/>
        </w:rPr>
        <w:t xml:space="preserve"> $3.7 million for the thirteen weeks ended June 26, 2024 and June 28, 2023, respectively, and $7.7 million and $7.3 million for the twenty-six weeks ended June 26, 2024 and June 28, 2023, respectively.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Based on the Company’s review of its property and equipment assets for impairment, the Company did not record any non-cash impairment charges for the thirteen weeks and twenty-six weeks ended June 26, 2024 and June 28,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respectively. See Note 1, “Basis of Presentation and Summary of Significant Accounting Policies – Impairment of Property and Equipment Assets and ROU Assets” for additional information.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53" w:name="Tc_TH6-V0apV0e7oRJgXby3Dg_7_4"/>
      <w:bookmarkStart w:id="1054" w:name="Tc_u9jjvlrfV0yuAcNNKZFylg_7_0"/>
      <w:bookmarkStart w:id="1055" w:name="Tc_ZxXqnyjHzUihE9UkW1GZOw_6_4"/>
      <w:bookmarkStart w:id="1056" w:name="Tc_mlSJ9gm1IEGoddoSIVjpZA_6_0"/>
      <w:bookmarkStart w:id="1057" w:name="Tc_efFBN4CS-0WRVm32ILPPfQ_5_4"/>
      <w:bookmarkStart w:id="1058" w:name="Tc_qV3cbxy3mUezscj6HazNaw_5_0"/>
      <w:bookmarkStart w:id="1059" w:name="Tc_Q4_sJ0AjeEmi7tvCnJG4iA_4_4"/>
      <w:bookmarkStart w:id="1060" w:name="Tc_C2LwdFmzCUyP9vuVKl5fOw_4_0"/>
      <w:bookmarkStart w:id="1061" w:name="Tc_aWNW4xqaKkmIYIP0kBOOqA_3_4"/>
      <w:bookmarkStart w:id="1062" w:name="Tc__OXC6Iu6QUyYJ9tD1PG4VQ_3_0"/>
      <w:bookmarkStart w:id="1063" w:name="Tc_Ss9-z25FDE-suDgQuS-Yqg_2_4"/>
      <w:bookmarkStart w:id="1064" w:name="Tc_6qY09ERSYUWm4YgobBoxZg_2_2"/>
      <w:bookmarkStart w:id="1065" w:name="Tc_AUcE-M01PkCYAQuKMNNdnQ_1_4"/>
      <w:bookmarkStart w:id="1066" w:name="Tc_d3mbQJ1F5EWFeN6x2Cgwbg_5_4"/>
      <w:bookmarkStart w:id="1067" w:name="Tc_Sy2v5ZbCgUiajW_uVDc8LA_5_2"/>
      <w:bookmarkStart w:id="1068" w:name="Tc_4VBU3s4gvk-2rlcUC2Z9JQ_5_0"/>
      <w:bookmarkStart w:id="1069" w:name="Tc_GjsSgkFgp0-Lbs6sNpIJ1w_4_0"/>
      <w:bookmarkStart w:id="1070" w:name="Tc_E6N1wTqJi0-BMtEf3Gz56Q_3_5"/>
      <w:bookmarkStart w:id="1071" w:name="Tc_lmEyuOFmF0az89U0whv-Pg_3_3"/>
      <w:bookmarkStart w:id="1072" w:name="Tc_VptbzOlHZ0KV-OlDM2F7IA_3_0"/>
      <w:bookmarkStart w:id="1073" w:name="Tc__kzJQ8NKdUiSHus0BhWjEg_2_5"/>
      <w:bookmarkStart w:id="1074" w:name="Tc_vrNPBazqNEqJh9u3Qzytrw_2_3"/>
      <w:bookmarkStart w:id="1075" w:name="Tc_iHoSKq2Iu0W2mWOLVPlevA_2_0"/>
      <w:bookmarkStart w:id="1076" w:name="Tc_XVojr7QdL0iw2EkkXCbWJw_1_4"/>
      <w:bookmarkStart w:id="1077" w:name="Tc_E6yt2NPfvkSFVaT2o8VPXw_1_2"/>
      <w:bookmarkStart w:id="1078" w:name="Tc_0QS3m5mgEE--lVKaazehHg_10_10"/>
      <w:bookmarkStart w:id="1079" w:name="Tc_rmmpIVE9ykKYAfSY6CoEUQ_10_4"/>
      <w:bookmarkStart w:id="1080" w:name="Tc_pyRDlzuVx02jex5-s33z6g_10_0"/>
      <w:bookmarkStart w:id="1081" w:name="Tc_-d_6NTmZaU6MOH7ohGtzGA_9_10"/>
      <w:bookmarkStart w:id="1082" w:name="Tc_Oczq8Vxpi0GpXWtCcq84zg_9_4"/>
      <w:bookmarkStart w:id="1083" w:name="Tc_MJm4e6_AdkqbvgjA3PvRWA_9_0"/>
      <w:bookmarkStart w:id="1084" w:name="Tc_CymUiKliR0uMCEB-7IRY9Q_8_10"/>
      <w:bookmarkStart w:id="1085" w:name="Tc_Rto-twu0IU6HcMloXJThXw_8_4"/>
      <w:bookmarkStart w:id="1086" w:name="Tc_ZIg1LXvFVUe0PTYiKofv8A_8_0"/>
      <w:bookmarkStart w:id="1087" w:name="Tc_RDzz485ZK0ydBnAsDKBUoA_7_4"/>
      <w:bookmarkStart w:id="1088" w:name="Tc_KTCY82LKG0mw0V5KE6AIoQ_7_0"/>
      <w:bookmarkStart w:id="1089" w:name="Tc_ntFlzdmryk-fzgeoAPb0tA_6_0"/>
      <w:bookmarkStart w:id="1090" w:name="Tc_L7Ue4VQuq0C0_r3bJF1OtA_5_0"/>
      <w:bookmarkStart w:id="1091" w:name="Tc_Fu2uVTYk7EK09_cGYFrYlg_4_4"/>
      <w:bookmarkStart w:id="1092" w:name="Tc_Kc9bzyPRzkeWCorzmlzMuA_4_0"/>
      <w:bookmarkStart w:id="1093" w:name="Tc_HKIyoGGlkUuqZq4ivF1Zug_3_10"/>
      <w:bookmarkStart w:id="1094" w:name="Tc_lWFy1fiTLE-AecOmsJdyWQ_3_7"/>
      <w:bookmarkStart w:id="1095" w:name="Tc_-rp4mr2vJ06b5ntxJlCyzw_3_4"/>
      <w:bookmarkStart w:id="1096" w:name="Tc_QjRwiOGvoEyO5tIhaPf4ag_3_2"/>
      <w:bookmarkStart w:id="1097" w:name="Tc_Rro7qBzQpkqcR89GtltZ1w_2_10"/>
      <w:bookmarkStart w:id="1098" w:name="Tc_uFB909nCM0ysVpQVcV9vYg_2_7"/>
      <w:bookmarkStart w:id="1099" w:name="Tc_Pfimepw9e0erKBYp1D7VWQ_2_4"/>
      <w:bookmarkStart w:id="1100" w:name="Tc_HUF4W7DAIUCrSZKtrWZGow_1_10"/>
      <w:bookmarkStart w:id="1101" w:name="Tc_ZFZmDgrn3Ea-a0WtyzX51Q_1_7"/>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r>
        <w:rPr>
          <w:rFonts w:ascii="Times New Roman;Times;serif" w:hAnsi="Times New Roman;Times;serif"/>
          <w:b/>
          <w:sz w:val="20"/>
        </w:rPr>
        <w:t>3. STOCK-BASED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Stock Options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June 26, 2024, options to purchase 1,121,783 shares of common stock were outstanding, including 335,325 vested and 786,458 unvested options. Unvested options vest over time; however, upon a change in control, the Board of Directors may accelerate vesting. A summary of stock option activity at June 26, 2024 and changes during the twenty-six weeks ended June 26, 2024 is as follows:</w:t>
      </w:r>
    </w:p>
    <w:p>
      <w:pPr>
        <w:pStyle w:val="TextBody"/>
        <w:bidi w:val="0"/>
        <w:spacing w:before="0" w:after="240"/>
        <w:ind w:left="0" w:right="0" w:hanging="0"/>
        <w:jc w:val="left"/>
        <w:rPr/>
      </w:pPr>
      <w:r>
        <w:rPr/>
        <w:t>​</w:t>
      </w:r>
    </w:p>
    <w:tbl>
      <w:tblPr>
        <w:tblW w:w="9798" w:type="dxa"/>
        <w:jc w:val="left"/>
        <w:tblInd w:w="0" w:type="dxa"/>
        <w:tblLayout w:type="fixed"/>
        <w:tblCellMar>
          <w:top w:w="0" w:type="dxa"/>
          <w:left w:w="0" w:type="dxa"/>
          <w:bottom w:w="0" w:type="dxa"/>
          <w:right w:w="0" w:type="dxa"/>
        </w:tblCellMar>
      </w:tblPr>
      <w:tblGrid>
        <w:gridCol w:w="3766"/>
        <w:gridCol w:w="326"/>
        <w:gridCol w:w="931"/>
        <w:gridCol w:w="326"/>
        <w:gridCol w:w="396"/>
        <w:gridCol w:w="1075"/>
        <w:gridCol w:w="146"/>
        <w:gridCol w:w="278"/>
        <w:gridCol w:w="1193"/>
        <w:gridCol w:w="146"/>
        <w:gridCol w:w="309"/>
        <w:gridCol w:w="90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391410" cy="175260"/>
                      <wp:effectExtent l="0" t="0" r="0" b="0"/>
                      <wp:wrapNone/>
                      <wp:docPr id="167" name="Frame167"/>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91185" cy="175260"/>
                      <wp:effectExtent l="0" t="0" r="0" b="0"/>
                      <wp:wrapNone/>
                      <wp:docPr id="169" name="Frame1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51460" cy="175260"/>
                      <wp:effectExtent l="0" t="0" r="0" b="0"/>
                      <wp:wrapNone/>
                      <wp:docPr id="171" name="Frame171"/>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82625" cy="175260"/>
                      <wp:effectExtent l="0" t="0" r="0" b="0"/>
                      <wp:wrapNone/>
                      <wp:docPr id="172" name="Frame172"/>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2710" cy="175260"/>
                      <wp:effectExtent l="0" t="0" r="0" b="0"/>
                      <wp:wrapNone/>
                      <wp:docPr id="173" name="Frame17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76530" cy="175260"/>
                      <wp:effectExtent l="0" t="0" r="0" b="0"/>
                      <wp:wrapNone/>
                      <wp:docPr id="174" name="Frame174"/>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57555" cy="175260"/>
                      <wp:effectExtent l="0" t="0" r="0" b="0"/>
                      <wp:wrapNone/>
                      <wp:docPr id="175" name="Frame175"/>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92710" cy="175260"/>
                      <wp:effectExtent l="0" t="0" r="0" b="0"/>
                      <wp:wrapNone/>
                      <wp:docPr id="176" name="Frame17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96215" cy="175260"/>
                      <wp:effectExtent l="0" t="0" r="0" b="0"/>
                      <wp:wrapNone/>
                      <wp:docPr id="177" name="Frame177"/>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75310" cy="175260"/>
                      <wp:effectExtent l="0" t="0" r="0" b="0"/>
                      <wp:wrapNone/>
                      <wp:docPr id="178" name="Frame178"/>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w:t>
            </w:r>
          </w:p>
        </w:tc>
        <w:tc>
          <w:tcPr>
            <w:tcW w:w="107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46" w:type="dxa"/>
            <w:tcBorders/>
            <w:vAlign w:val="center"/>
          </w:tcPr>
          <w:p>
            <w:pPr>
              <w:pStyle w:val="TableContents"/>
              <w:bidi w:val="0"/>
              <w:spacing w:before="0" w:after="1"/>
              <w:ind w:left="0" w:right="0" w:hanging="0"/>
              <w:jc w:val="left"/>
              <w:rPr/>
            </w:pPr>
            <w:r>
              <w:rPr/>
              <w:t> </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46" w:type="dxa"/>
            <w:tcBorders/>
            <w:vAlign w:val="center"/>
          </w:tcPr>
          <w:p>
            <w:pPr>
              <w:pStyle w:val="TableContents"/>
              <w:bidi w:val="0"/>
              <w:spacing w:before="0" w:after="1"/>
              <w:ind w:left="0" w:right="0" w:hanging="0"/>
              <w:jc w:val="center"/>
              <w:rPr/>
            </w:pPr>
            <w:r>
              <w:rPr/>
              <w:t> </w:t>
            </w:r>
          </w:p>
        </w:tc>
        <w:tc>
          <w:tcPr>
            <w:tcW w:w="147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Contractual Life</w:t>
            </w:r>
          </w:p>
        </w:tc>
        <w:tc>
          <w:tcPr>
            <w:tcW w:w="146" w:type="dxa"/>
            <w:tcBorders/>
            <w:vAlign w:val="center"/>
          </w:tcPr>
          <w:p>
            <w:pPr>
              <w:pStyle w:val="TableContents"/>
              <w:bidi w:val="0"/>
              <w:spacing w:before="0" w:after="1"/>
              <w:ind w:left="0" w:right="0" w:hanging="0"/>
              <w:jc w:val="left"/>
              <w:rPr/>
            </w:pPr>
            <w:r>
              <w:rPr/>
              <w:t> </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3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46" w:type="dxa"/>
            <w:tcBorders/>
            <w:vAlign w:val="center"/>
          </w:tcPr>
          <w:p>
            <w:pPr>
              <w:pStyle w:val="TableContents"/>
              <w:bidi w:val="0"/>
              <w:spacing w:before="0" w:after="1"/>
              <w:ind w:left="0" w:right="0" w:hanging="0"/>
              <w:jc w:val="center"/>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27,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843,320</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537,046</w:t>
            </w:r>
          </w:p>
        </w:tc>
        <w:tc>
          <w:tcPr>
            <w:tcW w:w="32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 </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w:t>
            </w:r>
          </w:p>
        </w:tc>
        <w:tc>
          <w:tcPr>
            <w:tcW w:w="1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(110,380)</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9.57</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cancelled or expired</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(148,203)</w:t>
            </w:r>
          </w:p>
        </w:tc>
        <w:tc>
          <w:tcPr>
            <w:tcW w:w="326" w:type="dxa"/>
            <w:tcBorders/>
            <w:vAlign w:val="center"/>
          </w:tcPr>
          <w:p>
            <w:pPr>
              <w:pStyle w:val="TableContents"/>
              <w:bidi w:val="0"/>
              <w:spacing w:before="0" w:after="1"/>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w:t>
            </w:r>
          </w:p>
        </w:tc>
        <w:tc>
          <w:tcPr>
            <w:tcW w:w="1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June 26, 2024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1,121,783</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7.87</w:t>
            </w:r>
          </w:p>
        </w:tc>
        <w:tc>
          <w:tcPr>
            <w:tcW w:w="1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1,288</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expected to vest at June 26, 2024</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1,105,134</w:t>
            </w:r>
          </w:p>
        </w:tc>
        <w:tc>
          <w:tcPr>
            <w:tcW w:w="326" w:type="dxa"/>
            <w:tcBorders/>
            <w:vAlign w:val="center"/>
          </w:tcPr>
          <w:p>
            <w:pPr>
              <w:pStyle w:val="TableContents"/>
              <w:bidi w:val="0"/>
              <w:spacing w:before="0" w:after="1"/>
              <w:ind w:left="0" w:right="0" w:hanging="0"/>
              <w:jc w:val="left"/>
              <w:rPr/>
            </w:pPr>
            <w:r>
              <w:rPr/>
              <w:t>​</w:t>
            </w:r>
          </w:p>
        </w:tc>
        <w:tc>
          <w:tcPr>
            <w:tcW w:w="3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w:t>
            </w:r>
          </w:p>
        </w:tc>
        <w:tc>
          <w:tcPr>
            <w:tcW w:w="1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7.84</w:t>
            </w:r>
          </w:p>
        </w:tc>
        <w:tc>
          <w:tcPr>
            <w:tcW w:w="14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1,270</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at June 26, 2024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335,325</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3.93</w:t>
            </w:r>
          </w:p>
        </w:tc>
        <w:tc>
          <w:tcPr>
            <w:tcW w:w="14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331</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fair value of each stock option was estimated on the grant date using an exercise price of the closing stock price on the day prior to date of grant and the Black-Scholes option-pricing model with the following weighted average assumptions:</w:t>
      </w:r>
    </w:p>
    <w:p>
      <w:pPr>
        <w:pStyle w:val="TextBody"/>
        <w:bidi w:val="0"/>
        <w:spacing w:before="0" w:after="0"/>
        <w:ind w:left="0" w:right="0" w:hanging="0"/>
        <w:jc w:val="left"/>
        <w:rPr/>
      </w:pPr>
      <w:r>
        <w:rPr/>
        <w:t>​</w:t>
      </w:r>
    </w:p>
    <w:tbl>
      <w:tblPr>
        <w:tblW w:w="5131" w:type="dxa"/>
        <w:jc w:val="left"/>
        <w:tblInd w:w="0" w:type="dxa"/>
        <w:tblLayout w:type="fixed"/>
        <w:tblCellMar>
          <w:top w:w="0" w:type="dxa"/>
          <w:left w:w="0" w:type="dxa"/>
          <w:bottom w:w="0" w:type="dxa"/>
          <w:right w:w="0" w:type="dxa"/>
        </w:tblCellMar>
      </w:tblPr>
      <w:tblGrid>
        <w:gridCol w:w="1876"/>
        <w:gridCol w:w="326"/>
        <w:gridCol w:w="1126"/>
        <w:gridCol w:w="361"/>
        <w:gridCol w:w="1126"/>
        <w:gridCol w:w="31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191260" cy="175260"/>
                      <wp:effectExtent l="0" t="0" r="0" b="0"/>
                      <wp:wrapNone/>
                      <wp:docPr id="179" name="Frame179"/>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715010" cy="175260"/>
                      <wp:effectExtent l="0" t="0" r="0" b="0"/>
                      <wp:wrapNone/>
                      <wp:docPr id="181" name="Frame181"/>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29235" cy="175260"/>
                      <wp:effectExtent l="0" t="0" r="0" b="0"/>
                      <wp:wrapNone/>
                      <wp:docPr id="182" name="Frame18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15010" cy="175260"/>
                      <wp:effectExtent l="0" t="0" r="0" b="0"/>
                      <wp:wrapNone/>
                      <wp:docPr id="183" name="Frame18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0660" cy="175260"/>
                      <wp:effectExtent l="0" t="0" r="0" b="0"/>
                      <wp:wrapNone/>
                      <wp:docPr id="184" name="Frame18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16" w:type="dxa"/>
            <w:tcBorders/>
            <w:vAlign w:val="center"/>
          </w:tcPr>
          <w:p>
            <w:pPr>
              <w:pStyle w:val="TableContents"/>
              <w:bidi w:val="0"/>
              <w:spacing w:before="0" w:after="1"/>
              <w:ind w:left="0" w:right="0" w:hanging="0"/>
              <w:jc w:val="left"/>
              <w:rPr/>
            </w:pPr>
            <w:r>
              <w:rPr/>
              <w:t> </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c>
          <w:tcPr>
            <w:tcW w:w="361"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dividends</w:t>
            </w:r>
          </w:p>
        </w:tc>
        <w:tc>
          <w:tcPr>
            <w:tcW w:w="32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At June 26, 2024, the Company had total unrecognized compensation expense of $3.6 million related to unvested stock options, which it expects to recognize over a weighted-average period of 3.56 years.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Restricted Shares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summary of restricted share activity as of June 26, 2024 and changes during the twenty-six weeks ended June 26, 2024 is as follows:</w:t>
      </w:r>
    </w:p>
    <w:p>
      <w:pPr>
        <w:pStyle w:val="TextBody"/>
        <w:bidi w:val="0"/>
        <w:spacing w:before="0" w:after="240"/>
        <w:ind w:left="0" w:right="0" w:hanging="0"/>
        <w:jc w:val="left"/>
        <w:rPr/>
      </w:pPr>
      <w:r>
        <w:rPr/>
        <w:t>​</w:t>
      </w:r>
    </w:p>
    <w:tbl>
      <w:tblPr>
        <w:tblW w:w="6310" w:type="dxa"/>
        <w:jc w:val="left"/>
        <w:tblInd w:w="0" w:type="dxa"/>
        <w:tblLayout w:type="fixed"/>
        <w:tblCellMar>
          <w:top w:w="0" w:type="dxa"/>
          <w:left w:w="0" w:type="dxa"/>
          <w:bottom w:w="0" w:type="dxa"/>
          <w:right w:w="0" w:type="dxa"/>
        </w:tblCellMar>
      </w:tblPr>
      <w:tblGrid>
        <w:gridCol w:w="3241"/>
        <w:gridCol w:w="326"/>
        <w:gridCol w:w="901"/>
        <w:gridCol w:w="326"/>
        <w:gridCol w:w="386"/>
        <w:gridCol w:w="1130"/>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58035" cy="175260"/>
                      <wp:effectExtent l="0" t="0" r="0" b="0"/>
                      <wp:wrapNone/>
                      <wp:docPr id="185" name="Frame185"/>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72135" cy="175260"/>
                      <wp:effectExtent l="0" t="0" r="0" b="0"/>
                      <wp:wrapNone/>
                      <wp:docPr id="187" name="Frame18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45110" cy="175260"/>
                      <wp:effectExtent l="0" t="0" r="0" b="0"/>
                      <wp:wrapNone/>
                      <wp:docPr id="189" name="Frame189"/>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17550" cy="175260"/>
                      <wp:effectExtent l="0" t="0" r="0" b="0"/>
                      <wp:wrapNone/>
                      <wp:docPr id="190" name="Frame190"/>
                      <a:graphic xmlns:a="http://schemas.openxmlformats.org/drawingml/2006/main">
                        <a:graphicData uri="http://schemas.microsoft.com/office/word/2010/wordprocessingShape">
                          <wps:wsp>
                            <wps:cNvSpPr txBox="1"/>
                            <wps:spPr>
                              <a:xfrm>
                                <a:off x="0" y="0"/>
                                <a:ext cx="717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at December 27, 2023</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537,461</w:t>
            </w:r>
          </w:p>
        </w:tc>
        <w:tc>
          <w:tcPr>
            <w:tcW w:w="32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9.94</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493,496</w:t>
            </w:r>
          </w:p>
        </w:tc>
        <w:tc>
          <w:tcPr>
            <w:tcW w:w="326"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(197,675)</w:t>
            </w:r>
          </w:p>
        </w:tc>
        <w:tc>
          <w:tcPr>
            <w:tcW w:w="32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cancelled</w:t>
            </w:r>
          </w:p>
        </w:tc>
        <w:tc>
          <w:tcPr>
            <w:tcW w:w="32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(79,848)</w:t>
            </w:r>
          </w:p>
        </w:tc>
        <w:tc>
          <w:tcPr>
            <w:tcW w:w="326"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at June 26, 2024</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753,434</w:t>
            </w:r>
          </w:p>
        </w:tc>
        <w:tc>
          <w:tcPr>
            <w:tcW w:w="32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9.99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Unvested shares at June 26, 2024, included 669,934 unvested restricted shares, 41,537 unvested performance stock units, and 41,963 unvested restricted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June 26, 2024, the Company had unrecognized compensation expense of $6.3 million related to unvested restricted shares, which it expects to recognize over a weighted-average period of 3.06 years, unrecognized compensation expense of $0.4 million related to unvested performance stock units, which it expects to recognize over a weighted-average period of 2.51 years, </w:t>
      </w:r>
      <w:r>
        <w:rPr>
          <w:rFonts w:ascii="Times New Roman;Times;serif" w:hAnsi="Times New Roman;Times;serif"/>
          <w:sz w:val="20"/>
          <w:shd w:fill="FFFFFF" w:val="clear"/>
        </w:rPr>
        <w:t>and unrecognized compensation expense of $0.1 million related to unvested restricted units, which it expects to recognize over a weighted-average period of 0.37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Total stock-based compensation expense was </w:t>
      </w:r>
      <w:r>
        <w:rPr>
          <w:rFonts w:ascii="Times New Roman;Times;serif" w:hAnsi="Times New Roman;Times;serif"/>
          <w:sz w:val="20"/>
          <w:shd w:fill="FFFFFF" w:val="clear"/>
        </w:rPr>
        <w:t>$0.9 million</w:t>
      </w:r>
      <w:r>
        <w:rPr>
          <w:rFonts w:ascii="Times New Roman;Times;serif" w:hAnsi="Times New Roman;Times;serif"/>
          <w:sz w:val="20"/>
        </w:rPr>
        <w:t xml:space="preserve"> and $1.8 million for the thirteen and twenty-six weeks ended June 26, 2024, respectively, </w:t>
      </w:r>
      <w:r>
        <w:rPr>
          <w:rFonts w:ascii="Times New Roman;Times;serif" w:hAnsi="Times New Roman;Times;serif"/>
          <w:sz w:val="20"/>
          <w:shd w:fill="FFFFFF" w:val="clear"/>
        </w:rPr>
        <w:t>and $0.8 million and $1.6 million for the thirteen and twenty-six weeks ended June 28, 2023, respectively.</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Share Repurchases</w:t>
      </w:r>
    </w:p>
    <w:p>
      <w:pPr>
        <w:pStyle w:val="TextBody"/>
        <w:pBdr/>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Share Repurchase Program</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November 2, 2023, the Company announced that its Board of Directors approved a share repurchase program (“Share Repurchase Program”) under which the Company is authorized to repurchase up to $20,000,000 of shares of the Company’s common stock. Under the Share Repurchase Program, the Company is permitted to repurchase its common stock from time to time, in amounts and at prices that the Company deemed appropriate, subject to market conditions and other considerations. Pursuant to the Share Repurchase Program, the Company is authorized to effect repurchases using open market purchases, including pursuant to Rule 10b5-1 trading plans, and/or through privately negotiated transactions. The repurchase program does not obligate the Company to acquire any particular number of shares. The repurchase program will terminate on March 31, 2025.</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 on December 4, 2023, the Company repurchased 1.5 million shares for a total purchase price of $12.6 million under the Stock Repurchase Agreement with FS Equity Partners V, L.P. and FS Affiliates V, L.P. Following completion of this repurchase, approximately $7.4 million of the Company’s common stock remained available for repurchase under the share repurchase program at December 27, 2023.</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thirteen and twenty-six weeks ended June 26, 2024, the Company repurchased 203,483 and 339,883 shares of common stock, respectively, under the Share Repurchase Program, using open market purchases, for total consideration of approximately $2.0 million and $3.2 million, respectively. Following completion of these repurchases, approximately $4.2 million of the Company’s common stock remained available for repurchase under the Share Repurchase Program at June 26, 2024.</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Share Repurchases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May 29, 2024, the Company repurchased 1,534,303 shares for a total purchase price of $15.0 million under the Stock Repurchase Agreement with FS Equity Partners V, L.P. and FS Affiliates V, L.P.</w:t>
      </w:r>
    </w:p>
    <w:p>
      <w:pPr>
        <w:pStyle w:val="TextBody"/>
        <w:bidi w:val="0"/>
        <w:spacing w:before="0" w:after="240"/>
        <w:ind w:left="0" w:right="0" w:hanging="0"/>
        <w:jc w:val="left"/>
        <w:rPr>
          <w:rFonts w:ascii="Times New Roman;Times;serif" w:hAnsi="Times New Roman;Times;serif"/>
          <w:b/>
          <w:sz w:val="20"/>
        </w:rPr>
      </w:pPr>
      <w:bookmarkStart w:id="1102" w:name="_Hlk117778221"/>
      <w:bookmarkEnd w:id="1102"/>
      <w:r>
        <w:rPr>
          <w:rFonts w:ascii="Times New Roman;Times;serif" w:hAnsi="Times New Roman;Times;serif"/>
          <w:b/>
          <w:sz w:val="20"/>
        </w:rPr>
        <w:t>4. LONG-TERM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27, 2022, the Company refinanced and terminated its credit agreement (the “2018 Credit Agreement”) among EPL, as borrower, the Company and Intermediate, as guarantors, Bank of America, N.A., as administrative agent, swingline lender, and letter of credit issuer, the lenders party thereto, and the other parties thereto, which provided for a $150.0 million five-year senior secured revolving credit facility (the “2018 Revolver”). The 2018 Revolver was refinanced pursuant to a credit agreement (the “2022 Credit Agreement”) among EPL, as borrower, the Company and Intermediate, as guarantors, Bank of America, N.A., as administrative agent, swingline lender, and letter of credit issuer, the lenders party thereto, and the other parties thereto, which provides for a $150.0 million five-year senior secured revolving credit facility (the “2022 Revolver”). In connection with the refinancing, the 2018 Credit Agreement was terminated.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2022 Revolver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 subject to certain customary exceptions.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special dividend announced by the Company’s Board of Directors on October 11, 2022 was permitted under the terms of 2022 Revolver pursuant to both subclause (iii)(d) and (iii)(e) of the following sentence. Under the 2022 Revolver, Holdings is restricted from making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03" w:name="_Hlk149133354"/>
      <w:bookmarkEnd w:id="1103"/>
      <w:r>
        <w:rPr>
          <w:rFonts w:ascii="Times New Roman;Times;serif" w:hAnsi="Times New Roman;Times;serif"/>
          <w:sz w:val="20"/>
        </w:rPr>
        <w:t>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w:t>
      </w:r>
      <w:r>
        <w:rPr>
          <w:rFonts w:ascii="Times New Roman;Times;serif" w:hAnsi="Times New Roman;Times;serif"/>
          <w:sz w:val="20"/>
          <w:shd w:fill="FFFFFF" w:val="clear"/>
        </w:rPr>
        <w:t>Term SOFR (as defined in the 2022 Credit Agreement) with a term of one-month SOFR</w:t>
      </w:r>
      <w:r>
        <w:rPr>
          <w:rFonts w:ascii="Times New Roman;Times;serif" w:hAnsi="Times New Roman;Times;serif"/>
          <w:sz w:val="20"/>
        </w:rPr>
        <w:t xml:space="preserve"> plus 1.00%. For </w:t>
      </w:r>
      <w:r>
        <w:rPr>
          <w:rFonts w:ascii="Times New Roman;Times;serif" w:hAnsi="Times New Roman;Times;serif"/>
          <w:sz w:val="20"/>
          <w:shd w:fill="FFFFFF" w:val="clear"/>
        </w:rPr>
        <w:t>Term SOFR</w:t>
      </w:r>
      <w:r>
        <w:rPr>
          <w:rFonts w:ascii="Times New Roman;Times;serif" w:hAnsi="Times New Roman;Times;serif"/>
          <w:sz w:val="20"/>
        </w:rPr>
        <w:t xml:space="preserve"> loans, the margin is in the range of 1.25% to 2.25%, and for base rate loans the margin is in a range of 0.25% to 1.25%. Borrowings under the 2022 Revolver may be repaid and reborrowed. The interest rate range under the 2022 Revolver was</w:t>
      </w:r>
      <w:r>
        <w:rPr>
          <w:rFonts w:ascii="Times New Roman;Times;serif" w:hAnsi="Times New Roman;Times;serif"/>
          <w:sz w:val="20"/>
          <w:shd w:fill="FFFFFF" w:val="clear"/>
        </w:rPr>
        <w:t xml:space="preserve"> 6.67% to 6.94% and 6.67% to 6.96% </w:t>
      </w:r>
      <w:r>
        <w:rPr>
          <w:rFonts w:ascii="Times New Roman;Times;serif" w:hAnsi="Times New Roman;Times;serif"/>
          <w:sz w:val="20"/>
        </w:rPr>
        <w:t>for the thirteen and twenty-six weeks ended June 26, 2024, respectively, and</w:t>
      </w:r>
      <w:r>
        <w:rPr>
          <w:rFonts w:ascii="Times New Roman;Times;serif" w:hAnsi="Times New Roman;Times;serif"/>
          <w:sz w:val="20"/>
          <w:shd w:fill="FFFFFF" w:val="clear"/>
        </w:rPr>
        <w:t xml:space="preserve"> 6.22% to 8.50% and 5.69% to 8.50% </w:t>
      </w:r>
      <w:r>
        <w:rPr>
          <w:rFonts w:ascii="Times New Roman;Times;serif" w:hAnsi="Times New Roman;Times;serif"/>
          <w:sz w:val="20"/>
        </w:rPr>
        <w:t>for the thirteen and twenty-six weeks ended June 28, 2023</w:t>
      </w:r>
      <w:r>
        <w:rPr>
          <w:rFonts w:ascii="Times New Roman;Times;serif" w:hAnsi="Times New Roman;Times;serif"/>
          <w:sz w:val="20"/>
          <w:shd w:fill="FFFFFF" w:val="clear"/>
        </w:rPr>
        <w:t>,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2022 Credit Agreement contains certain customary financial covenants, subject to certain exceptions. The Company was in compliance with the financial covenants as of June 26, 2024.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June 26, 2024, the Company had $87.0 million in outstanding borrowings under the 2022 Revolver and one letter of credit in the amount of $9.8 million outstanding, and as a result, the Company had $53.2 million in borrowing availability.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Maturities, Borrowings and Paydowns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thirteen and twenty-six weeks ended June 26, 2024, the Company paid down $7.0 million and $11.0 million, respectively, on the 2022 Revolver. During the twenty-six weeks ended June 28, 2023, the Company paid down $8.0 million on the 2022 Revolver. During the thirteen and twenty-six weeks ended June 26, 2024, the Company borrowed $14.0 million on the 2022 Revolver. During the thirteen and twenty-six weeks ended June 28, 2023, the Company borrowed $2.0 million on the 2022 Revolver. There are no required principal payments prior to maturity for the 2022 Revolver which matures on July 27, 2027.</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Rate Swap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year ended December 25, 2019, the Company entered into a variable-to-fixed interest rate swap agreement with a notional amount of $40.0 million with a maturity date in June 2023. The objective of the interest rate swap was to reduce the Company’s exposure to interest rate risk for a portion of its variable-rate interest payments on its borrowings under the 2018 Revolver. The interest rate swap was designated as a cash flow hedge, as the changes in the future cash flows of the swap were expected to offset changes in expected future interest payments on the related variable-rate debt, in accordance with Accounting Standards Codification (“ASC”) 815 “Derivatives and Hedging.”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Company’s entry into the 2022 Credit Agreement, it terminated the interest rate swap on July 28, 2022, which was previously used to hedge interest rate risk. Prior to the interest rate swap termination, the swap was a highly effective cash flow hedge. In settlement of this swap, the Company received approximately $0.6 million and derecognized the corresponding interest rate swap asset. The remaining amount in AOCI related to the hedging relationship was reclassified into earnings when the hedged forecasted transaction was reported in earnings.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104" w:name="Tc_j8RbRhYfKEKUHTPHlZ-SiA_5_23"/>
      <w:bookmarkStart w:id="1105" w:name="Tc_Qs0xob2r6UeUCeVa4PApAw_5_21"/>
      <w:bookmarkStart w:id="1106" w:name="Tc_8E8GvdDOzEKM82xeyRlkeQ_5_20"/>
      <w:bookmarkStart w:id="1107" w:name="Tc_tWbyK8w4RUarMKToGu4kjw_5_18"/>
      <w:bookmarkStart w:id="1108" w:name="Tc_edsWBHNDzkKf-PCKN8BcLg_5_17"/>
      <w:bookmarkStart w:id="1109" w:name="Tc_p1veimIRRUCfb-sxohTiOA_5_15"/>
      <w:bookmarkStart w:id="1110" w:name="Tc_1kwH5Jq6j0Ol4EVASoO-fA_5_14"/>
      <w:bookmarkStart w:id="1111" w:name="Tc_kKtHE8fCj0enIyp5yQaBiw_5_11"/>
      <w:bookmarkStart w:id="1112" w:name="Tc_piN2f_3BnUCa20ajxm-EyA_5_9"/>
      <w:bookmarkStart w:id="1113" w:name="Tc_IuHxjQBqOkGM3aMSwXN8vg_5_8"/>
      <w:bookmarkStart w:id="1114" w:name="Tc_mXNioDd6-kKI_EgzIn2cAw_5_6"/>
      <w:bookmarkStart w:id="1115" w:name="Tc_dV4OH1uRrUuypUcEuMWiqg_5_5"/>
      <w:bookmarkStart w:id="1116" w:name="Tc_1KxhoRckgkSaz80zZABwNw_5_3"/>
      <w:bookmarkStart w:id="1117" w:name="Tc_JDLi59AWcUic_s9U78qdqQ_5_2"/>
      <w:bookmarkStart w:id="1118" w:name="Tc_laUyZf-VX0aBz_pm8aI9CA_5_0"/>
      <w:bookmarkStart w:id="1119" w:name="Tc_w6u0Wm6NxkeiifHqVvB94A_4_24"/>
      <w:bookmarkStart w:id="1120" w:name="Tc_FYTIp6AxA0KInMBBtc1K0g_4_20"/>
      <w:bookmarkStart w:id="1121" w:name="Tc_UcyyIw5hgkSVySKkU6p20A_4_18"/>
      <w:bookmarkStart w:id="1122" w:name="Tc_s0dpwEBTfU-X07FwV6EEuw_4_14"/>
      <w:bookmarkStart w:id="1123" w:name="Tc_cQfwArVujU2tbMLYHF-vDA_4_11"/>
      <w:bookmarkStart w:id="1124" w:name="Tc_NBwLOcLE6EeUXMoFPa6-Rw_4_8"/>
      <w:bookmarkStart w:id="1125" w:name="Tc_S5EJYkedJkeb8STbVPMlVg_4_5"/>
      <w:bookmarkStart w:id="1126" w:name="Tc_hm1EdrDof0u8bYtJidXVcw_4_2"/>
      <w:bookmarkStart w:id="1127" w:name="Tc_Jy95S37v-0S6q0aY4sYPhQ_3_20"/>
      <w:bookmarkStart w:id="1128" w:name="Tc_OnJOvspUpk62U8hPnYyQbw_3_14"/>
      <w:bookmarkStart w:id="1129" w:name="Tc_vdQaFRFZU0W2iiruN34dqQ_3_8"/>
      <w:bookmarkStart w:id="1130" w:name="Tc_raFUSmWs10a0_GoIywMq0A_3_2"/>
      <w:bookmarkStart w:id="1131" w:name="Tc_r7fe_V0YIUeetURvtNX2JA_2_20"/>
      <w:bookmarkStart w:id="1132" w:name="Tc_00cbSCc5K0ubpjeCniYLcA_2_8"/>
      <w:bookmarkStart w:id="1133" w:name="Tc_tdqHxx6v5E2jI3ihyECyHQ_1_14"/>
      <w:bookmarkStart w:id="1134" w:name="Tc_BriqNhFQE0qG98SyMXJljA_1_2"/>
      <w:bookmarkStart w:id="1135" w:name="_15d48f37_4a8b_4e43_8358_5cadc68b97ad"/>
      <w:bookmarkStart w:id="1136" w:name="Tc_1ULlKUnRQkWgpidz1Z8MXQ_5_12"/>
      <w:bookmarkStart w:id="1137" w:name="Tc_zgq_vn0xpUWgCNJM3J6d8g_5_10"/>
      <w:bookmarkStart w:id="1138" w:name="Tc_dDDqtej6AEGiRYZ3RAGKLg_5_9"/>
      <w:bookmarkStart w:id="1139" w:name="Tc_La7Ri4bV2kWC3LeFj3jVXQ_5_5"/>
      <w:bookmarkStart w:id="1140" w:name="Tc_IQ9WU6A2MUS4dgEhVaco_Q_5_3"/>
      <w:bookmarkStart w:id="1141" w:name="Tc_u2yKDL-830edkPkOzIbXEA_5_2"/>
      <w:bookmarkStart w:id="1142" w:name="Tc_zJ7S8Ch4fkeXJszp3iSldg_5_0"/>
      <w:bookmarkStart w:id="1143" w:name="Tc_SKDLTbK4RUWtZsVDzcZRpA_4_10"/>
      <w:bookmarkStart w:id="1144" w:name="Tc_rZGxgjAa2EyLg_AFEI0YVw_4_3"/>
      <w:bookmarkStart w:id="1145" w:name="Tc_pmxFmgqi3UK5k6n8UVOE8g_4_0"/>
      <w:bookmarkStart w:id="1146" w:name="Tc_zTqmh5g1jEWV4vdCRqRjFA_3_13"/>
      <w:bookmarkStart w:id="1147" w:name="Tc_SniNOYsyikyqfPNMsi1QaQ_3_12"/>
      <w:bookmarkStart w:id="1148" w:name="Tc_8M5xia1jV0-krLC0sAmYnw_3_10"/>
      <w:bookmarkStart w:id="1149" w:name="Tc_a3DRy1SDaEKKzfW2O9uB_w_3_9"/>
      <w:bookmarkStart w:id="1150" w:name="Tc_MneP0XNAHUqmRJ6RNXVNeQ_3_6"/>
      <w:bookmarkStart w:id="1151" w:name="Tc_l6TLz3nsZUu82KXgxODfZA_3_5"/>
      <w:bookmarkStart w:id="1152" w:name="Tc__0t--iR4lU-AhCi8-tFwfw_3_3"/>
      <w:bookmarkStart w:id="1153" w:name="Tc_5ybpg3slW0CyseCZwQP-kg_3_2"/>
      <w:bookmarkStart w:id="1154" w:name="Tc_5JIBREANgEm0t40efZ0pVw_3_0"/>
      <w:bookmarkStart w:id="1155" w:name="Tc_gyoOVivrhEGV8ITlq22aRg_2_12"/>
      <w:bookmarkStart w:id="1156" w:name="Tc_RF6RHMAm3k6-f1khwc8yiA_2_9"/>
      <w:bookmarkStart w:id="1157" w:name="Tc_GuvduYcp7EWD1VqGfsyZKg_2_5"/>
      <w:bookmarkStart w:id="1158" w:name="Tc_FMP1Ne3LM0ezLX7fqyItAQ_2_2"/>
      <w:bookmarkStart w:id="1159" w:name="Tc_XxeT9vngn0mSC3hC1jURfw_1_9"/>
      <w:bookmarkStart w:id="1160" w:name="Tc_RuE9x4bvAEuxp567ghD_Eg_1_2"/>
      <w:bookmarkStart w:id="1161" w:name="_60c09dfa_2df0_4f7f_a6ff_0e5782441e2c"/>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r>
        <w:rPr>
          <w:rFonts w:ascii="Times New Roman;Times;serif" w:hAnsi="Times New Roman;Times;serif"/>
          <w:sz w:val="20"/>
        </w:rPr>
        <w:t>The following table summarizes the effect of the Company’s cash flow hedge accounting on the condensed consolidated statements of income (in thousands):</w:t>
      </w:r>
    </w:p>
    <w:p>
      <w:pPr>
        <w:pStyle w:val="TextBody"/>
        <w:bidi w:val="0"/>
        <w:spacing w:before="0" w:after="240"/>
        <w:ind w:left="0" w:right="0" w:hanging="0"/>
        <w:jc w:val="left"/>
        <w:rPr/>
      </w:pPr>
      <w:r>
        <w:rPr/>
        <w:t>​</w:t>
      </w:r>
    </w:p>
    <w:tbl>
      <w:tblPr>
        <w:tblW w:w="9939" w:type="dxa"/>
        <w:jc w:val="left"/>
        <w:tblInd w:w="0" w:type="dxa"/>
        <w:tblLayout w:type="fixed"/>
        <w:tblCellMar>
          <w:top w:w="0" w:type="dxa"/>
          <w:left w:w="0" w:type="dxa"/>
          <w:bottom w:w="0" w:type="dxa"/>
          <w:right w:w="0" w:type="dxa"/>
        </w:tblCellMar>
      </w:tblPr>
      <w:tblGrid>
        <w:gridCol w:w="3661"/>
        <w:gridCol w:w="326"/>
        <w:gridCol w:w="426"/>
        <w:gridCol w:w="700"/>
        <w:gridCol w:w="367"/>
        <w:gridCol w:w="404"/>
        <w:gridCol w:w="722"/>
        <w:gridCol w:w="326"/>
        <w:gridCol w:w="326"/>
        <w:gridCol w:w="426"/>
        <w:gridCol w:w="700"/>
        <w:gridCol w:w="384"/>
        <w:gridCol w:w="335"/>
        <w:gridCol w:w="836"/>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324735" cy="175260"/>
                      <wp:effectExtent l="0" t="0" r="0" b="0"/>
                      <wp:wrapNone/>
                      <wp:docPr id="191" name="Frame191"/>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70510" cy="175260"/>
                      <wp:effectExtent l="0" t="0" r="0" b="0"/>
                      <wp:wrapNone/>
                      <wp:docPr id="193" name="Frame193"/>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44500" cy="175260"/>
                      <wp:effectExtent l="0" t="0" r="0" b="0"/>
                      <wp:wrapNone/>
                      <wp:docPr id="194" name="Frame194"/>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33045" cy="175260"/>
                      <wp:effectExtent l="0" t="0" r="0" b="0"/>
                      <wp:wrapNone/>
                      <wp:docPr id="195" name="Frame19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56540" cy="175260"/>
                      <wp:effectExtent l="0" t="0" r="0" b="0"/>
                      <wp:wrapNone/>
                      <wp:docPr id="196" name="Frame196"/>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58470" cy="175260"/>
                      <wp:effectExtent l="0" t="0" r="0" b="0"/>
                      <wp:wrapNone/>
                      <wp:docPr id="197" name="Frame197"/>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70510" cy="175260"/>
                      <wp:effectExtent l="0" t="0" r="0" b="0"/>
                      <wp:wrapNone/>
                      <wp:docPr id="200" name="Frame200"/>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44500" cy="175260"/>
                      <wp:effectExtent l="0" t="0" r="0" b="0"/>
                      <wp:wrapNone/>
                      <wp:docPr id="201" name="Frame201"/>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43840" cy="175260"/>
                      <wp:effectExtent l="0" t="0" r="0" b="0"/>
                      <wp:wrapNone/>
                      <wp:docPr id="202" name="Frame202"/>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2725" cy="175260"/>
                      <wp:effectExtent l="0" t="0" r="0" b="0"/>
                      <wp:wrapNone/>
                      <wp:docPr id="203" name="Frame20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30860" cy="175260"/>
                      <wp:effectExtent l="0" t="0" r="0" b="0"/>
                      <wp:wrapNone/>
                      <wp:docPr id="204" name="Frame204"/>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68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67"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2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84"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on hedged portion of debt</w:t>
            </w:r>
          </w:p>
        </w:tc>
        <w:tc>
          <w:tcPr>
            <w:tcW w:w="326"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0"/>
              <w:ind w:left="0" w:right="0" w:hanging="0"/>
              <w:jc w:val="right"/>
              <w:rPr/>
            </w:pPr>
            <w:r>
              <w:rPr/>
              <w:t>—</w:t>
            </w:r>
          </w:p>
        </w:tc>
        <w:tc>
          <w:tcPr>
            <w:tcW w:w="384"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0"/>
              <w:ind w:left="0" w:right="0" w:hanging="0"/>
              <w:jc w:val="righ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on interest rate swap</w:t>
            </w:r>
          </w:p>
        </w:tc>
        <w:tc>
          <w:tcPr>
            <w:tcW w:w="326" w:type="dxa"/>
            <w:tcBorders/>
            <w:vAlign w:val="center"/>
          </w:tcPr>
          <w:p>
            <w:pPr>
              <w:pStyle w:val="TableContents"/>
              <w:bidi w:val="0"/>
              <w:spacing w:before="0" w:after="0"/>
              <w:ind w:left="0" w:right="0" w:hanging="0"/>
              <w:jc w:val="left"/>
              <w:rPr/>
            </w:pPr>
            <w:r>
              <w:rPr/>
              <w:t> </w:t>
            </w:r>
          </w:p>
        </w:tc>
        <w:tc>
          <w:tcPr>
            <w:tcW w:w="4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left"/>
              <w:rPr/>
            </w:pPr>
            <w:r>
              <w:rPr/>
              <w:t> </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4" w:type="dxa"/>
            <w:tcBorders/>
            <w:vAlign w:val="center"/>
          </w:tcPr>
          <w:p>
            <w:pPr>
              <w:pStyle w:val="TableContents"/>
              <w:bidi w:val="0"/>
              <w:spacing w:before="0" w:after="0"/>
              <w:ind w:left="0" w:right="0" w:hanging="0"/>
              <w:jc w:val="left"/>
              <w:rPr/>
            </w:pPr>
            <w:r>
              <w:rPr/>
              <w:t> </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on debt and derivatives, net</w:t>
            </w:r>
          </w:p>
        </w:tc>
        <w:tc>
          <w:tcPr>
            <w:tcW w:w="326" w:type="dxa"/>
            <w:tcBorders/>
            <w:shd w:fill="CCEEFF" w:val="clear"/>
            <w:vAlign w:val="center"/>
          </w:tcPr>
          <w:p>
            <w:pPr>
              <w:pStyle w:val="TableContents"/>
              <w:bidi w:val="0"/>
              <w:spacing w:before="0" w:after="0"/>
              <w:ind w:left="0" w:right="0" w:hanging="0"/>
              <w:jc w:val="left"/>
              <w:rPr/>
            </w:pPr>
            <w:r>
              <w:rPr/>
              <w:t>​</w:t>
            </w:r>
          </w:p>
        </w:tc>
        <w:tc>
          <w:tcPr>
            <w:tcW w:w="4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4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4"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effect of the Company’s cash flow hedge accounting on AOCI for the thirteen and twenty-six weeks ended June 26, 2024 and June 28, 2023 (in thousands):</w:t>
      </w:r>
    </w:p>
    <w:p>
      <w:pPr>
        <w:pStyle w:val="TextBody"/>
        <w:bidi w:val="0"/>
        <w:spacing w:before="0" w:after="240"/>
        <w:ind w:left="0" w:right="0" w:hanging="0"/>
        <w:jc w:val="left"/>
        <w:rPr/>
      </w:pPr>
      <w:r>
        <w:rPr/>
        <w:t>​</w:t>
      </w:r>
    </w:p>
    <w:tbl>
      <w:tblPr>
        <w:tblW w:w="11624" w:type="dxa"/>
        <w:jc w:val="left"/>
        <w:tblInd w:w="0" w:type="dxa"/>
        <w:tblLayout w:type="fixed"/>
        <w:tblCellMar>
          <w:top w:w="0" w:type="dxa"/>
          <w:left w:w="0" w:type="dxa"/>
          <w:bottom w:w="0" w:type="dxa"/>
          <w:right w:w="0" w:type="dxa"/>
        </w:tblCellMar>
      </w:tblPr>
      <w:tblGrid>
        <w:gridCol w:w="631"/>
        <w:gridCol w:w="146"/>
        <w:gridCol w:w="407"/>
        <w:gridCol w:w="719"/>
        <w:gridCol w:w="146"/>
        <w:gridCol w:w="407"/>
        <w:gridCol w:w="719"/>
        <w:gridCol w:w="146"/>
        <w:gridCol w:w="431"/>
        <w:gridCol w:w="695"/>
        <w:gridCol w:w="160"/>
        <w:gridCol w:w="406"/>
        <w:gridCol w:w="720"/>
        <w:gridCol w:w="146"/>
        <w:gridCol w:w="407"/>
        <w:gridCol w:w="719"/>
        <w:gridCol w:w="109"/>
        <w:gridCol w:w="326"/>
        <w:gridCol w:w="1126"/>
        <w:gridCol w:w="326"/>
        <w:gridCol w:w="407"/>
        <w:gridCol w:w="719"/>
        <w:gridCol w:w="109"/>
        <w:gridCol w:w="326"/>
        <w:gridCol w:w="1171"/>
      </w:tblGrid>
      <w:tr>
        <w:trPr/>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00685" cy="175260"/>
                      <wp:effectExtent l="0" t="0" r="0" b="0"/>
                      <wp:wrapNone/>
                      <wp:docPr id="205" name="Frame20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92710" cy="175260"/>
                      <wp:effectExtent l="0" t="0" r="0" b="0"/>
                      <wp:wrapNone/>
                      <wp:docPr id="206" name="Frame20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58445" cy="175260"/>
                      <wp:effectExtent l="0" t="0" r="0" b="0"/>
                      <wp:wrapNone/>
                      <wp:docPr id="207" name="Frame207"/>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56565" cy="175260"/>
                      <wp:effectExtent l="0" t="0" r="0" b="0"/>
                      <wp:wrapNone/>
                      <wp:docPr id="208" name="Frame208"/>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2710" cy="175260"/>
                      <wp:effectExtent l="0" t="0" r="0" b="0"/>
                      <wp:wrapNone/>
                      <wp:docPr id="209" name="Frame20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58445" cy="175260"/>
                      <wp:effectExtent l="0" t="0" r="0" b="0"/>
                      <wp:wrapNone/>
                      <wp:docPr id="210" name="Frame210"/>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56565" cy="175260"/>
                      <wp:effectExtent l="0" t="0" r="0" b="0"/>
                      <wp:wrapNone/>
                      <wp:docPr id="211" name="Frame211"/>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92710" cy="175260"/>
                      <wp:effectExtent l="0" t="0" r="0" b="0"/>
                      <wp:wrapNone/>
                      <wp:docPr id="212" name="Frame21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73685" cy="175260"/>
                      <wp:effectExtent l="0" t="0" r="0" b="0"/>
                      <wp:wrapNone/>
                      <wp:docPr id="213" name="Frame213"/>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41325" cy="175260"/>
                      <wp:effectExtent l="0" t="0" r="0" b="0"/>
                      <wp:wrapNone/>
                      <wp:docPr id="214" name="Frame214"/>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01600" cy="175260"/>
                      <wp:effectExtent l="0" t="0" r="0" b="0"/>
                      <wp:wrapNone/>
                      <wp:docPr id="215" name="Frame215"/>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57810" cy="175260"/>
                      <wp:effectExtent l="0" t="0" r="0" b="0"/>
                      <wp:wrapNone/>
                      <wp:docPr id="216" name="Frame21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57200" cy="175260"/>
                      <wp:effectExtent l="0" t="0" r="0" b="0"/>
                      <wp:wrapNone/>
                      <wp:docPr id="217" name="Frame2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92710" cy="175260"/>
                      <wp:effectExtent l="0" t="0" r="0" b="0"/>
                      <wp:wrapNone/>
                      <wp:docPr id="218" name="Frame21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58445" cy="175260"/>
                      <wp:effectExtent l="0" t="0" r="0" b="0"/>
                      <wp:wrapNone/>
                      <wp:docPr id="219" name="Frame219"/>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56565" cy="175260"/>
                      <wp:effectExtent l="0" t="0" r="0" b="0"/>
                      <wp:wrapNone/>
                      <wp:docPr id="220" name="Frame220"/>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15010" cy="175260"/>
                      <wp:effectExtent l="0" t="0" r="0" b="0"/>
                      <wp:wrapNone/>
                      <wp:docPr id="223" name="Frame22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58445" cy="175260"/>
                      <wp:effectExtent l="0" t="0" r="0" b="0"/>
                      <wp:wrapNone/>
                      <wp:docPr id="225" name="Frame225"/>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56565" cy="175260"/>
                      <wp:effectExtent l="0" t="0" r="0" b="0"/>
                      <wp:wrapNone/>
                      <wp:docPr id="226" name="Frame226"/>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743585" cy="175260"/>
                      <wp:effectExtent l="0" t="0" r="0" b="0"/>
                      <wp:wrapNone/>
                      <wp:docPr id="229" name="Frame229"/>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495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46" w:type="dxa"/>
            <w:tcBorders/>
            <w:vAlign w:val="center"/>
          </w:tcPr>
          <w:p>
            <w:pPr>
              <w:pStyle w:val="TableContents"/>
              <w:bidi w:val="0"/>
              <w:spacing w:before="0" w:after="0"/>
              <w:ind w:left="0" w:right="0" w:hanging="0"/>
              <w:jc w:val="center"/>
              <w:rPr/>
            </w:pPr>
            <w:r>
              <w:rPr/>
              <w:t>​</w:t>
            </w:r>
          </w:p>
        </w:tc>
        <w:tc>
          <w:tcPr>
            <w:tcW w:w="574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2398" w:type="dxa"/>
            <w:gridSpan w:val="5"/>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41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Reclassified from</w:t>
            </w:r>
          </w:p>
        </w:tc>
        <w:tc>
          <w:tcPr>
            <w:tcW w:w="146" w:type="dxa"/>
            <w:tcBorders/>
            <w:vAlign w:val="center"/>
          </w:tcPr>
          <w:p>
            <w:pPr>
              <w:pStyle w:val="TableContents"/>
              <w:bidi w:val="0"/>
              <w:spacing w:before="0" w:after="0"/>
              <w:ind w:left="0" w:right="0" w:hanging="0"/>
              <w:jc w:val="center"/>
              <w:rPr/>
            </w:pPr>
            <w:r>
              <w:rPr/>
              <w:t>​</w:t>
            </w:r>
          </w:p>
        </w:tc>
        <w:tc>
          <w:tcPr>
            <w:tcW w:w="2687" w:type="dxa"/>
            <w:gridSpan w:val="5"/>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3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Reclassified from</w:t>
            </w:r>
          </w:p>
        </w:tc>
      </w:tr>
      <w:tr>
        <w:trPr/>
        <w:tc>
          <w:tcPr>
            <w:tcW w:w="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23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Gain Recognized in OCI</w:t>
            </w:r>
          </w:p>
        </w:tc>
        <w:tc>
          <w:tcPr>
            <w:tcW w:w="146" w:type="dxa"/>
            <w:tcBorders/>
            <w:vAlign w:val="center"/>
          </w:tcPr>
          <w:p>
            <w:pPr>
              <w:pStyle w:val="TableContents"/>
              <w:bidi w:val="0"/>
              <w:spacing w:before="0" w:after="0"/>
              <w:ind w:left="0" w:right="0" w:hanging="0"/>
              <w:jc w:val="center"/>
              <w:rPr/>
            </w:pPr>
            <w:r>
              <w:rPr/>
              <w:t>​</w:t>
            </w:r>
          </w:p>
        </w:tc>
        <w:tc>
          <w:tcPr>
            <w:tcW w:w="24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AOCI into Interest Income</w:t>
            </w:r>
          </w:p>
        </w:tc>
        <w:tc>
          <w:tcPr>
            <w:tcW w:w="146" w:type="dxa"/>
            <w:tcBorders/>
            <w:vAlign w:val="center"/>
          </w:tcPr>
          <w:p>
            <w:pPr>
              <w:pStyle w:val="TableContents"/>
              <w:bidi w:val="0"/>
              <w:spacing w:before="0" w:after="0"/>
              <w:ind w:left="0" w:right="0" w:hanging="0"/>
              <w:jc w:val="center"/>
              <w:rPr/>
            </w:pPr>
            <w:r>
              <w:rPr/>
              <w:t>​</w:t>
            </w:r>
          </w:p>
        </w:tc>
        <w:tc>
          <w:tcPr>
            <w:tcW w:w="268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Gain Recognized in OCI</w:t>
            </w:r>
          </w:p>
        </w:tc>
        <w:tc>
          <w:tcPr>
            <w:tcW w:w="326" w:type="dxa"/>
            <w:tcBorders/>
            <w:vAlign w:val="center"/>
          </w:tcPr>
          <w:p>
            <w:pPr>
              <w:pStyle w:val="TableContents"/>
              <w:bidi w:val="0"/>
              <w:spacing w:before="0" w:after="0"/>
              <w:ind w:left="0" w:right="0" w:hanging="0"/>
              <w:jc w:val="center"/>
              <w:rPr/>
            </w:pPr>
            <w:r>
              <w:rPr/>
              <w:t>​</w:t>
            </w:r>
          </w:p>
        </w:tc>
        <w:tc>
          <w:tcPr>
            <w:tcW w:w="27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AOCI into Interest Income</w:t>
            </w:r>
          </w:p>
        </w:tc>
      </w:tr>
      <w:tr>
        <w:trPr/>
        <w:tc>
          <w:tcPr>
            <w:tcW w:w="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60"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09" w:type="dxa"/>
            <w:tcBorders/>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09" w:type="dxa"/>
            <w:tcBorders/>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r>
      <w:tr>
        <w:trPr/>
        <w:tc>
          <w:tcPr>
            <w:tcW w:w="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rate swap</w:t>
            </w:r>
          </w:p>
        </w:tc>
        <w:tc>
          <w:tcPr>
            <w:tcW w:w="146"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160"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146"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Note 1, “Basis of Presentation and Summary of Significant Accounting Policies” for information about the fair value of the Company’s derivative asset.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62" w:name="Tc_P7-IrWn2pUqz5kES1T-1tg_9_5"/>
      <w:bookmarkStart w:id="1163" w:name="Tc_qO3KkTGgC0ieWaBd6S5zqg_9_2"/>
      <w:bookmarkStart w:id="1164" w:name="Tc_gf-46yBvyECfBm6TjJ8qGA_9_0"/>
      <w:bookmarkStart w:id="1165" w:name="Tc_P_IseYL440-F07CokYk4vg_8_0"/>
      <w:bookmarkStart w:id="1166" w:name="Tc_w5VErMqmLkyTIBMtOR8DzQ_7_0"/>
      <w:bookmarkStart w:id="1167" w:name="Tc_TwlSTwqHU0ayEhl5O9GtRw_6_0"/>
      <w:bookmarkStart w:id="1168" w:name="Tc_zc03mghbJ0GBDvrraXlg8w_5_0"/>
      <w:bookmarkStart w:id="1169" w:name="Tc_S1aHDeG-W0m_0ryTKnHQsg_4_0"/>
      <w:bookmarkStart w:id="1170" w:name="Tc_sD6Qe0oO-Ey2WCaPTEstkQ_3_0"/>
      <w:bookmarkStart w:id="1171" w:name="Tc_A3zZKVurY0ytAG892E8Ecg_2_5"/>
      <w:bookmarkStart w:id="1172" w:name="Tc_FflyBUEDOUiYu07HnWXOUA_2_2"/>
      <w:bookmarkStart w:id="1173" w:name="Tc_QTf5_DwWuUayKB5yzmzzpQ_2_0"/>
      <w:bookmarkStart w:id="1174" w:name="Tc_0bF8iNBFlEOKc_lM3u9jpA_1_5"/>
      <w:bookmarkStart w:id="1175" w:name="Tc_bHiE9saN2EGDcsiXikxmVw_1_2"/>
      <w:bookmarkStart w:id="1176" w:name="_38d594b6_2f46_445d_b4e2_ece16498b2ac"/>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r>
        <w:rPr>
          <w:rFonts w:ascii="Times New Roman;Times;serif" w:hAnsi="Times New Roman;Times;serif"/>
          <w:b/>
          <w:sz w:val="20"/>
        </w:rPr>
        <w:t>5. OTHER ACCRUED EXPENSES AND CURRENT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accrued expenses and current liabilities consist of the following (in thousands):</w:t>
      </w:r>
    </w:p>
    <w:p>
      <w:pPr>
        <w:pStyle w:val="TextBody"/>
        <w:bidi w:val="0"/>
        <w:spacing w:before="0" w:after="240"/>
        <w:ind w:left="0" w:right="0" w:hanging="0"/>
        <w:jc w:val="left"/>
        <w:rPr/>
      </w:pPr>
      <w:r>
        <w:rPr/>
        <w:t>​</w:t>
      </w:r>
    </w:p>
    <w:tbl>
      <w:tblPr>
        <w:tblW w:w="7584" w:type="dxa"/>
        <w:jc w:val="left"/>
        <w:tblInd w:w="0" w:type="dxa"/>
        <w:tblLayout w:type="fixed"/>
        <w:tblCellMar>
          <w:top w:w="0" w:type="dxa"/>
          <w:left w:w="0" w:type="dxa"/>
          <w:bottom w:w="0" w:type="dxa"/>
          <w:right w:w="0" w:type="dxa"/>
        </w:tblCellMar>
      </w:tblPr>
      <w:tblGrid>
        <w:gridCol w:w="4261"/>
        <w:gridCol w:w="326"/>
        <w:gridCol w:w="267"/>
        <w:gridCol w:w="859"/>
        <w:gridCol w:w="326"/>
        <w:gridCol w:w="327"/>
        <w:gridCol w:w="1218"/>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705735" cy="175260"/>
                      <wp:effectExtent l="0" t="0" r="0" b="0"/>
                      <wp:wrapNone/>
                      <wp:docPr id="230" name="Frame230"/>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69545" cy="175260"/>
                      <wp:effectExtent l="0" t="0" r="0" b="0"/>
                      <wp:wrapNone/>
                      <wp:docPr id="232" name="Frame23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45465" cy="175260"/>
                      <wp:effectExtent l="0" t="0" r="0" b="0"/>
                      <wp:wrapNone/>
                      <wp:docPr id="233" name="Frame233"/>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645" cy="175260"/>
                      <wp:effectExtent l="0" t="0" r="0" b="0"/>
                      <wp:wrapNone/>
                      <wp:docPr id="235" name="Frame235"/>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773430" cy="175260"/>
                      <wp:effectExtent l="0" t="0" r="0" b="0"/>
                      <wp:wrapNone/>
                      <wp:docPr id="236" name="Frame23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 2023</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sales and property taxes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4,096</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5,229</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card liability</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4,534</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4,877</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Loyalty rewards program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advertising</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4,648</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legal settlements and professional fees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franchise and development fees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3,714</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3,252</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accrued expenses and current liabilities</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18,854</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18,361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77" w:name="Tc_n29eiXKfakufvRR1yBrHoA_4_5"/>
      <w:bookmarkStart w:id="1178" w:name="Tc_onpRG5sXb0WuVtltY41tRw_4_2"/>
      <w:bookmarkStart w:id="1179" w:name="Tc_lzYHnWVE1U2pExP_uBi5SA_4_0"/>
      <w:bookmarkStart w:id="1180" w:name="Tc_KLHPbcf8yUCjMtgxwlCHWg_3_0"/>
      <w:bookmarkStart w:id="1181" w:name="Tc__hnwxPeTwkiEQuVzfj9K8A_2_5"/>
      <w:bookmarkStart w:id="1182" w:name="Tc_HSLTpXbz9USQ8BnUFvTRrA_2_2"/>
      <w:bookmarkStart w:id="1183" w:name="Tc_NcPvUk8M70CDziK4BDRDxA_2_0"/>
      <w:bookmarkStart w:id="1184" w:name="Tc_GpUOTDWSXUCQSiCF2NCsUA_1_5"/>
      <w:bookmarkStart w:id="1185" w:name="Tc_jht5SNYt40WoEGlb89TcTQ_1_2"/>
      <w:bookmarkStart w:id="1186" w:name="_2b00bec7_54c7_42d5_b9ba_b1bf68957360"/>
      <w:bookmarkEnd w:id="1177"/>
      <w:bookmarkEnd w:id="1178"/>
      <w:bookmarkEnd w:id="1179"/>
      <w:bookmarkEnd w:id="1180"/>
      <w:bookmarkEnd w:id="1181"/>
      <w:bookmarkEnd w:id="1182"/>
      <w:bookmarkEnd w:id="1183"/>
      <w:bookmarkEnd w:id="1184"/>
      <w:bookmarkEnd w:id="1185"/>
      <w:bookmarkEnd w:id="1186"/>
      <w:r>
        <w:rPr>
          <w:rFonts w:ascii="Times New Roman;Times;serif" w:hAnsi="Times New Roman;Times;serif"/>
          <w:b/>
          <w:sz w:val="20"/>
        </w:rPr>
        <w:t>6. OTHER NONCURRENT LIABILITIES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 consist of the following (in thousands):</w:t>
      </w:r>
    </w:p>
    <w:p>
      <w:pPr>
        <w:pStyle w:val="TextBody"/>
        <w:bidi w:val="0"/>
        <w:spacing w:before="0" w:after="240"/>
        <w:ind w:left="0" w:right="0" w:hanging="0"/>
        <w:jc w:val="left"/>
        <w:rPr/>
      </w:pPr>
      <w:r>
        <w:rPr/>
        <w:t>​</w:t>
      </w:r>
    </w:p>
    <w:tbl>
      <w:tblPr>
        <w:tblW w:w="6729" w:type="dxa"/>
        <w:jc w:val="left"/>
        <w:tblInd w:w="0" w:type="dxa"/>
        <w:tblLayout w:type="fixed"/>
        <w:tblCellMar>
          <w:top w:w="0" w:type="dxa"/>
          <w:left w:w="0" w:type="dxa"/>
          <w:bottom w:w="0" w:type="dxa"/>
          <w:right w:w="0" w:type="dxa"/>
        </w:tblCellMar>
      </w:tblPr>
      <w:tblGrid>
        <w:gridCol w:w="3406"/>
        <w:gridCol w:w="326"/>
        <w:gridCol w:w="303"/>
        <w:gridCol w:w="823"/>
        <w:gridCol w:w="326"/>
        <w:gridCol w:w="367"/>
        <w:gridCol w:w="1178"/>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62810" cy="175260"/>
                      <wp:effectExtent l="0" t="0" r="0" b="0"/>
                      <wp:wrapNone/>
                      <wp:docPr id="237" name="Frame237"/>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92405" cy="175260"/>
                      <wp:effectExtent l="0" t="0" r="0" b="0"/>
                      <wp:wrapNone/>
                      <wp:docPr id="239" name="Frame23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22605" cy="175260"/>
                      <wp:effectExtent l="0" t="0" r="0" b="0"/>
                      <wp:wrapNone/>
                      <wp:docPr id="240" name="Frame240"/>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33045" cy="175260"/>
                      <wp:effectExtent l="0" t="0" r="0" b="0"/>
                      <wp:wrapNone/>
                      <wp:docPr id="242" name="Frame24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748030" cy="175260"/>
                      <wp:effectExtent l="0" t="0" r="0" b="0"/>
                      <wp:wrapNone/>
                      <wp:docPr id="243" name="Frame243"/>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 2023</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franchise and development fees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6,274</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6,411</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noncurrent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6,445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COMMITMENTS AND CONTINGENCIES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Matters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involved in various claims such as wage and hour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condensed consolidated financial condition, results of operations, and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Purchasing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June 26, 2024, the Company’s total estimated commitment to purchase chicken was $16.6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Contingent Lease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a result of assigning the Company’s interest in obligations under real estate leases in connection with the sale of company-operated restaurants to some of the Company’s franchisees, the Company is contingently liable on three lease agreements. These leases have various terms, the latest of which expires in 2038. As of June 26, 2024, the potential amount of undiscounted payments the Company could be required to make in the event of non-payment by the primary lessee was $3.4 million. The present value of these potential payments discounted at the Company’s estimated pre-tax cost of debt at June 26, 2024 was $2.3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26, 2024, the Company had employment agreements with three of the officers of the Company. These agreements provide for minimum salary levels, possible annual adjustments for cost-of-living changes, and incentive bonuses that are payable under certain business conditions.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 Agreements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EARNINGS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Basic earnings per share (“EPS”) is calculated using the weighted-average number of shares of common stock outstanding during the thirteen and twenty-six weeks ended June 26, 2024 and June 28, 2023. Diluted EPS is calculated using the weighted-average number of shares of common stock outstanding and potentially dilutive during the period, using the treasury stock method.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187" w:name="Tc_F1PLWcGk8EKewSg-uXOQ1A_6_0"/>
      <w:bookmarkStart w:id="1188" w:name="Tc_6vO-DxZpPUiYU3YHzbt0ZQ_5_0"/>
      <w:bookmarkStart w:id="1189" w:name="Tc_h1f7nQ5P-kKLxEtnCEna6Q_4_0"/>
      <w:bookmarkStart w:id="1190" w:name="Tc_LNfcOotWMUuwH-QMaXCO2Q_3_8"/>
      <w:bookmarkStart w:id="1191" w:name="Tc_gf8s5fPwVUqeCEWaNo-pqw_3_6"/>
      <w:bookmarkStart w:id="1192" w:name="Tc_DPYX4HuC8EuSPSLKu_2yHw_3_4"/>
      <w:bookmarkStart w:id="1193" w:name="Tc_u_35SG8OQUiaw8K4C_PWFA_3_2"/>
      <w:bookmarkStart w:id="1194" w:name="Tc_LstdWVHO-EKANUt2-73igg_2_6"/>
      <w:bookmarkStart w:id="1195" w:name="Tc_kFv8oEs1DEyYPhIqrhg73g_2_2"/>
      <w:bookmarkStart w:id="1196" w:name="_48799ab0_99fe_4b71_b1ad_304413bd705f"/>
      <w:bookmarkStart w:id="1197" w:name="Tc_eMaFUTfbRkCeQkdXcYLFQQ_11_0"/>
      <w:bookmarkStart w:id="1198" w:name="Tc_CfKbDFAMNUKB5QT73l4Pgw_10_11"/>
      <w:bookmarkStart w:id="1199" w:name="Tc_8fVyhSeGpEGQ-S8bF1DqfQ_10_8"/>
      <w:bookmarkStart w:id="1200" w:name="Tc_fASuEUeY0UmZkwimw2UfEw_10_5"/>
      <w:bookmarkStart w:id="1201" w:name="Tc_nvcvBa2FYUi4-4eN39w8Zg_10_2"/>
      <w:bookmarkStart w:id="1202" w:name="Tc_xOSU5I92KUagxkq0DRCOpQ_10_0"/>
      <w:bookmarkStart w:id="1203" w:name="Tc_5zwc3GwSv0mVjx35bnrP-g_9_11"/>
      <w:bookmarkStart w:id="1204" w:name="Tc_3yaTIbXYiEqlnd8B5907qw_9_8"/>
      <w:bookmarkStart w:id="1205" w:name="Tc_RbgAkvD0skuRlswpFnJffw_9_5"/>
      <w:bookmarkStart w:id="1206" w:name="Tc_os1DfZQwUE60OLoNcUncnw_9_2"/>
      <w:bookmarkStart w:id="1207" w:name="Tc_HWfbPAy2R0qFfC9JCs0fOA_9_0"/>
      <w:bookmarkStart w:id="1208" w:name="Tc_eZF4Q8yr0E-_T6JlyDzf9w_8_0"/>
      <w:bookmarkStart w:id="1209" w:name="Tc_0qlhGKZcZEeL3zgAtWjBvw_7_0"/>
      <w:bookmarkStart w:id="1210" w:name="Tc_H3y1h-NoUEaPl89D3HnPcA_6_0"/>
      <w:bookmarkStart w:id="1211" w:name="Tc_GmFUrCJXfE2nbCkEH6b9Cg_5_11"/>
      <w:bookmarkStart w:id="1212" w:name="Tc_WXrCbWRK_kq2rP-O-WhG5g_5_8"/>
      <w:bookmarkStart w:id="1213" w:name="Tc_Qx2K9l43KEy13q9EkdyQ1Q_5_5"/>
      <w:bookmarkStart w:id="1214" w:name="Tc_iNfoNxgJG0WWePMsh-Iznw_5_2"/>
      <w:bookmarkStart w:id="1215" w:name="Tc_YI4r6bQvU0CQoYG4I5HofA_5_0"/>
      <w:bookmarkStart w:id="1216" w:name="Tc_oXwWhNz1A0uS4D33J_ugzg_4_0"/>
      <w:bookmarkStart w:id="1217" w:name="Tc_1NV_JWgqpU-mTll69vryzg_3_11"/>
      <w:bookmarkStart w:id="1218" w:name="Tc_hu9Uyl4U3keGwhrN4Xv_6Q_3_8"/>
      <w:bookmarkStart w:id="1219" w:name="Tc_kPTN5M0eLkaJTb1ZSXgSiA_3_5"/>
      <w:bookmarkStart w:id="1220" w:name="Tc_mWCKzqINlUC_zTKsShu4Tw_3_2"/>
      <w:bookmarkStart w:id="1221" w:name="Tc_xpRgmy_1kEe7LpWWTzKhpw_2_8"/>
      <w:bookmarkStart w:id="1222" w:name="Tc_9Cz3FpRhGkus-5B_LSSdIw_2_2"/>
      <w:bookmarkStart w:id="1223" w:name="_7525101f_5aec_478a_934a_947f2a559775"/>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r>
        <w:rPr>
          <w:rFonts w:ascii="Times New Roman;Times;serif" w:hAnsi="Times New Roman;Times;serif"/>
          <w:sz w:val="20"/>
        </w:rPr>
        <w:t>Below are basic and diluted EPS data for the periods indicated (in thousands except for share and per share data):</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59"/>
        <w:gridCol w:w="326"/>
        <w:gridCol w:w="211"/>
        <w:gridCol w:w="1036"/>
        <w:gridCol w:w="326"/>
        <w:gridCol w:w="211"/>
        <w:gridCol w:w="1036"/>
        <w:gridCol w:w="109"/>
        <w:gridCol w:w="211"/>
        <w:gridCol w:w="1036"/>
        <w:gridCol w:w="326"/>
        <w:gridCol w:w="211"/>
        <w:gridCol w:w="1036"/>
        <w:gridCol w:w="371"/>
      </w:tblGrid>
      <w:tr>
        <w:trPr/>
        <w:tc>
          <w:tcPr>
            <w:tcW w:w="3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386965" cy="175260"/>
                      <wp:effectExtent l="0" t="0" r="0" b="0"/>
                      <wp:wrapNone/>
                      <wp:docPr id="244" name="Frame244"/>
                      <a:graphic xmlns:a="http://schemas.openxmlformats.org/drawingml/2006/main">
                        <a:graphicData uri="http://schemas.microsoft.com/office/word/2010/wordprocessingShape">
                          <wps:wsp>
                            <wps:cNvSpPr txBox="1"/>
                            <wps:spPr>
                              <a:xfrm>
                                <a:off x="0" y="0"/>
                                <a:ext cx="2386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57860" cy="175260"/>
                      <wp:effectExtent l="0" t="0" r="0" b="0"/>
                      <wp:wrapNone/>
                      <wp:docPr id="247" name="Frame24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57860" cy="175260"/>
                      <wp:effectExtent l="0" t="0" r="0" b="0"/>
                      <wp:wrapNone/>
                      <wp:docPr id="250" name="Frame25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57860" cy="175260"/>
                      <wp:effectExtent l="0" t="0" r="0" b="0"/>
                      <wp:wrapNone/>
                      <wp:docPr id="253" name="Frame25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57860" cy="175260"/>
                      <wp:effectExtent l="0" t="0" r="0" b="0"/>
                      <wp:wrapNone/>
                      <wp:docPr id="256" name="Frame25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35585" cy="175260"/>
                      <wp:effectExtent l="0" t="0" r="0" b="0"/>
                      <wp:wrapNone/>
                      <wp:docPr id="257" name="Frame25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71" w:type="dxa"/>
            <w:tcBorders/>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71" w:type="dxa"/>
            <w:tcBorders/>
            <w:vAlign w:val="center"/>
          </w:tcPr>
          <w:p>
            <w:pPr>
              <w:pStyle w:val="TableContents"/>
              <w:bidi w:val="0"/>
              <w:spacing w:before="0" w:after="0"/>
              <w:ind w:left="0" w:right="0" w:hanging="0"/>
              <w:jc w:val="left"/>
              <w:rPr/>
            </w:pPr>
            <w:r>
              <w:rPr/>
              <w:t>    </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7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11,974</w:t>
            </w:r>
          </w:p>
        </w:tc>
        <w:tc>
          <w:tcPr>
            <w:tcW w:w="371" w:type="dxa"/>
            <w:tcBorders/>
            <w:vAlign w:val="center"/>
          </w:tcPr>
          <w:p>
            <w:pPr>
              <w:pStyle w:val="TableContents"/>
              <w:bidi w:val="0"/>
              <w:spacing w:before="0" w:after="0"/>
              <w:ind w:left="0" w:right="0" w:hanging="0"/>
              <w:jc w:val="left"/>
              <w:rPr/>
            </w:pPr>
            <w:r>
              <w:rPr/>
              <w:t>​</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30,240,170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35,433,414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30,508,970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35,833,759</w:t>
            </w:r>
          </w:p>
        </w:tc>
        <w:tc>
          <w:tcPr>
            <w:tcW w:w="371" w:type="dxa"/>
            <w:tcBorders/>
            <w:vAlign w:val="center"/>
          </w:tcPr>
          <w:p>
            <w:pPr>
              <w:pStyle w:val="TableContents"/>
              <w:bidi w:val="0"/>
              <w:spacing w:before="0" w:after="0"/>
              <w:ind w:left="0" w:right="0" w:hanging="0"/>
              <w:jc w:val="left"/>
              <w:rPr/>
            </w:pPr>
            <w:r>
              <w:rPr/>
              <w:t>​</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30,378,048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35,534,104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30,661,830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36,018,288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71" w:type="dxa"/>
            <w:tcBorders/>
            <w:vAlign w:val="center"/>
          </w:tcPr>
          <w:p>
            <w:pPr>
              <w:pStyle w:val="TableContents"/>
              <w:bidi w:val="0"/>
              <w:spacing w:before="0" w:after="0"/>
              <w:ind w:left="0" w:right="0" w:hanging="0"/>
              <w:jc w:val="left"/>
              <w:rPr/>
            </w:pPr>
            <w:r>
              <w:rPr/>
              <w:t>​</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Anti-dilutive securities not considered in diluted EPS calculation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860,521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1,103,710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865,225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759,112</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is a reconciliation of basic and diluted share counts:</w:t>
      </w:r>
    </w:p>
    <w:p>
      <w:pPr>
        <w:pStyle w:val="TextBody"/>
        <w:bidi w:val="0"/>
        <w:spacing w:before="0" w:after="240"/>
        <w:ind w:left="0" w:right="0" w:hanging="0"/>
        <w:jc w:val="left"/>
        <w:rPr/>
      </w:pPr>
      <w:r>
        <w:rPr/>
        <w:t>​</w:t>
      </w:r>
    </w:p>
    <w:tbl>
      <w:tblPr>
        <w:tblW w:w="10140" w:type="dxa"/>
        <w:jc w:val="left"/>
        <w:tblInd w:w="0" w:type="dxa"/>
        <w:tblLayout w:type="fixed"/>
        <w:tblCellMar>
          <w:top w:w="0" w:type="dxa"/>
          <w:left w:w="0" w:type="dxa"/>
          <w:bottom w:w="0" w:type="dxa"/>
          <w:right w:w="0" w:type="dxa"/>
        </w:tblCellMar>
      </w:tblPr>
      <w:tblGrid>
        <w:gridCol w:w="4321"/>
        <w:gridCol w:w="326"/>
        <w:gridCol w:w="1126"/>
        <w:gridCol w:w="146"/>
        <w:gridCol w:w="1126"/>
        <w:gridCol w:w="326"/>
        <w:gridCol w:w="1126"/>
        <w:gridCol w:w="146"/>
        <w:gridCol w:w="1126"/>
        <w:gridCol w:w="37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743835" cy="175260"/>
                      <wp:effectExtent l="0" t="0" r="0" b="0"/>
                      <wp:wrapNone/>
                      <wp:docPr id="258" name="Frame258"/>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715010" cy="175260"/>
                      <wp:effectExtent l="0" t="0" r="0" b="0"/>
                      <wp:wrapNone/>
                      <wp:docPr id="260" name="Frame26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92710" cy="175260"/>
                      <wp:effectExtent l="0" t="0" r="0" b="0"/>
                      <wp:wrapNone/>
                      <wp:docPr id="261" name="Frame26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715010" cy="175260"/>
                      <wp:effectExtent l="0" t="0" r="0" b="0"/>
                      <wp:wrapNone/>
                      <wp:docPr id="262" name="Frame26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715010" cy="175260"/>
                      <wp:effectExtent l="0" t="0" r="0" b="0"/>
                      <wp:wrapNone/>
                      <wp:docPr id="264" name="Frame264"/>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92710" cy="175260"/>
                      <wp:effectExtent l="0" t="0" r="0" b="0"/>
                      <wp:wrapNone/>
                      <wp:docPr id="265" name="Frame26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715010" cy="175260"/>
                      <wp:effectExtent l="0" t="0" r="0" b="0"/>
                      <wp:wrapNone/>
                      <wp:docPr id="266" name="Frame26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35585" cy="175260"/>
                      <wp:effectExtent l="0" t="0" r="0" b="0"/>
                      <wp:wrapNone/>
                      <wp:docPr id="267" name="Frame26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    </w:t>
            </w:r>
          </w:p>
        </w:tc>
        <w:tc>
          <w:tcPr>
            <w:tcW w:w="23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71" w:type="dxa"/>
            <w:tcBorders/>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71"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outstanding—basic</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30,240,170</w:t>
            </w:r>
          </w:p>
        </w:tc>
        <w:tc>
          <w:tcPr>
            <w:tcW w:w="1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35,433,414</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30,508,970</w:t>
            </w:r>
          </w:p>
        </w:tc>
        <w:tc>
          <w:tcPr>
            <w:tcW w:w="1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35,833,759</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stock options and restricted shares</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137,878</w:t>
            </w:r>
          </w:p>
        </w:tc>
        <w:tc>
          <w:tcPr>
            <w:tcW w:w="1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100,690</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152,860</w:t>
            </w:r>
          </w:p>
        </w:tc>
        <w:tc>
          <w:tcPr>
            <w:tcW w:w="1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184,529</w:t>
            </w:r>
          </w:p>
        </w:tc>
        <w:tc>
          <w:tcPr>
            <w:tcW w:w="371" w:type="dxa"/>
            <w:tcBorders/>
            <w:vAlign w:val="center"/>
          </w:tcPr>
          <w:p>
            <w:pPr>
              <w:pStyle w:val="TableContents"/>
              <w:bidi w:val="0"/>
              <w:spacing w:before="0" w:after="0"/>
              <w:ind w:left="0" w:right="0" w:hanging="0"/>
              <w:jc w:val="left"/>
              <w:rPr/>
            </w:pPr>
            <w:r>
              <w:rPr/>
              <w:t> </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outstanding—diluted</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30,378,048</w:t>
            </w:r>
          </w:p>
        </w:tc>
        <w:tc>
          <w:tcPr>
            <w:tcW w:w="14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35,534,104</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30,661,830</w:t>
            </w:r>
          </w:p>
        </w:tc>
        <w:tc>
          <w:tcPr>
            <w:tcW w:w="14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36,018,288</w:t>
            </w:r>
          </w:p>
        </w:tc>
        <w:tc>
          <w:tcPr>
            <w:tcW w:w="371"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RELATED PARTY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REVENUE FROM CONTRACTS WITH CUSTOMERS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Nature of products and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two revenue streams, company-operated restaurant revenue and franchise related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Company-operated restaurant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offers a loyalty rewards program, which awards points to a customer for dollars spent.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June 26, 2024 and December 27, 2023, the revenue allocated to loyalty points that have not been redeemed was $0.8 million and $0.7 million, respectively, which is reflected in the Company’s accompanying condensed consolidated balance sheets within other accrued expenses and current liabilities. The Company expects the loyalty points to be redeemed and recognized over a one-year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24" w:name="Tc_yxyoprDDv0ui_V8I8NxhVw_5_13"/>
      <w:bookmarkStart w:id="1225" w:name="Tc_x1UpDHHHLES0cHiCDrWoFA_5_10"/>
      <w:bookmarkStart w:id="1226" w:name="Tc_LO88c8kMNUC8gjIUcARCJA_5_6"/>
      <w:bookmarkStart w:id="1227" w:name="Tc_nA8kV4Ztl0u3ndCigbopfA_5_3"/>
      <w:bookmarkStart w:id="1228" w:name="Tc_QHIu0Fn-Bkyf_R9o7gNMRw_5_0"/>
      <w:bookmarkStart w:id="1229" w:name="Tc_RVuYDWvT_0u8NyV6xgWUoA_4_13"/>
      <w:bookmarkStart w:id="1230" w:name="Tc_jkPCOX9Ki0mEEsaqhHELhA_4_10"/>
      <w:bookmarkStart w:id="1231" w:name="Tc_SUcA2qh8R0iPuAh1T18-sw_4_6"/>
      <w:bookmarkStart w:id="1232" w:name="Tc_cBSnvshK_Ui0-q_nuha-3g_4_3"/>
      <w:bookmarkStart w:id="1233" w:name="Tc_igHVrPX640GgMcc5RijbLg_4_0"/>
      <w:bookmarkStart w:id="1234" w:name="Tc_UligAl1epEOd0IGXU2SMFw_3_13"/>
      <w:bookmarkStart w:id="1235" w:name="Tc_KwLN1AVhbESBFA8RNbJg6w_3_10"/>
      <w:bookmarkStart w:id="1236" w:name="Tc_tDzUjAb1IEKnkTIFqSI1ag_3_6"/>
      <w:bookmarkStart w:id="1237" w:name="Tc_W96hjQ89VkyTFwkfWEFdWg_3_3"/>
      <w:bookmarkStart w:id="1238" w:name="Tc_Xv_8fx5tj0Kt9buqai_zzw_3_0"/>
      <w:bookmarkStart w:id="1239" w:name="Tc_0qjWD8cUvkezynYORQL49A_2_12"/>
      <w:bookmarkStart w:id="1240" w:name="Tc_WxCCmBAPOUKGJRXe9LHTMA_2_9"/>
      <w:bookmarkStart w:id="1241" w:name="Tc_q5XfL4sDF02FGstQ0iDdTQ_2_5"/>
      <w:bookmarkStart w:id="1242" w:name="Tc_vRgpCL4lIU-mLHKXsLEDHA_2_2"/>
      <w:bookmarkStart w:id="1243" w:name="Tc_7dNeFG2RHUSDRpveaPFfLQ_1_9"/>
      <w:bookmarkStart w:id="1244" w:name="Tc_9Qmk-u0_sEmZiXUBh6r92g_1_2"/>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r>
        <w:rPr>
          <w:rFonts w:ascii="Times New Roman;Times;serif" w:hAnsi="Times New Roman;Times;serif"/>
          <w:sz w:val="20"/>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condensed consolidated balance sheets.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Franchise and franchise advertising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Franchise license - inclusive of advertising services, development agreements, training, access to plans and help desk services.</w:t>
            </w:r>
          </w:p>
        </w:tc>
      </w:tr>
    </w:tbl>
    <w:tbl>
      <w:tblPr>
        <w:tblW w:w="2766" w:type="dxa"/>
        <w:jc w:val="left"/>
        <w:tblInd w:w="0" w:type="dxa"/>
        <w:tblLayout w:type="fixed"/>
        <w:tblCellMar>
          <w:top w:w="28" w:type="dxa"/>
          <w:left w:w="28" w:type="dxa"/>
          <w:bottom w:w="28" w:type="dxa"/>
          <w:right w:w="28" w:type="dxa"/>
        </w:tblCellMar>
      </w:tblPr>
      <w:tblGrid>
        <w:gridCol w:w="124"/>
        <w:gridCol w:w="256"/>
        <w:gridCol w:w="2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renewal option.</w:t>
            </w:r>
          </w:p>
        </w:tc>
      </w:tr>
    </w:tbl>
    <w:tbl>
      <w:tblPr>
        <w:tblW w:w="2031" w:type="dxa"/>
        <w:jc w:val="left"/>
        <w:tblInd w:w="0" w:type="dxa"/>
        <w:tblLayout w:type="fixed"/>
        <w:tblCellMar>
          <w:top w:w="28" w:type="dxa"/>
          <w:left w:w="28" w:type="dxa"/>
          <w:bottom w:w="28" w:type="dxa"/>
          <w:right w:w="28" w:type="dxa"/>
        </w:tblCellMar>
      </w:tblPr>
      <w:tblGrid>
        <w:gridCol w:w="124"/>
        <w:gridCol w:w="256"/>
        <w:gridCol w:w="1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Hardware services.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June 26, 2024, there were no performance obligations related to hardware services that were unsatisfied or partially satisfied.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revenues disaggregated by geographic market:</w:t>
      </w:r>
    </w:p>
    <w:p>
      <w:pPr>
        <w:pStyle w:val="TextBody"/>
        <w:bidi w:val="0"/>
        <w:spacing w:before="0" w:after="240"/>
        <w:ind w:left="0" w:right="0" w:hanging="0"/>
        <w:jc w:val="left"/>
        <w:rPr>
          <w:shd w:fill="FFFF00" w:val="clear"/>
        </w:rPr>
      </w:pPr>
      <w:r>
        <w:rPr>
          <w:shd w:fill="FFFF00" w:val="clear"/>
        </w:rPr>
        <w:t>​</w:t>
      </w:r>
    </w:p>
    <w:tbl>
      <w:tblPr>
        <w:tblW w:w="8715" w:type="dxa"/>
        <w:jc w:val="left"/>
        <w:tblInd w:w="0" w:type="dxa"/>
        <w:tblLayout w:type="fixed"/>
        <w:tblCellMar>
          <w:top w:w="0" w:type="dxa"/>
          <w:left w:w="0" w:type="dxa"/>
          <w:bottom w:w="0" w:type="dxa"/>
          <w:right w:w="0" w:type="dxa"/>
        </w:tblCellMar>
      </w:tblPr>
      <w:tblGrid>
        <w:gridCol w:w="2731"/>
        <w:gridCol w:w="326"/>
        <w:gridCol w:w="612"/>
        <w:gridCol w:w="514"/>
        <w:gridCol w:w="326"/>
        <w:gridCol w:w="612"/>
        <w:gridCol w:w="514"/>
        <w:gridCol w:w="146"/>
        <w:gridCol w:w="109"/>
        <w:gridCol w:w="612"/>
        <w:gridCol w:w="514"/>
        <w:gridCol w:w="382"/>
        <w:gridCol w:w="684"/>
        <w:gridCol w:w="442"/>
        <w:gridCol w:w="19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734185" cy="175260"/>
                      <wp:effectExtent l="0" t="0" r="0" b="0"/>
                      <wp:wrapNone/>
                      <wp:docPr id="268" name="Frame268"/>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88620" cy="175260"/>
                      <wp:effectExtent l="0" t="0" r="0" b="0"/>
                      <wp:wrapNone/>
                      <wp:docPr id="270" name="Frame270"/>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26390" cy="175260"/>
                      <wp:effectExtent l="0" t="0" r="0" b="0"/>
                      <wp:wrapNone/>
                      <wp:docPr id="271" name="Frame271"/>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88620" cy="175260"/>
                      <wp:effectExtent l="0" t="0" r="0" b="0"/>
                      <wp:wrapNone/>
                      <wp:docPr id="273" name="Frame273"/>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26390" cy="175260"/>
                      <wp:effectExtent l="0" t="0" r="0" b="0"/>
                      <wp:wrapNone/>
                      <wp:docPr id="274" name="Frame274"/>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92710" cy="175260"/>
                      <wp:effectExtent l="0" t="0" r="0" b="0"/>
                      <wp:wrapNone/>
                      <wp:docPr id="275" name="Frame27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88620" cy="175260"/>
                      <wp:effectExtent l="0" t="0" r="0" b="0"/>
                      <wp:wrapNone/>
                      <wp:docPr id="277" name="Frame277"/>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26390" cy="175260"/>
                      <wp:effectExtent l="0" t="0" r="0" b="0"/>
                      <wp:wrapNone/>
                      <wp:docPr id="278" name="Frame278"/>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42570" cy="175260"/>
                      <wp:effectExtent l="0" t="0" r="0" b="0"/>
                      <wp:wrapNone/>
                      <wp:docPr id="279" name="Frame279"/>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34340" cy="175260"/>
                      <wp:effectExtent l="0" t="0" r="0" b="0"/>
                      <wp:wrapNone/>
                      <wp:docPr id="280" name="Frame280"/>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80670" cy="175260"/>
                      <wp:effectExtent l="0" t="0" r="0" b="0"/>
                      <wp:wrapNone/>
                      <wp:docPr id="281" name="Frame28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21285" cy="175260"/>
                      <wp:effectExtent l="0" t="0" r="0" b="0"/>
                      <wp:wrapNone/>
                      <wp:docPr id="282" name="Frame28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9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442"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71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82"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191" w:type="dxa"/>
            <w:tcBorders/>
            <w:vAlign w:val="center"/>
          </w:tcPr>
          <w:p>
            <w:pPr>
              <w:pStyle w:val="TableContents"/>
              <w:bidi w:val="0"/>
              <w:spacing w:before="0" w:after="0"/>
              <w:ind w:left="0" w:right="0" w:hanging="0"/>
              <w:jc w:val="left"/>
              <w:rPr/>
            </w:pPr>
            <w:r>
              <w:rPr/>
              <w:t> </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Los Angeles area market</w:t>
            </w:r>
          </w:p>
        </w:tc>
        <w:tc>
          <w:tcPr>
            <w:tcW w:w="326" w:type="dxa"/>
            <w:tcBorders/>
            <w:shd w:fill="CCEEFF" w:val="clear"/>
            <w:vAlign w:val="center"/>
          </w:tcPr>
          <w:p>
            <w:pPr>
              <w:pStyle w:val="TableContents"/>
              <w:bidi w:val="0"/>
              <w:spacing w:before="0" w:after="0"/>
              <w:ind w:left="0" w:right="0" w:hanging="0"/>
              <w:jc w:val="left"/>
              <w:rPr/>
            </w:pPr>
            <w:r>
              <w:rPr/>
              <w:t> </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2"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markets</w:t>
            </w:r>
          </w:p>
        </w:tc>
        <w:tc>
          <w:tcPr>
            <w:tcW w:w="326" w:type="dxa"/>
            <w:tcBorders/>
            <w:vAlign w:val="center"/>
          </w:tcPr>
          <w:p>
            <w:pPr>
              <w:pStyle w:val="TableContents"/>
              <w:bidi w:val="0"/>
              <w:spacing w:before="0" w:after="0"/>
              <w:ind w:left="0" w:right="0" w:hanging="0"/>
              <w:jc w:val="left"/>
              <w:rPr/>
            </w:pPr>
            <w:r>
              <w:rPr/>
              <w:t> </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2" w:type="dxa"/>
            <w:tcBorders/>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1" w:type="dxa"/>
            <w:tcBorders/>
            <w:vAlign w:val="center"/>
          </w:tcPr>
          <w:p>
            <w:pPr>
              <w:pStyle w:val="TableContents"/>
              <w:bidi w:val="0"/>
              <w:spacing w:before="0" w:after="0"/>
              <w:ind w:left="0" w:right="0" w:hanging="0"/>
              <w:jc w:val="lef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5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5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5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382" w:type="dxa"/>
            <w:tcBorders/>
            <w:shd w:fill="CCEEFF" w:val="clear"/>
            <w:vAlign w:val="center"/>
          </w:tcPr>
          <w:p>
            <w:pPr>
              <w:pStyle w:val="TableContents"/>
              <w:bidi w:val="0"/>
              <w:spacing w:before="0" w:after="0"/>
              <w:ind w:left="0" w:right="0" w:hanging="0"/>
              <w:jc w:val="left"/>
              <w:rPr/>
            </w:pPr>
            <w:r>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245" w:name="Tc_Qu-PcFJff0C0L2oDeSIuKg_2_5"/>
      <w:bookmarkStart w:id="1246" w:name="Tc_kkOV_wMxkU6N_53igKx8ug_2_2"/>
      <w:bookmarkStart w:id="1247" w:name="Tc_V9aRG_jbVE2lvLKvkMk6xg_2_0"/>
      <w:bookmarkStart w:id="1248" w:name="Tc_GmDJV5APBEydqEBM13B1Xg_1_5"/>
      <w:bookmarkStart w:id="1249" w:name="Tc_933c7BDuT0KQbdDMzQk_uQ_1_2"/>
      <w:bookmarkStart w:id="1250" w:name="_265e6b3e_7a64_433b_af9d_51129c0a541d"/>
      <w:bookmarkStart w:id="1251" w:name="Tc_vVAdBrz5NEGAp2sU7D-aRQ_5_5"/>
      <w:bookmarkStart w:id="1252" w:name="Tc_761bDxvs506jUo5KqdrhdA_5_2"/>
      <w:bookmarkStart w:id="1253" w:name="Tc_LGkh725vekGPB5u08SKxUA_5_0"/>
      <w:bookmarkStart w:id="1254" w:name="Tc_o5CP1ZOHzE2DHavky9DdDw_4_0"/>
      <w:bookmarkStart w:id="1255" w:name="Tc_b8P7vUgzykGl14HGDGgbrQ_3_0"/>
      <w:bookmarkStart w:id="1256" w:name="Tc_cbj4RyswjkCn9bG3cF_n4w_2_5"/>
      <w:bookmarkStart w:id="1257" w:name="Tc_IbJbf_Kkd06G5wJgHM4zeg_2_2"/>
      <w:bookmarkStart w:id="1258" w:name="Tc_F1TZrpO1DEWBa3o15KjG-Q_2_0"/>
      <w:bookmarkStart w:id="1259" w:name="Tc_PGHda5SmCUqPJz6VYzu4EQ_1_5"/>
      <w:bookmarkStart w:id="1260" w:name="Tc_B9RmnerKIECrRIoWVcmmyQ_1_2"/>
      <w:bookmarkStart w:id="1261" w:name="_030b605e_2ecf_4187_98e5_e744f9c4c315"/>
      <w:bookmarkStart w:id="1262" w:name="Tc_LkUsMo-EIUe9j4cn3Jsucg_8_2"/>
      <w:bookmarkStart w:id="1263" w:name="Tc_C5zZyBe3zk6Ppw4pZctzkQ_8_0"/>
      <w:bookmarkStart w:id="1264" w:name="Tc_VfcqDx7scUuRuh7EZqI-uA_7_0"/>
      <w:bookmarkStart w:id="1265" w:name="Tc_5PoqRUUNn0qkUwdhU7VTjA_2_2"/>
      <w:bookmarkStart w:id="1266" w:name="Tc_t_W7BJzytkWM30p0fhDfDQ_1_0"/>
      <w:bookmarkStart w:id="1267" w:name="_481fa7a4_789c_4ba5_853b_4015a27c25e0"/>
      <w:bookmarkStart w:id="1268" w:name="Tc_BZqAHg6B1E6h-IFMY9-SFA_9_2"/>
      <w:bookmarkStart w:id="1269" w:name="Tc_SlELBVDoV0GOQhcuCnVZAA_9_0"/>
      <w:bookmarkStart w:id="1270" w:name="Tc_GwqDMbLSuk-ZasTXjwt5uw_8_0"/>
      <w:bookmarkStart w:id="1271" w:name="Tc_MZ5nLkJBwkOPnRLrbq8Eug_7_0"/>
      <w:bookmarkStart w:id="1272" w:name="Tc_eFGeRAhkWEKOaMjOBX2gNg_6_2"/>
      <w:bookmarkStart w:id="1273" w:name="Tc_Tb0f32Nfs0WLXDjnmIA9pw_6_0"/>
      <w:bookmarkStart w:id="1274" w:name="Tc_FW93ccHSTUCOqH__pHmmeg_4_2"/>
      <w:bookmarkStart w:id="1275" w:name="Tc_Ss_hnOZ7MUyrHVazSVQvHw_4_0"/>
      <w:bookmarkStart w:id="1276" w:name="Tc_57N3nOPZYkWFTrtjqIUNwA_3_0"/>
      <w:bookmarkStart w:id="1277" w:name="Tc_eyHH5rAR8E6yNwgW78GTKg_2_0"/>
      <w:bookmarkStart w:id="1278" w:name="Tc_v2nVOe84C0O-LwZXNFJqsg_1_2"/>
      <w:bookmarkStart w:id="1279" w:name="Tc_ZJw4Afa9jUyVfXX-xct0dA_1_0"/>
      <w:bookmarkStart w:id="1280" w:name="_89b6a846_0751_4126_bdb3_f5ad5b4ae1f0"/>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r>
        <w:rPr>
          <w:rFonts w:ascii="Times New Roman;Times;serif" w:hAnsi="Times New Roman;Times;serif"/>
          <w:i/>
          <w:sz w:val="20"/>
        </w:rPr>
        <w:t>Contract balances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provides information about the change in the franchise contract liability balances during the twenty-six weeks ended June 26, 2024 and June 28, 2023 (in thousands):</w:t>
      </w:r>
    </w:p>
    <w:p>
      <w:pPr>
        <w:pStyle w:val="TextBody"/>
        <w:bidi w:val="0"/>
        <w:spacing w:before="0" w:after="240"/>
        <w:ind w:left="0" w:right="0" w:hanging="0"/>
        <w:jc w:val="left"/>
        <w:rPr/>
      </w:pPr>
      <w:r>
        <w:rPr/>
        <w:t>​</w:t>
      </w:r>
    </w:p>
    <w:tbl>
      <w:tblPr>
        <w:tblW w:w="4447" w:type="dxa"/>
        <w:jc w:val="left"/>
        <w:tblInd w:w="0" w:type="dxa"/>
        <w:tblLayout w:type="fixed"/>
        <w:tblCellMar>
          <w:top w:w="0" w:type="dxa"/>
          <w:left w:w="0" w:type="dxa"/>
          <w:bottom w:w="0" w:type="dxa"/>
          <w:right w:w="0" w:type="dxa"/>
        </w:tblCellMar>
      </w:tblPr>
      <w:tblGrid>
        <w:gridCol w:w="3451"/>
        <w:gridCol w:w="109"/>
        <w:gridCol w:w="211"/>
        <w:gridCol w:w="67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1385" cy="175260"/>
                      <wp:effectExtent l="0" t="0" r="0" b="0"/>
                      <wp:wrapNone/>
                      <wp:docPr id="283" name="Frame28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4"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29260" cy="175260"/>
                      <wp:effectExtent l="0" t="0" r="0" b="0"/>
                      <wp:wrapNone/>
                      <wp:docPr id="286" name="Frame2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27, 2023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6,997</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 beginning balance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contract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26, 2024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6,829</w:t>
            </w:r>
          </w:p>
        </w:tc>
      </w:tr>
      <w:tr>
        <w:trPr/>
        <w:tc>
          <w:tcPr>
            <w:tcW w:w="34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28, 2022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6,377</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 beginning balance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contract liability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28, 2023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6,442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illustrates the estimated revenue to be recognized in future periods related to performance obligations under the applicable contracts that are unsatisfied as of June 26, 2024 (in thousands):</w:t>
      </w:r>
    </w:p>
    <w:p>
      <w:pPr>
        <w:pStyle w:val="TextBody"/>
        <w:bidi w:val="0"/>
        <w:spacing w:before="0" w:after="240"/>
        <w:ind w:left="0" w:right="0" w:hanging="0"/>
        <w:jc w:val="left"/>
        <w:rPr/>
      </w:pPr>
      <w:r>
        <w:rPr/>
        <w:t>​</w:t>
      </w:r>
    </w:p>
    <w:tbl>
      <w:tblPr>
        <w:tblW w:w="2774" w:type="dxa"/>
        <w:jc w:val="left"/>
        <w:tblInd w:w="0" w:type="dxa"/>
        <w:tblLayout w:type="fixed"/>
        <w:tblCellMar>
          <w:top w:w="0" w:type="dxa"/>
          <w:left w:w="0" w:type="dxa"/>
          <w:bottom w:w="0" w:type="dxa"/>
          <w:right w:w="0" w:type="dxa"/>
        </w:tblCellMar>
      </w:tblPr>
      <w:tblGrid>
        <w:gridCol w:w="1561"/>
        <w:gridCol w:w="326"/>
        <w:gridCol w:w="211"/>
        <w:gridCol w:w="676"/>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991235" cy="175260"/>
                      <wp:effectExtent l="0" t="0" r="0" b="0"/>
                      <wp:wrapNone/>
                      <wp:docPr id="287" name="Frame287"/>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29260" cy="175260"/>
                      <wp:effectExtent l="0" t="0" r="0" b="0"/>
                      <wp:wrapNone/>
                      <wp:docPr id="290" name="Frame2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Franchise revenues: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4,440</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6,829</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i w:val="false"/>
          <w:caps w:val="false"/>
          <w:smallCaps w:val="false"/>
          <w:sz w:val="20"/>
          <w:shd w:fill="FFFFFF" w:val="clear"/>
        </w:rPr>
      </w:pPr>
      <w:r>
        <w:rPr>
          <w:rFonts w:ascii="Times New Roman;Times;serif" w:hAnsi="Times New Roman;Times;serif"/>
          <w:i w:val="false"/>
          <w:caps w:val="false"/>
          <w:smallCaps w:val="false"/>
          <w:sz w:val="20"/>
          <w:shd w:fill="FFFFFF" w:val="clear"/>
        </w:rPr>
        <w:t>Changes in the loyalty rewards program liability included in deferred revenue within other accrued expenses and current liabilities on the condensed consolidated balance sheets were as follows (in thousands):</w:t>
      </w:r>
    </w:p>
    <w:tbl>
      <w:tblPr>
        <w:tblW w:w="7385" w:type="dxa"/>
        <w:jc w:val="left"/>
        <w:tblInd w:w="0" w:type="dxa"/>
        <w:tblLayout w:type="fixed"/>
        <w:tblCellMar>
          <w:top w:w="0" w:type="dxa"/>
          <w:left w:w="0" w:type="dxa"/>
          <w:bottom w:w="0" w:type="dxa"/>
          <w:right w:w="0" w:type="dxa"/>
        </w:tblCellMar>
      </w:tblPr>
      <w:tblGrid>
        <w:gridCol w:w="3736"/>
        <w:gridCol w:w="326"/>
        <w:gridCol w:w="303"/>
        <w:gridCol w:w="823"/>
        <w:gridCol w:w="326"/>
        <w:gridCol w:w="375"/>
        <w:gridCol w:w="1125"/>
        <w:gridCol w:w="37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372360" cy="175260"/>
                      <wp:effectExtent l="0" t="0" r="0" b="0"/>
                      <wp:wrapNone/>
                      <wp:docPr id="291" name="Frame291"/>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92405" cy="175260"/>
                      <wp:effectExtent l="0" t="0" r="0" b="0"/>
                      <wp:wrapNone/>
                      <wp:docPr id="293" name="Frame293"/>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22605" cy="175260"/>
                      <wp:effectExtent l="0" t="0" r="0" b="0"/>
                      <wp:wrapNone/>
                      <wp:docPr id="294" name="Frame294"/>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38125" cy="175260"/>
                      <wp:effectExtent l="0" t="0" r="0" b="0"/>
                      <wp:wrapNone/>
                      <wp:docPr id="296" name="Frame296"/>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714375" cy="175260"/>
                      <wp:effectExtent l="0" t="0" r="0" b="0"/>
                      <wp:wrapNone/>
                      <wp:docPr id="297" name="Frame297"/>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35585" cy="175260"/>
                      <wp:effectExtent l="0" t="0" r="0" b="0"/>
                      <wp:wrapNone/>
                      <wp:docPr id="298" name="Frame29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1"/>
              <w:ind w:left="0" w:right="0" w:hanging="0"/>
              <w:jc w:val="left"/>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27, 2023</w:t>
            </w:r>
          </w:p>
        </w:tc>
        <w:tc>
          <w:tcPr>
            <w:tcW w:w="371" w:type="dxa"/>
            <w:tcBorders/>
            <w:vAlign w:val="center"/>
          </w:tcPr>
          <w:p>
            <w:pPr>
              <w:pStyle w:val="TableContents"/>
              <w:bidi w:val="0"/>
              <w:spacing w:before="0" w:after="1"/>
              <w:ind w:left="0" w:right="0" w:hanging="0"/>
              <w:jc w:val="left"/>
              <w:rPr/>
            </w:pPr>
            <w:r>
              <w:rPr/>
              <w:t>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Loyalty rewards liability, beginning balance</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deferred</w:t>
            </w:r>
          </w:p>
        </w:tc>
        <w:tc>
          <w:tcPr>
            <w:tcW w:w="32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 </w:t>
            </w:r>
          </w:p>
        </w:tc>
        <w:tc>
          <w:tcPr>
            <w:tcW w:w="11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2,065</w:t>
            </w:r>
          </w:p>
        </w:tc>
        <w:tc>
          <w:tcPr>
            <w:tcW w:w="371"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326" w:type="dxa"/>
            <w:tcBorders/>
            <w:shd w:fill="CCEEFF" w:val="clear"/>
            <w:vAlign w:val="center"/>
          </w:tcPr>
          <w:p>
            <w:pPr>
              <w:pStyle w:val="TableContents"/>
              <w:bidi w:val="0"/>
              <w:spacing w:before="0" w:after="1"/>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Loyalty rewards liability, ending balance</w:t>
            </w:r>
          </w:p>
        </w:tc>
        <w:tc>
          <w:tcPr>
            <w:tcW w:w="326" w:type="dxa"/>
            <w:tcBorders/>
            <w:vAlign w:val="center"/>
          </w:tcPr>
          <w:p>
            <w:pPr>
              <w:pStyle w:val="TableContents"/>
              <w:bidi w:val="0"/>
              <w:spacing w:before="0" w:after="1"/>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758</w:t>
            </w:r>
          </w:p>
        </w:tc>
        <w:tc>
          <w:tcPr>
            <w:tcW w:w="326" w:type="dxa"/>
            <w:tcBorders/>
            <w:vAlign w:val="center"/>
          </w:tcPr>
          <w:p>
            <w:pPr>
              <w:pStyle w:val="TableContents"/>
              <w:bidi w:val="0"/>
              <w:spacing w:before="0" w:after="1"/>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687</w:t>
            </w:r>
          </w:p>
        </w:tc>
        <w:tc>
          <w:tcPr>
            <w:tcW w:w="37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Company expects all loyalty points revenue related to performance obligations unsatisfied as of June 26, 2024 to be recognized within one year.</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Gift Cards</w:t>
      </w:r>
    </w:p>
    <w:p>
      <w:pPr>
        <w:pStyle w:val="TextBody"/>
        <w:pBdr/>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gift card liability included in other accrued expenses and current liabilities on the condensed consolidated balance sheets was as follows (in thousands):</w:t>
      </w:r>
    </w:p>
    <w:tbl>
      <w:tblPr>
        <w:tblW w:w="4420" w:type="dxa"/>
        <w:jc w:val="left"/>
        <w:tblInd w:w="0" w:type="dxa"/>
        <w:tblLayout w:type="fixed"/>
        <w:tblCellMar>
          <w:top w:w="0" w:type="dxa"/>
          <w:left w:w="0" w:type="dxa"/>
          <w:bottom w:w="0" w:type="dxa"/>
          <w:right w:w="0" w:type="dxa"/>
        </w:tblCellMar>
      </w:tblPr>
      <w:tblGrid>
        <w:gridCol w:w="1531"/>
        <w:gridCol w:w="109"/>
        <w:gridCol w:w="303"/>
        <w:gridCol w:w="823"/>
        <w:gridCol w:w="109"/>
        <w:gridCol w:w="367"/>
        <w:gridCol w:w="1178"/>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972185" cy="175260"/>
                      <wp:effectExtent l="0" t="0" r="0" b="0"/>
                      <wp:wrapNone/>
                      <wp:docPr id="299" name="Frame299"/>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92405" cy="175260"/>
                      <wp:effectExtent l="0" t="0" r="0" b="0"/>
                      <wp:wrapNone/>
                      <wp:docPr id="301" name="Frame30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22605" cy="175260"/>
                      <wp:effectExtent l="0" t="0" r="0" b="0"/>
                      <wp:wrapNone/>
                      <wp:docPr id="302" name="Frame302"/>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33045" cy="175260"/>
                      <wp:effectExtent l="0" t="0" r="0" b="0"/>
                      <wp:wrapNone/>
                      <wp:docPr id="304" name="Frame304"/>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748030" cy="175260"/>
                      <wp:effectExtent l="0" t="0" r="0" b="0"/>
                      <wp:wrapNone/>
                      <wp:docPr id="305" name="Frame305"/>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 2023</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card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4,534</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4,877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left"/>
        <w:rPr>
          <w:rFonts w:ascii="Times New Roman;Times;serif" w:hAnsi="Times New Roman;Times;serif"/>
          <w:sz w:val="20"/>
        </w:rPr>
      </w:pPr>
      <w:bookmarkStart w:id="1281" w:name="Tc_sca63M_uG0GSTi3Zk8vseg_3_10"/>
      <w:bookmarkStart w:id="1282" w:name="Tc_CeYrXf1ovE-McmSmXYgN3w_3_7"/>
      <w:bookmarkStart w:id="1283" w:name="Tc_OCZcxglo6km9XSEKGHFB0g_3_4"/>
      <w:bookmarkStart w:id="1284" w:name="Tc_8Gc1h6vjYEmDbeNAGBovsA_3_1"/>
      <w:bookmarkStart w:id="1285" w:name="Tc_VHjT_ZTRskGnF0N61Ww7gg_3_0"/>
      <w:bookmarkStart w:id="1286" w:name="Tc_eWHmiBMCgUmV0f5CIvYFbQ_2_10"/>
      <w:bookmarkStart w:id="1287" w:name="Tc_zuAti1Pr70SZYx53DTaKuw_2_7"/>
      <w:bookmarkStart w:id="1288" w:name="Tc_CKvfBl4IA0yMuoRjU-_5rg_2_4"/>
      <w:bookmarkStart w:id="1289" w:name="Tc_YlxOPK3QeUSNiHJSoE7zxw_2_1"/>
      <w:bookmarkStart w:id="1290" w:name="Tc_cBTSqxvDFUe-fESVJGevIQ_1_7"/>
      <w:bookmarkStart w:id="1291" w:name="Tc_wwX7QJQQ4kCLzW9AWU5fVA_1_1"/>
      <w:bookmarkStart w:id="1292" w:name="_cc622cec_69cd_4e62_a6a7_705053668e13"/>
      <w:bookmarkEnd w:id="1281"/>
      <w:bookmarkEnd w:id="1282"/>
      <w:bookmarkEnd w:id="1283"/>
      <w:bookmarkEnd w:id="1284"/>
      <w:bookmarkEnd w:id="1285"/>
      <w:bookmarkEnd w:id="1286"/>
      <w:bookmarkEnd w:id="1287"/>
      <w:bookmarkEnd w:id="1288"/>
      <w:bookmarkEnd w:id="1289"/>
      <w:bookmarkEnd w:id="1290"/>
      <w:bookmarkEnd w:id="1291"/>
      <w:bookmarkEnd w:id="1292"/>
      <w:r>
        <w:rPr>
          <w:rFonts w:ascii="Times New Roman;Times;serif" w:hAnsi="Times New Roman;Times;serif"/>
          <w:sz w:val="20"/>
        </w:rPr>
        <w:t>Revenue recognized from the redemption of gift cards that was included in other accrued expenses and current liabilities at the beginning of the year was as follows (in thousands):</w:t>
      </w:r>
    </w:p>
    <w:tbl>
      <w:tblPr>
        <w:tblW w:w="10205" w:type="dxa"/>
        <w:jc w:val="left"/>
        <w:tblInd w:w="0" w:type="dxa"/>
        <w:tblLayout w:type="fixed"/>
        <w:tblCellMar>
          <w:top w:w="0" w:type="dxa"/>
          <w:left w:w="0" w:type="dxa"/>
          <w:bottom w:w="0" w:type="dxa"/>
          <w:right w:w="0" w:type="dxa"/>
        </w:tblCellMar>
      </w:tblPr>
      <w:tblGrid>
        <w:gridCol w:w="5064"/>
        <w:gridCol w:w="375"/>
        <w:gridCol w:w="751"/>
        <w:gridCol w:w="129"/>
        <w:gridCol w:w="375"/>
        <w:gridCol w:w="751"/>
        <w:gridCol w:w="326"/>
        <w:gridCol w:w="375"/>
        <w:gridCol w:w="751"/>
        <w:gridCol w:w="135"/>
        <w:gridCol w:w="335"/>
        <w:gridCol w:w="838"/>
      </w:tblGrid>
      <w:tr>
        <w:trPr/>
        <w:tc>
          <w:tcPr>
            <w:tcW w:w="5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215640" cy="175260"/>
                      <wp:effectExtent l="0" t="0" r="0" b="0"/>
                      <wp:wrapNone/>
                      <wp:docPr id="306" name="Frame306"/>
                      <a:graphic xmlns:a="http://schemas.openxmlformats.org/drawingml/2006/main">
                        <a:graphicData uri="http://schemas.microsoft.com/office/word/2010/wordprocessingShape">
                          <wps:wsp>
                            <wps:cNvSpPr txBox="1"/>
                            <wps:spPr>
                              <a:xfrm>
                                <a:off x="0" y="0"/>
                                <a:ext cx="3215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38125" cy="175260"/>
                      <wp:effectExtent l="0" t="0" r="0" b="0"/>
                      <wp:wrapNone/>
                      <wp:docPr id="307" name="Frame307"/>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76885" cy="175260"/>
                      <wp:effectExtent l="0" t="0" r="0" b="0"/>
                      <wp:wrapNone/>
                      <wp:docPr id="308" name="Frame30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81915" cy="175260"/>
                      <wp:effectExtent l="0" t="0" r="0" b="0"/>
                      <wp:wrapNone/>
                      <wp:docPr id="309" name="Frame309"/>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38125" cy="175260"/>
                      <wp:effectExtent l="0" t="0" r="0" b="0"/>
                      <wp:wrapNone/>
                      <wp:docPr id="310" name="Frame31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76885" cy="175260"/>
                      <wp:effectExtent l="0" t="0" r="0" b="0"/>
                      <wp:wrapNone/>
                      <wp:docPr id="311" name="Frame31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38125" cy="175260"/>
                      <wp:effectExtent l="0" t="0" r="0" b="0"/>
                      <wp:wrapNone/>
                      <wp:docPr id="313" name="Frame31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76885" cy="175260"/>
                      <wp:effectExtent l="0" t="0" r="0" b="0"/>
                      <wp:wrapNone/>
                      <wp:docPr id="314" name="Frame31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85725" cy="175260"/>
                      <wp:effectExtent l="0" t="0" r="0" b="0"/>
                      <wp:wrapNone/>
                      <wp:docPr id="315" name="Frame315"/>
                      <a:graphic xmlns:a="http://schemas.openxmlformats.org/drawingml/2006/main">
                        <a:graphicData uri="http://schemas.microsoft.com/office/word/2010/wordprocessingShape">
                          <wps:wsp>
                            <wps:cNvSpPr txBox="1"/>
                            <wps:spPr>
                              <a:xfrm>
                                <a:off x="0" y="0"/>
                                <a:ext cx="85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2725" cy="175260"/>
                      <wp:effectExtent l="0" t="0" r="0" b="0"/>
                      <wp:wrapNone/>
                      <wp:docPr id="316" name="Frame31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32130" cy="175260"/>
                      <wp:effectExtent l="0" t="0" r="0" b="0"/>
                      <wp:wrapNone/>
                      <wp:docPr id="317" name="Frame317"/>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64" w:type="dxa"/>
            <w:tcBorders/>
            <w:vAlign w:val="center"/>
          </w:tcPr>
          <w:p>
            <w:pPr>
              <w:pStyle w:val="TableContents"/>
              <w:bidi w:val="0"/>
              <w:spacing w:before="0" w:after="1"/>
              <w:ind w:left="0" w:right="0" w:hanging="0"/>
              <w:jc w:val="left"/>
              <w:rPr/>
            </w:pPr>
            <w:r>
              <w:rPr/>
              <w:t>​</w:t>
            </w:r>
          </w:p>
        </w:tc>
        <w:tc>
          <w:tcPr>
            <w:tcW w:w="238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1"/>
              <w:ind w:left="0" w:right="0" w:hanging="0"/>
              <w:jc w:val="left"/>
              <w:rPr/>
            </w:pPr>
            <w:r>
              <w:rPr/>
              <w:t>​</w:t>
            </w:r>
          </w:p>
        </w:tc>
        <w:tc>
          <w:tcPr>
            <w:tcW w:w="24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5064"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29"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35" w:type="dxa"/>
            <w:tcBorders/>
            <w:vAlign w:val="center"/>
          </w:tcPr>
          <w:p>
            <w:pPr>
              <w:pStyle w:val="TableContents"/>
              <w:bidi w:val="0"/>
              <w:spacing w:before="0" w:after="1"/>
              <w:ind w:left="0" w:right="0" w:hanging="0"/>
              <w:jc w:val="left"/>
              <w:rPr/>
            </w:pPr>
            <w:r>
              <w:rPr/>
              <w:t>​</w:t>
            </w:r>
          </w:p>
        </w:tc>
        <w:tc>
          <w:tcPr>
            <w:tcW w:w="11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2023</w:t>
            </w:r>
          </w:p>
        </w:tc>
      </w:tr>
      <w:tr>
        <w:trPr/>
        <w:tc>
          <w:tcPr>
            <w:tcW w:w="50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 from gift card liability balance at the beginning of the year</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129" w:type="dxa"/>
            <w:tcBorders/>
            <w:shd w:fill="CCEEFF" w:val="clear"/>
            <w:vAlign w:val="center"/>
          </w:tcPr>
          <w:p>
            <w:pPr>
              <w:pStyle w:val="TableContents"/>
              <w:bidi w:val="0"/>
              <w:spacing w:before="0" w:after="1"/>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w:t>
            </w:r>
          </w:p>
        </w:tc>
        <w:tc>
          <w:tcPr>
            <w:tcW w:w="135"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3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732</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Contract Costs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does not currently incur costs to obtain or fulfill a contract that would be considered contract assets under Topic 606.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Nature of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operations utilize property, facilities, equipment and vehicles leased from others. Additionally, the Company has various contracts with vendors that have been determined to contain an embedded lease in accordance with Topic 842.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w:t>
      </w:r>
      <w:r>
        <w:rPr>
          <w:rFonts w:ascii="Times New Roman;Times;serif" w:hAnsi="Times New Roman;Times;serif"/>
          <w:b w:val="false"/>
          <w:i w:val="false"/>
          <w:caps w:val="false"/>
          <w:smallCaps w:val="false"/>
          <w:sz w:val="20"/>
        </w:rPr>
        <w:t>June 26, 2024</w:t>
      </w:r>
      <w:r>
        <w:rPr>
          <w:rFonts w:ascii="Times New Roman;Times;serif" w:hAnsi="Times New Roman;Times;serif"/>
          <w:sz w:val="20"/>
        </w:rPr>
        <w:t>, the Company had two leases that it had entered into, but had not yet commenced. The Company does not have control of the property until lease commencement.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Building and Facility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majority of the Company’s building and facilities leases are classified as operating leases; however, the Company currently has one facility and 20 equipment leases that are classified as finance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that increase at pre-determined dates based on the change in the consumer price index. For all leases, the Company also reimburses the landlord for non-lease components, or items that are not considered components of a contract, such as CAM,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initial terms of land and restaurant building leases are generally 20 years, exclusive of options to renew. These leases typically have four </w:t>
      </w:r>
      <w:r>
        <w:rPr>
          <w:rFonts w:ascii="Times New Roman;Times;serif" w:hAnsi="Times New Roman;Times;serif"/>
          <w:b w:val="false"/>
          <w:i w:val="false"/>
          <w:caps w:val="false"/>
          <w:smallCaps w:val="false"/>
          <w:sz w:val="20"/>
        </w:rPr>
        <w:t>5-year</w:t>
      </w:r>
      <w:r>
        <w:rPr>
          <w:rFonts w:ascii="Times New Roman;Times;serif" w:hAnsi="Times New Roman;Times;serif"/>
          <w:sz w:val="20"/>
        </w:rPr>
        <w:t xml:space="preserve">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thirteen and twenty-six weeks ended June 26, 2024, the Company reassessed the lease terms on 4 and 12 restaurants, respectively, due to certain triggering events, such as the addition of significant leasehold improvements with useful lives that extend past the current lease expiration, the decision to terminate a lease, or the decision to renew. As a result of the reassessment, an additional</w:t>
      </w:r>
      <w:r>
        <w:rPr>
          <w:rFonts w:ascii="Times New Roman;Times;serif" w:hAnsi="Times New Roman;Times;serif"/>
          <w:sz w:val="20"/>
          <w:shd w:fill="FFFFFF" w:val="clear"/>
        </w:rPr>
        <w:t xml:space="preserve"> $1.8 million and $8.1 million </w:t>
      </w:r>
      <w:r>
        <w:rPr>
          <w:rFonts w:ascii="Times New Roman;Times;serif" w:hAnsi="Times New Roman;Times;serif"/>
          <w:sz w:val="20"/>
        </w:rPr>
        <w:t xml:space="preserve">of ROU asset and lease liabilities for the thirteen and twenty-six weeks ended June 26, 2024, respectively, were recognized and will be amortized over the new lease term. During the thirteen and twenty-six weeks ended June 28, 2023, the Company reassessed the lease terms on 10 and 22 restaurants, respectively, due to certain triggering events, such as the addition of significant leasehold improvements with useful lives that extend past the current lease expiration, the decision to terminate a lease, or the decision to renew. This reassessment resulted in an additional $3.5 million and </w:t>
      </w:r>
      <w:r>
        <w:rPr>
          <w:rFonts w:ascii="Times New Roman;Times;serif" w:hAnsi="Times New Roman;Times;serif"/>
          <w:sz w:val="20"/>
          <w:shd w:fill="FFFFFF" w:val="clear"/>
        </w:rPr>
        <w:t xml:space="preserve">$13.6 million </w:t>
      </w:r>
      <w:r>
        <w:rPr>
          <w:rFonts w:ascii="Times New Roman;Times;serif" w:hAnsi="Times New Roman;Times;serif"/>
          <w:sz w:val="20"/>
        </w:rPr>
        <w:t>of ROU asset and lease liabilities for the thirteen and twenty-six weeks ended June 28, 2023, respectively, which were recognized and will be amortized over the new lease term. Additionally, as the Company adopted all practical expedients available under Topic 842, no reallocation between lease and non-lease components was necessary.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93" w:name="_faa7672b_d984_40b2_b22d_14f1f5511c56"/>
      <w:bookmarkStart w:id="1294" w:name="Tc_wVyxdfoobkeZ7HBTCYDP_A_13_17"/>
      <w:bookmarkStart w:id="1295" w:name="Tc_B0tnL7pk1kWXT-F7vCxtoA_13_14"/>
      <w:bookmarkStart w:id="1296" w:name="Tc_oT0rLNI2Ek2-fOwUJ2eFKA_13_11"/>
      <w:bookmarkStart w:id="1297" w:name="Tc_DNNu_9c1vk2NAS91AtKv1A_13_8"/>
      <w:bookmarkStart w:id="1298" w:name="Tc_DAHDPWA9Z0Skn5-_mVU6-g_13_5"/>
      <w:bookmarkStart w:id="1299" w:name="Tc_8N9jQQfasUOTim36QraVEA_13_2"/>
      <w:bookmarkStart w:id="1300" w:name="Tc_XZUxWKuzzk66LZH_cSTVng_13_0"/>
      <w:bookmarkStart w:id="1301" w:name="Tc_0Gg55ZAkuECJqRMabYaYLQ_12_15"/>
      <w:bookmarkStart w:id="1302" w:name="Tc_3sDeM2iSsk67OoWe7FhSGw_12_6"/>
      <w:bookmarkStart w:id="1303" w:name="Tc_k5XXo2Dc7U-mb7y3lROpMQ_12_0"/>
      <w:bookmarkStart w:id="1304" w:name="Tc_lV0W-9U77kucNDg6GZRKyg_11_0"/>
      <w:bookmarkStart w:id="1305" w:name="Tc_kLGrWq6ITk-atmuuZwnyvg_10_12"/>
      <w:bookmarkStart w:id="1306" w:name="Tc_WwGNAE57UkOP-sop7qYVgQ_10_9"/>
      <w:bookmarkStart w:id="1307" w:name="Tc_HZyTx_Lv2kC54HE-JIDs_Q_10_6"/>
      <w:bookmarkStart w:id="1308" w:name="Tc_h4hqdefoC0ifpD2sX9pCmg_10_3"/>
      <w:bookmarkStart w:id="1309" w:name="Tc_cfib-ZGw3Eii5bzGgftn-A_10_0"/>
      <w:bookmarkStart w:id="1310" w:name="Tc_R4ojWdWq_kywFiYGFfuGtA_9_0"/>
      <w:bookmarkStart w:id="1311" w:name="Tc_Qmzb1GbZXE6tkUnxhKH1VA_8_0"/>
      <w:bookmarkStart w:id="1312" w:name="Tc__DtqlkfVu0i7E9odZV5h5Q_7_15"/>
      <w:bookmarkStart w:id="1313" w:name="Tc__e94qeZAgEKNOx0i4_8tOw_7_0"/>
      <w:bookmarkStart w:id="1314" w:name="Tc_CdI8IXTwsk6lRI_Cj36m1g_6_17"/>
      <w:bookmarkStart w:id="1315" w:name="Tc_ILILTa4CqU-tD2_nBfcvCw_6_15"/>
      <w:bookmarkStart w:id="1316" w:name="Tc_SS9yjJ3E2UOvyltZ0wplmA_6_14"/>
      <w:bookmarkStart w:id="1317" w:name="Tc_1KSBNtw3P0mtbK3cHzGxXw_6_11"/>
      <w:bookmarkStart w:id="1318" w:name="Tc_nvGdENgztkKi4RSW8vQ7PA_6_8"/>
      <w:bookmarkStart w:id="1319" w:name="Tc_JjMtZVJRPk-6RJObNH-PQA_6_5"/>
      <w:bookmarkStart w:id="1320" w:name="Tc_RVRz9OIINUy0dk3ojH8lgg_6_2"/>
      <w:bookmarkStart w:id="1321" w:name="Tc_LsTTOAZi3EiVS4MseWuIDQ_6_0"/>
      <w:bookmarkStart w:id="1322" w:name="Tc_lYj1YwLIIEq8ySe0Yw7PNA_5_0"/>
      <w:bookmarkStart w:id="1323" w:name="Tc_ZvgES9mBHkWiX_OwfFFWHw_4_17"/>
      <w:bookmarkStart w:id="1324" w:name="Tc_byZeTSMX5k-CrqmLbXxOeg_4_14"/>
      <w:bookmarkStart w:id="1325" w:name="Tc_PeI6M923-0SSlHTYahlR6w_4_11"/>
      <w:bookmarkStart w:id="1326" w:name="Tc_IfGjoD89qUiIRbgZha6Iqg_4_8"/>
      <w:bookmarkStart w:id="1327" w:name="Tc_46HhwaRXs0a4Pv4nVWNLSw_4_5"/>
      <w:bookmarkStart w:id="1328" w:name="Tc_5DJFuF2o5EeXp77dfOcyEA_4_2"/>
      <w:bookmarkStart w:id="1329" w:name="Tc_WzUmSacDYUuYT5xCgLMkZQ_3_14"/>
      <w:bookmarkStart w:id="1330" w:name="Tc_okRJ2y4aMUqkbc4XNtyhGA_3_11"/>
      <w:bookmarkStart w:id="1331" w:name="Tc_k3o8ell84ESu6zJkvEpTIA_3_5"/>
      <w:bookmarkStart w:id="1332" w:name="Tc_7g3qchVY-0GnvYGAodUEcA_3_2"/>
      <w:bookmarkStart w:id="1333" w:name="Tc_iiAWH4bXQ0SgC7mifthxEA_2_11"/>
      <w:bookmarkStart w:id="1334" w:name="Tc_ZyeeojHR80qQG1B40n7Bpw_2_2"/>
      <w:bookmarkStart w:id="1335" w:name="Tc_66FD3A3anEGTKx1S1vup_A_1_2"/>
      <w:bookmarkStart w:id="1336" w:name="_fee71153_8c0d_408c_8752_a3ebe1eab17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r>
        <w:rPr>
          <w:rFonts w:ascii="Times New Roman;Times;serif" w:hAnsi="Times New Roman;Times;serif"/>
          <w:sz w:val="20"/>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twenty-six weeks ended June 26, 2024, the Company did not record any non-cash impairment charges. During the twenty-six weeks ended June 28, 2023, the Company recorded a less than $0.1 million non-cash impairment charge related to the carrying value of ROU assets of one restaurant in California. See Note 1, “Basis of Presentation and Summary of Significant Accounting Policies – Impairment of Long-Lived Assets and ROU Assets” for additional information.</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Significant Assumptions and Judgments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applying the requirements of Topic 842, the Company made significant assumptions and judgments related to determination of whether a contract contains a lease and the discount rate used for the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also made significant assumptions and judgments in determining an appropriate discount rate for property leases. These included using a consistent discount rate for a portfolio of leases entered into at varying dates, using the full </w:t>
      </w:r>
      <w:r>
        <w:rPr>
          <w:rFonts w:ascii="Times New Roman;Times;serif" w:hAnsi="Times New Roman;Times;serif"/>
          <w:b w:val="false"/>
          <w:i w:val="false"/>
          <w:caps w:val="false"/>
          <w:smallCaps w:val="false"/>
          <w:sz w:val="20"/>
        </w:rPr>
        <w:t>20-year</w:t>
      </w:r>
      <w:r>
        <w:rPr>
          <w:rFonts w:ascii="Times New Roman;Times;serif" w:hAnsi="Times New Roman;Times;serif"/>
          <w:sz w:val="20"/>
        </w:rPr>
        <w:t xml:space="preserve">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the Company has adopted the practical expedient not to separate lease and non-lease components, no significant assumptions or judgments were necessary in allocating consideration between these components, for all classes of underlying assets.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total lease cost, disaggregated by underlying asset (in thousands):</w:t>
      </w:r>
    </w:p>
    <w:p>
      <w:pPr>
        <w:pStyle w:val="TextBody"/>
        <w:bidi w:val="0"/>
        <w:spacing w:before="0" w:after="0"/>
        <w:ind w:left="0" w:right="0" w:hanging="0"/>
        <w:jc w:val="left"/>
        <w:rPr/>
      </w:pPr>
      <w:r>
        <w:rPr/>
        <w:t>​</w:t>
      </w:r>
    </w:p>
    <w:tbl>
      <w:tblPr>
        <w:tblW w:w="9641" w:type="dxa"/>
        <w:jc w:val="left"/>
        <w:tblInd w:w="0" w:type="dxa"/>
        <w:tblLayout w:type="fixed"/>
        <w:tblCellMar>
          <w:top w:w="0" w:type="dxa"/>
          <w:left w:w="0" w:type="dxa"/>
          <w:bottom w:w="0" w:type="dxa"/>
          <w:right w:w="0" w:type="dxa"/>
        </w:tblCellMar>
      </w:tblPr>
      <w:tblGrid>
        <w:gridCol w:w="2911"/>
        <w:gridCol w:w="326"/>
        <w:gridCol w:w="211"/>
        <w:gridCol w:w="691"/>
        <w:gridCol w:w="326"/>
        <w:gridCol w:w="295"/>
        <w:gridCol w:w="591"/>
        <w:gridCol w:w="326"/>
        <w:gridCol w:w="211"/>
        <w:gridCol w:w="691"/>
        <w:gridCol w:w="109"/>
        <w:gridCol w:w="211"/>
        <w:gridCol w:w="691"/>
        <w:gridCol w:w="109"/>
        <w:gridCol w:w="295"/>
        <w:gridCol w:w="591"/>
        <w:gridCol w:w="109"/>
        <w:gridCol w:w="211"/>
        <w:gridCol w:w="73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848485" cy="175260"/>
                      <wp:effectExtent l="0" t="0" r="0" b="0"/>
                      <wp:wrapNone/>
                      <wp:docPr id="318" name="Frame318"/>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38785" cy="175260"/>
                      <wp:effectExtent l="0" t="0" r="0" b="0"/>
                      <wp:wrapNone/>
                      <wp:docPr id="321" name="Frame3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87325" cy="175260"/>
                      <wp:effectExtent l="0" t="0" r="0" b="0"/>
                      <wp:wrapNone/>
                      <wp:docPr id="323" name="Frame323"/>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75285" cy="175260"/>
                      <wp:effectExtent l="0" t="0" r="0" b="0"/>
                      <wp:wrapNone/>
                      <wp:docPr id="324" name="Frame324"/>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38785" cy="175260"/>
                      <wp:effectExtent l="0" t="0" r="0" b="0"/>
                      <wp:wrapNone/>
                      <wp:docPr id="327" name="Frame32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9215" cy="175260"/>
                      <wp:effectExtent l="0" t="0" r="0" b="0"/>
                      <wp:wrapNone/>
                      <wp:docPr id="328"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38785" cy="175260"/>
                      <wp:effectExtent l="0" t="0" r="0" b="0"/>
                      <wp:wrapNone/>
                      <wp:docPr id="330" name="Frame3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87325" cy="175260"/>
                      <wp:effectExtent l="0" t="0" r="0" b="0"/>
                      <wp:wrapNone/>
                      <wp:docPr id="332" name="Frame332"/>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375285" cy="175260"/>
                      <wp:effectExtent l="0" t="0" r="0" b="0"/>
                      <wp:wrapNone/>
                      <wp:docPr id="333" name="Frame333"/>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9215" cy="175260"/>
                      <wp:effectExtent l="0" t="0" r="0" b="0"/>
                      <wp:wrapNone/>
                      <wp:docPr id="334" name="Frame3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5"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67360" cy="175260"/>
                      <wp:effectExtent l="0" t="0" r="0" b="0"/>
                      <wp:wrapNone/>
                      <wp:docPr id="336" name="Frame33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04"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4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109" w:type="dxa"/>
            <w:tcBorders/>
            <w:vAlign w:val="center"/>
          </w:tcPr>
          <w:p>
            <w:pPr>
              <w:pStyle w:val="TableContents"/>
              <w:bidi w:val="0"/>
              <w:spacing w:before="0" w:after="0"/>
              <w:ind w:left="0" w:right="0" w:hanging="0"/>
              <w:jc w:val="center"/>
              <w:rPr/>
            </w:pPr>
            <w:r>
              <w:rPr/>
              <w:t>​</w:t>
            </w:r>
          </w:p>
        </w:tc>
        <w:tc>
          <w:tcPr>
            <w:tcW w:w="29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Finance lease cost: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right"/>
              <w:rPr/>
            </w:pPr>
            <w:r>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 cost: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rent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7,180</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6,873</w:t>
            </w:r>
          </w:p>
        </w:tc>
        <w:tc>
          <w:tcPr>
            <w:tcW w:w="109"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109" w:type="dxa"/>
            <w:tcBorders/>
            <w:shd w:fill="CCEEFF" w:val="cle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(1,758)</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(1,758)</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w:t>
            </w:r>
          </w:p>
        </w:tc>
        <w:tc>
          <w:tcPr>
            <w:tcW w:w="109" w:type="dxa"/>
            <w:tcBorders/>
            <w:vAlign w:val="center"/>
          </w:tcPr>
          <w:p>
            <w:pPr>
              <w:pStyle w:val="TableContents"/>
              <w:bidi w:val="0"/>
              <w:spacing w:before="0" w:after="0"/>
              <w:ind w:left="0" w:right="0" w:hanging="0"/>
              <w:jc w:val="righ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5,601</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5,786</w:t>
            </w:r>
          </w:p>
        </w:tc>
        <w:tc>
          <w:tcPr>
            <w:tcW w:w="109" w:type="dxa"/>
            <w:tcBorders/>
            <w:shd w:fill="CCEEFF" w:val="clear"/>
            <w:vAlign w:val="center"/>
          </w:tcPr>
          <w:p>
            <w:pPr>
              <w:pStyle w:val="TableContents"/>
              <w:bidi w:val="0"/>
              <w:spacing w:before="0" w:after="0"/>
              <w:ind w:left="0" w:right="0" w:hanging="0"/>
              <w:jc w:val="righ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6,228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131"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78740" cy="175260"/>
                      <wp:effectExtent l="0" t="0" r="0" b="0"/>
                      <wp:wrapNone/>
                      <wp:docPr id="337" name="Frame33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8"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9" name="Frame3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260"/>
                      <wp:effectExtent l="0" t="0" r="0" b="0"/>
                      <wp:wrapNone/>
                      <wp:docPr id="340"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41" name="Frame3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215" cy="175260"/>
                      <wp:effectExtent l="0" t="0" r="0" b="0"/>
                      <wp:wrapNone/>
                      <wp:docPr id="342" name="Frame3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3" name="Frame3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215" cy="175260"/>
                      <wp:effectExtent l="0" t="0" r="0" b="0"/>
                      <wp:wrapNone/>
                      <wp:docPr id="344" name="Frame3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9215" cy="175260"/>
                      <wp:effectExtent l="0" t="0" r="0" b="0"/>
                      <wp:wrapNone/>
                      <wp:docPr id="345" name="Frame3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215" cy="175260"/>
                      <wp:effectExtent l="0" t="0" r="0" b="0"/>
                      <wp:wrapNone/>
                      <wp:docPr id="346" name="Frame3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8" name="Frame3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9215" cy="175260"/>
                      <wp:effectExtent l="0" t="0" r="0" b="0"/>
                      <wp:wrapNone/>
                      <wp:docPr id="349" name="Frame3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215" cy="175260"/>
                      <wp:effectExtent l="0" t="0" r="0" b="0"/>
                      <wp:wrapNone/>
                      <wp:docPr id="350" name="Frame3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9215" cy="175260"/>
                      <wp:effectExtent l="0" t="0" r="0" b="0"/>
                      <wp:wrapNone/>
                      <wp:docPr id="351" name="Frame3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9215" cy="175260"/>
                      <wp:effectExtent l="0" t="0" r="0" b="0"/>
                      <wp:wrapNone/>
                      <wp:docPr id="352" name="Frame3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9215" cy="175260"/>
                      <wp:effectExtent l="0" t="0" r="0" b="0"/>
                      <wp:wrapNone/>
                      <wp:docPr id="353" name="Frame3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9215" cy="175260"/>
                      <wp:effectExtent l="0" t="0" r="0" b="0"/>
                      <wp:wrapNone/>
                      <wp:docPr id="354" name="Frame3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97790" cy="175260"/>
                      <wp:effectExtent l="0" t="0" r="0" b="0"/>
                      <wp:wrapNone/>
                      <wp:docPr id="355" name="Frame35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37" w:name="Tc_2ohFJlbBcUe7D6K9i--P9w_19_16"/>
      <w:bookmarkStart w:id="1338" w:name="Tc_DmlnsCgTS0qP-IylxxfXUg_19_13"/>
      <w:bookmarkStart w:id="1339" w:name="Tc_xKd86WaNZUqhgN97Kb3svw_19_7"/>
      <w:bookmarkStart w:id="1340" w:name="Tc_o7xh6d2A3ECJMV8NyetqEQ_19_4"/>
      <w:bookmarkStart w:id="1341" w:name="Tc_SFnaZI3b7UW1mJ_tVnhHxw_19_0"/>
      <w:bookmarkStart w:id="1342" w:name="Tc_MyfQrIPy8U6a9ga6H6j8zA_18_16"/>
      <w:bookmarkStart w:id="1343" w:name="Tc_jqZadinuFkuG5nIhkfKg0A_18_13"/>
      <w:bookmarkStart w:id="1344" w:name="Tc_RtMma5Z5oEKR2_1sC5Qt5Q_18_7"/>
      <w:bookmarkStart w:id="1345" w:name="Tc_ij7zlBP93Umbp-WBn3wYtw_18_4"/>
      <w:bookmarkStart w:id="1346" w:name="Tc_-XmBxSV71k2WrnRu9MdNRQ_18_0"/>
      <w:bookmarkStart w:id="1347" w:name="Tc_X7iFlsg--0aG9L25cJO_pA_17_0"/>
      <w:bookmarkStart w:id="1348" w:name="Tc_atTU0TgTwUG3xXHF2vKwtQ_16_0"/>
      <w:bookmarkStart w:id="1349" w:name="Tc_AtCshiOFsUiwDa8MPeDQJA_15_0"/>
      <w:bookmarkStart w:id="1350" w:name="Tc_h_Uxiyvb5UmdIWS_luElxA_13_17"/>
      <w:bookmarkStart w:id="1351" w:name="Tc_N1dyC1vPRUCa2JYZ8f07xQ_13_15"/>
      <w:bookmarkStart w:id="1352" w:name="Tc_OdHzsbgtVk2lDDO_KNG3Fg_13_14"/>
      <w:bookmarkStart w:id="1353" w:name="Tc_kiha2NMs9Ee9uTaJGATLgg_13_11"/>
      <w:bookmarkStart w:id="1354" w:name="Tc_5t0ItJP8rEikzuledeintQ_13_9"/>
      <w:bookmarkStart w:id="1355" w:name="Tc_ELpow3-EOkW_grI3ljR_Kg_13_8"/>
      <w:bookmarkStart w:id="1356" w:name="Tc_bqE95dP6yky7ya8L1r3v7w_13_6"/>
      <w:bookmarkStart w:id="1357" w:name="Tc_aX-8kke6Y0yr4wasUv_CDQ_13_5"/>
      <w:bookmarkStart w:id="1358" w:name="Tc_Inixmkvfgk6CJ1dznMzdiw_13_3"/>
      <w:bookmarkStart w:id="1359" w:name="Tc_ql-SvRnQq0qFBY2Y91Luig_13_2"/>
      <w:bookmarkStart w:id="1360" w:name="Tc_aB9igZrScEWTKC2wfHHtMg_13_0"/>
      <w:bookmarkStart w:id="1361" w:name="Tc_xGGCLOYomEua6sH5-3utsA_12_18"/>
      <w:bookmarkStart w:id="1362" w:name="Tc_0Uy3nWieT0e7UNZ89UL8Aw_12_17"/>
      <w:bookmarkStart w:id="1363" w:name="Tc_uU999QrFG0WybDU99c-wkQ_12_15"/>
      <w:bookmarkStart w:id="1364" w:name="Tc_cn65keVNdEGbUTW9Zg5BVQ_12_14"/>
      <w:bookmarkStart w:id="1365" w:name="Tc_WpiGLhC3x0O0aQkwrSQs7w_12_12"/>
      <w:bookmarkStart w:id="1366" w:name="Tc_ycqqGom3YUWXSbdbeOdObQ_12_11"/>
      <w:bookmarkStart w:id="1367" w:name="Tc_eCOQp2f5_UyIh9Vn3FwFUg_12_8"/>
      <w:bookmarkStart w:id="1368" w:name="Tc_yWiwA0LTek-FAryI3_-ohw_12_5"/>
      <w:bookmarkStart w:id="1369" w:name="Tc_iKl5ZHNBi0akXCGjzYG_ag_12_3"/>
      <w:bookmarkStart w:id="1370" w:name="Tc_dCvj9IpvtkKBhaSVqHzhuA_12_2"/>
      <w:bookmarkStart w:id="1371" w:name="Tc_5rcGUVafhkWUsK02JG5Hbw_12_0"/>
      <w:bookmarkStart w:id="1372" w:name="Tc__DRA9cSbQk6seixbjRI8tA_11_0"/>
      <w:bookmarkStart w:id="1373" w:name="Tc_iEYzcv1raEuzf4InxrjcGQ_10_17"/>
      <w:bookmarkStart w:id="1374" w:name="Tc_iWJ2yO45l06ShnpgcCrwRg_10_14"/>
      <w:bookmarkStart w:id="1375" w:name="Tc_wimVvIuyWUOUr22S2NZx5w_10_11"/>
      <w:bookmarkStart w:id="1376" w:name="Tc_HKKCGJuWekW7MFbFPom3PA_10_8"/>
      <w:bookmarkStart w:id="1377" w:name="Tc_w6deGi9uGEiLKjcv1oiy_Q_10_5"/>
      <w:bookmarkStart w:id="1378" w:name="Tc_89fLw3yImE6oBEHU3wfKBg_10_2"/>
      <w:bookmarkStart w:id="1379" w:name="Tc_DvClmdXPN0elsvZeEMQ6EQ_10_0"/>
      <w:bookmarkStart w:id="1380" w:name="Tc_6PhMLn5eYUO1Ng8KDOCVVg_9_0"/>
      <w:bookmarkStart w:id="1381" w:name="Tc_cmEogH6lMUmQyV-j6-ciZw_8_0"/>
      <w:bookmarkStart w:id="1382" w:name="Tc_kvXQLT14s0qG2Re5sJBSYA_6_17"/>
      <w:bookmarkStart w:id="1383" w:name="Tc_HkwpukDj_0GUIySAb17eFw_6_14"/>
      <w:bookmarkStart w:id="1384" w:name="Tc_K5KdKXkqD0eMz_F4iOIBng_6_11"/>
      <w:bookmarkStart w:id="1385" w:name="Tc_x15rsVgfmkqADJXRGD3W_g_6_8"/>
      <w:bookmarkStart w:id="1386" w:name="Tc_61C5dbtT-0mipyTpgqONOg_6_5"/>
      <w:bookmarkStart w:id="1387" w:name="Tc_ql6yviSUi0OtNMG00mcuzg_6_2"/>
      <w:bookmarkStart w:id="1388" w:name="Tc_eOfEdhadJEWWdZFiL-afNA_6_0"/>
      <w:bookmarkStart w:id="1389" w:name="Tc_U-42OxRK3UuEXjdjAzw30A_5_17"/>
      <w:bookmarkStart w:id="1390" w:name="Tc_z0KSi3RcaEC8oHyP4xfQdA_5_14"/>
      <w:bookmarkStart w:id="1391" w:name="Tc_Yj3iuEAV8UWwN--nPbeG0A_5_11"/>
      <w:bookmarkStart w:id="1392" w:name="Tc_a27pxWFC_0qpxU-kFTzXaQ_5_8"/>
      <w:bookmarkStart w:id="1393" w:name="Tc_JmUAocoMtk6FrrLiHIz7_A_5_5"/>
      <w:bookmarkStart w:id="1394" w:name="Tc_JEY_QDqUo0WlP8M6ZNXJ8Q_5_2"/>
      <w:bookmarkStart w:id="1395" w:name="Tc_h13Z0uHCx0-_Hy73ACEnCw_5_0"/>
      <w:bookmarkStart w:id="1396" w:name="Tc_Vh2Rxn9vEUCuS9eM0KW1Nw_4_0"/>
      <w:bookmarkStart w:id="1397" w:name="Tc_Ic-tuHSJoEecV5M4eCs8GA_3_17"/>
      <w:bookmarkStart w:id="1398" w:name="Tc_jMJikLOhW02pw4M-0m5xWg_3_14"/>
      <w:bookmarkStart w:id="1399" w:name="Tc_Vr6sBxWp50uySyQ-tdDPOw_3_11"/>
      <w:bookmarkStart w:id="1400" w:name="Tc_OA94nE99V0W1H3ZpTMamfQ_3_8"/>
      <w:bookmarkStart w:id="1401" w:name="Tc_RPO6iyvQp0m2c9-YYLRtfg_3_5"/>
      <w:bookmarkStart w:id="1402" w:name="Tc_7A1GO04-mECpG1XpZ9qX4A_3_2"/>
      <w:bookmarkStart w:id="1403" w:name="Tc_pKSoU0FgZkqsVMsuNOBpEA_2_14"/>
      <w:bookmarkStart w:id="1404" w:name="Tc_YhB7nq4hW0qBXQ2dHFMb-g_2_11"/>
      <w:bookmarkStart w:id="1405" w:name="Tc_P0u_TMHLZkSiPpx2rqGpZw_2_5"/>
      <w:bookmarkStart w:id="1406" w:name="Tc_PJcG8gPMdkmUXBlTsVsFzg_2_2"/>
      <w:bookmarkStart w:id="1407" w:name="Tc_PxJ5rSkl60ivcun9iFLqxA_1_11"/>
      <w:bookmarkStart w:id="1408" w:name="Tc_XjyaX34LN0mTnKbDSm1FyQ_1_2"/>
      <w:bookmarkStart w:id="1409" w:name="_f837dee7_2be0_4118_8732_48fb146ef73c"/>
      <w:bookmarkStart w:id="1410" w:name="Tc_d9LJ5WAR7Ueqh5hsG7eBpw_8_12"/>
      <w:bookmarkStart w:id="1411" w:name="Tc_PEqVS772RUOCQmhtnOSdbA_8_9"/>
      <w:bookmarkStart w:id="1412" w:name="Tc_u43mei6gK02d1fjuTx5t_w_8_5"/>
      <w:bookmarkStart w:id="1413" w:name="Tc_BnEVSlaweEyIVl5nS8tZiw_8_2"/>
      <w:bookmarkStart w:id="1414" w:name="Tc_6m_Bi2v9BkWDsXft41g3GQ_8_0"/>
      <w:bookmarkStart w:id="1415" w:name="Tc_RuLD1YRAvEuT-eDCT6HEtQ_7_10"/>
      <w:bookmarkStart w:id="1416" w:name="Tc_kvNysGBGO0-ysMsP3dRFtA_7_3"/>
      <w:bookmarkStart w:id="1417" w:name="Tc_QJcgdhGtAUOCGywidOQO1w_7_0"/>
      <w:bookmarkStart w:id="1418" w:name="Tc_JA_JyWKJjECK_ZUgw5BvLA_6_0"/>
      <w:bookmarkStart w:id="1419" w:name="Tc_qtY7lIg6rUO13l3ySTH7HQ_5_0"/>
      <w:bookmarkStart w:id="1420" w:name="Tc_89uXKPLfU0Ot4k7uiasAbQ_4_0"/>
      <w:bookmarkStart w:id="1421" w:name="Tc_CFRXzq5x50-SN5L35fq1Mw_3_12"/>
      <w:bookmarkStart w:id="1422" w:name="Tc_l6iyW4y3t0O2nRqJe5Yu1A_3_9"/>
      <w:bookmarkStart w:id="1423" w:name="Tc_f4yDg_T3SEe21wa3y7BZLQ_3_5"/>
      <w:bookmarkStart w:id="1424" w:name="Tc_rmU2eAPdYECxHM8BkBWC5Q_3_2"/>
      <w:bookmarkStart w:id="1425" w:name="Tc_Kx0NesJok0GKnac-LKIWQA_3_0"/>
      <w:bookmarkStart w:id="1426" w:name="Tc_vCfqYWGN8EKHC6ZFQA1izQ_2_12"/>
      <w:bookmarkStart w:id="1427" w:name="Tc_jNH1lUZV80Gn_aWcntTddw_2_9"/>
      <w:bookmarkStart w:id="1428" w:name="Tc_t2lGd0I-B0if_bnh0UYspQ_2_5"/>
      <w:bookmarkStart w:id="1429" w:name="Tc_EwPJMjTkmEqpfG2DWmTIyA_2_2"/>
      <w:bookmarkStart w:id="1430" w:name="Tc_iTX2vENnqUWf_7b7w-rnVQ_1_9"/>
      <w:bookmarkStart w:id="1431" w:name="Tc_Mr-KtLmjeUOhC9XG2NhIqg_1_2"/>
      <w:bookmarkStart w:id="1432" w:name="_73b627b9_d824_44a1_aa77_0db623e45990"/>
      <w:bookmarkStart w:id="1433" w:name="Tc_rFh2m7wb2UuH_T0YHSMRqg_13_17"/>
      <w:bookmarkStart w:id="1434" w:name="Tc_J2CBf_shdE6igv5AMAwc2w_13_14"/>
      <w:bookmarkStart w:id="1435" w:name="Tc_5dGabRBihUaUbFtIbVxOFg_13_11"/>
      <w:bookmarkStart w:id="1436" w:name="Tc_YjV08c6gJEya10T1d28gIg_13_8"/>
      <w:bookmarkStart w:id="1437" w:name="Tc_juX87LUV_0WRThfrTowbEg_13_5"/>
      <w:bookmarkStart w:id="1438" w:name="Tc_6mSqIjwnZkCsEna8HZXHwg_13_2"/>
      <w:bookmarkStart w:id="1439" w:name="Tc_nB0PlwWGV02SKbI5JTx99Q_13_0"/>
      <w:bookmarkStart w:id="1440" w:name="Tc_hFGmmSGvIEuvuF1uH9QXyw_12_15"/>
      <w:bookmarkStart w:id="1441" w:name="Tc_HVFRkykCbkKkVfcX113wqg_12_6"/>
      <w:bookmarkStart w:id="1442" w:name="Tc_C5o2htVNo0Kc-7EYHEFZ-Q_12_0"/>
      <w:bookmarkStart w:id="1443" w:name="Tc_r514F723a0SzZbqgWvRQGQ_11_0"/>
      <w:bookmarkStart w:id="1444" w:name="Tc_QPzWRoUfqUCsTHfwDdMMQg_10_12"/>
      <w:bookmarkStart w:id="1445" w:name="Tc_io85bF9PI0yOu0JgTcOxRA_10_3"/>
      <w:bookmarkStart w:id="1446" w:name="Tc_f1eTRAUdB0qbkBlloTLfkg_10_0"/>
      <w:bookmarkStart w:id="1447" w:name="Tc_sprJ7x5J3UWSH7OveJ38Mg_9_0"/>
      <w:bookmarkStart w:id="1448" w:name="Tc_0x7FWXMQHk6A8rkzuSXNJw_8_0"/>
      <w:bookmarkStart w:id="1449" w:name="Tc_Yla8Kk8ZVU2Mf0q7v4_yyQ_7_0"/>
      <w:bookmarkStart w:id="1450" w:name="Tc_d9AVlaU-ckK1_it9_m8QWA_6_17"/>
      <w:bookmarkStart w:id="1451" w:name="Tc_vxPfl2xu-E6C32zgdeUKkg_6_14"/>
      <w:bookmarkStart w:id="1452" w:name="Tc_HAWR_Za1L0ugrT6j_ImZig_6_11"/>
      <w:bookmarkStart w:id="1453" w:name="Tc_Jza0Uw1E5EWtbaeyzR7BaQ_6_8"/>
      <w:bookmarkStart w:id="1454" w:name="Tc_QNU5K1VYlkma72vWIZFgAQ_6_5"/>
      <w:bookmarkStart w:id="1455" w:name="Tc_HuPRrw4MMkCSNoS3qxs0XQ_6_2"/>
      <w:bookmarkStart w:id="1456" w:name="Tc_jZ5ZviBgqEO4p4GhHpHhaA_6_0"/>
      <w:bookmarkStart w:id="1457" w:name="Tc_VKC9-ZjPhEiwV7yKgOiS5Q_5_0"/>
      <w:bookmarkStart w:id="1458" w:name="Tc_o7qIq5mbhEWzteedr-g1uw_4_17"/>
      <w:bookmarkStart w:id="1459" w:name="Tc_hSht-5fSNU6Z98tUmvDm5Q_4_14"/>
      <w:bookmarkStart w:id="1460" w:name="Tc_aRPcubT3OkqukcnbqbWo2A_4_11"/>
      <w:bookmarkStart w:id="1461" w:name="Tc_LpXdNdMx6EyJ5wC2cQadSA_4_8"/>
      <w:bookmarkStart w:id="1462" w:name="Tc_V33vI5dTAkyX7ALQe6Affg_4_5"/>
      <w:bookmarkStart w:id="1463" w:name="Tc_8rVM4MHNikqLlytW9CKBjQ_4_2"/>
      <w:bookmarkStart w:id="1464" w:name="Tc_FpVTJJ1xZUa37aEgdyMzjw_3_14"/>
      <w:bookmarkStart w:id="1465" w:name="Tc_CoeKJhkGmU2RiErMDcc6Ng_3_11"/>
      <w:bookmarkStart w:id="1466" w:name="Tc_Twoqh_Iurk-e_utHlZXdUg_3_5"/>
      <w:bookmarkStart w:id="1467" w:name="Tc_ivKPDlKlXESvLZhWmzMSzw_3_2"/>
      <w:bookmarkStart w:id="1468" w:name="Tc_ugHq2hDh6kSQHgMArOtxQA_2_11"/>
      <w:bookmarkStart w:id="1469" w:name="Tc_VsOMwWU33EOaTbTBUmpF2w_2_2"/>
      <w:bookmarkStart w:id="1470" w:name="Tc_xIrC6v4mN0qJoCf9icv17w_1_2"/>
      <w:bookmarkStart w:id="1471" w:name="Tc_2ohFJlbBcUe7D6K9i--P9w_19_16"/>
      <w:bookmarkStart w:id="1472" w:name="Tc_DmlnsCgTS0qP-IylxxfXUg_19_13"/>
      <w:bookmarkStart w:id="1473" w:name="Tc_xKd86WaNZUqhgN97Kb3svw_19_7"/>
      <w:bookmarkStart w:id="1474" w:name="Tc_o7xh6d2A3ECJMV8NyetqEQ_19_4"/>
      <w:bookmarkStart w:id="1475" w:name="Tc_SFnaZI3b7UW1mJ_tVnhHxw_19_0"/>
      <w:bookmarkStart w:id="1476" w:name="Tc_MyfQrIPy8U6a9ga6H6j8zA_18_16"/>
      <w:bookmarkStart w:id="1477" w:name="Tc_jqZadinuFkuG5nIhkfKg0A_18_13"/>
      <w:bookmarkStart w:id="1478" w:name="Tc_RtMma5Z5oEKR2_1sC5Qt5Q_18_7"/>
      <w:bookmarkStart w:id="1479" w:name="Tc_ij7zlBP93Umbp-WBn3wYtw_18_4"/>
      <w:bookmarkStart w:id="1480" w:name="Tc_-XmBxSV71k2WrnRu9MdNRQ_18_0"/>
      <w:bookmarkStart w:id="1481" w:name="Tc_X7iFlsg--0aG9L25cJO_pA_17_0"/>
      <w:bookmarkStart w:id="1482" w:name="Tc_atTU0TgTwUG3xXHF2vKwtQ_16_0"/>
      <w:bookmarkStart w:id="1483" w:name="Tc_AtCshiOFsUiwDa8MPeDQJA_15_0"/>
      <w:bookmarkStart w:id="1484" w:name="Tc_h_Uxiyvb5UmdIWS_luElxA_13_17"/>
      <w:bookmarkStart w:id="1485" w:name="Tc_N1dyC1vPRUCa2JYZ8f07xQ_13_15"/>
      <w:bookmarkStart w:id="1486" w:name="Tc_OdHzsbgtVk2lDDO_KNG3Fg_13_14"/>
      <w:bookmarkStart w:id="1487" w:name="Tc_kiha2NMs9Ee9uTaJGATLgg_13_11"/>
      <w:bookmarkStart w:id="1488" w:name="Tc_5t0ItJP8rEikzuledeintQ_13_9"/>
      <w:bookmarkStart w:id="1489" w:name="Tc_ELpow3-EOkW_grI3ljR_Kg_13_8"/>
      <w:bookmarkStart w:id="1490" w:name="Tc_bqE95dP6yky7ya8L1r3v7w_13_6"/>
      <w:bookmarkStart w:id="1491" w:name="Tc_aX-8kke6Y0yr4wasUv_CDQ_13_5"/>
      <w:bookmarkStart w:id="1492" w:name="Tc_Inixmkvfgk6CJ1dznMzdiw_13_3"/>
      <w:bookmarkStart w:id="1493" w:name="Tc_ql-SvRnQq0qFBY2Y91Luig_13_2"/>
      <w:bookmarkStart w:id="1494" w:name="Tc_aB9igZrScEWTKC2wfHHtMg_13_0"/>
      <w:bookmarkStart w:id="1495" w:name="Tc_xGGCLOYomEua6sH5-3utsA_12_18"/>
      <w:bookmarkStart w:id="1496" w:name="Tc_0Uy3nWieT0e7UNZ89UL8Aw_12_17"/>
      <w:bookmarkStart w:id="1497" w:name="Tc_uU999QrFG0WybDU99c-wkQ_12_15"/>
      <w:bookmarkStart w:id="1498" w:name="Tc_cn65keVNdEGbUTW9Zg5BVQ_12_14"/>
      <w:bookmarkStart w:id="1499" w:name="Tc_WpiGLhC3x0O0aQkwrSQs7w_12_12"/>
      <w:bookmarkStart w:id="1500" w:name="Tc_ycqqGom3YUWXSbdbeOdObQ_12_11"/>
      <w:bookmarkStart w:id="1501" w:name="Tc_eCOQp2f5_UyIh9Vn3FwFUg_12_8"/>
      <w:bookmarkStart w:id="1502" w:name="Tc_yWiwA0LTek-FAryI3_-ohw_12_5"/>
      <w:bookmarkStart w:id="1503" w:name="Tc_iKl5ZHNBi0akXCGjzYG_ag_12_3"/>
      <w:bookmarkStart w:id="1504" w:name="Tc_dCvj9IpvtkKBhaSVqHzhuA_12_2"/>
      <w:bookmarkStart w:id="1505" w:name="Tc_5rcGUVafhkWUsK02JG5Hbw_12_0"/>
      <w:bookmarkStart w:id="1506" w:name="Tc__DRA9cSbQk6seixbjRI8tA_11_0"/>
      <w:bookmarkStart w:id="1507" w:name="Tc_iEYzcv1raEuzf4InxrjcGQ_10_17"/>
      <w:bookmarkStart w:id="1508" w:name="Tc_iWJ2yO45l06ShnpgcCrwRg_10_14"/>
      <w:bookmarkStart w:id="1509" w:name="Tc_wimVvIuyWUOUr22S2NZx5w_10_11"/>
      <w:bookmarkStart w:id="1510" w:name="Tc_HKKCGJuWekW7MFbFPom3PA_10_8"/>
      <w:bookmarkStart w:id="1511" w:name="Tc_w6deGi9uGEiLKjcv1oiy_Q_10_5"/>
      <w:bookmarkStart w:id="1512" w:name="Tc_89fLw3yImE6oBEHU3wfKBg_10_2"/>
      <w:bookmarkStart w:id="1513" w:name="Tc_DvClmdXPN0elsvZeEMQ6EQ_10_0"/>
      <w:bookmarkStart w:id="1514" w:name="Tc_6PhMLn5eYUO1Ng8KDOCVVg_9_0"/>
      <w:bookmarkStart w:id="1515" w:name="Tc_cmEogH6lMUmQyV-j6-ciZw_8_0"/>
      <w:bookmarkStart w:id="1516" w:name="Tc_kvXQLT14s0qG2Re5sJBSYA_6_17"/>
      <w:bookmarkStart w:id="1517" w:name="Tc_HkwpukDj_0GUIySAb17eFw_6_14"/>
      <w:bookmarkStart w:id="1518" w:name="Tc_K5KdKXkqD0eMz_F4iOIBng_6_11"/>
      <w:bookmarkStart w:id="1519" w:name="Tc_x15rsVgfmkqADJXRGD3W_g_6_8"/>
      <w:bookmarkStart w:id="1520" w:name="Tc_61C5dbtT-0mipyTpgqONOg_6_5"/>
      <w:bookmarkStart w:id="1521" w:name="Tc_ql6yviSUi0OtNMG00mcuzg_6_2"/>
      <w:bookmarkStart w:id="1522" w:name="Tc_eOfEdhadJEWWdZFiL-afNA_6_0"/>
      <w:bookmarkStart w:id="1523" w:name="Tc_U-42OxRK3UuEXjdjAzw30A_5_17"/>
      <w:bookmarkStart w:id="1524" w:name="Tc_z0KSi3RcaEC8oHyP4xfQdA_5_14"/>
      <w:bookmarkStart w:id="1525" w:name="Tc_Yj3iuEAV8UWwN--nPbeG0A_5_11"/>
      <w:bookmarkStart w:id="1526" w:name="Tc_a27pxWFC_0qpxU-kFTzXaQ_5_8"/>
      <w:bookmarkStart w:id="1527" w:name="Tc_JmUAocoMtk6FrrLiHIz7_A_5_5"/>
      <w:bookmarkStart w:id="1528" w:name="Tc_JEY_QDqUo0WlP8M6ZNXJ8Q_5_2"/>
      <w:bookmarkStart w:id="1529" w:name="Tc_h13Z0uHCx0-_Hy73ACEnCw_5_0"/>
      <w:bookmarkStart w:id="1530" w:name="Tc_Vh2Rxn9vEUCuS9eM0KW1Nw_4_0"/>
      <w:bookmarkStart w:id="1531" w:name="Tc_Ic-tuHSJoEecV5M4eCs8GA_3_17"/>
      <w:bookmarkStart w:id="1532" w:name="Tc_jMJikLOhW02pw4M-0m5xWg_3_14"/>
      <w:bookmarkStart w:id="1533" w:name="Tc_Vr6sBxWp50uySyQ-tdDPOw_3_11"/>
      <w:bookmarkStart w:id="1534" w:name="Tc_OA94nE99V0W1H3ZpTMamfQ_3_8"/>
      <w:bookmarkStart w:id="1535" w:name="Tc_RPO6iyvQp0m2c9-YYLRtfg_3_5"/>
      <w:bookmarkStart w:id="1536" w:name="Tc_7A1GO04-mECpG1XpZ9qX4A_3_2"/>
      <w:bookmarkStart w:id="1537" w:name="Tc_pKSoU0FgZkqsVMsuNOBpEA_2_14"/>
      <w:bookmarkStart w:id="1538" w:name="Tc_YhB7nq4hW0qBXQ2dHFMb-g_2_11"/>
      <w:bookmarkStart w:id="1539" w:name="Tc_P0u_TMHLZkSiPpx2rqGpZw_2_5"/>
      <w:bookmarkStart w:id="1540" w:name="Tc_PJcG8gPMdkmUXBlTsVsFzg_2_2"/>
      <w:bookmarkStart w:id="1541" w:name="Tc_PxJ5rSkl60ivcun9iFLqxA_1_11"/>
      <w:bookmarkStart w:id="1542" w:name="Tc_XjyaX34LN0mTnKbDSm1FyQ_1_2"/>
      <w:bookmarkStart w:id="1543" w:name="_f837dee7_2be0_4118_8732_48fb146ef73c"/>
      <w:bookmarkStart w:id="1544" w:name="Tc_d9LJ5WAR7Ueqh5hsG7eBpw_8_12"/>
      <w:bookmarkStart w:id="1545" w:name="Tc_PEqVS772RUOCQmhtnOSdbA_8_9"/>
      <w:bookmarkStart w:id="1546" w:name="Tc_u43mei6gK02d1fjuTx5t_w_8_5"/>
      <w:bookmarkStart w:id="1547" w:name="Tc_BnEVSlaweEyIVl5nS8tZiw_8_2"/>
      <w:bookmarkStart w:id="1548" w:name="Tc_6m_Bi2v9BkWDsXft41g3GQ_8_0"/>
      <w:bookmarkStart w:id="1549" w:name="Tc_RuLD1YRAvEuT-eDCT6HEtQ_7_10"/>
      <w:bookmarkStart w:id="1550" w:name="Tc_kvNysGBGO0-ysMsP3dRFtA_7_3"/>
      <w:bookmarkStart w:id="1551" w:name="Tc_QJcgdhGtAUOCGywidOQO1w_7_0"/>
      <w:bookmarkStart w:id="1552" w:name="Tc_JA_JyWKJjECK_ZUgw5BvLA_6_0"/>
      <w:bookmarkStart w:id="1553" w:name="Tc_qtY7lIg6rUO13l3ySTH7HQ_5_0"/>
      <w:bookmarkStart w:id="1554" w:name="Tc_89uXKPLfU0Ot4k7uiasAbQ_4_0"/>
      <w:bookmarkStart w:id="1555" w:name="Tc_CFRXzq5x50-SN5L35fq1Mw_3_12"/>
      <w:bookmarkStart w:id="1556" w:name="Tc_l6iyW4y3t0O2nRqJe5Yu1A_3_9"/>
      <w:bookmarkStart w:id="1557" w:name="Tc_f4yDg_T3SEe21wa3y7BZLQ_3_5"/>
      <w:bookmarkStart w:id="1558" w:name="Tc_rmU2eAPdYECxHM8BkBWC5Q_3_2"/>
      <w:bookmarkStart w:id="1559" w:name="Tc_Kx0NesJok0GKnac-LKIWQA_3_0"/>
      <w:bookmarkStart w:id="1560" w:name="Tc_vCfqYWGN8EKHC6ZFQA1izQ_2_12"/>
      <w:bookmarkStart w:id="1561" w:name="Tc_jNH1lUZV80Gn_aWcntTddw_2_9"/>
      <w:bookmarkStart w:id="1562" w:name="Tc_t2lGd0I-B0if_bnh0UYspQ_2_5"/>
      <w:bookmarkStart w:id="1563" w:name="Tc_EwPJMjTkmEqpfG2DWmTIyA_2_2"/>
      <w:bookmarkStart w:id="1564" w:name="Tc_iTX2vENnqUWf_7b7w-rnVQ_1_9"/>
      <w:bookmarkStart w:id="1565" w:name="Tc_Mr-KtLmjeUOhC9XG2NhIqg_1_2"/>
      <w:bookmarkStart w:id="1566" w:name="_73b627b9_d824_44a1_aa77_0db623e45990"/>
      <w:bookmarkStart w:id="1567" w:name="Tc_rFh2m7wb2UuH_T0YHSMRqg_13_17"/>
      <w:bookmarkStart w:id="1568" w:name="Tc_J2CBf_shdE6igv5AMAwc2w_13_14"/>
      <w:bookmarkStart w:id="1569" w:name="Tc_5dGabRBihUaUbFtIbVxOFg_13_11"/>
      <w:bookmarkStart w:id="1570" w:name="Tc_YjV08c6gJEya10T1d28gIg_13_8"/>
      <w:bookmarkStart w:id="1571" w:name="Tc_juX87LUV_0WRThfrTowbEg_13_5"/>
      <w:bookmarkStart w:id="1572" w:name="Tc_6mSqIjwnZkCsEna8HZXHwg_13_2"/>
      <w:bookmarkStart w:id="1573" w:name="Tc_nB0PlwWGV02SKbI5JTx99Q_13_0"/>
      <w:bookmarkStart w:id="1574" w:name="Tc_hFGmmSGvIEuvuF1uH9QXyw_12_15"/>
      <w:bookmarkStart w:id="1575" w:name="Tc_HVFRkykCbkKkVfcX113wqg_12_6"/>
      <w:bookmarkStart w:id="1576" w:name="Tc_C5o2htVNo0Kc-7EYHEFZ-Q_12_0"/>
      <w:bookmarkStart w:id="1577" w:name="Tc_r514F723a0SzZbqgWvRQGQ_11_0"/>
      <w:bookmarkStart w:id="1578" w:name="Tc_QPzWRoUfqUCsTHfwDdMMQg_10_12"/>
      <w:bookmarkStart w:id="1579" w:name="Tc_io85bF9PI0yOu0JgTcOxRA_10_3"/>
      <w:bookmarkStart w:id="1580" w:name="Tc_f1eTRAUdB0qbkBlloTLfkg_10_0"/>
      <w:bookmarkStart w:id="1581" w:name="Tc_sprJ7x5J3UWSH7OveJ38Mg_9_0"/>
      <w:bookmarkStart w:id="1582" w:name="Tc_0x7FWXMQHk6A8rkzuSXNJw_8_0"/>
      <w:bookmarkStart w:id="1583" w:name="Tc_Yla8Kk8ZVU2Mf0q7v4_yyQ_7_0"/>
      <w:bookmarkStart w:id="1584" w:name="Tc_d9AVlaU-ckK1_it9_m8QWA_6_17"/>
      <w:bookmarkStart w:id="1585" w:name="Tc_vxPfl2xu-E6C32zgdeUKkg_6_14"/>
      <w:bookmarkStart w:id="1586" w:name="Tc_HAWR_Za1L0ugrT6j_ImZig_6_11"/>
      <w:bookmarkStart w:id="1587" w:name="Tc_Jza0Uw1E5EWtbaeyzR7BaQ_6_8"/>
      <w:bookmarkStart w:id="1588" w:name="Tc_QNU5K1VYlkma72vWIZFgAQ_6_5"/>
      <w:bookmarkStart w:id="1589" w:name="Tc_HuPRrw4MMkCSNoS3qxs0XQ_6_2"/>
      <w:bookmarkStart w:id="1590" w:name="Tc_jZ5ZviBgqEO4p4GhHpHhaA_6_0"/>
      <w:bookmarkStart w:id="1591" w:name="Tc_VKC9-ZjPhEiwV7yKgOiS5Q_5_0"/>
      <w:bookmarkStart w:id="1592" w:name="Tc_o7qIq5mbhEWzteedr-g1uw_4_17"/>
      <w:bookmarkStart w:id="1593" w:name="Tc_hSht-5fSNU6Z98tUmvDm5Q_4_14"/>
      <w:bookmarkStart w:id="1594" w:name="Tc_aRPcubT3OkqukcnbqbWo2A_4_11"/>
      <w:bookmarkStart w:id="1595" w:name="Tc_LpXdNdMx6EyJ5wC2cQadSA_4_8"/>
      <w:bookmarkStart w:id="1596" w:name="Tc_V33vI5dTAkyX7ALQe6Affg_4_5"/>
      <w:bookmarkStart w:id="1597" w:name="Tc_8rVM4MHNikqLlytW9CKBjQ_4_2"/>
      <w:bookmarkStart w:id="1598" w:name="Tc_FpVTJJ1xZUa37aEgdyMzjw_3_14"/>
      <w:bookmarkStart w:id="1599" w:name="Tc_CoeKJhkGmU2RiErMDcc6Ng_3_11"/>
      <w:bookmarkStart w:id="1600" w:name="Tc_Twoqh_Iurk-e_utHlZXdUg_3_5"/>
      <w:bookmarkStart w:id="1601" w:name="Tc_ivKPDlKlXESvLZhWmzMSzw_3_2"/>
      <w:bookmarkStart w:id="1602" w:name="Tc_ugHq2hDh6kSQHgMArOtxQA_2_11"/>
      <w:bookmarkStart w:id="1603" w:name="Tc_VsOMwWU33EOaTbTBUmpF2w_2_2"/>
      <w:bookmarkStart w:id="1604" w:name="Tc_xIrC6v4mN0qJoCf9icv17w_1_2"/>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p>
    <w:tbl>
      <w:tblPr>
        <w:tblW w:w="10205" w:type="dxa"/>
        <w:jc w:val="left"/>
        <w:tblInd w:w="0" w:type="dxa"/>
        <w:tblLayout w:type="fixed"/>
        <w:tblCellMar>
          <w:top w:w="0" w:type="dxa"/>
          <w:left w:w="0" w:type="dxa"/>
          <w:bottom w:w="0" w:type="dxa"/>
          <w:right w:w="0" w:type="dxa"/>
        </w:tblCellMar>
      </w:tblPr>
      <w:tblGrid>
        <w:gridCol w:w="2770"/>
        <w:gridCol w:w="326"/>
        <w:gridCol w:w="211"/>
        <w:gridCol w:w="689"/>
        <w:gridCol w:w="326"/>
        <w:gridCol w:w="295"/>
        <w:gridCol w:w="591"/>
        <w:gridCol w:w="326"/>
        <w:gridCol w:w="211"/>
        <w:gridCol w:w="689"/>
        <w:gridCol w:w="326"/>
        <w:gridCol w:w="211"/>
        <w:gridCol w:w="689"/>
        <w:gridCol w:w="326"/>
        <w:gridCol w:w="295"/>
        <w:gridCol w:w="591"/>
        <w:gridCol w:w="326"/>
        <w:gridCol w:w="211"/>
        <w:gridCol w:w="796"/>
      </w:tblGrid>
      <w:tr>
        <w:trPr/>
        <w:tc>
          <w:tcPr>
            <w:tcW w:w="27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09"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27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0"/>
              <w:ind w:left="0" w:right="0" w:hanging="0"/>
              <w:jc w:val="center"/>
              <w:rPr/>
            </w:pPr>
            <w:r>
              <w:rPr/>
              <w:t>​</w:t>
            </w:r>
          </w:p>
        </w:tc>
        <w:tc>
          <w:tcPr>
            <w:tcW w:w="34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r>
      <w:tr>
        <w:trPr/>
        <w:tc>
          <w:tcPr>
            <w:tcW w:w="27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27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7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r>
      <w:tr>
        <w:trPr/>
        <w:tc>
          <w:tcPr>
            <w:tcW w:w="2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7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 cost: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2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rent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14,208</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13,705</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14,145</w:t>
            </w:r>
          </w:p>
        </w:tc>
      </w:tr>
      <w:tr>
        <w:trPr/>
        <w:tc>
          <w:tcPr>
            <w:tcW w:w="2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r>
      <w:tr>
        <w:trPr/>
        <w:tc>
          <w:tcPr>
            <w:tcW w:w="2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(3,537)</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w:t>
            </w:r>
          </w:p>
        </w:tc>
      </w:tr>
      <w:tr>
        <w:trPr/>
        <w:tc>
          <w:tcPr>
            <w:tcW w:w="2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11,012</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11,541</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12,423</w:t>
            </w:r>
          </w:p>
        </w:tc>
      </w:tr>
    </w:tbl>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total lease cost on the condensed consolidated statements of income (in thousands):</w:t>
      </w:r>
    </w:p>
    <w:p>
      <w:pPr>
        <w:pStyle w:val="TextBody"/>
        <w:bidi w:val="0"/>
        <w:spacing w:before="0" w:after="240"/>
        <w:ind w:left="0" w:right="0" w:hanging="0"/>
        <w:jc w:val="left"/>
        <w:rPr>
          <w:shd w:fill="FFFF00" w:val="clear"/>
        </w:rPr>
      </w:pPr>
      <w:r>
        <w:rPr>
          <w:shd w:fill="FFFF00" w:val="clear"/>
        </w:rPr>
        <w:t>​</w:t>
      </w:r>
    </w:p>
    <w:tbl>
      <w:tblPr>
        <w:tblW w:w="9968" w:type="dxa"/>
        <w:jc w:val="left"/>
        <w:tblInd w:w="0" w:type="dxa"/>
        <w:tblLayout w:type="fixed"/>
        <w:tblCellMar>
          <w:top w:w="0" w:type="dxa"/>
          <w:left w:w="0" w:type="dxa"/>
          <w:bottom w:w="0" w:type="dxa"/>
          <w:right w:w="0" w:type="dxa"/>
        </w:tblCellMar>
      </w:tblPr>
      <w:tblGrid>
        <w:gridCol w:w="4486"/>
        <w:gridCol w:w="206"/>
        <w:gridCol w:w="303"/>
        <w:gridCol w:w="823"/>
        <w:gridCol w:w="206"/>
        <w:gridCol w:w="303"/>
        <w:gridCol w:w="823"/>
        <w:gridCol w:w="109"/>
        <w:gridCol w:w="206"/>
        <w:gridCol w:w="267"/>
        <w:gridCol w:w="859"/>
        <w:gridCol w:w="206"/>
        <w:gridCol w:w="246"/>
        <w:gridCol w:w="925"/>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848610" cy="175260"/>
                      <wp:effectExtent l="0" t="0" r="0" b="0"/>
                      <wp:wrapNone/>
                      <wp:docPr id="356" name="Frame356"/>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0810" cy="175260"/>
                      <wp:effectExtent l="0" t="0" r="0" b="0"/>
                      <wp:wrapNone/>
                      <wp:docPr id="357" name="Frame35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92405" cy="175260"/>
                      <wp:effectExtent l="0" t="0" r="0" b="0"/>
                      <wp:wrapNone/>
                      <wp:docPr id="358" name="Frame35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22605" cy="175260"/>
                      <wp:effectExtent l="0" t="0" r="0" b="0"/>
                      <wp:wrapNone/>
                      <wp:docPr id="359" name="Frame359"/>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0810" cy="175260"/>
                      <wp:effectExtent l="0" t="0" r="0" b="0"/>
                      <wp:wrapNone/>
                      <wp:docPr id="360" name="Frame36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92405" cy="175260"/>
                      <wp:effectExtent l="0" t="0" r="0" b="0"/>
                      <wp:wrapNone/>
                      <wp:docPr id="361" name="Frame36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22605" cy="175260"/>
                      <wp:effectExtent l="0" t="0" r="0" b="0"/>
                      <wp:wrapNone/>
                      <wp:docPr id="362" name="Frame362"/>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9215" cy="175260"/>
                      <wp:effectExtent l="0" t="0" r="0" b="0"/>
                      <wp:wrapNone/>
                      <wp:docPr id="363" name="Frame3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0810" cy="175260"/>
                      <wp:effectExtent l="0" t="0" r="0" b="0"/>
                      <wp:wrapNone/>
                      <wp:docPr id="364" name="Frame36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69545" cy="175260"/>
                      <wp:effectExtent l="0" t="0" r="0" b="0"/>
                      <wp:wrapNone/>
                      <wp:docPr id="365" name="Frame36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45465" cy="175260"/>
                      <wp:effectExtent l="0" t="0" r="0" b="0"/>
                      <wp:wrapNone/>
                      <wp:docPr id="366" name="Frame366"/>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0810" cy="175260"/>
                      <wp:effectExtent l="0" t="0" r="0" b="0"/>
                      <wp:wrapNone/>
                      <wp:docPr id="367" name="Frame36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56210" cy="175260"/>
                      <wp:effectExtent l="0" t="0" r="0" b="0"/>
                      <wp:wrapNone/>
                      <wp:docPr id="368" name="Frame368"/>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587375" cy="175260"/>
                      <wp:effectExtent l="0" t="0" r="0" b="0"/>
                      <wp:wrapNone/>
                      <wp:docPr id="369" name="Frame369"/>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4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5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448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20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20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Occupancy and other operating expenses</w:t>
            </w:r>
          </w:p>
        </w:tc>
        <w:tc>
          <w:tcPr>
            <w:tcW w:w="20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5,851</w:t>
            </w:r>
          </w:p>
        </w:tc>
        <w:tc>
          <w:tcPr>
            <w:tcW w:w="206"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6,048</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11,566</w:t>
            </w:r>
          </w:p>
        </w:tc>
        <w:tc>
          <w:tcPr>
            <w:tcW w:w="20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12,057</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General &amp; administrative</w:t>
            </w:r>
          </w:p>
        </w:tc>
        <w:tc>
          <w:tcPr>
            <w:tcW w:w="20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206"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righ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20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Depreciation and amortization</w:t>
            </w:r>
          </w:p>
        </w:tc>
        <w:tc>
          <w:tcPr>
            <w:tcW w:w="20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206"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righ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20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9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Interest expense</w:t>
            </w:r>
          </w:p>
        </w:tc>
        <w:tc>
          <w:tcPr>
            <w:tcW w:w="20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06"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righ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20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9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Closed-store reserve</w:t>
            </w:r>
          </w:p>
        </w:tc>
        <w:tc>
          <w:tcPr>
            <w:tcW w:w="20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20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6,047</w:t>
            </w:r>
          </w:p>
        </w:tc>
        <w:tc>
          <w:tcPr>
            <w:tcW w:w="206" w:type="dxa"/>
            <w:tcBorders/>
            <w:vAlign w:val="center"/>
          </w:tcPr>
          <w:p>
            <w:pPr>
              <w:pStyle w:val="TableContents"/>
              <w:bidi w:val="0"/>
              <w:spacing w:before="0" w:after="0"/>
              <w:ind w:left="0" w:right="0" w:hanging="0"/>
              <w:jc w:val="righ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6,228</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11,914</w:t>
            </w:r>
          </w:p>
        </w:tc>
        <w:tc>
          <w:tcPr>
            <w:tcW w:w="20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single" w:sz="2"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12,423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twenty-six weeks ended June 26, 2024 and June 28, 2023, the Company had the following cash and non-cash activities associated with its leases (dollars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04"/>
        <w:gridCol w:w="206"/>
        <w:gridCol w:w="196"/>
        <w:gridCol w:w="604"/>
        <w:gridCol w:w="332"/>
        <w:gridCol w:w="245"/>
        <w:gridCol w:w="641"/>
        <w:gridCol w:w="332"/>
        <w:gridCol w:w="196"/>
        <w:gridCol w:w="604"/>
        <w:gridCol w:w="206"/>
        <w:gridCol w:w="199"/>
        <w:gridCol w:w="613"/>
        <w:gridCol w:w="337"/>
        <w:gridCol w:w="281"/>
        <w:gridCol w:w="605"/>
        <w:gridCol w:w="337"/>
        <w:gridCol w:w="199"/>
        <w:gridCol w:w="668"/>
      </w:tblGrid>
      <w:tr>
        <w:trPr/>
        <w:tc>
          <w:tcPr>
            <w:tcW w:w="3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61540" cy="175260"/>
                      <wp:effectExtent l="0" t="0" r="0" b="0"/>
                      <wp:wrapNone/>
                      <wp:docPr id="370" name="Frame370"/>
                      <a:graphic xmlns:a="http://schemas.openxmlformats.org/drawingml/2006/main">
                        <a:graphicData uri="http://schemas.microsoft.com/office/word/2010/wordprocessingShape">
                          <wps:wsp>
                            <wps:cNvSpPr txBox="1"/>
                            <wps:spPr>
                              <a:xfrm>
                                <a:off x="0" y="0"/>
                                <a:ext cx="2161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0810" cy="175260"/>
                      <wp:effectExtent l="0" t="0" r="0" b="0"/>
                      <wp:wrapNone/>
                      <wp:docPr id="371" name="Frame37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24460" cy="175260"/>
                      <wp:effectExtent l="0" t="0" r="0" b="0"/>
                      <wp:wrapNone/>
                      <wp:docPr id="372" name="Frame3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383540" cy="175260"/>
                      <wp:effectExtent l="0" t="0" r="0" b="0"/>
                      <wp:wrapNone/>
                      <wp:docPr id="373" name="Frame373"/>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0820" cy="175260"/>
                      <wp:effectExtent l="0" t="0" r="0" b="0"/>
                      <wp:wrapNone/>
                      <wp:docPr id="374" name="Frame374"/>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55575" cy="175260"/>
                      <wp:effectExtent l="0" t="0" r="0" b="0"/>
                      <wp:wrapNone/>
                      <wp:docPr id="375" name="Frame375"/>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07035" cy="175260"/>
                      <wp:effectExtent l="0" t="0" r="0" b="0"/>
                      <wp:wrapNone/>
                      <wp:docPr id="376" name="Frame376"/>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0820" cy="175260"/>
                      <wp:effectExtent l="0" t="0" r="0" b="0"/>
                      <wp:wrapNone/>
                      <wp:docPr id="377" name="Frame377"/>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24460" cy="175260"/>
                      <wp:effectExtent l="0" t="0" r="0" b="0"/>
                      <wp:wrapNone/>
                      <wp:docPr id="378" name="Frame3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83540" cy="175260"/>
                      <wp:effectExtent l="0" t="0" r="0" b="0"/>
                      <wp:wrapNone/>
                      <wp:docPr id="379" name="Frame379"/>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0810" cy="175260"/>
                      <wp:effectExtent l="0" t="0" r="0" b="0"/>
                      <wp:wrapNone/>
                      <wp:docPr id="380" name="Frame38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26365" cy="175260"/>
                      <wp:effectExtent l="0" t="0" r="0" b="0"/>
                      <wp:wrapNone/>
                      <wp:docPr id="381" name="Frame381"/>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89255" cy="175260"/>
                      <wp:effectExtent l="0" t="0" r="0" b="0"/>
                      <wp:wrapNone/>
                      <wp:docPr id="382" name="Frame382"/>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3995" cy="175260"/>
                      <wp:effectExtent l="0" t="0" r="0" b="0"/>
                      <wp:wrapNone/>
                      <wp:docPr id="383" name="Frame383"/>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78435" cy="175260"/>
                      <wp:effectExtent l="0" t="0" r="0" b="0"/>
                      <wp:wrapNone/>
                      <wp:docPr id="384" name="Frame38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384175" cy="175260"/>
                      <wp:effectExtent l="0" t="0" r="0" b="0"/>
                      <wp:wrapNone/>
                      <wp:docPr id="385" name="Frame385"/>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3995" cy="175260"/>
                      <wp:effectExtent l="0" t="0" r="0" b="0"/>
                      <wp:wrapNone/>
                      <wp:docPr id="386" name="Frame386"/>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26365" cy="175260"/>
                      <wp:effectExtent l="0" t="0" r="0" b="0"/>
                      <wp:wrapNone/>
                      <wp:docPr id="387" name="Frame387"/>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24180" cy="175260"/>
                      <wp:effectExtent l="0" t="0" r="0" b="0"/>
                      <wp:wrapNone/>
                      <wp:docPr id="388" name="Frame388"/>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15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 June 26, 2024</w:t>
            </w:r>
          </w:p>
        </w:tc>
        <w:tc>
          <w:tcPr>
            <w:tcW w:w="206" w:type="dxa"/>
            <w:tcBorders/>
            <w:vAlign w:val="center"/>
          </w:tcPr>
          <w:p>
            <w:pPr>
              <w:pStyle w:val="TableContents"/>
              <w:bidi w:val="0"/>
              <w:spacing w:before="0" w:after="0"/>
              <w:ind w:left="0" w:right="0" w:hanging="0"/>
              <w:jc w:val="center"/>
              <w:rPr/>
            </w:pPr>
            <w:r>
              <w:rPr/>
              <w:t>​</w:t>
            </w:r>
          </w:p>
        </w:tc>
        <w:tc>
          <w:tcPr>
            <w:tcW w:w="323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 June 28, 2023</w:t>
            </w:r>
          </w:p>
        </w:tc>
      </w:tr>
      <w:tr>
        <w:trPr/>
        <w:tc>
          <w:tcPr>
            <w:tcW w:w="340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32"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32"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  </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37"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37" w:type="dxa"/>
            <w:tcBorders/>
            <w:vAlign w:val="center"/>
          </w:tcPr>
          <w:p>
            <w:pPr>
              <w:pStyle w:val="TableContents"/>
              <w:bidi w:val="0"/>
              <w:spacing w:before="0" w:after="0"/>
              <w:ind w:left="0" w:right="0" w:hanging="0"/>
              <w:jc w:val="center"/>
              <w:rPr/>
            </w:pPr>
            <w:r>
              <w:rPr/>
              <w:t>  </w:t>
            </w:r>
          </w:p>
        </w:tc>
        <w:tc>
          <w:tcPr>
            <w:tcW w:w="199" w:type="dxa"/>
            <w:tcBorders/>
            <w:vAlign w:val="center"/>
          </w:tcPr>
          <w:p>
            <w:pPr>
              <w:pStyle w:val="TableContents"/>
              <w:bidi w:val="0"/>
              <w:spacing w:before="0" w:after="0"/>
              <w:ind w:left="0" w:right="0" w:hanging="0"/>
              <w:jc w:val="center"/>
              <w:rPr/>
            </w:pPr>
            <w:r>
              <w:rPr/>
              <w:t>​</w:t>
            </w:r>
          </w:p>
        </w:tc>
        <w:tc>
          <w:tcPr>
            <w:tcW w:w="668" w:type="dxa"/>
            <w:tcBorders/>
            <w:vAlign w:val="center"/>
          </w:tcPr>
          <w:p>
            <w:pPr>
              <w:pStyle w:val="TableContents"/>
              <w:bidi w:val="0"/>
              <w:spacing w:before="0" w:after="0"/>
              <w:ind w:left="0" w:right="0" w:hanging="0"/>
              <w:jc w:val="center"/>
              <w:rPr/>
            </w:pPr>
            <w:r>
              <w:rPr/>
              <w:t>​</w:t>
            </w:r>
          </w:p>
        </w:tc>
      </w:tr>
      <w:tr>
        <w:trPr/>
        <w:tc>
          <w:tcPr>
            <w:tcW w:w="340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32"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32" w:type="dxa"/>
            <w:tcBorders/>
            <w:vAlign w:val="center"/>
          </w:tcPr>
          <w:p>
            <w:pPr>
              <w:pStyle w:val="TableContents"/>
              <w:bidi w:val="0"/>
              <w:spacing w:before="0" w:after="0"/>
              <w:ind w:left="0" w:right="0" w:hanging="0"/>
              <w:jc w:val="left"/>
              <w:rPr/>
            </w:pPr>
            <w:r>
              <w:rPr/>
              <w:t>​</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06" w:type="dxa"/>
            <w:tcBorders/>
            <w:vAlign w:val="center"/>
          </w:tcPr>
          <w:p>
            <w:pPr>
              <w:pStyle w:val="TableContents"/>
              <w:bidi w:val="0"/>
              <w:spacing w:before="0" w:after="0"/>
              <w:ind w:left="0" w:right="0" w:hanging="0"/>
              <w:jc w:val="center"/>
              <w:rPr/>
            </w:pPr>
            <w:r>
              <w:rPr/>
              <w:t>​</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37"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37" w:type="dxa"/>
            <w:tcBorders/>
            <w:vAlign w:val="center"/>
          </w:tcPr>
          <w:p>
            <w:pPr>
              <w:pStyle w:val="TableContents"/>
              <w:bidi w:val="0"/>
              <w:spacing w:before="0" w:after="0"/>
              <w:ind w:left="0" w:right="0" w:hanging="0"/>
              <w:jc w:val="center"/>
              <w:rPr/>
            </w:pPr>
            <w:r>
              <w:rPr/>
              <w:t>​</w:t>
            </w:r>
          </w:p>
        </w:tc>
        <w:tc>
          <w:tcPr>
            <w:tcW w:w="8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0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paid for amounts included in the measurement of lease liabilities</w:t>
            </w:r>
          </w:p>
        </w:tc>
        <w:tc>
          <w:tcPr>
            <w:tcW w:w="20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pPr>
            <w:r>
              <w:rPr/>
              <w:t>  </w:t>
            </w:r>
          </w:p>
        </w:tc>
        <w:tc>
          <w:tcPr>
            <w:tcW w:w="332" w:type="dxa"/>
            <w:tcBorders/>
            <w:shd w:fill="CCEEFF" w:val="clear"/>
            <w:vAlign w:val="center"/>
          </w:tcPr>
          <w:p>
            <w:pPr>
              <w:pStyle w:val="TableContents"/>
              <w:bidi w:val="0"/>
              <w:spacing w:before="0" w:after="0"/>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pPr>
            <w:r>
              <w:rPr/>
              <w:t>  </w:t>
            </w:r>
          </w:p>
        </w:tc>
        <w:tc>
          <w:tcPr>
            <w:tcW w:w="332"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left"/>
              <w:rPr/>
            </w:pPr>
            <w:r>
              <w:rPr/>
              <w:t>​</w:t>
            </w:r>
          </w:p>
        </w:tc>
      </w:tr>
      <w:tr>
        <w:trPr/>
        <w:tc>
          <w:tcPr>
            <w:tcW w:w="3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cash flows used for operating leases</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14,076</w:t>
            </w:r>
          </w:p>
        </w:tc>
        <w:tc>
          <w:tcPr>
            <w:tcW w:w="33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c>
          <w:tcPr>
            <w:tcW w:w="332"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14,184</w:t>
            </w:r>
          </w:p>
        </w:tc>
        <w:tc>
          <w:tcPr>
            <w:tcW w:w="20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13,814</w:t>
            </w:r>
          </w:p>
        </w:tc>
        <w:tc>
          <w:tcPr>
            <w:tcW w:w="337"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w:t>
            </w:r>
          </w:p>
        </w:tc>
        <w:tc>
          <w:tcPr>
            <w:tcW w:w="337"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14,083</w:t>
            </w:r>
          </w:p>
        </w:tc>
      </w:tr>
      <w:tr>
        <w:trPr/>
        <w:tc>
          <w:tcPr>
            <w:tcW w:w="3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Financing cash flows used for finance leases</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3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c>
          <w:tcPr>
            <w:tcW w:w="332"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w:t>
            </w:r>
          </w:p>
        </w:tc>
        <w:tc>
          <w:tcPr>
            <w:tcW w:w="20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37"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337"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w:t>
            </w:r>
          </w:p>
        </w:tc>
      </w:tr>
      <w:tr>
        <w:trPr/>
        <w:tc>
          <w:tcPr>
            <w:tcW w:w="340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right"/>
              <w:rPr/>
            </w:pPr>
            <w:r>
              <w:rPr/>
              <w:t>​</w:t>
            </w:r>
          </w:p>
        </w:tc>
        <w:tc>
          <w:tcPr>
            <w:tcW w:w="605" w:type="dxa"/>
            <w:tcBorders/>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left"/>
              <w:rPr/>
            </w:pPr>
            <w:r>
              <w:rPr/>
              <w:t>​</w:t>
            </w:r>
          </w:p>
        </w:tc>
      </w:tr>
      <w:tr>
        <w:trPr/>
        <w:tc>
          <w:tcPr>
            <w:tcW w:w="340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Non-cash investing and financing activities:</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4" w:type="dxa"/>
            <w:tcBorders/>
            <w:shd w:fill="CCEEFF" w:val="clear"/>
            <w:vAlign w:val="center"/>
          </w:tcPr>
          <w:p>
            <w:pPr>
              <w:pStyle w:val="TableContents"/>
              <w:bidi w:val="0"/>
              <w:spacing w:before="0" w:after="0"/>
              <w:ind w:left="0" w:right="0" w:hanging="0"/>
              <w:jc w:val="right"/>
              <w:rPr/>
            </w:pPr>
            <w:r>
              <w:rPr/>
              <w:t>  </w:t>
            </w:r>
          </w:p>
        </w:tc>
        <w:tc>
          <w:tcPr>
            <w:tcW w:w="33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641" w:type="dxa"/>
            <w:tcBorders/>
            <w:shd w:fill="CCEEFF" w:val="clear"/>
            <w:vAlign w:val="center"/>
          </w:tcPr>
          <w:p>
            <w:pPr>
              <w:pStyle w:val="TableContents"/>
              <w:bidi w:val="0"/>
              <w:spacing w:before="0" w:after="0"/>
              <w:ind w:left="0" w:right="0" w:hanging="0"/>
              <w:jc w:val="right"/>
              <w:rPr/>
            </w:pPr>
            <w:r>
              <w:rPr/>
              <w:t>  </w:t>
            </w:r>
          </w:p>
        </w:tc>
        <w:tc>
          <w:tcPr>
            <w:tcW w:w="332"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pPr>
            <w:r>
              <w:rPr/>
              <w:t>  </w:t>
            </w:r>
          </w:p>
        </w:tc>
        <w:tc>
          <w:tcPr>
            <w:tcW w:w="20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left"/>
              <w:rPr/>
            </w:pPr>
            <w:r>
              <w:rPr/>
              <w:t>​</w:t>
            </w:r>
          </w:p>
        </w:tc>
      </w:tr>
      <w:tr>
        <w:trPr/>
        <w:tc>
          <w:tcPr>
            <w:tcW w:w="3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ROU assets obtained in exchange for lease liabilities:</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pPr>
            <w:r>
              <w:rPr/>
              <w:t>  </w:t>
            </w:r>
          </w:p>
        </w:tc>
        <w:tc>
          <w:tcPr>
            <w:tcW w:w="33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41" w:type="dxa"/>
            <w:tcBorders/>
            <w:vAlign w:val="center"/>
          </w:tcPr>
          <w:p>
            <w:pPr>
              <w:pStyle w:val="TableContents"/>
              <w:bidi w:val="0"/>
              <w:spacing w:before="0" w:after="0"/>
              <w:ind w:left="0" w:right="0" w:hanging="0"/>
              <w:jc w:val="right"/>
              <w:rPr/>
            </w:pPr>
            <w:r>
              <w:rPr/>
              <w:t>  </w:t>
            </w:r>
          </w:p>
        </w:tc>
        <w:tc>
          <w:tcPr>
            <w:tcW w:w="332"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right"/>
              <w:rPr/>
            </w:pPr>
            <w:r>
              <w:rPr/>
              <w:t>​</w:t>
            </w:r>
          </w:p>
        </w:tc>
        <w:tc>
          <w:tcPr>
            <w:tcW w:w="605" w:type="dxa"/>
            <w:tcBorders/>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left"/>
              <w:rPr/>
            </w:pPr>
            <w:r>
              <w:rPr/>
              <w:t>​</w:t>
            </w:r>
          </w:p>
        </w:tc>
      </w:tr>
      <w:tr>
        <w:trPr/>
        <w:tc>
          <w:tcPr>
            <w:tcW w:w="3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ROU assets</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6,866</w:t>
            </w:r>
          </w:p>
        </w:tc>
        <w:tc>
          <w:tcPr>
            <w:tcW w:w="33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1,233</w:t>
            </w:r>
          </w:p>
        </w:tc>
        <w:tc>
          <w:tcPr>
            <w:tcW w:w="332"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8,099</w:t>
            </w:r>
          </w:p>
        </w:tc>
        <w:tc>
          <w:tcPr>
            <w:tcW w:w="20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13,607</w:t>
            </w:r>
          </w:p>
        </w:tc>
        <w:tc>
          <w:tcPr>
            <w:tcW w:w="337"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337"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13,634</w:t>
            </w:r>
          </w:p>
        </w:tc>
      </w:tr>
      <w:tr>
        <w:trPr/>
        <w:tc>
          <w:tcPr>
            <w:tcW w:w="3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ROU assets obtained in exchange for lease liabilities:</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right"/>
              <w:rPr/>
            </w:pPr>
            <w:r>
              <w:rPr/>
              <w:t>​</w:t>
            </w:r>
          </w:p>
        </w:tc>
        <w:tc>
          <w:tcPr>
            <w:tcW w:w="605" w:type="dxa"/>
            <w:tcBorders/>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right"/>
              <w:rPr/>
            </w:pPr>
            <w:r>
              <w:rPr/>
              <w:t>​</w:t>
            </w:r>
          </w:p>
        </w:tc>
      </w:tr>
      <w:tr>
        <w:trPr/>
        <w:tc>
          <w:tcPr>
            <w:tcW w:w="3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ROU assets</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4"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332"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20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8" w:type="dxa"/>
            <w:tcBorders/>
            <w:shd w:fill="CCEEFF" w:val="clear"/>
            <w:vAlign w:val="center"/>
          </w:tcPr>
          <w:p>
            <w:pPr>
              <w:pStyle w:val="TableContents"/>
              <w:bidi w:val="0"/>
              <w:spacing w:before="0" w:after="0"/>
              <w:ind w:left="0" w:right="0" w:hanging="0"/>
              <w:jc w:val="right"/>
              <w:rPr/>
            </w:pPr>
            <w:r>
              <w:rPr/>
              <w:t>—</w:t>
            </w:r>
          </w:p>
        </w:tc>
      </w:tr>
      <w:tr>
        <w:trPr/>
        <w:tc>
          <w:tcPr>
            <w:tcW w:w="3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Derecognition of ROU assets due to terminations, impairment or modifications</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4"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1" w:type="dxa"/>
            <w:tcBorders/>
            <w:vAlign w:val="center"/>
          </w:tcPr>
          <w:p>
            <w:pPr>
              <w:pStyle w:val="TableContents"/>
              <w:bidi w:val="0"/>
              <w:spacing w:before="0" w:after="0"/>
              <w:ind w:left="0" w:right="0" w:hanging="0"/>
              <w:jc w:val="right"/>
              <w:rPr/>
            </w:pPr>
            <w:r>
              <w:rPr/>
              <w:t>—</w:t>
            </w:r>
          </w:p>
        </w:tc>
        <w:tc>
          <w:tcPr>
            <w:tcW w:w="332"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337" w:type="dxa"/>
            <w:tcBorders/>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r>
      <w:tr>
        <w:trPr/>
        <w:tc>
          <w:tcPr>
            <w:tcW w:w="3404"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righ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righ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left"/>
              <w:rPr/>
            </w:pPr>
            <w:r>
              <w:rPr/>
              <w:t>​</w:t>
            </w:r>
          </w:p>
        </w:tc>
      </w:tr>
      <w:tr>
        <w:trPr/>
        <w:tc>
          <w:tcPr>
            <w:tcW w:w="340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Information</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pPr>
            <w:r>
              <w:rPr/>
              <w:t>  </w:t>
            </w:r>
          </w:p>
        </w:tc>
        <w:tc>
          <w:tcPr>
            <w:tcW w:w="33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41" w:type="dxa"/>
            <w:tcBorders/>
            <w:vAlign w:val="center"/>
          </w:tcPr>
          <w:p>
            <w:pPr>
              <w:pStyle w:val="TableContents"/>
              <w:bidi w:val="0"/>
              <w:spacing w:before="0" w:after="0"/>
              <w:ind w:left="0" w:right="0" w:hanging="0"/>
              <w:jc w:val="right"/>
              <w:rPr/>
            </w:pPr>
            <w:r>
              <w:rPr/>
              <w:t>  </w:t>
            </w:r>
          </w:p>
        </w:tc>
        <w:tc>
          <w:tcPr>
            <w:tcW w:w="332"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left"/>
              <w:rPr/>
            </w:pPr>
            <w:r>
              <w:rPr/>
              <w:t>​</w:t>
            </w:r>
          </w:p>
        </w:tc>
      </w:tr>
      <w:tr>
        <w:trPr/>
        <w:tc>
          <w:tcPr>
            <w:tcW w:w="3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remaining years in lease term—finance leases</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16.38</w:t>
            </w:r>
          </w:p>
        </w:tc>
        <w:tc>
          <w:tcPr>
            <w:tcW w:w="33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w:t>
            </w:r>
          </w:p>
        </w:tc>
        <w:tc>
          <w:tcPr>
            <w:tcW w:w="332"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17.37</w:t>
            </w:r>
          </w:p>
        </w:tc>
        <w:tc>
          <w:tcPr>
            <w:tcW w:w="337"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w:t>
            </w:r>
          </w:p>
        </w:tc>
        <w:tc>
          <w:tcPr>
            <w:tcW w:w="337"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left"/>
              <w:rPr/>
            </w:pPr>
            <w:r>
              <w:rPr/>
              <w:t>​</w:t>
            </w:r>
          </w:p>
        </w:tc>
      </w:tr>
      <w:tr>
        <w:trPr/>
        <w:tc>
          <w:tcPr>
            <w:tcW w:w="3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remaining years in lease term—operating leases</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w:t>
            </w:r>
          </w:p>
        </w:tc>
        <w:tc>
          <w:tcPr>
            <w:tcW w:w="33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w:t>
            </w:r>
          </w:p>
        </w:tc>
        <w:tc>
          <w:tcPr>
            <w:tcW w:w="332"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10.74</w:t>
            </w:r>
          </w:p>
        </w:tc>
        <w:tc>
          <w:tcPr>
            <w:tcW w:w="337"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w:t>
            </w:r>
          </w:p>
        </w:tc>
        <w:tc>
          <w:tcPr>
            <w:tcW w:w="337"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left"/>
              <w:rPr/>
            </w:pPr>
            <w:r>
              <w:rPr/>
              <w:t>​</w:t>
            </w:r>
          </w:p>
        </w:tc>
      </w:tr>
      <w:tr>
        <w:trPr/>
        <w:tc>
          <w:tcPr>
            <w:tcW w:w="34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discount rate—finance leases</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45" w:type="dxa"/>
            <w:tcBorders/>
            <w:shd w:fill="CCEEFF" w:val="clear"/>
            <w:vAlign w:val="center"/>
          </w:tcPr>
          <w:p>
            <w:pPr>
              <w:pStyle w:val="TableContents"/>
              <w:bidi w:val="0"/>
              <w:spacing w:before="0" w:after="0"/>
              <w:ind w:left="0" w:right="0" w:hanging="0"/>
              <w:jc w:val="left"/>
              <w:rPr/>
            </w:pPr>
            <w:r>
              <w:rPr/>
              <w:t> </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9"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left"/>
              <w:rPr/>
            </w:pPr>
            <w:r>
              <w:rPr/>
              <w:t>​</w:t>
            </w:r>
          </w:p>
        </w:tc>
      </w:tr>
      <w:tr>
        <w:trPr/>
        <w:tc>
          <w:tcPr>
            <w:tcW w:w="34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discount rate—operating leases</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w:t>
            </w:r>
          </w:p>
        </w:tc>
        <w:tc>
          <w:tcPr>
            <w:tcW w:w="3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45" w:type="dxa"/>
            <w:tcBorders/>
            <w:vAlign w:val="center"/>
          </w:tcPr>
          <w:p>
            <w:pPr>
              <w:pStyle w:val="TableContents"/>
              <w:bidi w:val="0"/>
              <w:spacing w:before="0" w:after="0"/>
              <w:ind w:left="0" w:right="0" w:hanging="0"/>
              <w:jc w:val="left"/>
              <w:rPr/>
            </w:pPr>
            <w:r>
              <w:rPr/>
              <w:t> </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w:t>
            </w:r>
          </w:p>
        </w:tc>
        <w:tc>
          <w:tcPr>
            <w:tcW w:w="33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4.81</w:t>
            </w:r>
          </w:p>
        </w:tc>
        <w:tc>
          <w:tcPr>
            <w:tcW w:w="3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81"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w:t>
            </w:r>
          </w:p>
        </w:tc>
        <w:tc>
          <w:tcPr>
            <w:tcW w:w="3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9" w:type="dxa"/>
            <w:tcBorders/>
            <w:vAlign w:val="center"/>
          </w:tcPr>
          <w:p>
            <w:pPr>
              <w:pStyle w:val="TableContents"/>
              <w:bidi w:val="0"/>
              <w:spacing w:before="0" w:after="0"/>
              <w:ind w:left="0" w:right="0" w:hanging="0"/>
              <w:jc w:val="left"/>
              <w:rPr/>
            </w:pPr>
            <w:r>
              <w:rPr/>
              <w:t>​</w:t>
            </w:r>
          </w:p>
        </w:tc>
        <w:tc>
          <w:tcPr>
            <w:tcW w:w="66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605" w:name="_12aab2c4_46ac_4b42_ac70_fccc8f66bd4a_5"/>
      <w:bookmarkStart w:id="1606" w:name="_12aab2c4_46ac_4b42_ac70_fccc8f66bd4a_4"/>
      <w:bookmarkStart w:id="1607" w:name="_12aab2c4_46ac_4b42_ac70_fccc8f66bd4a_3"/>
      <w:bookmarkStart w:id="1608" w:name="_12aab2c4_46ac_4b42_ac70_fccc8f66bd4a_2"/>
      <w:bookmarkStart w:id="1609" w:name="_12aab2c4_46ac_4b42_ac70_fccc8f66bd4a"/>
      <w:bookmarkStart w:id="1610" w:name="Tc_TB7ZQQSLLEGILwHo6WRc8w_15_5"/>
      <w:bookmarkStart w:id="1611" w:name="Tc__OKC__70o0mGtkyjEP8E0Q_15_2"/>
      <w:bookmarkStart w:id="1612" w:name="Tc_TJ-v6kvZhUyE0WA-43j1Yw_15_0"/>
      <w:bookmarkStart w:id="1613" w:name="Tc_wgZz7TEowki6NUBjRvFByQ_14_0"/>
      <w:bookmarkStart w:id="1614" w:name="Tc_CKlNLZjR5EeULu8jDXtftg_13_0"/>
      <w:bookmarkStart w:id="1615" w:name="Tc_-f9_eogEJkGKwX193-r9MA_12_0"/>
      <w:bookmarkStart w:id="1616" w:name="Tc_wIcrmSA-FUiklsVxErkGxg_11_8"/>
      <w:bookmarkStart w:id="1617" w:name="Tc_vvCxWedhwEyCUGIM-0MblQ_11_5"/>
      <w:bookmarkStart w:id="1618" w:name="Tc_Pezwo73GfEGVOq7kQbs-xA_11_2"/>
      <w:bookmarkStart w:id="1619" w:name="Tc_-VO6zS1Qn06__zqmo8xOgg_11_0"/>
      <w:bookmarkStart w:id="1620" w:name="Tc_6epryXvqI0-Npj_eTa07Gw_10_0"/>
      <w:bookmarkStart w:id="1621" w:name="Tc_9O-NgeNMkkOnMh9dAIebWQ_9_0"/>
      <w:bookmarkStart w:id="1622" w:name="Tc_laahJPHugUaQ0KR-fTr-fg_8_0"/>
      <w:bookmarkStart w:id="1623" w:name="Tc_T5yff1RtoEW1sjnsfElnBA_7_0"/>
      <w:bookmarkStart w:id="1624" w:name="Tc_GvCnqyGS0UWItulBXe0TYA_6_0"/>
      <w:bookmarkStart w:id="1625" w:name="Tc_kprBTGBMek2yvgUHXrBVgw_5_8"/>
      <w:bookmarkStart w:id="1626" w:name="Tc_CsYUNvHmUEyk1YaUVw3rKw_5_5"/>
      <w:bookmarkStart w:id="1627" w:name="Tc_8zjutmvG30uqMb-Y7BwUYQ_5_2"/>
      <w:bookmarkStart w:id="1628" w:name="Tc_ny6xVOH_MEa_9eZrBm4R9Q_5_0"/>
      <w:bookmarkStart w:id="1629" w:name="Tc_zb9FfDFwGkuVCN2xp2weog_4_8"/>
      <w:bookmarkStart w:id="1630" w:name="Tc_-8dXmQZOq0Sd4DKw38Grqg_4_5"/>
      <w:bookmarkStart w:id="1631" w:name="Tc_LGXj42OWk0qYHX-AcwpRlQ_4_2"/>
      <w:bookmarkStart w:id="1632" w:name="Tc_yHw4ZY9cFk2zgktUFFSIdA_4_0"/>
      <w:bookmarkStart w:id="1633" w:name="Tc_mmelHjlrhU6QnD8CaECf8Q_3_8"/>
      <w:bookmarkStart w:id="1634" w:name="Tc_rhNlw1j55kecH0Rmwj80NQ_3_5"/>
      <w:bookmarkStart w:id="1635" w:name="Tc_IMHG6EGfTkyDfu5GcjID0g_3_2"/>
      <w:bookmarkStart w:id="1636" w:name="Tc_QODT9SYkgEWi2QEMAC64yQ_2_8"/>
      <w:bookmarkStart w:id="1637" w:name="Tc_aXNumncvKU20J7gI8zVqVw_2_5"/>
      <w:bookmarkStart w:id="1638" w:name="Tc_RZQdkz2jGkKhbjrjaFTlYQ_2_2"/>
      <w:bookmarkStart w:id="1639" w:name="Tc_avx-X2gQ6kuOeUO-qm29Pw_1_5"/>
      <w:bookmarkStart w:id="1640" w:name="Tc_CVJ16aSOBk6WyJj1nPkqaQ_1_2"/>
      <w:bookmarkStart w:id="1641" w:name="_65affca2_7bf7_434d_86ca_b717bae683ac"/>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r>
        <w:rPr>
          <w:rFonts w:ascii="Times New Roman;Times;serif" w:hAnsi="Times New Roman;Times;serif"/>
          <w:sz w:val="20"/>
        </w:rPr>
        <w:t>Information regarding the Company’s minimum future lease obligations as of June 26, 2024 is as follows (in thousands):</w:t>
      </w:r>
    </w:p>
    <w:p>
      <w:pPr>
        <w:pStyle w:val="TextBody"/>
        <w:bidi w:val="0"/>
        <w:spacing w:before="0" w:after="240"/>
        <w:ind w:left="0" w:right="0" w:hanging="0"/>
        <w:jc w:val="left"/>
        <w:rPr/>
      </w:pPr>
      <w:r>
        <w:rPr/>
        <w:t>​</w:t>
      </w:r>
    </w:p>
    <w:tbl>
      <w:tblPr>
        <w:tblW w:w="7373" w:type="dxa"/>
        <w:jc w:val="left"/>
        <w:tblInd w:w="0" w:type="dxa"/>
        <w:tblLayout w:type="fixed"/>
        <w:tblCellMar>
          <w:top w:w="0" w:type="dxa"/>
          <w:left w:w="0" w:type="dxa"/>
          <w:bottom w:w="0" w:type="dxa"/>
          <w:right w:w="0" w:type="dxa"/>
        </w:tblCellMar>
      </w:tblPr>
      <w:tblGrid>
        <w:gridCol w:w="3271"/>
        <w:gridCol w:w="326"/>
        <w:gridCol w:w="320"/>
        <w:gridCol w:w="865"/>
        <w:gridCol w:w="326"/>
        <w:gridCol w:w="211"/>
        <w:gridCol w:w="796"/>
        <w:gridCol w:w="326"/>
        <w:gridCol w:w="211"/>
        <w:gridCol w:w="72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7085" cy="175260"/>
                      <wp:effectExtent l="0" t="0" r="0" b="0"/>
                      <wp:wrapNone/>
                      <wp:docPr id="389" name="Frame389"/>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3200" cy="175260"/>
                      <wp:effectExtent l="0" t="0" r="0" b="0"/>
                      <wp:wrapNone/>
                      <wp:docPr id="391" name="Frame39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49275" cy="175260"/>
                      <wp:effectExtent l="0" t="0" r="0" b="0"/>
                      <wp:wrapNone/>
                      <wp:docPr id="392" name="Frame392"/>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05460" cy="175260"/>
                      <wp:effectExtent l="0" t="0" r="0" b="0"/>
                      <wp:wrapNone/>
                      <wp:docPr id="395" name="Frame39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57835" cy="175260"/>
                      <wp:effectExtent l="0" t="0" r="0" b="0"/>
                      <wp:wrapNone/>
                      <wp:docPr id="398" name="Frame39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c>
          <w:tcPr>
            <w:tcW w:w="326" w:type="dxa"/>
            <w:tcBorders/>
            <w:vAlign w:val="center"/>
          </w:tcPr>
          <w:p>
            <w:pPr>
              <w:pStyle w:val="TableContents"/>
              <w:bidi w:val="0"/>
              <w:spacing w:before="0" w:after="1"/>
              <w:ind w:left="0" w:right="0" w:hanging="0"/>
              <w:jc w:val="left"/>
              <w:rPr/>
            </w:pPr>
            <w:r>
              <w:rPr/>
              <w:t>​</w:t>
            </w:r>
          </w:p>
        </w:tc>
        <w:tc>
          <w:tcPr>
            <w:tcW w:w="22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w:t>
            </w:r>
          </w:p>
        </w:tc>
        <w:tc>
          <w:tcPr>
            <w:tcW w:w="326" w:type="dxa"/>
            <w:tcBorders/>
            <w:vAlign w:val="center"/>
          </w:tcPr>
          <w:p>
            <w:pPr>
              <w:pStyle w:val="TableContents"/>
              <w:bidi w:val="0"/>
              <w:spacing w:before="0" w:after="1"/>
              <w:ind w:left="0" w:right="0" w:hanging="0"/>
              <w:jc w:val="left"/>
              <w:rPr/>
            </w:pPr>
            <w:r>
              <w:rPr/>
              <w:t>    </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w: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2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Sublease</w:t>
            </w:r>
          </w:p>
        </w:tc>
      </w:tr>
      <w:tr>
        <w:trPr/>
        <w:tc>
          <w:tcPr>
            <w:tcW w:w="32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Years Ending</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w:t>
            </w:r>
          </w:p>
        </w:tc>
        <w:tc>
          <w:tcPr>
            <w:tcW w:w="326" w:type="dxa"/>
            <w:tcBorders/>
            <w:vAlign w:val="center"/>
          </w:tcPr>
          <w:p>
            <w:pPr>
              <w:pStyle w:val="TableContents"/>
              <w:bidi w:val="0"/>
              <w:spacing w:before="0" w:after="1"/>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25, 2024</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2,944</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28,353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5,518</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30, 2026</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5,034</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29, 2027</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4,858</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27, 2028</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4,484</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126,041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27,838</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242,862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50,676</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 (2.57% - 6.67%)</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186,311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maturities</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166,408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Short-Term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multiple short-term leases, which have terms of less than 12 months, and thus were excluded from the recognition requirements of Topic 842. The Company has recognized these lease payments in its condensed consolidated statements of income on a straight-line basis over the lease term and variable lease payments in the period in which the obligation for those payments was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Lessor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is a lessor for certain property, facilities and equipment owned by the Company and leased to others, principally franchisees, under non-cancelable leases with initial terms ranging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20 years. These lease agreements generally provide for a fixed base rent and, in some instances, contingent rent based on a percentage of gross operating profit or net revenues. All leases are considered operating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received $0.1 million of lease income from company-owned locations for the thirteen weeks ended June 26, 2024 and June 28, 2023. The Company received $0.2 million and $0.1 million of lease income from company-owned locations for the twenty-six weeks ended June 26, 2024 and June 28, 2023, respectively.</w:t>
      </w:r>
    </w:p>
    <w:p>
      <w:pPr>
        <w:pStyle w:val="TextBody"/>
        <w:bidi w:val="0"/>
        <w:spacing w:before="0" w:after="24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 SHAREHOLDER RIGHTS AGREEMENT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8, 2023, the Company’s Board of Directors declared a dividend of one preferred share purchase right (a “Right”) for each share of common stock, par value $0.01 per share, of the Company (the “Common Shares”), outstanding on August 18, 2023, to the stockholders of record on that date. In connection with the distribution of the Rights, the Company entered into a Rights Agreement (the “Rights Agreement”), dated as of August 8, 2023, between the Company and Equiniti Trust Company, LLC, as rights agent. Each Right entitles the registered holder to purchase from the Company one </w:t>
      </w:r>
      <w:r>
        <w:rPr>
          <w:rFonts w:ascii="Times New Roman;Times;serif" w:hAnsi="Times New Roman;Times;serif"/>
          <w:b w:val="false"/>
          <w:i w:val="false"/>
          <w:caps w:val="false"/>
          <w:smallCaps w:val="false"/>
          <w:sz w:val="20"/>
        </w:rPr>
        <w:t>one-thousandth</w:t>
      </w:r>
      <w:r>
        <w:rPr>
          <w:rFonts w:ascii="Times New Roman;Times;serif" w:hAnsi="Times New Roman;Times;serif"/>
          <w:sz w:val="20"/>
        </w:rPr>
        <w:t xml:space="preserve"> of a share of Series A Preferred Stock, par value $0.01 per share, of the Company (the “Preferred Shares”) at a price of $53.75 per one </w:t>
      </w:r>
      <w:r>
        <w:rPr>
          <w:rFonts w:ascii="Times New Roman;Times;serif" w:hAnsi="Times New Roman;Times;serif"/>
          <w:b w:val="false"/>
          <w:i w:val="false"/>
          <w:caps w:val="false"/>
          <w:smallCaps w:val="false"/>
          <w:sz w:val="20"/>
        </w:rPr>
        <w:t>one-thousandth</w:t>
      </w:r>
      <w:r>
        <w:rPr>
          <w:rFonts w:ascii="Times New Roman;Times;serif" w:hAnsi="Times New Roman;Times;serif"/>
          <w:sz w:val="20"/>
        </w:rPr>
        <w:t xml:space="preserve"> of a Preferred Share represented by a Right, subject to adjustment. The Rights will expire at the close of business on August 7, 2024.</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Under the Rights Agreement, the Rights are generally exercisable only in the event that a person or group of affiliated or associated persons (such person or group being an “Acquiring Person”), other than certain exempt persons, acquires (or commences a tender offer or exchange offer the consummation of which would result in) beneficial ownership of 12.5% or more of the outstanding Common Shares. In such case (with certain limited exceptions), each holder of a Right (other than the Acquiring Person, whose Rights shall become void) will have the right to receive, upon exercise at the then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exercise price of the Right, Common Shares (or, if the Company’s Board of Directors so elects, cash, securities, or other property) having a value equal to two times (2x) the exercise price of the Right.</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Right to Exchange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 any time after any person or group becomes an Acquiring Person, the Board may exchange the Rights at an exchange ratio of one Common Share per Right (subject to adjustment). </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Flip-over Event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at any time after a person or group becomes an Acquiring Person, (i) the Company engages in a consolidation or merger and, in connection there with all or part of the Common Shares are or will be changed into or exchanged for stock or other securities of any other person or cash or any other property; or (ii) 50% or more of the Company’s consolidated assets or earning power are sold, then each holder of a Right will thereafter have the right to receive, upon exercise at the then current exercise price of the Right, that number of shares of common stock of the acquiring company having a market value of two times the exercise price of the Right.</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Redemption</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any time prior to the time any person or group becomes an Acquiring Person, the Board may redeem the Rights at a price of $0.001 per Right (the “Redemption Price”). Immediately upon any redemption of the Rights, the right to exercise the Rights will terminate and the only right of the holders of Rights will be to receive the Redemption Price.</w:t>
      </w:r>
    </w:p>
    <w:p>
      <w:pPr>
        <w:pStyle w:val="TextBody"/>
        <w:pBdr/>
        <w:shd w:fill="FFFFFF" w:val="clear"/>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Rights of Holders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Until a Right is exercised, the holder thereof, as such, will have no rights as a stockholder of the Company, including, without limitation, the right to vote or to receive dividends.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42" w:name="Item2ManagementsDiscussionandAnalysisofF"/>
      <w:bookmarkStart w:id="1643" w:name="_706a8e12_0a89_4029_87eb_c1418a1a7e8a"/>
      <w:bookmarkEnd w:id="1642"/>
      <w:bookmarkEnd w:id="164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Cautionary Statement Concerning 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or other business conditions that may affect the desire or ability of our customers to purchase our products such as inflationary pressures, high unemployment levels, increases in gas prices, and declines in median income growth, consumer confidence and consumer discretionary spending;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open new restaurants in new and existing markets, including difficulty in finding sites and in negotiating acceptable leases;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successfully with other quick-service and fast casual restaurants;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vulnerability to changes in political and economic conditions and consumer preferences;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develop, assimilate and retain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vulnerability to conditions in the greater Los Angeles area and to natural disasters given the geographic concentration and real estate intensive nature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possibility that we may continue to incur significant impairment of certain of our assets, in particular in our new markets; </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food and supply costs, especially for chicken, labor, construction and utilities;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media and negative publicity, whether or not valid, and our ability to respond to and effectively manage the accelerated impact of social media;</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expand our digital business, delivery orders and catering;</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about food safety and quality and about food-borne illness;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frequent and timely deliveries of food and supplies;</w:t>
            </w:r>
          </w:p>
        </w:tc>
      </w:tr>
    </w:tbl>
    <w:tbl>
      <w:tblPr>
        <w:tblW w:w="4356" w:type="dxa"/>
        <w:jc w:val="left"/>
        <w:tblInd w:w="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our level of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related to the success of our marketing programs, new menu items, advertising campaigns and restaurant designs and remodels;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the economic environment, including inflation and increased labor and supply costs, which may affect our franchisees, with adverse consequences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federal, state and local labors laws governing our relationships with our employees, including minimum wage laws, minimum standards for fast food workers or other similar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impacts of the uncertainty regarding </w:t>
            </w:r>
            <w:r>
              <w:rPr>
                <w:rFonts w:ascii="Times New Roman;Times;serif" w:hAnsi="Times New Roman;Times;serif"/>
                <w:b w:val="false"/>
                <w:i w:val="false"/>
                <w:caps w:val="false"/>
                <w:smallCaps w:val="false"/>
                <w:sz w:val="20"/>
                <w:shd w:fill="FFFFFF" w:val="clear"/>
              </w:rPr>
              <w:t>pandemics, epidemics or infectious disease outbreaks (such as the recent COVID-19 pandemic)</w:t>
            </w:r>
            <w:r>
              <w:rPr>
                <w:caps w:val="false"/>
                <w:smallCaps w:val="false"/>
              </w:rPr>
              <w:t xml:space="preserve"> </w:t>
            </w:r>
            <w:r>
              <w:rPr>
                <w:rFonts w:ascii="Times New Roman;Times;serif" w:hAnsi="Times New Roman;Times;serif"/>
                <w:b w:val="false"/>
                <w:i w:val="false"/>
                <w:caps w:val="false"/>
                <w:smallCaps w:val="false"/>
                <w:sz w:val="20"/>
              </w:rPr>
              <w:t>on our company, our employees, our customers, our partners, our industry and the economy as a whole, as well as our franchisees’ ability to operate their individual restaurants without disruption;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control over our franchisees and potential deterioration of our relations with existing or potential franchisees;</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exposure to unexpected costs and losses from our self-insurance programs;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obligations under long-term and non-cancelable leases, and our ability to renew leases at the end of their terms;</w:t>
            </w:r>
          </w:p>
        </w:tc>
      </w:tr>
    </w:tbl>
    <w:p>
      <w:pPr>
        <w:pStyle w:val="Normal"/>
        <w:bidi w:val="0"/>
        <w:spacing w:before="0" w:after="0"/>
        <w:jc w:val="left"/>
        <w:rPr>
          <w:sz w:val="4"/>
          <w:szCs w:val="4"/>
        </w:rPr>
      </w:pPr>
      <w:r>
        <w:rPr>
          <w:sz w:val="4"/>
          <w:szCs w:val="4"/>
        </w:rPr>
      </w:r>
      <w:bookmarkStart w:id="1644" w:name="_Hlk148698869"/>
      <w:bookmarkStart w:id="1645" w:name="_Hlk148698869"/>
      <w:bookmarkEnd w:id="1645"/>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w:t>
            </w:r>
            <w:r>
              <w:rPr>
                <w:caps w:val="false"/>
                <w:smallCaps w:val="false"/>
              </w:rPr>
              <w:t xml:space="preserve"> </w:t>
            </w:r>
            <w:r>
              <w:rPr>
                <w:rFonts w:ascii="Times New Roman;Times;serif" w:hAnsi="Times New Roman;Times;serif"/>
                <w:b w:val="false"/>
                <w:i w:val="false"/>
                <w:caps w:val="false"/>
                <w:smallCaps w:val="false"/>
                <w:sz w:val="20"/>
              </w:rPr>
              <w:t>possibility that Delaware law, our organizational documents, our shareholder rights agreement, and our existing and future debt agreements may impede or discourage a takeover;</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shareholder activism on our expenses, business and stock price;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failure of our information technology system or any breach of our network security;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security breaches on our ability to protect our customers’ payment method data or personal information;</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enforce and maintain our trademarks and protect our other proprietary intellectual property;</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government regulation and litigation, including employment and labor laws;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set forth in our filings with the SEC from time to time, including under Item 1A, Risk Factors in our annual report on Form 10-K for the year ended December 27, 2023, which filings are available online at www.sec.gov.</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pStyle w:val="TextBody"/>
        <w:bidi w:val="0"/>
        <w:spacing w:before="0" w:after="240"/>
        <w:ind w:left="0" w:right="0" w:hanging="0"/>
        <w:jc w:val="left"/>
        <w:rPr>
          <w:rFonts w:ascii="Times New Roman;Times;serif" w:hAnsi="Times New Roman;Times;serif"/>
          <w:b/>
          <w:sz w:val="20"/>
        </w:rPr>
      </w:pPr>
      <w:bookmarkStart w:id="1646" w:name="_d1a84006_22a2_4701_ac0a_d536bf07fec1"/>
      <w:bookmarkEnd w:id="1646"/>
      <w:r>
        <w:rPr>
          <w:rFonts w:ascii="Times New Roman;Times;serif" w:hAnsi="Times New Roman;Times;serif"/>
          <w:b/>
          <w:sz w:val="20"/>
        </w:rPr>
        <w:t>Overview</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El Pollo Loco is a differentiated and growing restaurant concept that specializes in fire-grilling citrus-marinated chicken and operates in the limited-service restaurant segment. We strive to offer food that integrates the culinary traditions of Mexico with the healthier lifestyle.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limited-time basis, additional proteins like beef and shrimp.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We believe that our distinctive menu with better for you and more affordable alternatives appeals to consumers across a wide variety of socio-economic backgrounds and drives our balanced composition of sales throughout the day (our “day-part mix”), including at lunch and dinner.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Trends and Uncertainties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On September 28, 2023, Governor Newsom signed AB 1228 into law, which repealed and replaced the Fast Food Accountability and Standards Recovery Act (“FAST Act”) on January 1, 2024. Pursuant to AB 1228, the minimum wage at fast food restaurants that are part of brands which have more than 60 establishments nationwide was increased to $20 an hour on April 1, 2024, and a Fast Food Council created by AB 1228 will have limited power to approve annual wage increases until 2029. Under the law, the Fast Food Council will also have the power to develop and propose minimum standards for fast food workers, including standards for working hours, working conditions, and health and safety. As a result of AB 1228, we expect our labor and regulatory compliance costs will increase during the remainder of fiscal 2024 and that our results of operations and profitability will be adversely affected if we are not able to implement other measures to counter these increased costs. </w:t>
      </w:r>
    </w:p>
    <w:p>
      <w:pPr>
        <w:pStyle w:val="TextBody"/>
        <w:bidi w:val="0"/>
        <w:spacing w:before="240" w:after="240"/>
        <w:ind w:left="0" w:right="0" w:hanging="0"/>
        <w:jc w:val="left"/>
        <w:rPr>
          <w:rFonts w:ascii="Times New Roman;Times;serif" w:hAnsi="Times New Roman;Times;serif"/>
          <w:b w:val="false"/>
          <w:sz w:val="20"/>
          <w:shd w:fill="FFFFFF" w:val="clear"/>
        </w:rPr>
      </w:pPr>
      <w:r>
        <w:rPr>
          <w:rFonts w:ascii="Times New Roman;Times;serif" w:hAnsi="Times New Roman;Times;serif"/>
          <w:b w:val="false"/>
          <w:sz w:val="20"/>
          <w:shd w:fill="FFFFFF" w:val="clear"/>
        </w:rPr>
        <w:t>Additionally, we have experienced inflationary pressures affecting our operations in certain areas such as food cost, labor costs, construction costs and other restaurant operating costs. We have been able to substantially offset these inflationary and other cost pressures through various actions, such as increasing menu prices, managing menu mix, and productivity improvements. However, we expect these inflationary and other cost pressures to continue into the remainder of fiscal 2024 and we may not be able to offset cost increases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Seasonality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our key performance indicators described below, such as company-operated restaurant revenue and comparable restaurant sales, may fluctuate.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Growth Strategies and Outlook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26, 2024, we had 495 locations in seven states. In fiscal 2023, we opened two new company-operated restaurants in Nevada, and our franchisees opened three new restaurants, one in California, one in Colorado and one in Utah. Additionally, we</w:t>
      </w:r>
      <w:r>
        <w:rPr>
          <w:rFonts w:ascii="Times New Roman;Times;serif" w:hAnsi="Times New Roman;Times;serif"/>
          <w:sz w:val="20"/>
          <w:shd w:fill="FFFFFF" w:val="clear"/>
        </w:rPr>
        <w:t> completed the sale of 18 restaurants within California, Utah and Texas to existing franchisees during fiscal 2023.</w:t>
      </w:r>
      <w:r>
        <w:rPr>
          <w:rFonts w:ascii="Times New Roman;Times;serif" w:hAnsi="Times New Roman;Times;serif"/>
          <w:sz w:val="20"/>
        </w:rPr>
        <w:t xml:space="preserve"> For the twenty-six weeks ended June 26, 2024, our franchisees opened one new restaurant in California. Additionally, during the twenty-six weeks ended June 26, 2024, we completed the sale of one restaurant in California to existing franchisees. We plan to continue to expand our business, drive restaurant sales growth, and enhance our competitive positioning, by executing the following five key strategies:</w:t>
      </w:r>
    </w:p>
    <w:tbl>
      <w:tblPr>
        <w:tblW w:w="1971" w:type="dxa"/>
        <w:jc w:val="left"/>
        <w:tblInd w:w="0" w:type="dxa"/>
        <w:tblLayout w:type="fixed"/>
        <w:tblCellMar>
          <w:top w:w="28" w:type="dxa"/>
          <w:left w:w="28" w:type="dxa"/>
          <w:bottom w:w="28" w:type="dxa"/>
          <w:right w:w="28" w:type="dxa"/>
        </w:tblCellMar>
      </w:tblPr>
      <w:tblGrid>
        <w:gridCol w:w="124"/>
        <w:gridCol w:w="256"/>
        <w:gridCol w:w="1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That Wins;</w:t>
            </w:r>
          </w:p>
        </w:tc>
      </w:tr>
    </w:tbl>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Mindset;</w:t>
            </w:r>
          </w:p>
        </w:tc>
      </w:tr>
    </w:tbl>
    <w:tbl>
      <w:tblPr>
        <w:tblW w:w="1566" w:type="dxa"/>
        <w:jc w:val="left"/>
        <w:tblInd w:w="0" w:type="dxa"/>
        <w:tblLayout w:type="fixed"/>
        <w:tblCellMar>
          <w:top w:w="28" w:type="dxa"/>
          <w:left w:w="28" w:type="dxa"/>
          <w:bottom w:w="28" w:type="dxa"/>
          <w:right w:w="28" w:type="dxa"/>
        </w:tblCellMar>
      </w:tblPr>
      <w:tblGrid>
        <w:gridCol w:w="124"/>
        <w:gridCol w:w="256"/>
        <w:gridCol w:w="1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First;</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Winning Unit Economics; and</w:t>
            </w:r>
          </w:p>
        </w:tc>
      </w:tr>
    </w:tbl>
    <w:tbl>
      <w:tblPr>
        <w:tblW w:w="1986" w:type="dxa"/>
        <w:jc w:val="left"/>
        <w:tblInd w:w="0" w:type="dxa"/>
        <w:tblLayout w:type="fixed"/>
        <w:tblCellMar>
          <w:top w:w="28" w:type="dxa"/>
          <w:left w:w="28" w:type="dxa"/>
          <w:bottom w:w="28" w:type="dxa"/>
          <w:right w:w="28" w:type="dxa"/>
        </w:tblCellMar>
      </w:tblPr>
      <w:tblGrid>
        <w:gridCol w:w="124"/>
        <w:gridCol w:w="256"/>
        <w:gridCol w:w="1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Unit Growth.</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To increase comparable restaurant sales, we plan to increase customer frequency, attract new customers, and improve per-person spend.</w:t>
      </w:r>
      <w:r>
        <w:rPr>
          <w:rFonts w:ascii="Times New Roman;Times;serif" w:hAnsi="Times New Roman;Times;serif"/>
          <w:sz w:val="20"/>
        </w:rPr>
        <w:t xml:space="preserve"> The success of these growth plans is not guaranteed.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Highlights and Trends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thirteen and twenty-six weeks ended June 26, 2024, our total revenue was $122.2 million and $238.3 million, respectively. For the thirteen and twenty-six weeks ended June 26, 2024, our company-operated restaurant revenue was $102.3 million and $199.5 million, respectively, and our franchise and franchise advertising fee revenue was $19.9 million and $38.9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Comparable Restaurant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thirteen and twenty-six weeks ended June 26, 2024, system-wide comparable restaurant sales increased by 4.5% and 4.8%, respectively, from the comparable period in the prior year. For company-operated restaurants, comparable restaurant sales for the thirteen and twenty-six weeks ended June 26, 2024 increased by 3.2% and 3.4%, respectively. For company-operated restaurants, the quarter’s change in comparable restaurant sales consisted of an 8.8% increase in average check size,</w:t>
      </w:r>
      <w:r>
        <w:rPr>
          <w:rFonts w:ascii="Times New Roman;Times;serif" w:hAnsi="Times New Roman;Times;serif"/>
          <w:sz w:val="20"/>
          <w:shd w:fill="FFFFFF" w:val="clear"/>
        </w:rPr>
        <w:t xml:space="preserve"> partially offset by a 5.2% decrease in transactions</w:t>
      </w:r>
      <w:r>
        <w:rPr>
          <w:rFonts w:ascii="Times New Roman;Times;serif" w:hAnsi="Times New Roman;Times;serif"/>
          <w:sz w:val="20"/>
        </w:rPr>
        <w:t xml:space="preserve">, </w:t>
      </w:r>
      <w:r>
        <w:rPr>
          <w:rFonts w:ascii="Times New Roman;Times;serif" w:hAnsi="Times New Roman;Times;serif"/>
          <w:sz w:val="20"/>
          <w:shd w:fill="FFFFFF" w:val="clear"/>
        </w:rPr>
        <w:t>and the year-to-date change in comparable restaurant sales consisted of a 5.7% increase in average check size, partially offset by a 2.1% decrease in transactions</w:t>
      </w:r>
      <w:r>
        <w:rPr>
          <w:rFonts w:ascii="Times New Roman;Times;serif" w:hAnsi="Times New Roman;Times;serif"/>
          <w:sz w:val="20"/>
        </w:rPr>
        <w:t>. For franchised restaurants, comparable restaurant sales increased 5.3% and 5.6% for the thirteen and twenty-six weeks ended June 26, 2024, respectively. Refer to “Comparable Restaurant Sales” definition in the section titled “Key Performance Indicators”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Restaurant Development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restaurant counts at the beginning and end of each of the last three fiscal years and the twenty-six weeks ended June 26, 2024, were as follows:</w:t>
      </w:r>
    </w:p>
    <w:p>
      <w:pPr>
        <w:pStyle w:val="TextBody"/>
        <w:bidi w:val="0"/>
        <w:spacing w:before="0" w:after="240"/>
        <w:ind w:left="0" w:right="0" w:hanging="0"/>
        <w:jc w:val="left"/>
        <w:rPr/>
      </w:pPr>
      <w:r>
        <w:rPr/>
        <w:t>​</w:t>
      </w:r>
    </w:p>
    <w:tbl>
      <w:tblPr>
        <w:tblW w:w="8311" w:type="dxa"/>
        <w:jc w:val="left"/>
        <w:tblInd w:w="0" w:type="dxa"/>
        <w:tblLayout w:type="fixed"/>
        <w:tblCellMar>
          <w:top w:w="0" w:type="dxa"/>
          <w:left w:w="0" w:type="dxa"/>
          <w:bottom w:w="0" w:type="dxa"/>
          <w:right w:w="0" w:type="dxa"/>
        </w:tblCellMar>
      </w:tblPr>
      <w:tblGrid>
        <w:gridCol w:w="3601"/>
        <w:gridCol w:w="326"/>
        <w:gridCol w:w="1936"/>
        <w:gridCol w:w="326"/>
        <w:gridCol w:w="466"/>
        <w:gridCol w:w="326"/>
        <w:gridCol w:w="466"/>
        <w:gridCol w:w="326"/>
        <w:gridCol w:w="538"/>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286635" cy="175260"/>
                      <wp:effectExtent l="0" t="0" r="0" b="0"/>
                      <wp:wrapNone/>
                      <wp:docPr id="399" name="Frame399"/>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229360" cy="175260"/>
                      <wp:effectExtent l="0" t="0" r="0" b="0"/>
                      <wp:wrapNone/>
                      <wp:docPr id="401" name="Frame401"/>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95910" cy="175260"/>
                      <wp:effectExtent l="0" t="0" r="0" b="0"/>
                      <wp:wrapNone/>
                      <wp:docPr id="403" name="Frame40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95910" cy="175260"/>
                      <wp:effectExtent l="0" t="0" r="0" b="0"/>
                      <wp:wrapNone/>
                      <wp:docPr id="405" name="Frame40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41630" cy="175260"/>
                      <wp:effectExtent l="0" t="0" r="0" b="0"/>
                      <wp:wrapNone/>
                      <wp:docPr id="407" name="Frame407"/>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26" w:type="dxa"/>
            <w:tcBorders/>
            <w:vAlign w:val="center"/>
          </w:tcPr>
          <w:p>
            <w:pPr>
              <w:pStyle w:val="TableContents"/>
              <w:bidi w:val="0"/>
              <w:spacing w:before="0" w:after="0"/>
              <w:ind w:left="0" w:right="0" w:hanging="0"/>
              <w:jc w:val="center"/>
              <w:rPr/>
            </w:pPr>
            <w:r>
              <w:rPr/>
              <w:t>    </w:t>
            </w:r>
          </w:p>
        </w:tc>
        <w:tc>
          <w:tcPr>
            <w:tcW w:w="212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6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Company-operated restaurant activity</w:t>
            </w:r>
            <w:r>
              <w:rPr>
                <w:rFonts w:ascii="Times New Roman;Times;serif" w:hAnsi="Times New Roman;Times;serif"/>
                <w:b/>
                <w:sz w:val="15"/>
              </w:rPr>
              <w:t>(1)</w:t>
            </w:r>
            <w:r>
              <w:rPr>
                <w:rFonts w:ascii="Times New Roman;Times;serif" w:hAnsi="Times New Roman;Times;serif"/>
                <w:b/>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26"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Openings</w:t>
            </w:r>
          </w:p>
        </w:tc>
        <w:tc>
          <w:tcPr>
            <w:tcW w:w="326"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sale to franchisee</w:t>
            </w:r>
          </w:p>
        </w:tc>
        <w:tc>
          <w:tcPr>
            <w:tcW w:w="326"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Closures</w:t>
            </w:r>
          </w:p>
        </w:tc>
        <w:tc>
          <w:tcPr>
            <w:tcW w:w="326" w:type="dxa"/>
            <w:tcBorders/>
            <w:shd w:fill="CCEEFF" w:val="clear"/>
            <w:vAlign w:val="center"/>
          </w:tcPr>
          <w:p>
            <w:pPr>
              <w:pStyle w:val="TableContents"/>
              <w:bidi w:val="0"/>
              <w:spacing w:before="0" w:after="0"/>
              <w:ind w:left="0" w:right="0" w:hanging="0"/>
              <w:jc w:val="left"/>
              <w:rPr/>
            </w:pPr>
            <w:r>
              <w:rPr/>
              <w:t>​</w:t>
            </w:r>
          </w:p>
        </w:tc>
        <w:tc>
          <w:tcPr>
            <w:tcW w:w="1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326"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Franchised restaurant activity:</w:t>
            </w:r>
          </w:p>
        </w:tc>
        <w:tc>
          <w:tcPr>
            <w:tcW w:w="326"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26"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Openings</w:t>
            </w:r>
          </w:p>
        </w:tc>
        <w:tc>
          <w:tcPr>
            <w:tcW w:w="326"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sale to franchisee</w:t>
            </w:r>
          </w:p>
        </w:tc>
        <w:tc>
          <w:tcPr>
            <w:tcW w:w="326"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Closures</w:t>
            </w:r>
          </w:p>
        </w:tc>
        <w:tc>
          <w:tcPr>
            <w:tcW w:w="326" w:type="dxa"/>
            <w:tcBorders/>
            <w:shd w:fill="CCEEFF" w:val="clear"/>
            <w:vAlign w:val="center"/>
          </w:tcPr>
          <w:p>
            <w:pPr>
              <w:pStyle w:val="TableContents"/>
              <w:bidi w:val="0"/>
              <w:spacing w:before="0" w:after="0"/>
              <w:ind w:left="0" w:right="0" w:hanging="0"/>
              <w:jc w:val="left"/>
              <w:rPr/>
            </w:pPr>
            <w:r>
              <w:rPr/>
              <w:t>​</w:t>
            </w:r>
          </w:p>
        </w:tc>
        <w:tc>
          <w:tcPr>
            <w:tcW w:w="1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326"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System-wide restaurant activity:</w:t>
            </w:r>
          </w:p>
        </w:tc>
        <w:tc>
          <w:tcPr>
            <w:tcW w:w="326"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26"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Openings</w:t>
            </w:r>
          </w:p>
        </w:tc>
        <w:tc>
          <w:tcPr>
            <w:tcW w:w="326"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Closures</w:t>
            </w:r>
          </w:p>
        </w:tc>
        <w:tc>
          <w:tcPr>
            <w:tcW w:w="326" w:type="dxa"/>
            <w:tcBorders/>
            <w:vAlign w:val="center"/>
          </w:tcPr>
          <w:p>
            <w:pPr>
              <w:pStyle w:val="TableContents"/>
              <w:bidi w:val="0"/>
              <w:spacing w:before="0" w:after="0"/>
              <w:ind w:left="0" w:right="0" w:hanging="0"/>
              <w:jc w:val="left"/>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480</w:t>
            </w:r>
          </w:p>
        </w:tc>
      </w:tr>
    </w:tbl>
    <w:tbl>
      <w:tblPr>
        <w:tblW w:w="9992" w:type="dxa"/>
        <w:jc w:val="left"/>
        <w:tblInd w:w="0" w:type="dxa"/>
        <w:tblLayout w:type="fixed"/>
        <w:tblCellMar>
          <w:top w:w="0" w:type="dxa"/>
          <w:left w:w="0" w:type="dxa"/>
          <w:bottom w:w="0" w:type="dxa"/>
          <w:right w:w="0" w:type="dxa"/>
        </w:tblCellMar>
      </w:tblPr>
      <w:tblGrid>
        <w:gridCol w:w="286"/>
        <w:gridCol w:w="970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restaurant count above includes 495 domestic restaurants and excludes 10 licensed restaurants in the Philippines.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Restaurant Remodeling</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During the twenty-six weeks ended June 26, 2024, we completed five company-operated restaurant remodels and 28 franchise remodels. The cost of our restaurant remodels varies depending on the scope of the work required, but on average the investment is $0.3 million to $0.4 million per restaurant.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Loco Rewards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Loco Rewards loyalty program offers rewards that incentivize customers to visit our restaurants more often each month.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on a pro-rata basis, based on stand-alone selling price, as determined by menu pricing and loyalty point’s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June 26, 2024 and December 27, 2023, the revenue allocated to loyalty points that had not been redeemed was $0.8 million and $0.7 million, respectively, which is reflected in our accompanying condensed consolidated balance sheets within other accrued expenses and current liabilities. We had over 3.9 million loyalty program members as of June 26,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our condensed consolidated financial statements in accordance with U.S. generally accepted accounting principles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Accounting policies are an integral part of our condensed consolidated financial statements. A thorough understanding of these accounting policies is essential when reviewing our reported results of operations and our financial position. Management believes that our critical accounting policies and estimates involve the most difficult management judgments, due to the sensitivity of the methods and assumptions used. For a summary of our critical accounting policies and a discussion of our use of estimates, see “Critical Accounting Policies and Estimates” in Item 7, “Management’s Discussion and Analysis of Financial Condition and Results of Operations” in our annual report on Form 10-K for the year ended December 27,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material changes to our critical accounting policies or uses of estimates since our annual report on Form 10-K for the year ended December 27,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Financial Definitions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revenue is derived from three primary sources: company-operated restaurant revenue, franchise revenue, which is comprised primarily of franchise royalties and, to a lesser extent, franchise fees and sublease rental income, and franchise advertising fee revenue. See Note 10, “Revenue from Contracts with Customers” </w:t>
      </w:r>
      <w:r>
        <w:rPr>
          <w:rFonts w:ascii="Times New Roman;Times;serif" w:hAnsi="Times New Roman;Times;serif"/>
          <w:sz w:val="20"/>
          <w:shd w:fill="FFFFFF" w:val="clear"/>
        </w:rPr>
        <w:t>in the Notes to Condensed Consolidated Financial Statements</w:t>
      </w:r>
      <w:r>
        <w:rPr>
          <w:rFonts w:ascii="Times New Roman;Times;serif" w:hAnsi="Times New Roman;Times;serif"/>
          <w:sz w:val="20"/>
        </w:rPr>
        <w:t xml:space="preserve"> above for further details regarding our revenue recognition policy.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Food and Paper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Labor and Related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Labor and related expenses include wages, payroll taxes, workers’ compensation expense, benefits, and bonuses paid to our restaurant management teams. Like other expense items, we expect labor costs to grow proportionately as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restaurant revenue grows. Factors that influence labor costs include minimum wage and payroll tax legislation, state labor laws (which, in California, may include AB 1228), overtime, wage inflation, the frequency and severity of workers’ compensation claims, health care costs, and the performance of our restaurants.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Occupancy Costs and Other Operating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Occupancy costs include rent, common area maintenance (“CAM”), and real estate taxes. Other restaurant operating expenses include the costs of utilities, advertising, credit card processing fees, restaurant supplies, repairs and maintenance, and other restaurant operating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Franchise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Franchise expenses are primarily comprised of rent expenses incurred on properties leased by us and then sublet to franchisees, expenses incurred in support of franchisee information technology systems, and the franchisee’s portion of advertising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Depreciation and amortization primarily consists of the depreciation of property and equipment, including leasehold improvements and equipment.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(Gain) on Disposal of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Loss (gain) on disposal of assets includes the loss or gain on disposal of assets related to retirements and replacement or write-off of leasehold improvements or equipment.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and Closed-Store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review long-lived assets such as property, equipment, and intangibles on a unit-by-unit basis for impairment when events or circumstances indicate the carrying value of the assets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we close a restaurant, we will evaluate the right of use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net, consists primarily of interest on our outstanding debt. Debt issuance costs are amortized at cost over the life of the related debt.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Provision for income taxes consists of federal and state taxes on our income.</w:t>
      </w:r>
    </w:p>
    <w:p>
      <w:pPr>
        <w:pStyle w:val="TextBody"/>
        <w:bidi w:val="0"/>
        <w:spacing w:before="0" w:after="240"/>
        <w:ind w:left="0" w:right="0" w:hanging="0"/>
        <w:jc w:val="left"/>
        <w:rPr>
          <w:rFonts w:ascii="Times New Roman;Times;serif" w:hAnsi="Times New Roman;Times;serif"/>
          <w:b/>
          <w:sz w:val="20"/>
        </w:rPr>
      </w:pPr>
      <w:bookmarkStart w:id="1647" w:name="_e7b9eef1_b068_4ff1_b9ea_0cb3b06069d6"/>
      <w:bookmarkEnd w:id="1647"/>
      <w:r>
        <w:rPr>
          <w:rFonts w:ascii="Times New Roman;Times;serif" w:hAnsi="Times New Roman;Times;serif"/>
          <w:b/>
          <w:sz w:val="20"/>
        </w:rPr>
        <w:t>Comparison of Results of Operations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Our operating results for the thirteen and twenty-six weeks ended June 26, 2024 and June 28, 2023 are expressed as percentages of total revenue, with the exception of cost of operations and company restaurant expenses, which are expressed as percentages of company-operated restaurant revenue, and are compared in the tables below.</w:t>
      </w:r>
    </w:p>
    <w:tbl>
      <w:tblPr>
        <w:tblW w:w="10205" w:type="dxa"/>
        <w:jc w:val="left"/>
        <w:tblInd w:w="0" w:type="dxa"/>
        <w:tblLayout w:type="fixed"/>
        <w:tblCellMar>
          <w:top w:w="0" w:type="dxa"/>
          <w:left w:w="0" w:type="dxa"/>
          <w:bottom w:w="0" w:type="dxa"/>
          <w:right w:w="0" w:type="dxa"/>
        </w:tblCellMar>
      </w:tblPr>
      <w:tblGrid>
        <w:gridCol w:w="3519"/>
        <w:gridCol w:w="326"/>
        <w:gridCol w:w="211"/>
        <w:gridCol w:w="781"/>
        <w:gridCol w:w="326"/>
        <w:gridCol w:w="571"/>
        <w:gridCol w:w="326"/>
        <w:gridCol w:w="211"/>
        <w:gridCol w:w="781"/>
        <w:gridCol w:w="326"/>
        <w:gridCol w:w="571"/>
        <w:gridCol w:w="326"/>
        <w:gridCol w:w="211"/>
        <w:gridCol w:w="673"/>
        <w:gridCol w:w="326"/>
        <w:gridCol w:w="720"/>
      </w:tblGrid>
      <w:tr>
        <w:trPr/>
        <w:tc>
          <w:tcPr>
            <w:tcW w:w="3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234565" cy="175260"/>
                      <wp:effectExtent l="0" t="0" r="0" b="0"/>
                      <wp:wrapNone/>
                      <wp:docPr id="408" name="Frame408"/>
                      <a:graphic xmlns:a="http://schemas.openxmlformats.org/drawingml/2006/main">
                        <a:graphicData uri="http://schemas.microsoft.com/office/word/2010/wordprocessingShape">
                          <wps:wsp>
                            <wps:cNvSpPr txBox="1"/>
                            <wps:spPr>
                              <a:xfrm>
                                <a:off x="0" y="0"/>
                                <a:ext cx="2234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9" name="Frame4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10" name="Frame4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95935" cy="175260"/>
                      <wp:effectExtent l="0" t="0" r="0" b="0"/>
                      <wp:wrapNone/>
                      <wp:docPr id="411" name="Frame4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362585" cy="175260"/>
                      <wp:effectExtent l="0" t="0" r="0" b="0"/>
                      <wp:wrapNone/>
                      <wp:docPr id="413" name="Frame41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415"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95935" cy="175260"/>
                      <wp:effectExtent l="0" t="0" r="0" b="0"/>
                      <wp:wrapNone/>
                      <wp:docPr id="416" name="Frame4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7"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362585" cy="175260"/>
                      <wp:effectExtent l="0" t="0" r="0" b="0"/>
                      <wp:wrapNone/>
                      <wp:docPr id="418" name="Frame41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20" name="Frame4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27355" cy="175260"/>
                      <wp:effectExtent l="0" t="0" r="0" b="0"/>
                      <wp:wrapNone/>
                      <wp:docPr id="421" name="Frame421"/>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2"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57200" cy="175260"/>
                      <wp:effectExtent l="0" t="0" r="0" b="0"/>
                      <wp:wrapNone/>
                      <wp:docPr id="423" name="Frame4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36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5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0"/>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26" w:type="dxa"/>
            <w:tcBorders/>
            <w:vAlign w:val="center"/>
          </w:tcPr>
          <w:p>
            <w:pPr>
              <w:pStyle w:val="TableContents"/>
              <w:bidi w:val="0"/>
              <w:spacing w:before="0" w:after="0"/>
              <w:ind w:left="0" w:right="0" w:hanging="0"/>
              <w:jc w:val="center"/>
              <w:rPr/>
            </w:pPr>
            <w:r>
              <w:rPr/>
              <w:t>​</w:t>
            </w:r>
          </w:p>
        </w:tc>
        <w:tc>
          <w:tcPr>
            <w:tcW w:w="193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 (Decrease)</w:t>
            </w:r>
          </w:p>
        </w:tc>
      </w:tr>
      <w:tr>
        <w:trPr/>
        <w:tc>
          <w:tcPr>
            <w:tcW w:w="35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Statements of Income Data</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720" w:type="dxa"/>
            <w:tcBorders/>
            <w:shd w:fill="CCEEFF" w:val="clear"/>
            <w:vAlign w:val="center"/>
          </w:tcPr>
          <w:p>
            <w:pPr>
              <w:pStyle w:val="TableContents"/>
              <w:bidi w:val="0"/>
              <w:spacing w:before="0" w:after="0"/>
              <w:ind w:left="0" w:right="0" w:hanging="0"/>
              <w:jc w:val="center"/>
              <w:rPr/>
            </w:pPr>
            <w:r>
              <w:rPr/>
              <w:t>​</w:t>
            </w:r>
          </w:p>
        </w:tc>
      </w:tr>
      <w:tr>
        <w:trPr/>
        <w:tc>
          <w:tcPr>
            <w:tcW w:w="3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102,307</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103,901</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w:t>
            </w:r>
          </w:p>
        </w:tc>
        <w:tc>
          <w:tcPr>
            <w:tcW w:w="326"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w:t>
            </w:r>
          </w:p>
        </w:tc>
        <w:tc>
          <w:tcPr>
            <w:tcW w:w="326"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3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8,218</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w:t>
            </w:r>
          </w:p>
        </w:tc>
        <w:tc>
          <w:tcPr>
            <w:tcW w:w="326" w:type="dxa"/>
            <w:tcBorders/>
            <w:vAlign w:val="center"/>
          </w:tcPr>
          <w:p>
            <w:pPr>
              <w:pStyle w:val="TableContents"/>
              <w:bidi w:val="0"/>
              <w:spacing w:before="0" w:after="0"/>
              <w:ind w:left="0" w:right="0" w:hanging="0"/>
              <w:jc w:val="left"/>
              <w:rPr/>
            </w:pPr>
            <w:r>
              <w:rPr/>
              <w:t> </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122,176</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121,492</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684</w:t>
            </w:r>
          </w:p>
        </w:tc>
        <w:tc>
          <w:tcPr>
            <w:tcW w:w="326"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w:t>
            </w:r>
          </w:p>
        </w:tc>
      </w:tr>
      <w:tr>
        <w:trPr/>
        <w:tc>
          <w:tcPr>
            <w:tcW w:w="3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pPr>
            <w:r>
              <w:rPr/>
              <w:t>​</w:t>
            </w:r>
          </w:p>
        </w:tc>
      </w:tr>
      <w:tr>
        <w:trPr/>
        <w:tc>
          <w:tcPr>
            <w:tcW w:w="351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Food and paper costs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25,731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28,474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(2,743)</w:t>
            </w:r>
          </w:p>
        </w:tc>
        <w:tc>
          <w:tcPr>
            <w:tcW w:w="326"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351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32,868</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32,277</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26"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51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Occupancy and other operating expenses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24,656</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25,576</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c>
          <w:tcPr>
            <w:tcW w:w="326" w:type="dxa"/>
            <w:tcBorders/>
            <w:shd w:fill="CCEEFF" w:val="clear"/>
            <w:vAlign w:val="center"/>
          </w:tcPr>
          <w:p>
            <w:pPr>
              <w:pStyle w:val="TableContents"/>
              <w:bidi w:val="0"/>
              <w:spacing w:before="0" w:after="0"/>
              <w:ind w:left="0" w:right="0" w:hanging="0"/>
              <w:jc w:val="left"/>
              <w:rPr/>
            </w:pPr>
            <w:r>
              <w:rPr/>
              <w:t> </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51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Company restaurant expenses</w:t>
            </w:r>
            <w:r>
              <w:rPr>
                <w:rFonts w:ascii="Times New Roman;Times;serif" w:hAnsi="Times New Roman;Times;serif"/>
                <w:b/>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83,255</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86,327</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(3,072)</w:t>
            </w:r>
          </w:p>
        </w:tc>
        <w:tc>
          <w:tcPr>
            <w:tcW w:w="326"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11,787</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326"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3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10,871</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9,492</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w:t>
            </w:r>
          </w:p>
        </w:tc>
        <w:tc>
          <w:tcPr>
            <w:tcW w:w="326"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3,870</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3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disposal of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disposition of restaurants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r>
      <w:tr>
        <w:trPr/>
        <w:tc>
          <w:tcPr>
            <w:tcW w:w="3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 </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109,858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110,604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(746)</w:t>
            </w:r>
          </w:p>
        </w:tc>
        <w:tc>
          <w:tcPr>
            <w:tcW w:w="326" w:type="dxa"/>
            <w:tcBorders/>
            <w:shd w:fill="CCEEFF" w:val="clear"/>
            <w:vAlign w:val="center"/>
          </w:tcPr>
          <w:p>
            <w:pPr>
              <w:pStyle w:val="TableContents"/>
              <w:bidi w:val="0"/>
              <w:spacing w:before="0" w:after="0"/>
              <w:ind w:left="0" w:right="0" w:hanging="0"/>
              <w:jc w:val="left"/>
              <w:rPr/>
            </w:pPr>
            <w:r>
              <w:rPr/>
              <w:t> </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w:t>
            </w:r>
          </w:p>
        </w:tc>
      </w:tr>
      <w:tr>
        <w:trPr/>
        <w:tc>
          <w:tcPr>
            <w:tcW w:w="35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12,318</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10,888</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1,430</w:t>
            </w:r>
          </w:p>
        </w:tc>
        <w:tc>
          <w:tcPr>
            <w:tcW w:w="326"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 of 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r>
      <w:tr>
        <w:trPr/>
        <w:tc>
          <w:tcPr>
            <w:tcW w:w="3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 agreement expense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vAlign w:val="center"/>
          </w:tcPr>
          <w:p>
            <w:pPr>
              <w:pStyle w:val="TableContents"/>
              <w:bidi w:val="0"/>
              <w:spacing w:before="0" w:after="0"/>
              <w:ind w:left="0" w:right="0" w:hanging="0"/>
              <w:jc w:val="left"/>
              <w:rPr/>
            </w:pPr>
            <w:r>
              <w:rPr/>
              <w:t> </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10,791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9,791</w:t>
            </w:r>
          </w:p>
        </w:tc>
        <w:tc>
          <w:tcPr>
            <w:tcW w:w="32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w:t>
            </w:r>
          </w:p>
        </w:tc>
      </w:tr>
      <w:tr>
        <w:trPr/>
        <w:tc>
          <w:tcPr>
            <w:tcW w:w="35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26" w:type="dxa"/>
            <w:tcBorders/>
            <w:vAlign w:val="center"/>
          </w:tcPr>
          <w:p>
            <w:pPr>
              <w:pStyle w:val="TableContents"/>
              <w:bidi w:val="0"/>
              <w:spacing w:before="0" w:after="0"/>
              <w:ind w:left="0" w:right="0" w:hanging="0"/>
              <w:jc w:val="left"/>
              <w:rPr/>
            </w:pPr>
            <w:r>
              <w:rPr/>
              <w:t> </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35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7,633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7,056</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577</w:t>
            </w:r>
          </w:p>
        </w:tc>
        <w:tc>
          <w:tcPr>
            <w:tcW w:w="326" w:type="dxa"/>
            <w:tcBorders/>
            <w:shd w:fill="CCEEFF" w:val="clear"/>
            <w:vAlign w:val="center"/>
          </w:tcPr>
          <w:p>
            <w:pPr>
              <w:pStyle w:val="TableContents"/>
              <w:bidi w:val="0"/>
              <w:spacing w:before="0" w:after="0"/>
              <w:ind w:left="0" w:right="0" w:hanging="0"/>
              <w:jc w:val="left"/>
              <w:rPr/>
            </w:pPr>
            <w:r>
              <w:rPr/>
              <w:t> </w:t>
            </w:r>
          </w:p>
        </w:tc>
        <w:tc>
          <w:tcPr>
            <w:tcW w:w="72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8.2</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Percentages for line items relating to cost of operations and company restaurant expenses are calculated with company-operated restaurant revenue as the denominator. All other percentages use total revenue.</w:t>
            </w:r>
          </w:p>
        </w:tc>
      </w:tr>
    </w:tbl>
    <w:tbl>
      <w:tblPr>
        <w:tblW w:w="10205" w:type="dxa"/>
        <w:jc w:val="left"/>
        <w:tblInd w:w="0" w:type="dxa"/>
        <w:tblLayout w:type="fixed"/>
        <w:tblCellMar>
          <w:top w:w="0" w:type="dxa"/>
          <w:left w:w="0" w:type="dxa"/>
          <w:bottom w:w="0" w:type="dxa"/>
          <w:right w:w="0" w:type="dxa"/>
        </w:tblCellMar>
      </w:tblPr>
      <w:tblGrid>
        <w:gridCol w:w="3659"/>
        <w:gridCol w:w="326"/>
        <w:gridCol w:w="211"/>
        <w:gridCol w:w="781"/>
        <w:gridCol w:w="326"/>
        <w:gridCol w:w="571"/>
        <w:gridCol w:w="326"/>
        <w:gridCol w:w="211"/>
        <w:gridCol w:w="781"/>
        <w:gridCol w:w="326"/>
        <w:gridCol w:w="571"/>
        <w:gridCol w:w="326"/>
        <w:gridCol w:w="211"/>
        <w:gridCol w:w="669"/>
        <w:gridCol w:w="326"/>
        <w:gridCol w:w="584"/>
      </w:tblGrid>
      <w:tr>
        <w:trPr/>
        <w:tc>
          <w:tcPr>
            <w:tcW w:w="3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323465" cy="175260"/>
                      <wp:effectExtent l="0" t="0" r="0" b="0"/>
                      <wp:wrapNone/>
                      <wp:docPr id="424" name="Frame424"/>
                      <a:graphic xmlns:a="http://schemas.openxmlformats.org/drawingml/2006/main">
                        <a:graphicData uri="http://schemas.microsoft.com/office/word/2010/wordprocessingShape">
                          <wps:wsp>
                            <wps:cNvSpPr txBox="1"/>
                            <wps:spPr>
                              <a:xfrm>
                                <a:off x="0" y="0"/>
                                <a:ext cx="2323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5" name="Frame4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495935" cy="175260"/>
                      <wp:effectExtent l="0" t="0" r="0" b="0"/>
                      <wp:wrapNone/>
                      <wp:docPr id="427" name="Frame4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362585" cy="175260"/>
                      <wp:effectExtent l="0" t="0" r="0" b="0"/>
                      <wp:wrapNone/>
                      <wp:docPr id="429" name="Frame4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31"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95935" cy="175260"/>
                      <wp:effectExtent l="0" t="0" r="0" b="0"/>
                      <wp:wrapNone/>
                      <wp:docPr id="432" name="Frame4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362585" cy="175260"/>
                      <wp:effectExtent l="0" t="0" r="0" b="0"/>
                      <wp:wrapNone/>
                      <wp:docPr id="434" name="Frame43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7010" cy="175260"/>
                      <wp:effectExtent l="0" t="0" r="0" b="0"/>
                      <wp:wrapNone/>
                      <wp:docPr id="435" name="Frame4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6"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24815" cy="175260"/>
                      <wp:effectExtent l="0" t="0" r="0" b="0"/>
                      <wp:wrapNone/>
                      <wp:docPr id="437" name="Frame437"/>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8"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70840" cy="175260"/>
                      <wp:effectExtent l="0" t="0" r="0" b="0"/>
                      <wp:wrapNone/>
                      <wp:docPr id="439" name="Frame439"/>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22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Twenty-Six Weeks Ended </w:t>
            </w:r>
          </w:p>
        </w:tc>
      </w:tr>
      <w:tr>
        <w:trPr/>
        <w:tc>
          <w:tcPr>
            <w:tcW w:w="36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0"/>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26" w:type="dxa"/>
            <w:tcBorders/>
            <w:vAlign w:val="center"/>
          </w:tcPr>
          <w:p>
            <w:pPr>
              <w:pStyle w:val="TableContents"/>
              <w:bidi w:val="0"/>
              <w:spacing w:before="0" w:after="0"/>
              <w:ind w:left="0" w:right="0" w:hanging="0"/>
              <w:jc w:val="center"/>
              <w:rPr/>
            </w:pPr>
            <w:r>
              <w:rPr/>
              <w:t>​</w:t>
            </w:r>
          </w:p>
        </w:tc>
        <w:tc>
          <w:tcPr>
            <w:tcW w:w="179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 (Decrease)</w:t>
            </w:r>
          </w:p>
        </w:tc>
      </w:tr>
      <w:tr>
        <w:trPr/>
        <w:tc>
          <w:tcPr>
            <w:tcW w:w="36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65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Statements of Income Data</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6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84" w:type="dxa"/>
            <w:tcBorders/>
            <w:shd w:fill="CCEEFF" w:val="clear"/>
            <w:vAlign w:val="center"/>
          </w:tcPr>
          <w:p>
            <w:pPr>
              <w:pStyle w:val="TableContents"/>
              <w:bidi w:val="0"/>
              <w:spacing w:before="0" w:after="0"/>
              <w:ind w:left="0" w:right="0" w:hanging="0"/>
              <w:jc w:val="center"/>
              <w:rPr/>
            </w:pPr>
            <w:r>
              <w:rPr/>
              <w:t>​</w:t>
            </w:r>
          </w:p>
        </w:tc>
      </w:tr>
      <w:tr>
        <w:trPr/>
        <w:tc>
          <w:tcPr>
            <w:tcW w:w="3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199,460</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201,774</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w:t>
            </w:r>
          </w:p>
        </w:tc>
        <w:tc>
          <w:tcPr>
            <w:tcW w:w="326"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3,208</w:t>
            </w:r>
          </w:p>
        </w:tc>
        <w:tc>
          <w:tcPr>
            <w:tcW w:w="326"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3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15,870</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14,453</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w:t>
            </w:r>
          </w:p>
        </w:tc>
        <w:tc>
          <w:tcPr>
            <w:tcW w:w="326" w:type="dxa"/>
            <w:tcBorders/>
            <w:vAlign w:val="center"/>
          </w:tcPr>
          <w:p>
            <w:pPr>
              <w:pStyle w:val="TableContents"/>
              <w:bidi w:val="0"/>
              <w:spacing w:before="0" w:after="0"/>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365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238,329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236,018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2,311</w:t>
            </w:r>
          </w:p>
        </w:tc>
        <w:tc>
          <w:tcPr>
            <w:tcW w:w="326"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r>
      <w:tr>
        <w:trPr/>
        <w:tc>
          <w:tcPr>
            <w:tcW w:w="3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r>
      <w:tr>
        <w:trPr/>
        <w:tc>
          <w:tcPr>
            <w:tcW w:w="365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Food and paper costs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51,350</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55,376</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w:t>
            </w:r>
          </w:p>
        </w:tc>
        <w:tc>
          <w:tcPr>
            <w:tcW w:w="326"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365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63,448</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63,818</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365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Occupancy and other operating expenses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48,521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50,462</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w:t>
            </w:r>
          </w:p>
        </w:tc>
        <w:tc>
          <w:tcPr>
            <w:tcW w:w="326"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365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Gain on recovery of insurance proceeds, lost profits, net</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0"/>
              <w:ind w:left="0" w:right="0" w:hanging="0"/>
              <w:jc w:val="left"/>
              <w:rPr/>
            </w:pPr>
            <w:r>
              <w:rPr/>
              <w:t>​</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365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Company restaurant expenses</w:t>
            </w:r>
            <w:r>
              <w:rPr>
                <w:rFonts w:ascii="Times New Roman;Times;serif" w:hAnsi="Times New Roman;Times;serif"/>
                <w:b/>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163,319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169,505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(6,186)</w:t>
            </w:r>
          </w:p>
        </w:tc>
        <w:tc>
          <w:tcPr>
            <w:tcW w:w="326"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r>
      <w:tr>
        <w:trPr/>
        <w:tc>
          <w:tcPr>
            <w:tcW w:w="3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23,712</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22,307</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326"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6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21,473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2,949</w:t>
            </w:r>
          </w:p>
        </w:tc>
        <w:tc>
          <w:tcPr>
            <w:tcW w:w="326" w:type="dxa"/>
            <w:tcBorders/>
            <w:shd w:fill="CCEEFF" w:val="clear"/>
            <w:vAlign w:val="center"/>
          </w:tcPr>
          <w:p>
            <w:pPr>
              <w:pStyle w:val="TableContents"/>
              <w:bidi w:val="0"/>
              <w:spacing w:before="0" w:after="0"/>
              <w:ind w:left="0" w:right="0" w:hanging="0"/>
              <w:jc w:val="left"/>
              <w:rPr/>
            </w:pPr>
            <w:r>
              <w:rPr/>
              <w:t> </w:t>
            </w:r>
          </w:p>
        </w:tc>
        <w:tc>
          <w:tcPr>
            <w:tcW w:w="584"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94"/>
        <w:gridCol w:w="109"/>
        <w:gridCol w:w="211"/>
        <w:gridCol w:w="781"/>
        <w:gridCol w:w="146"/>
        <w:gridCol w:w="477"/>
        <w:gridCol w:w="109"/>
        <w:gridCol w:w="211"/>
        <w:gridCol w:w="781"/>
        <w:gridCol w:w="146"/>
        <w:gridCol w:w="477"/>
        <w:gridCol w:w="109"/>
        <w:gridCol w:w="211"/>
        <w:gridCol w:w="675"/>
        <w:gridCol w:w="146"/>
        <w:gridCol w:w="722"/>
      </w:tblGrid>
      <w:tr>
        <w:trPr/>
        <w:tc>
          <w:tcPr>
            <w:tcW w:w="48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7,721</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7,331</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146"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48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disposal of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46" w:type="dxa"/>
            <w:tcBorders/>
            <w:shd w:fill="CCEEFF" w:val="clear"/>
            <w:vAlign w:val="center"/>
          </w:tcPr>
          <w:p>
            <w:pPr>
              <w:pStyle w:val="TableContents"/>
              <w:bidi w:val="0"/>
              <w:spacing w:before="0" w:after="0"/>
              <w:ind w:left="0" w:right="0" w:hanging="0"/>
              <w:jc w:val="left"/>
              <w:rPr/>
            </w:pPr>
            <w:r>
              <w:rPr/>
              <w:t> </w:t>
            </w:r>
          </w:p>
        </w:tc>
        <w:tc>
          <w:tcPr>
            <w:tcW w:w="4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46" w:type="dxa"/>
            <w:tcBorders/>
            <w:shd w:fill="CCEEFF" w:val="clear"/>
            <w:vAlign w:val="center"/>
          </w:tcPr>
          <w:p>
            <w:pPr>
              <w:pStyle w:val="TableContents"/>
              <w:bidi w:val="0"/>
              <w:spacing w:before="0" w:after="0"/>
              <w:ind w:left="0" w:right="0" w:hanging="0"/>
              <w:jc w:val="left"/>
              <w:rPr/>
            </w:pPr>
            <w:r>
              <w:rPr/>
              <w:t> </w:t>
            </w:r>
          </w:p>
        </w:tc>
        <w:tc>
          <w:tcPr>
            <w:tcW w:w="4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146"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w:t>
            </w:r>
          </w:p>
        </w:tc>
      </w:tr>
      <w:tr>
        <w:trPr/>
        <w:tc>
          <w:tcPr>
            <w:tcW w:w="48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recovery of insurance proceeds, property, equipment and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146"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r>
      <w:tr>
        <w:trPr/>
        <w:tc>
          <w:tcPr>
            <w:tcW w:w="48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disposition of restaurants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46" w:type="dxa"/>
            <w:tcBorders/>
            <w:shd w:fill="CCEEFF" w:val="clear"/>
            <w:vAlign w:val="center"/>
          </w:tcPr>
          <w:p>
            <w:pPr>
              <w:pStyle w:val="TableContents"/>
              <w:bidi w:val="0"/>
              <w:spacing w:before="0" w:after="0"/>
              <w:ind w:left="0" w:right="0" w:hanging="0"/>
              <w:jc w:val="left"/>
              <w:rPr/>
            </w:pPr>
            <w:r>
              <w:rPr/>
              <w:t> </w:t>
            </w:r>
          </w:p>
        </w:tc>
        <w:tc>
          <w:tcPr>
            <w:tcW w:w="4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146" w:type="dxa"/>
            <w:tcBorders/>
            <w:shd w:fill="CCEEFF" w:val="clear"/>
            <w:vAlign w:val="center"/>
          </w:tcPr>
          <w:p>
            <w:pPr>
              <w:pStyle w:val="TableContents"/>
              <w:bidi w:val="0"/>
              <w:spacing w:before="0" w:after="0"/>
              <w:ind w:left="0" w:right="0" w:hanging="0"/>
              <w:jc w:val="left"/>
              <w:rPr/>
            </w:pPr>
            <w:r>
              <w:rPr/>
              <w:t> </w:t>
            </w:r>
          </w:p>
        </w:tc>
        <w:tc>
          <w:tcPr>
            <w:tcW w:w="4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146"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w:t>
            </w:r>
          </w:p>
        </w:tc>
      </w:tr>
      <w:tr>
        <w:trPr/>
        <w:tc>
          <w:tcPr>
            <w:tcW w:w="48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46" w:type="dxa"/>
            <w:tcBorders/>
            <w:vAlign w:val="center"/>
          </w:tcPr>
          <w:p>
            <w:pPr>
              <w:pStyle w:val="TableContents"/>
              <w:bidi w:val="0"/>
              <w:spacing w:before="0" w:after="0"/>
              <w:ind w:left="0" w:right="0" w:hanging="0"/>
              <w:jc w:val="left"/>
              <w:rPr/>
            </w:pPr>
            <w:r>
              <w:rPr/>
              <w:t> </w:t>
            </w:r>
          </w:p>
        </w:tc>
        <w:tc>
          <w:tcPr>
            <w:tcW w:w="4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146" w:type="dxa"/>
            <w:tcBorders/>
            <w:vAlign w:val="center"/>
          </w:tcPr>
          <w:p>
            <w:pPr>
              <w:pStyle w:val="TableContents"/>
              <w:bidi w:val="0"/>
              <w:spacing w:before="0" w:after="0"/>
              <w:ind w:left="0" w:right="0" w:hanging="0"/>
              <w:jc w:val="left"/>
              <w:rPr/>
            </w:pPr>
            <w:r>
              <w:rPr/>
              <w:t> </w:t>
            </w:r>
          </w:p>
        </w:tc>
        <w:tc>
          <w:tcPr>
            <w:tcW w:w="4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46" w:type="dxa"/>
            <w:tcBorders/>
            <w:vAlign w:val="center"/>
          </w:tcPr>
          <w:p>
            <w:pPr>
              <w:pStyle w:val="TableContents"/>
              <w:bidi w:val="0"/>
              <w:spacing w:before="0" w:after="0"/>
              <w:ind w:left="0" w:right="0" w:hanging="0"/>
              <w:jc w:val="left"/>
              <w:rPr/>
            </w:pPr>
            <w:r>
              <w:rPr/>
              <w:t> </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489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216,332</w:t>
            </w:r>
          </w:p>
        </w:tc>
        <w:tc>
          <w:tcPr>
            <w:tcW w:w="146" w:type="dxa"/>
            <w:tcBorders/>
            <w:shd w:fill="CCEEFF" w:val="clear"/>
            <w:vAlign w:val="center"/>
          </w:tcPr>
          <w:p>
            <w:pPr>
              <w:pStyle w:val="TableContents"/>
              <w:bidi w:val="0"/>
              <w:spacing w:before="0" w:after="0"/>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217,379</w:t>
            </w:r>
          </w:p>
        </w:tc>
        <w:tc>
          <w:tcPr>
            <w:tcW w:w="146" w:type="dxa"/>
            <w:tcBorders/>
            <w:shd w:fill="CCEEFF" w:val="clear"/>
            <w:vAlign w:val="center"/>
          </w:tcPr>
          <w:p>
            <w:pPr>
              <w:pStyle w:val="TableContents"/>
              <w:bidi w:val="0"/>
              <w:spacing w:before="0" w:after="0"/>
              <w:ind w:left="0" w:right="0" w:hanging="0"/>
              <w:jc w:val="left"/>
              <w:rPr/>
            </w:pPr>
            <w:r>
              <w:rPr/>
              <w:t> </w:t>
            </w:r>
          </w:p>
        </w:tc>
        <w:tc>
          <w:tcPr>
            <w:tcW w:w="4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(1,047)</w:t>
            </w:r>
          </w:p>
        </w:tc>
        <w:tc>
          <w:tcPr>
            <w:tcW w:w="146" w:type="dxa"/>
            <w:tcBorders/>
            <w:shd w:fill="CCEEFF" w:val="cle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(0.5)</w:t>
            </w:r>
          </w:p>
        </w:tc>
      </w:tr>
      <w:tr>
        <w:trPr/>
        <w:tc>
          <w:tcPr>
            <w:tcW w:w="489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21,997</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18,639</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3,358</w:t>
            </w:r>
          </w:p>
        </w:tc>
        <w:tc>
          <w:tcPr>
            <w:tcW w:w="146"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w:t>
            </w:r>
          </w:p>
        </w:tc>
      </w:tr>
      <w:tr>
        <w:trPr/>
        <w:tc>
          <w:tcPr>
            <w:tcW w:w="48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 of interest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w:t>
            </w:r>
          </w:p>
        </w:tc>
        <w:tc>
          <w:tcPr>
            <w:tcW w:w="146" w:type="dxa"/>
            <w:tcBorders/>
            <w:shd w:fill="CCEEFF" w:val="clear"/>
            <w:vAlign w:val="center"/>
          </w:tcPr>
          <w:p>
            <w:pPr>
              <w:pStyle w:val="TableContents"/>
              <w:bidi w:val="0"/>
              <w:spacing w:before="0" w:after="0"/>
              <w:ind w:left="0" w:right="0" w:hanging="0"/>
              <w:jc w:val="left"/>
              <w:rPr/>
            </w:pPr>
            <w:r>
              <w:rPr/>
              <w:t> </w:t>
            </w:r>
          </w:p>
        </w:tc>
        <w:tc>
          <w:tcPr>
            <w:tcW w:w="4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w:t>
            </w:r>
          </w:p>
        </w:tc>
        <w:tc>
          <w:tcPr>
            <w:tcW w:w="146" w:type="dxa"/>
            <w:tcBorders/>
            <w:shd w:fill="CCEEFF" w:val="clear"/>
            <w:vAlign w:val="center"/>
          </w:tcPr>
          <w:p>
            <w:pPr>
              <w:pStyle w:val="TableContents"/>
              <w:bidi w:val="0"/>
              <w:spacing w:before="0" w:after="0"/>
              <w:ind w:left="0" w:right="0" w:hanging="0"/>
              <w:jc w:val="left"/>
              <w:rPr/>
            </w:pPr>
            <w:r>
              <w:rPr/>
              <w:t> </w:t>
            </w:r>
          </w:p>
        </w:tc>
        <w:tc>
          <w:tcPr>
            <w:tcW w:w="4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w:t>
            </w:r>
          </w:p>
        </w:tc>
        <w:tc>
          <w:tcPr>
            <w:tcW w:w="146"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w:t>
            </w:r>
          </w:p>
        </w:tc>
      </w:tr>
      <w:tr>
        <w:trPr/>
        <w:tc>
          <w:tcPr>
            <w:tcW w:w="48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 agreement expense (income)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4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46" w:type="dxa"/>
            <w:tcBorders/>
            <w:vAlign w:val="center"/>
          </w:tcPr>
          <w:p>
            <w:pPr>
              <w:pStyle w:val="TableContents"/>
              <w:bidi w:val="0"/>
              <w:spacing w:before="0" w:after="0"/>
              <w:ind w:left="0" w:right="0" w:hanging="0"/>
              <w:jc w:val="left"/>
              <w:rPr/>
            </w:pPr>
            <w:r>
              <w:rPr/>
              <w:t> </w:t>
            </w:r>
          </w:p>
        </w:tc>
        <w:tc>
          <w:tcPr>
            <w:tcW w:w="4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46" w:type="dxa"/>
            <w:tcBorders/>
            <w:vAlign w:val="center"/>
          </w:tcPr>
          <w:p>
            <w:pPr>
              <w:pStyle w:val="TableContents"/>
              <w:bidi w:val="0"/>
              <w:spacing w:before="0" w:after="0"/>
              <w:ind w:left="0" w:right="0" w:hanging="0"/>
              <w:jc w:val="left"/>
              <w:rPr/>
            </w:pPr>
            <w:r>
              <w:rPr/>
              <w:t> </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89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18,906</w:t>
            </w:r>
          </w:p>
        </w:tc>
        <w:tc>
          <w:tcPr>
            <w:tcW w:w="146" w:type="dxa"/>
            <w:tcBorders/>
            <w:shd w:fill="CCEEFF" w:val="clear"/>
            <w:vAlign w:val="center"/>
          </w:tcPr>
          <w:p>
            <w:pPr>
              <w:pStyle w:val="TableContents"/>
              <w:bidi w:val="0"/>
              <w:spacing w:before="0" w:after="0"/>
              <w:ind w:left="0" w:right="0" w:hanging="0"/>
              <w:jc w:val="left"/>
              <w:rPr/>
            </w:pPr>
            <w:r>
              <w:rPr/>
              <w:t> </w:t>
            </w:r>
          </w:p>
        </w:tc>
        <w:tc>
          <w:tcPr>
            <w:tcW w:w="47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16,660</w:t>
            </w:r>
          </w:p>
        </w:tc>
        <w:tc>
          <w:tcPr>
            <w:tcW w:w="146" w:type="dxa"/>
            <w:tcBorders/>
            <w:shd w:fill="CCEEFF" w:val="clear"/>
            <w:vAlign w:val="center"/>
          </w:tcPr>
          <w:p>
            <w:pPr>
              <w:pStyle w:val="TableContents"/>
              <w:bidi w:val="0"/>
              <w:spacing w:before="0" w:after="0"/>
              <w:ind w:left="0" w:right="0" w:hanging="0"/>
              <w:jc w:val="right"/>
              <w:rPr/>
            </w:pPr>
            <w:r>
              <w:rPr/>
              <w:t> </w:t>
            </w:r>
          </w:p>
        </w:tc>
        <w:tc>
          <w:tcPr>
            <w:tcW w:w="47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2,246</w:t>
            </w:r>
          </w:p>
        </w:tc>
        <w:tc>
          <w:tcPr>
            <w:tcW w:w="146"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w:t>
            </w:r>
          </w:p>
        </w:tc>
      </w:tr>
      <w:tr>
        <w:trPr/>
        <w:tc>
          <w:tcPr>
            <w:tcW w:w="48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5,361</w:t>
            </w:r>
          </w:p>
        </w:tc>
        <w:tc>
          <w:tcPr>
            <w:tcW w:w="146" w:type="dxa"/>
            <w:tcBorders/>
            <w:vAlign w:val="center"/>
          </w:tcPr>
          <w:p>
            <w:pPr>
              <w:pStyle w:val="TableContents"/>
              <w:bidi w:val="0"/>
              <w:spacing w:before="0" w:after="0"/>
              <w:ind w:left="0" w:right="0" w:hanging="0"/>
              <w:jc w:val="left"/>
              <w:rPr/>
            </w:pPr>
            <w:r>
              <w:rPr/>
              <w:t> </w:t>
            </w:r>
          </w:p>
        </w:tc>
        <w:tc>
          <w:tcPr>
            <w:tcW w:w="4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4,686</w:t>
            </w:r>
          </w:p>
        </w:tc>
        <w:tc>
          <w:tcPr>
            <w:tcW w:w="146" w:type="dxa"/>
            <w:tcBorders/>
            <w:vAlign w:val="center"/>
          </w:tcPr>
          <w:p>
            <w:pPr>
              <w:pStyle w:val="TableContents"/>
              <w:bidi w:val="0"/>
              <w:spacing w:before="0" w:after="0"/>
              <w:ind w:left="0" w:right="0" w:hanging="0"/>
              <w:jc w:val="left"/>
              <w:rPr/>
            </w:pPr>
            <w:r>
              <w:rPr/>
              <w:t> </w:t>
            </w:r>
          </w:p>
        </w:tc>
        <w:tc>
          <w:tcPr>
            <w:tcW w:w="4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146" w:type="dxa"/>
            <w:tcBorders/>
            <w:vAlign w:val="center"/>
          </w:tcPr>
          <w:p>
            <w:pPr>
              <w:pStyle w:val="TableContents"/>
              <w:bidi w:val="0"/>
              <w:spacing w:before="0" w:after="0"/>
              <w:ind w:left="0" w:right="0" w:hanging="0"/>
              <w:jc w:val="left"/>
              <w:rPr/>
            </w:pPr>
            <w:r>
              <w:rPr/>
              <w:t> </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489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13,545</w:t>
            </w:r>
          </w:p>
        </w:tc>
        <w:tc>
          <w:tcPr>
            <w:tcW w:w="146" w:type="dxa"/>
            <w:tcBorders/>
            <w:shd w:fill="CCEEFF" w:val="clear"/>
            <w:vAlign w:val="center"/>
          </w:tcPr>
          <w:p>
            <w:pPr>
              <w:pStyle w:val="TableContents"/>
              <w:bidi w:val="0"/>
              <w:spacing w:before="0" w:after="0"/>
              <w:ind w:left="0" w:right="0" w:hanging="0"/>
              <w:jc w:val="left"/>
              <w:rPr/>
            </w:pPr>
            <w:r>
              <w:rPr/>
              <w:t> </w:t>
            </w:r>
          </w:p>
        </w:tc>
        <w:tc>
          <w:tcPr>
            <w:tcW w:w="4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11,974</w:t>
            </w:r>
          </w:p>
        </w:tc>
        <w:tc>
          <w:tcPr>
            <w:tcW w:w="146" w:type="dxa"/>
            <w:tcBorders/>
            <w:shd w:fill="CCEEFF" w:val="clear"/>
            <w:vAlign w:val="center"/>
          </w:tcPr>
          <w:p>
            <w:pPr>
              <w:pStyle w:val="TableContents"/>
              <w:bidi w:val="0"/>
              <w:spacing w:before="0" w:after="0"/>
              <w:ind w:left="0" w:right="0" w:hanging="0"/>
              <w:jc w:val="left"/>
              <w:rPr/>
            </w:pPr>
            <w:r>
              <w:rPr/>
              <w:t> </w:t>
            </w:r>
          </w:p>
        </w:tc>
        <w:tc>
          <w:tcPr>
            <w:tcW w:w="4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1,571</w:t>
            </w:r>
          </w:p>
        </w:tc>
        <w:tc>
          <w:tcPr>
            <w:tcW w:w="146" w:type="dxa"/>
            <w:tcBorders/>
            <w:shd w:fill="CCEEFF" w:val="clear"/>
            <w:vAlign w:val="center"/>
          </w:tcPr>
          <w:p>
            <w:pPr>
              <w:pStyle w:val="TableContents"/>
              <w:bidi w:val="0"/>
              <w:spacing w:before="0" w:after="0"/>
              <w:ind w:left="0" w:right="0" w:hanging="0"/>
              <w:jc w:val="left"/>
              <w:rPr/>
            </w:pPr>
            <w:r>
              <w:rPr/>
              <w:t> </w:t>
            </w:r>
          </w:p>
        </w:tc>
        <w:tc>
          <w:tcPr>
            <w:tcW w:w="72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13.1</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Percentages for line items relating to cost of operations and company restaurant expenses are calculated with company-operated restaurant revenue as the denominator. All other percentages use total revenue.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Company-Operated Restaurant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June 26, 2024, company-operated restaurant revenue decreased $1.6 million, or 1.5%, from the comparable period in the prior year. The decrease in company-operated restaurant revenue was mainly due to a $5.4 million decrease related to </w:t>
      </w:r>
      <w:r>
        <w:rPr>
          <w:rFonts w:ascii="Times New Roman;Times;serif" w:hAnsi="Times New Roman;Times;serif"/>
          <w:sz w:val="20"/>
          <w:shd w:fill="FFFFFF" w:val="clear"/>
        </w:rPr>
        <w:t>the 19 company-operated restaurants sold by us to our existing franchisees</w:t>
      </w:r>
      <w:r>
        <w:rPr>
          <w:rFonts w:ascii="Times New Roman;Times;serif" w:hAnsi="Times New Roman;Times;serif"/>
          <w:sz w:val="20"/>
        </w:rPr>
        <w:t xml:space="preserve"> during or subsequent to the second quarter of 2023. This company-operated restaurant revenue decrease was partially offset by $0.7 million of additional sales from restaurants opened during or after the second quarter of 2023, as well as an increase in company-operated comparable restaurant revenue of $3.1 million, or 3.2%. The company-operated comparable restaurant sales increase consisted of an 8.8% increase in average check size due to increases in menu prices, partially offset by a 5.2% decrease in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Year-to-date, company-operated restaurant revenue decreased $2.3 million, or 1.1%, from the comparable period in the prior year. The decrease in company-operated restaurant revenue was mainly due to a $10.4 million decrease related to </w:t>
      </w:r>
      <w:r>
        <w:rPr>
          <w:rFonts w:ascii="Times New Roman;Times;serif" w:hAnsi="Times New Roman;Times;serif"/>
          <w:sz w:val="20"/>
          <w:shd w:fill="FFFFFF" w:val="clear"/>
        </w:rPr>
        <w:t>the 19 company-operated restaurants sold by us to our existing franchisees</w:t>
      </w:r>
      <w:r>
        <w:rPr>
          <w:rFonts w:ascii="Times New Roman;Times;serif" w:hAnsi="Times New Roman;Times;serif"/>
          <w:sz w:val="20"/>
        </w:rPr>
        <w:t xml:space="preserve"> during or subsequent to the first quarter of 2023 </w:t>
      </w:r>
      <w:r>
        <w:rPr>
          <w:rFonts w:ascii="Times New Roman;Times;serif" w:hAnsi="Times New Roman;Times;serif"/>
          <w:sz w:val="20"/>
          <w:shd w:fill="FFFFFF" w:val="clear"/>
        </w:rPr>
        <w:t>and a $0.1 million increase in revenue recognized for our loyalty points program</w:t>
      </w:r>
      <w:r>
        <w:rPr>
          <w:rFonts w:ascii="Times New Roman;Times;serif" w:hAnsi="Times New Roman;Times;serif"/>
          <w:sz w:val="20"/>
        </w:rPr>
        <w:t>. This company-operated restaurant revenue decrease was partially offset by $1.5 million of additional sales from restaurants opened during or after the first quarter of 2023 as well as an increase in company-operated comparable restaurant revenue of $6.6 million, or 3.4%. The company-operated comparable restaurant sales increase consisted of a 5.7% increase in average check size due to increases in menu prices, partially offset by a 2.1% decrease in transactions.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Franchise Revenue</w:t>
      </w:r>
    </w:p>
    <w:p>
      <w:pPr>
        <w:pStyle w:val="TextBody"/>
        <w:bidi w:val="0"/>
        <w:spacing w:before="0" w:after="240"/>
        <w:ind w:left="0" w:right="0" w:hanging="0"/>
        <w:jc w:val="left"/>
        <w:rPr>
          <w:rFonts w:ascii="Times New Roman;Times;serif" w:hAnsi="Times New Roman;Times;serif"/>
          <w:sz w:val="20"/>
        </w:rPr>
      </w:pPr>
      <w:bookmarkStart w:id="1648" w:name="_Hlk148454028"/>
      <w:bookmarkEnd w:id="1648"/>
      <w:r>
        <w:rPr>
          <w:rFonts w:ascii="Times New Roman;Times;serif" w:hAnsi="Times New Roman;Times;serif"/>
          <w:sz w:val="20"/>
        </w:rPr>
        <w:t xml:space="preserve">For the quarter ended June 26, 2024, franchise revenue increased $1.5 million, or 15.1%, from the comparable period in the prior year. This increase was primarily due to </w:t>
      </w:r>
      <w:r>
        <w:rPr>
          <w:rFonts w:ascii="Times New Roman;Times;serif" w:hAnsi="Times New Roman;Times;serif"/>
          <w:sz w:val="20"/>
          <w:shd w:fill="FFFFFF" w:val="clear"/>
        </w:rPr>
        <w:t>a franchise comparable restaurant sales increase of 5.3%,</w:t>
      </w:r>
      <w:r>
        <w:rPr>
          <w:rFonts w:ascii="Times New Roman;Times;serif" w:hAnsi="Times New Roman;Times;serif"/>
          <w:sz w:val="20"/>
        </w:rPr>
        <w:t xml:space="preserve"> four franchise-operated restaurant openings and 19 company-operated restaurants sold by us to our existing franchisees in each case, during or subsequent to the second quarter of 2023.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Year-to-date, franchise revenue increased $3.2 million, or 16.2%, from the comparable period in the prior year. This increase was primarily due to a franchise comparable restaurant sales increase of 5.6%, </w:t>
      </w:r>
      <w:r>
        <w:rPr>
          <w:rFonts w:ascii="Times New Roman;Times;serif" w:hAnsi="Times New Roman;Times;serif"/>
          <w:sz w:val="20"/>
        </w:rPr>
        <w:t>four franchise-operated restaurant openings and 19 company-operated restaurants sold by us to our existing franchisees in each case, during or subsequent to the first quarter of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Franchise Advertising Fee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June 26, 2024, franchise advertising fee revenue increased $0.7 million, or 10.0%, from the comparable period in the prior year. </w:t>
      </w:r>
      <w:r>
        <w:rPr>
          <w:rFonts w:ascii="Times New Roman;Times;serif" w:hAnsi="Times New Roman;Times;serif"/>
          <w:sz w:val="20"/>
          <w:shd w:fill="FFFFFF" w:val="clear"/>
        </w:rPr>
        <w:t>Year-to-date, franchise advertising fee revenue increased $1.4 million, or 9.8%, from the comparable period in the prior year.</w:t>
      </w:r>
      <w:r>
        <w:rPr>
          <w:rFonts w:ascii="Times New Roman;Times;serif" w:hAnsi="Times New Roman;Times;serif"/>
          <w:sz w:val="20"/>
        </w:rPr>
        <w:t xml:space="preserve"> As advertising fee revenue is a percentage of franchisees’ revenue, both the quarter and year-to-date period fluctuations were due to the increases and decreases noted in franchise revenue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Food and Paper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quarter ended June 26, 2024, food and paper costs decreased $2.7 million, or 9.6%.</w:t>
      </w:r>
      <w:r>
        <w:rPr>
          <w:rFonts w:ascii="Times New Roman;Times;serif" w:hAnsi="Times New Roman;Times;serif"/>
          <w:sz w:val="20"/>
          <w:shd w:fill="FFFFFF" w:val="clear"/>
        </w:rPr>
        <w:t xml:space="preserve"> Year-to-date, food and paper costs decreased $4.0 million, or 7.3%, from the comparable period in the prior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decrease in food and paper costs for the quarter resulted primarily from a $1.5 million reduction related to the sale of 19 company-operated locations to franchisees, coupled with the decline in transactions referenced above, partially offset by commodity inflation. For the quarter, food and paper costs as a percentage of company-operated restaurant revenue were 25.2%, down from 27.4% in the comparable period of the prior year. </w:t>
      </w:r>
      <w:r>
        <w:rPr>
          <w:rFonts w:ascii="Times New Roman;Times;serif" w:hAnsi="Times New Roman;Times;serif"/>
          <w:sz w:val="20"/>
          <w:shd w:fill="FFFFFF" w:val="clear"/>
        </w:rPr>
        <w:t xml:space="preserve">Year-to-date, food and paper costs as a percentage of company-operated restaurant revenue were 25.7%, down from 27.4% in the comparable period of the prior year. The percentage decrease for both the quarter and year-to-date period was primarily due </w:t>
      </w:r>
      <w:r>
        <w:rPr>
          <w:rFonts w:ascii="Times New Roman;Times;serif" w:hAnsi="Times New Roman;Times;serif"/>
          <w:sz w:val="20"/>
        </w:rPr>
        <w:t>to an increase in menu pricing and lower discounting, partially offset by commodity inflation.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Labor and Related Expenses</w:t>
      </w:r>
    </w:p>
    <w:p>
      <w:pPr>
        <w:pStyle w:val="TextBody"/>
        <w:bidi w:val="0"/>
        <w:spacing w:before="0" w:after="240"/>
        <w:ind w:left="0" w:right="0" w:hanging="0"/>
        <w:jc w:val="left"/>
        <w:rPr>
          <w:rFonts w:ascii="Times New Roman;Times;serif" w:hAnsi="Times New Roman;Times;serif"/>
          <w:sz w:val="20"/>
        </w:rPr>
      </w:pPr>
      <w:bookmarkStart w:id="1649" w:name="_Hlk109375858"/>
      <w:bookmarkEnd w:id="1649"/>
      <w:r>
        <w:rPr>
          <w:rFonts w:ascii="Times New Roman;Times;serif" w:hAnsi="Times New Roman;Times;serif"/>
          <w:sz w:val="20"/>
        </w:rPr>
        <w:t>For the quarter ended June 26, 2024, labor and related expenses increased $0.6 million, or 1.8%, from the comparable period in the prior year. The</w:t>
      </w:r>
      <w:r>
        <w:rPr>
          <w:rFonts w:ascii="Times New Roman;Times;serif" w:hAnsi="Times New Roman;Times;serif"/>
          <w:sz w:val="20"/>
          <w:shd w:fill="FFFFFF" w:val="clear"/>
        </w:rPr>
        <w:t xml:space="preserve"> increase in labor and related expenses for the quarter was primarily due to </w:t>
      </w:r>
      <w:r>
        <w:rPr>
          <w:rFonts w:ascii="Times New Roman;Times;serif" w:hAnsi="Times New Roman;Times;serif"/>
          <w:sz w:val="20"/>
        </w:rPr>
        <w:t xml:space="preserve">a $3.9 million increase due to higher wage rates during fiscal 2024 and 2023 primarily as a result of legislative increases in the California state minimum wage, which became effective April 1, 2024, as well as a $0.4 million increase in worker’s compensation expense and vacation and sick pay. The increase in labor and related expenses for the quarter ended June 26, 2024 from the comparable period in the prior year was partially offset by a $1.9 million reduction in labor-related costs resulting from the 19 company-operated restaurants sold by us to our existing franchisees during or subsequent to the second quarter of 2023 as well as $1.9 million reduction related to improved labor efficiencies. </w:t>
      </w:r>
    </w:p>
    <w:p>
      <w:pPr>
        <w:pStyle w:val="TextBody"/>
        <w:bidi w:val="0"/>
        <w:spacing w:before="0" w:after="240"/>
        <w:ind w:left="0" w:right="0" w:hanging="0"/>
        <w:jc w:val="left"/>
        <w:rPr>
          <w:rFonts w:ascii="Times New Roman;Times;serif" w:hAnsi="Times New Roman;Times;serif"/>
          <w:sz w:val="20"/>
        </w:rPr>
      </w:pPr>
      <w:bookmarkStart w:id="1650" w:name="_Hlk172640221"/>
      <w:bookmarkEnd w:id="1650"/>
      <w:r>
        <w:rPr>
          <w:rFonts w:ascii="Times New Roman;Times;serif" w:hAnsi="Times New Roman;Times;serif"/>
          <w:sz w:val="20"/>
          <w:shd w:fill="FFFFFF" w:val="clear"/>
        </w:rPr>
        <w:t xml:space="preserve">Year-to-date, labor and related expenses decreased $0.4 million, or 0.6%, from the comparable period in the prior year. The decrease for the year-to-date period was due primarily to </w:t>
      </w:r>
      <w:r>
        <w:rPr>
          <w:rFonts w:ascii="Times New Roman;Times;serif" w:hAnsi="Times New Roman;Times;serif"/>
          <w:sz w:val="20"/>
        </w:rPr>
        <w:t>a $3.9 million reduction in labor related costs resulting from the 19 company-operated restaurants sold by us to our existing franchisees during or subsequent to the first quarter of 2023 and as well as $2.3 million reduction related to improved labor efficiencies.</w:t>
      </w:r>
      <w:r>
        <w:rPr>
          <w:rFonts w:ascii="Times New Roman;Times;serif" w:hAnsi="Times New Roman;Times;serif"/>
          <w:sz w:val="20"/>
          <w:shd w:fill="FFFFFF" w:val="clear"/>
        </w:rPr>
        <w:t> </w:t>
      </w:r>
      <w:r>
        <w:rPr>
          <w:rFonts w:ascii="Times New Roman;Times;serif" w:hAnsi="Times New Roman;Times;serif"/>
          <w:sz w:val="20"/>
        </w:rPr>
        <w:t>The decrease in labor and related expenses for the year was partially offset by a $5.0 million increase due to higher wage rates during fiscal 2024 and 2023 primarily as a result of legislative increases in the California state minimum wage, which became effective April 1, 2024, as well as a $0.8 million increase in other labor-related costs primarily related to worker’s compensation expense and vacation and sick pay.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June 26, 2024, labor and related expenses as a percentage of company-operated restaurant revenue were 32.1%, up from 31.1% in the comparable period in the prior year. </w:t>
      </w:r>
      <w:r>
        <w:rPr>
          <w:rFonts w:ascii="Times New Roman;Times;serif" w:hAnsi="Times New Roman;Times;serif"/>
          <w:sz w:val="20"/>
          <w:shd w:fill="FFFFFF" w:val="clear"/>
        </w:rPr>
        <w:t>The percentage</w:t>
      </w:r>
      <w:r>
        <w:rPr>
          <w:rFonts w:ascii="Times New Roman;Times;serif" w:hAnsi="Times New Roman;Times;serif"/>
          <w:sz w:val="20"/>
        </w:rPr>
        <w:t xml:space="preserve"> change for the quarter </w:t>
      </w:r>
      <w:r>
        <w:rPr>
          <w:rFonts w:ascii="Times New Roman;Times;serif" w:hAnsi="Times New Roman;Times;serif"/>
          <w:sz w:val="20"/>
          <w:shd w:fill="FFFFFF" w:val="clear"/>
        </w:rPr>
        <w:t>was driven by the cost increases highlighted above, partially offset by higher menu prices. Year-to-date labor and related expenses as a percentage of company-operated restaurant revenue were 31.8%, up from 31.6% in the comparable period in the prior year primarily d</w:t>
      </w:r>
      <w:r>
        <w:rPr>
          <w:rFonts w:ascii="Times New Roman;Times;serif" w:hAnsi="Times New Roman;Times;serif"/>
          <w:sz w:val="20"/>
        </w:rPr>
        <w:t>ue to the cost increases highlighted above, partially offset by the increase in menu pricing and improved labor efficiencies.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Occupancy and Other Operating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June 26, 2024, occupancy and other operating expenses decreased $0.9 million, or 3.6%, from the comparable period in the prior year. </w:t>
      </w:r>
      <w:r>
        <w:rPr>
          <w:rFonts w:ascii="Times New Roman;Times;serif" w:hAnsi="Times New Roman;Times;serif"/>
          <w:sz w:val="20"/>
          <w:shd w:fill="FFFFFF" w:val="clear"/>
        </w:rPr>
        <w:t xml:space="preserve">The decrease was primarily due to a $0.7 million decrease in utilities, repairs and maintenance costs and other operating expense primarily driven by the sale of 19 company-operated locations to existing franchisee </w:t>
      </w:r>
      <w:r>
        <w:rPr>
          <w:rFonts w:ascii="Times New Roman;Times;serif" w:hAnsi="Times New Roman;Times;serif"/>
          <w:sz w:val="20"/>
        </w:rPr>
        <w:t xml:space="preserve">during or subsequent to the second quarter of 2023 </w:t>
      </w:r>
      <w:r>
        <w:rPr>
          <w:rFonts w:ascii="Times New Roman;Times;serif" w:hAnsi="Times New Roman;Times;serif"/>
          <w:sz w:val="20"/>
          <w:shd w:fill="FFFFFF" w:val="clear"/>
        </w:rPr>
        <w:t>and a $0.2 million decrease in other operating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Year-to-date, occupancy and other operating expenses decreased $1.9 million, or 3.8%, from the comparable period in the prior year. The decrease was primarily due to a $1.2 million decrease in utilities, repairs and maintenance costs and other operating expense primarily driven by the sale of 19 company-operated locations </w:t>
      </w:r>
      <w:r>
        <w:rPr>
          <w:rFonts w:ascii="Times New Roman;Times;serif" w:hAnsi="Times New Roman;Times;serif"/>
          <w:sz w:val="20"/>
        </w:rPr>
        <w:t xml:space="preserve">during or subsequent to the first quarter of 2023 </w:t>
      </w:r>
      <w:r>
        <w:rPr>
          <w:rFonts w:ascii="Times New Roman;Times;serif" w:hAnsi="Times New Roman;Times;serif"/>
          <w:sz w:val="20"/>
          <w:shd w:fill="FFFFFF" w:val="clear"/>
        </w:rPr>
        <w:t>to existing franchisee and a $0.7 million decrease in other operating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June 26, 2024, occupancy and other operating expenses as a percentage of company-operated restaurant revenue </w:t>
      </w:r>
      <w:r>
        <w:rPr>
          <w:rFonts w:ascii="Times New Roman;Times;serif" w:hAnsi="Times New Roman;Times;serif"/>
          <w:sz w:val="20"/>
          <w:shd w:fill="FFFFFF" w:val="clear"/>
        </w:rPr>
        <w:t>were 24.1%, down from 24.6% in the comparable period in the prior year</w:t>
      </w:r>
      <w:r>
        <w:rPr>
          <w:rFonts w:ascii="Times New Roman;Times;serif" w:hAnsi="Times New Roman;Times;serif"/>
          <w:sz w:val="20"/>
        </w:rPr>
        <w:t xml:space="preserve">. </w:t>
      </w:r>
      <w:r>
        <w:rPr>
          <w:rFonts w:ascii="Times New Roman;Times;serif" w:hAnsi="Times New Roman;Times;serif"/>
          <w:sz w:val="20"/>
          <w:shd w:fill="FFFFFF" w:val="clear"/>
        </w:rPr>
        <w:t>Year-to-date, occupancy and other operating expenses as a percentage of company-operated restaurant revenue were 24.3%, down from 25.0% in the comparable period of the prior year. Both the quarter and year-to-date period decreases resulted from the cost decreases highlighted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hanging="0"/>
        <w:jc w:val="left"/>
        <w:rPr>
          <w:rFonts w:ascii="Times New Roman;Times;serif" w:hAnsi="Times New Roman;Times;serif"/>
          <w:sz w:val="20"/>
        </w:rPr>
      </w:pPr>
      <w:bookmarkStart w:id="1651" w:name="_Hlk148454221"/>
      <w:bookmarkStart w:id="1652" w:name="_Hlk133420809"/>
      <w:bookmarkEnd w:id="1651"/>
      <w:bookmarkEnd w:id="1652"/>
      <w:r>
        <w:rPr>
          <w:rFonts w:ascii="Times New Roman;Times;serif" w:hAnsi="Times New Roman;Times;serif"/>
          <w:sz w:val="20"/>
        </w:rPr>
        <w:t>For the quarter ended June 26, 2024, general and administrative expenses increased $0.7 million, or 6.1%, from the comparable period in the prior year. The increase for the quarter was primarily due to a $0.6 million</w:t>
      </w:r>
      <w:r>
        <w:rPr>
          <w:rFonts w:ascii="Times New Roman;Times;serif" w:hAnsi="Times New Roman;Times;serif"/>
          <w:sz w:val="20"/>
          <w:shd w:fill="FFFFFF" w:val="clear"/>
        </w:rPr>
        <w:t> increase in labor- related costs, primarily related to an increase in estimated management bonus expense.</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Year-to-date, general and administrative expenses increased $1.4 million, or 6.3%, from the comparable period in the prior year. The increase for the year-to-date period was due primarily to a $0.6 million increase in labor-related costs, primarily related to an increase in estimated management bonus expense, a $0.6 million increase in executive transition costs and a $0.2 million increase in other general and administrative expenses.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June 26, 2024, general and administrative expenses as a percentage of total revenue were 9.6%, up from 9.1% in the comparable period of the prior year. </w:t>
      </w:r>
      <w:r>
        <w:rPr>
          <w:rFonts w:ascii="Times New Roman;Times;serif" w:hAnsi="Times New Roman;Times;serif"/>
          <w:sz w:val="20"/>
          <w:shd w:fill="FFFFFF" w:val="clear"/>
        </w:rPr>
        <w:t>Year-to-date, general and administrative expenses as a percentage of total revenue were 9.9%, up from 9.5% in the comparable period of the prior year. The percentage increase for both the quarterly and year-to-date periods is primarily due to the cost increases discussed above.</w:t>
      </w:r>
    </w:p>
    <w:p>
      <w:pPr>
        <w:pStyle w:val="TextBody"/>
        <w:pBdr/>
        <w:shd w:fill="FFFFFF" w:val="clear"/>
        <w:bidi w:val="0"/>
        <w:spacing w:before="0" w:after="0"/>
        <w:ind w:left="0" w:right="0" w:hanging="0"/>
        <w:jc w:val="left"/>
        <w:rPr>
          <w:rFonts w:ascii="inherit" w:hAnsi="inherit"/>
          <w:b/>
          <w:i/>
          <w:sz w:val="20"/>
        </w:rPr>
      </w:pPr>
      <w:r>
        <w:rPr>
          <w:rFonts w:ascii="inherit" w:hAnsi="inherit"/>
          <w:b/>
          <w:i/>
          <w:sz w:val="20"/>
        </w:rPr>
        <w:t>Loss (Gain) on Disposition of Restaurants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thirteen and twenty-six weeks ended June 26, 2024, we completed the sale of one restaurant within California to an existing franchisee due to an expiring lease term on April 30, 2024. During the twenty-six weeks ended June 28, 2023, we completed the sale of one restaurant within California to an existing franchisee. We determined that these restaurant dispositions represent multiple element arrangements, and as a result, the cash consideration received was allocated to the separate elements based on its relative standalone selling price. Cash proceeds included upfront consideration for the sale of the restaurant and franchise fees. The cash consideration per restaurant related to franchise fees is consistent with the amounts stated in the related franchise agreements, which are charged for separate standalone arrangements. We initially defer and subsequently recognize the franchise fees over the term of the franchise agreement. This sale resulted in cash proceeds of $0.1 million and $0.2 million, respectively, and a net loss on sale of restaurant of less than $0.1 million and a net gain on sale of restaurant of $0.1 million for the twenty-six weeks ended June 26, 2024 and June 28, 2023, respectively. Since the date of their sale, this restaurant is now included in the total number of franchised El Pollo Loco restaurants.</w:t>
      </w:r>
    </w:p>
    <w:p>
      <w:pPr>
        <w:pStyle w:val="TextBody"/>
        <w:pBdr/>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and Closed-Store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thirteen and twenty-six weeks ended June 26, 2024, we did not record any non-cash impairment charges. During the thirteen and twenty-six weeks ended June 28, 2023, we recorded non-cash impairment charges of less than </w:t>
      </w:r>
      <w:r>
        <w:rPr>
          <w:rFonts w:ascii="Times New Roman;Times;serif" w:hAnsi="Times New Roman;Times;serif"/>
          <w:sz w:val="20"/>
          <w:shd w:fill="FFFFFF" w:val="clear"/>
        </w:rPr>
        <w:t>$0.1 million,</w:t>
      </w:r>
      <w:r>
        <w:rPr>
          <w:rFonts w:ascii="Times New Roman;Times;serif" w:hAnsi="Times New Roman;Times;serif"/>
          <w:sz w:val="20"/>
        </w:rPr>
        <w:t xml:space="preserve"> </w:t>
      </w:r>
      <w:r>
        <w:rPr>
          <w:rFonts w:ascii="Times New Roman;Times;serif" w:hAnsi="Times New Roman;Times;serif"/>
          <w:sz w:val="20"/>
          <w:shd w:fill="FFFFFF" w:val="clear"/>
        </w:rPr>
        <w:t>primarily related to the carrying value of the ROU assets of one restaurant in California</w:t>
      </w:r>
      <w:r>
        <w:rPr>
          <w:rFonts w:ascii="Times New Roman;Times;serif" w:hAnsi="Times New Roman;Times;serif"/>
          <w:sz w:val="20"/>
        </w:rPr>
        <w:t>. Given the inherent uncertainty in projecting results for newer restaurants in newer markets, we are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both the thirteen and twenty-six weeks ended June 26, 2024 and June 28, 2023, we recognized less than </w:t>
      </w:r>
      <w:r>
        <w:rPr>
          <w:rFonts w:ascii="Times New Roman;Times;serif" w:hAnsi="Times New Roman;Times;serif"/>
          <w:sz w:val="20"/>
          <w:shd w:fill="FFFFFF" w:val="clear"/>
        </w:rPr>
        <w:t>$0.1 million</w:t>
      </w:r>
      <w:r>
        <w:rPr>
          <w:rFonts w:ascii="Times New Roman;Times;serif" w:hAnsi="Times New Roman;Times;serif"/>
          <w:sz w:val="20"/>
        </w:rPr>
        <w:t xml:space="preserve"> of closed-store reserve expense related to the amortization of ROU assets, property taxes and CAM payments for our closed locations.</w:t>
      </w:r>
      <w:r>
        <w:rPr>
          <w:rFonts w:ascii="Times New Roman;Times;serif" w:hAnsi="Times New Roman;Times;serif"/>
          <w:sz w:val="20"/>
          <w:shd w:fill="FFFFFF" w:val="clear"/>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For the quarter ended June 26, 2024, interest expense, net, increased $0.6 million from t</w:t>
      </w:r>
      <w:r>
        <w:rPr>
          <w:rFonts w:ascii="Times New Roman;Times;serif" w:hAnsi="Times New Roman;Times;serif"/>
          <w:b w:val="false"/>
          <w:i w:val="false"/>
          <w:caps w:val="false"/>
          <w:smallCaps w:val="false"/>
          <w:sz w:val="20"/>
          <w:shd w:fill="FFFFFF" w:val="clear"/>
        </w:rPr>
        <w:t>he comparable period in the prior year.</w:t>
      </w:r>
      <w:r>
        <w:rPr>
          <w:rFonts w:ascii="Times New Roman;Times;serif" w:hAnsi="Times New Roman;Times;serif"/>
          <w:b/>
          <w:i/>
          <w:sz w:val="20"/>
          <w:shd w:fill="FFFFFF" w:val="clear"/>
        </w:rPr>
        <w:t> </w:t>
      </w:r>
      <w:r>
        <w:rPr>
          <w:rFonts w:ascii="Times New Roman;Times;serif" w:hAnsi="Times New Roman;Times;serif"/>
          <w:b w:val="false"/>
          <w:i w:val="false"/>
          <w:caps w:val="false"/>
          <w:smallCaps w:val="false"/>
          <w:sz w:val="20"/>
        </w:rPr>
        <w:t>For the year-to-date period, interest expense, net, increased $1.1 million from the comparable period in the prior year</w:t>
      </w:r>
      <w:r>
        <w:rPr>
          <w:rFonts w:ascii="Times New Roman;Times;serif" w:hAnsi="Times New Roman;Times;serif"/>
          <w:b/>
          <w:i/>
          <w:sz w:val="20"/>
        </w:rPr>
        <w:t>.</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Both the quarter and year-to-date period increase</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in interest expense was primarily related to the higher outstanding balances on our 2022 Revolver (as defined below) as well as the higher interest rates in the fiscal 2024 periods versus t</w:t>
      </w:r>
      <w:r>
        <w:rPr>
          <w:rFonts w:ascii="Times New Roman;Times;serif" w:hAnsi="Times New Roman;Times;serif"/>
          <w:b w:val="false"/>
          <w:i w:val="false"/>
          <w:caps w:val="false"/>
          <w:smallCaps w:val="false"/>
          <w:sz w:val="20"/>
          <w:shd w:fill="FFFFFF" w:val="clear"/>
        </w:rPr>
        <w:t>he comparable periods in the prior year</w:t>
      </w:r>
      <w:r>
        <w:rPr>
          <w:rFonts w:ascii="Times New Roman;Times;serif" w:hAnsi="Times New Roman;Times;serif"/>
          <w:b w:val="false"/>
          <w:i w:val="false"/>
          <w:caps w:val="false"/>
          <w:smallCaps w:val="false"/>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Receivable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July 30, 2014, we entered into the income tax receivable agreement (the “TRA”). The TRA calls for us to pay to our pre-IPO stockholders 85% of the savings in cash that we realize in our taxes as a result of utilizing our net operating losses (“NOLs”) and other tax attributes attributable to preceding periods. For the thirteen and twenty-six weeks ended June 26, 2024, we did not record any income tax receivable agreement income or expense, </w:t>
      </w:r>
      <w:r>
        <w:rPr>
          <w:rFonts w:ascii="Times New Roman;Times;serif" w:hAnsi="Times New Roman;Times;serif"/>
          <w:sz w:val="20"/>
          <w:shd w:fill="FFFFFF" w:val="clear"/>
        </w:rPr>
        <w:t xml:space="preserve">and for </w:t>
      </w:r>
      <w:r>
        <w:rPr>
          <w:rFonts w:ascii="Times New Roman;Times;serif" w:hAnsi="Times New Roman;Times;serif"/>
          <w:sz w:val="20"/>
        </w:rPr>
        <w:t xml:space="preserve">the thirteen and twenty-six weeks ended June 28, 2023, we recorded income tax receivable agreement expense of $0.1 million and income tax receivable agreement income of less than </w:t>
      </w:r>
      <w:r>
        <w:rPr>
          <w:rFonts w:ascii="Times New Roman;Times;serif" w:hAnsi="Times New Roman;Times;serif"/>
          <w:sz w:val="20"/>
          <w:shd w:fill="FFFFFF" w:val="clear"/>
        </w:rPr>
        <w:t>$0.1 million</w:t>
      </w:r>
      <w:r>
        <w:rPr>
          <w:rFonts w:ascii="Times New Roman;Times;serif" w:hAnsi="Times New Roman;Times;serif"/>
          <w:sz w:val="20"/>
        </w:rPr>
        <w:t>,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May 29, 2024, we terminated most of the obligations under the TRA, with respect to any payments or obligations owed to the FS Equity Partners V, L.P. and FS Affiliates V, L.P. (together, the “Sellers”) thereunder in exchange for a payment to the Sellers of $398,896. </w:t>
      </w:r>
      <w:r>
        <w:rPr>
          <w:rFonts w:ascii="Times New Roman;Times;serif" w:hAnsi="Times New Roman;Times;serif"/>
          <w:sz w:val="20"/>
          <w:shd w:fill="FFFFFF" w:val="clear"/>
        </w:rPr>
        <w:t>As of June 26, 2024, an immaterial amount of obligations owed remained outstanding on our condensed consolidated balance sheets.</w:t>
      </w:r>
    </w:p>
    <w:p>
      <w:pPr>
        <w:pStyle w:val="TextBody"/>
        <w:bidi w:val="0"/>
        <w:spacing w:before="0" w:after="240"/>
        <w:ind w:left="0" w:right="0" w:hanging="0"/>
        <w:jc w:val="left"/>
        <w:rPr>
          <w:rFonts w:ascii="Times New Roman;Times;serif" w:hAnsi="Times New Roman;Times;serif"/>
          <w:b/>
          <w:i/>
          <w:sz w:val="20"/>
        </w:rPr>
      </w:pPr>
      <w:bookmarkStart w:id="1653" w:name="_Hlk101901576"/>
      <w:bookmarkEnd w:id="1653"/>
      <w:r>
        <w:rPr>
          <w:rFonts w:ascii="Times New Roman;Times;serif" w:hAnsi="Times New Roman;Times;serif"/>
          <w:b/>
          <w:i/>
          <w:sz w:val="20"/>
        </w:rPr>
        <w:t>Provision for Income Taxes</w:t>
      </w:r>
    </w:p>
    <w:p>
      <w:pPr>
        <w:pStyle w:val="TextBody"/>
        <w:bidi w:val="0"/>
        <w:spacing w:before="0" w:after="240"/>
        <w:ind w:left="0" w:right="0" w:hanging="0"/>
        <w:jc w:val="left"/>
        <w:rPr>
          <w:rFonts w:ascii="Times New Roman;Times;serif" w:hAnsi="Times New Roman;Times;serif"/>
          <w:sz w:val="20"/>
        </w:rPr>
      </w:pPr>
      <w:bookmarkStart w:id="1654" w:name="_Hlk109397057"/>
      <w:bookmarkEnd w:id="1654"/>
      <w:r>
        <w:rPr>
          <w:rFonts w:ascii="Times New Roman;Times;serif" w:hAnsi="Times New Roman;Times;serif"/>
          <w:sz w:val="20"/>
        </w:rPr>
        <w:t xml:space="preserve">For the quarter ended June 26, 2024, we recorded an income tax provision of $3.2 million, reflecting an estimated effective tax rate of 29.3%. For the quarter ended June 28, 2023, we recorded an income tax provision of $2.7 million, reflecting an estimated effective tax rate of approximately 27.9%. </w:t>
      </w:r>
      <w:r>
        <w:rPr>
          <w:rFonts w:ascii="Times New Roman;Times;serif" w:hAnsi="Times New Roman;Times;serif"/>
          <w:sz w:val="20"/>
          <w:shd w:fill="FFFFFF" w:val="clear"/>
        </w:rPr>
        <w:t>For the year-to-date period ended June 26, 2024, we recorded an income tax provision of $5.4 million, reflecting an estimated effective tax rate of approximately 28.4%. For the year-to-date period ended June 28, 2023, we recorded an income tax provision of $4.7 million, reflecting an estimated effective tax rate of approximately 28.1%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difference between the 21.0% statutory rate and our effective tax rate of 28.4% for the </w:t>
      </w:r>
      <w:r>
        <w:rPr>
          <w:rFonts w:ascii="Times New Roman;Times;serif" w:hAnsi="Times New Roman;Times;serif"/>
          <w:sz w:val="20"/>
          <w:shd w:fill="FFFFFF" w:val="clear"/>
        </w:rPr>
        <w:t>year-to-date period</w:t>
      </w:r>
      <w:r>
        <w:rPr>
          <w:rFonts w:ascii="Times New Roman;Times;serif" w:hAnsi="Times New Roman;Times;serif"/>
          <w:sz w:val="20"/>
        </w:rPr>
        <w:t xml:space="preserve"> ended June 26, 2024 is primarily a result </w:t>
      </w:r>
      <w:r>
        <w:rPr>
          <w:rFonts w:ascii="Times New Roman;Times;serif" w:hAnsi="Times New Roman;Times;serif"/>
          <w:sz w:val="20"/>
          <w:shd w:fill="FFFFFF" w:val="clear"/>
        </w:rPr>
        <w:t>of state taxes</w:t>
      </w:r>
      <w:r>
        <w:rPr>
          <w:rFonts w:ascii="Times New Roman;Times;serif" w:hAnsi="Times New Roman;Times;serif"/>
          <w:sz w:val="20"/>
        </w:rPr>
        <w:t>, the impact of non-tax deductible executive compensation expense, a tax shortfall related to equity compensation deductible for tax as compared to the cumulative amount recorded as stock-based compensation expense, partially offset by a Work Opportunity Tax Credit benefit</w:t>
      </w:r>
      <w:r>
        <w:rPr>
          <w:rFonts w:ascii="Times New Roman;Times;serif" w:hAnsi="Times New Roman;Times;serif"/>
          <w:sz w:val="20"/>
          <w:shd w:fill="FFFFFF" w:val="clear"/>
        </w:rPr>
        <w:t>.</w:t>
      </w:r>
    </w:p>
    <w:p>
      <w:pPr>
        <w:pStyle w:val="TextBody"/>
        <w:bidi w:val="0"/>
        <w:spacing w:before="0" w:after="240"/>
        <w:ind w:left="0" w:right="0" w:hanging="0"/>
        <w:jc w:val="left"/>
        <w:rPr>
          <w:rFonts w:ascii="Times New Roman;Times;serif" w:hAnsi="Times New Roman;Times;serif"/>
          <w:b/>
          <w:sz w:val="20"/>
        </w:rPr>
      </w:pPr>
      <w:bookmarkStart w:id="1655" w:name="_f1bd6496_4bcd_43b7_9984_053d0fc612a9"/>
      <w:bookmarkEnd w:id="1655"/>
      <w:r>
        <w:rPr>
          <w:rFonts w:ascii="Times New Roman;Times;serif" w:hAnsi="Times New Roman;Times;serif"/>
          <w:b/>
          <w:sz w:val="20"/>
        </w:rPr>
        <w:t>Key Performance Indicators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evaluate the performance of our business, we utilize a variety of financial and performance measures. These key measures include company-operated restaurant revenue, system-wide sales, comparable restaurant sales, restaurant contribution, restaurant contribution margin, new restaurant openings, EBITDA, and Adjusted EBITDA.</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System-Wide Sales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System-wide sales are neither required by, nor presented in accordance with GAAP. System-wide sales are the sum of company-operated restaurant revenue and sales from franchised restaurants. Our total revenue in our condensed consolidated statements of income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 System-wide sales does not include the 10 licensed stores in the Philippines.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reconciles system-wide sales to company-operated restaurant revenue and total revenue:</w:t>
      </w:r>
    </w:p>
    <w:tbl>
      <w:tblPr>
        <w:tblW w:w="9259" w:type="dxa"/>
        <w:jc w:val="left"/>
        <w:tblInd w:w="0" w:type="dxa"/>
        <w:tblLayout w:type="fixed"/>
        <w:tblCellMar>
          <w:top w:w="0" w:type="dxa"/>
          <w:left w:w="0" w:type="dxa"/>
          <w:bottom w:w="0" w:type="dxa"/>
          <w:right w:w="0" w:type="dxa"/>
        </w:tblCellMar>
      </w:tblPr>
      <w:tblGrid>
        <w:gridCol w:w="3406"/>
        <w:gridCol w:w="326"/>
        <w:gridCol w:w="239"/>
        <w:gridCol w:w="887"/>
        <w:gridCol w:w="326"/>
        <w:gridCol w:w="239"/>
        <w:gridCol w:w="887"/>
        <w:gridCol w:w="326"/>
        <w:gridCol w:w="239"/>
        <w:gridCol w:w="887"/>
        <w:gridCol w:w="326"/>
        <w:gridCol w:w="225"/>
        <w:gridCol w:w="946"/>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62810" cy="175260"/>
                      <wp:effectExtent l="0" t="0" r="0" b="0"/>
                      <wp:wrapNone/>
                      <wp:docPr id="440" name="Frame440"/>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41" name="Frame4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51765" cy="175260"/>
                      <wp:effectExtent l="0" t="0" r="0" b="0"/>
                      <wp:wrapNone/>
                      <wp:docPr id="442" name="Frame44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63245" cy="175260"/>
                      <wp:effectExtent l="0" t="0" r="0" b="0"/>
                      <wp:wrapNone/>
                      <wp:docPr id="443" name="Frame443"/>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44" name="Frame4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51765" cy="175260"/>
                      <wp:effectExtent l="0" t="0" r="0" b="0"/>
                      <wp:wrapNone/>
                      <wp:docPr id="445" name="Frame44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563245" cy="175260"/>
                      <wp:effectExtent l="0" t="0" r="0" b="0"/>
                      <wp:wrapNone/>
                      <wp:docPr id="446" name="Frame44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51765" cy="175260"/>
                      <wp:effectExtent l="0" t="0" r="0" b="0"/>
                      <wp:wrapNone/>
                      <wp:docPr id="448" name="Frame44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63245" cy="175260"/>
                      <wp:effectExtent l="0" t="0" r="0" b="0"/>
                      <wp:wrapNone/>
                      <wp:docPr id="449" name="Frame449"/>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42875" cy="175260"/>
                      <wp:effectExtent l="0" t="0" r="0" b="0"/>
                      <wp:wrapNone/>
                      <wp:docPr id="451" name="Frame45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00710" cy="175260"/>
                      <wp:effectExtent l="0" t="0" r="0" b="0"/>
                      <wp:wrapNone/>
                      <wp:docPr id="452" name="Frame45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3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Twenty-Six Weeks Ended </w:t>
            </w:r>
          </w:p>
        </w:tc>
      </w:tr>
      <w:tr>
        <w:trPr/>
        <w:tc>
          <w:tcPr>
            <w:tcW w:w="34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 amounts in thousands)</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1"/>
              <w:ind w:left="0" w:right="0" w:hanging="0"/>
              <w:jc w:val="center"/>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2023</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102,307</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103,901</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199,460</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201,774</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11,651</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10,119</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22,999</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19,791</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8,218</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7,472</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15,870</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14,453</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122,176</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121,492</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238,329</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236,018</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(11,651)</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(10,119)</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(22,999)</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(19,791)</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(8,218)</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(7,472)</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(15,870)</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(14,453)</w:t>
            </w:r>
          </w:p>
        </w:tc>
      </w:tr>
      <w:tr>
        <w:trPr/>
        <w:tc>
          <w:tcPr>
            <w:tcW w:w="3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from franchised restaurants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183,300</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166,452</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354,036</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322,066</w:t>
            </w:r>
          </w:p>
        </w:tc>
      </w:tr>
      <w:tr>
        <w:trPr/>
        <w:tc>
          <w:tcPr>
            <w:tcW w:w="34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System-wide sales</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285,607</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270,353</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553,496</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523,840</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Company-Operated Restaurant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Comparable Restaurant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June 26, 2024 and June 28, 2023, there were 482 and 470 comparable restaurants, 168 and 182 company-operated restaurants and 314 and 288 franchised restaurants, respectively. Comparable restaurant sales indicate the performance of existing restaurants, since new restaurants are excluded. Comparable restaurant sales growth can be generated by an increase in the number of meals sold and/or by increases in the average check amount, resulting from a shift in menu mix and/or higher prices resulting from new products or price increases.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Restaurant Contribution and Restaurant Contribution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therefore excludes franchise revenue, franchise advertising fee revenue and franchise expenses as well as certain other costs, such as general and administrative expenses, franchise expenses, depreciation and amortization, asset impairment and closed-store reserve, loss on disposal of assets and other costs that are considered corporate-level expenses and are not considered normal operating costs of our restaurants.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pStyle w:val="TextBody"/>
        <w:bidi w:val="0"/>
        <w:spacing w:before="0" w:after="0"/>
        <w:ind w:left="0" w:right="0" w:hanging="0"/>
        <w:jc w:val="left"/>
        <w:rPr>
          <w:rFonts w:ascii="Times New Roman;Times;serif" w:hAnsi="Times New Roman;Times;serif"/>
          <w:sz w:val="20"/>
        </w:rPr>
      </w:pPr>
      <w:bookmarkStart w:id="1656" w:name="_Hlk164850916"/>
      <w:bookmarkEnd w:id="1656"/>
      <w:r>
        <w:rPr>
          <w:rFonts w:ascii="Times New Roman;Times;serif" w:hAnsi="Times New Roman;Times;serif"/>
          <w:sz w:val="20"/>
        </w:rPr>
        <w:t xml:space="preserve">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Management further believes restaurant level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operating is useful to investors to highlight trends in our core business that may not otherwise be apparent to investors when relying solely on GAAP financial measures.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restaurant contribution and restaurant contribution margin to company-operated restaurant revenue is provided below:</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51"/>
        <w:gridCol w:w="326"/>
        <w:gridCol w:w="239"/>
        <w:gridCol w:w="887"/>
        <w:gridCol w:w="361"/>
        <w:gridCol w:w="239"/>
        <w:gridCol w:w="887"/>
        <w:gridCol w:w="361"/>
        <w:gridCol w:w="109"/>
        <w:gridCol w:w="239"/>
        <w:gridCol w:w="887"/>
        <w:gridCol w:w="361"/>
        <w:gridCol w:w="239"/>
        <w:gridCol w:w="887"/>
        <w:gridCol w:w="361"/>
        <w:gridCol w:w="37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1385" cy="175260"/>
                      <wp:effectExtent l="0" t="0" r="0" b="0"/>
                      <wp:wrapNone/>
                      <wp:docPr id="453" name="Frame45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51765" cy="175260"/>
                      <wp:effectExtent l="0" t="0" r="0" b="0"/>
                      <wp:wrapNone/>
                      <wp:docPr id="455" name="Frame45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563245" cy="175260"/>
                      <wp:effectExtent l="0" t="0" r="0" b="0"/>
                      <wp:wrapNone/>
                      <wp:docPr id="456" name="Frame45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29235" cy="175260"/>
                      <wp:effectExtent l="0" t="0" r="0" b="0"/>
                      <wp:wrapNone/>
                      <wp:docPr id="457" name="Frame45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51765" cy="175260"/>
                      <wp:effectExtent l="0" t="0" r="0" b="0"/>
                      <wp:wrapNone/>
                      <wp:docPr id="458" name="Frame45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63245" cy="175260"/>
                      <wp:effectExtent l="0" t="0" r="0" b="0"/>
                      <wp:wrapNone/>
                      <wp:docPr id="459" name="Frame459"/>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29235" cy="175260"/>
                      <wp:effectExtent l="0" t="0" r="0" b="0"/>
                      <wp:wrapNone/>
                      <wp:docPr id="460" name="Frame46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9215" cy="175260"/>
                      <wp:effectExtent l="0" t="0" r="0" b="0"/>
                      <wp:wrapNone/>
                      <wp:docPr id="461" name="Frame4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51765" cy="175260"/>
                      <wp:effectExtent l="0" t="0" r="0" b="0"/>
                      <wp:wrapNone/>
                      <wp:docPr id="462" name="Frame46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63245" cy="175260"/>
                      <wp:effectExtent l="0" t="0" r="0" b="0"/>
                      <wp:wrapNone/>
                      <wp:docPr id="463" name="Frame463"/>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29235" cy="175260"/>
                      <wp:effectExtent l="0" t="0" r="0" b="0"/>
                      <wp:wrapNone/>
                      <wp:docPr id="464" name="Frame46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51765" cy="175260"/>
                      <wp:effectExtent l="0" t="0" r="0" b="0"/>
                      <wp:wrapNone/>
                      <wp:docPr id="465" name="Frame46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563245" cy="175260"/>
                      <wp:effectExtent l="0" t="0" r="0" b="0"/>
                      <wp:wrapNone/>
                      <wp:docPr id="466" name="Frame46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29235" cy="175260"/>
                      <wp:effectExtent l="0" t="0" r="0" b="0"/>
                      <wp:wrapNone/>
                      <wp:docPr id="467" name="Frame4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35585" cy="175260"/>
                      <wp:effectExtent l="0" t="0" r="0" b="0"/>
                      <wp:wrapNone/>
                      <wp:docPr id="468" name="Frame46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Twenty-Six Weeks Ended </w:t>
            </w:r>
          </w:p>
        </w:tc>
        <w:tc>
          <w:tcPr>
            <w:tcW w:w="361" w:type="dxa"/>
            <w:tcBorders/>
            <w:vAlign w:val="center"/>
          </w:tcPr>
          <w:p>
            <w:pPr>
              <w:pStyle w:val="TableContents"/>
              <w:bidi w:val="0"/>
              <w:spacing w:before="0" w:after="0"/>
              <w:ind w:left="0" w:right="0" w:hanging="0"/>
              <w:jc w:val="center"/>
              <w:rPr/>
            </w:pPr>
            <w:r>
              <w:rPr/>
              <w:t>​</w:t>
            </w:r>
          </w:p>
        </w:tc>
        <w:tc>
          <w:tcPr>
            <w:tcW w:w="371" w:type="dxa"/>
            <w:tcBorders/>
            <w:vAlign w:val="center"/>
          </w:tcPr>
          <w:p>
            <w:pPr>
              <w:pStyle w:val="TableContents"/>
              <w:bidi w:val="0"/>
              <w:spacing w:before="0" w:after="0"/>
              <w:ind w:left="0" w:right="0" w:hanging="0"/>
              <w:jc w:val="center"/>
              <w:rPr/>
            </w:pPr>
            <w:r>
              <w:rPr/>
              <w:t>    </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 amounts in thousands)</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61"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6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61"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6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center"/>
              <w:rPr/>
            </w:pPr>
            <w:r>
              <w:rPr/>
              <w:t>    </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12,318</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10,888</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21,997</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18,639</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(less):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11,787</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11,108</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23,712</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22,307</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10,871</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9,492</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21,473</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18,524</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3,870</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7,721</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7,331</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disposal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recovery of insurance proceeds, property, equipment and expenses</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(11,651)</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(10,119)</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(22,999)</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(19,791)</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(8,218)</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(15,870)</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(14,453)</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disposition of restaurants</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19,052</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17,574</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36,141</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32,269</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122,176</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121,492</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238,329</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236,018</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(11,651)</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(10,119)</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(22,999)</w:t>
            </w:r>
          </w:p>
        </w:tc>
        <w:tc>
          <w:tcPr>
            <w:tcW w:w="361"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(19,791)</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(8,218)</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(7,472)</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(15,870)</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(14,453)</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102,307</w:t>
            </w:r>
          </w:p>
        </w:tc>
        <w:tc>
          <w:tcPr>
            <w:tcW w:w="361"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103,901</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199,460</w:t>
            </w:r>
          </w:p>
        </w:tc>
        <w:tc>
          <w:tcPr>
            <w:tcW w:w="361"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201,774</w:t>
            </w:r>
          </w:p>
        </w:tc>
        <w:tc>
          <w:tcPr>
            <w:tcW w:w="36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contribution margin (%)</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New Restaurant Openings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higher-than-normal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EBITDA and Adjusted EBITDA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EBITDA represents net income (loss) before interest expense, provision (benefit) for income taxes, depreciation, and amortization. Adjusted EBITDA represents net income (loss) before interest expense, provision (benefit) for income taxes, depreciation, amortization, and other items that we do not consider representative of on-going operating performance, as identified in the reconciliation table below.</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EBITDA. Our presentation of EBITDA and Adjusted EBITDA should not be construed as an inference that our future results will be unaffected by unusual or nonrecurring items.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NOLs)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reconciliations of our net income to our EBITDA and Adjusted EBITDA:</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26"/>
        <w:gridCol w:w="326"/>
        <w:gridCol w:w="267"/>
        <w:gridCol w:w="859"/>
        <w:gridCol w:w="326"/>
        <w:gridCol w:w="267"/>
        <w:gridCol w:w="859"/>
        <w:gridCol w:w="326"/>
        <w:gridCol w:w="267"/>
        <w:gridCol w:w="859"/>
        <w:gridCol w:w="326"/>
        <w:gridCol w:w="267"/>
        <w:gridCol w:w="859"/>
        <w:gridCol w:w="371"/>
      </w:tblGrid>
      <w:tr>
        <w:trPr/>
        <w:tc>
          <w:tcPr>
            <w:tcW w:w="4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556510" cy="175260"/>
                      <wp:effectExtent l="0" t="0" r="0" b="0"/>
                      <wp:wrapNone/>
                      <wp:docPr id="469" name="Frame469"/>
                      <a:graphic xmlns:a="http://schemas.openxmlformats.org/drawingml/2006/main">
                        <a:graphicData uri="http://schemas.microsoft.com/office/word/2010/wordprocessingShape">
                          <wps:wsp>
                            <wps:cNvSpPr txBox="1"/>
                            <wps:spPr>
                              <a:xfrm>
                                <a:off x="0" y="0"/>
                                <a:ext cx="2556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70" name="Frame4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69545" cy="175260"/>
                      <wp:effectExtent l="0" t="0" r="0" b="0"/>
                      <wp:wrapNone/>
                      <wp:docPr id="471" name="Frame47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45465" cy="175260"/>
                      <wp:effectExtent l="0" t="0" r="0" b="0"/>
                      <wp:wrapNone/>
                      <wp:docPr id="472" name="Frame472"/>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69545" cy="175260"/>
                      <wp:effectExtent l="0" t="0" r="0" b="0"/>
                      <wp:wrapNone/>
                      <wp:docPr id="474" name="Frame47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545465" cy="175260"/>
                      <wp:effectExtent l="0" t="0" r="0" b="0"/>
                      <wp:wrapNone/>
                      <wp:docPr id="475" name="Frame475"/>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69545" cy="175260"/>
                      <wp:effectExtent l="0" t="0" r="0" b="0"/>
                      <wp:wrapNone/>
                      <wp:docPr id="477" name="Frame47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545465" cy="175260"/>
                      <wp:effectExtent l="0" t="0" r="0" b="0"/>
                      <wp:wrapNone/>
                      <wp:docPr id="478" name="Frame478"/>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69545" cy="175260"/>
                      <wp:effectExtent l="0" t="0" r="0" b="0"/>
                      <wp:wrapNone/>
                      <wp:docPr id="480" name="Frame48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545465" cy="175260"/>
                      <wp:effectExtent l="0" t="0" r="0" b="0"/>
                      <wp:wrapNone/>
                      <wp:docPr id="481" name="Frame481"/>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35585" cy="175260"/>
                      <wp:effectExtent l="0" t="0" r="0" b="0"/>
                      <wp:wrapNone/>
                      <wp:docPr id="482" name="Frame48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5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1"/>
              <w:ind w:left="0" w:right="0" w:hanging="0"/>
              <w:jc w:val="center"/>
              <w:rPr/>
            </w:pPr>
            <w:r>
              <w:rPr/>
              <w:t>    </w:t>
            </w:r>
          </w:p>
        </w:tc>
        <w:tc>
          <w:tcPr>
            <w:tcW w:w="25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Twenty-Six Weeks Ended </w:t>
            </w:r>
          </w:p>
        </w:tc>
        <w:tc>
          <w:tcPr>
            <w:tcW w:w="371" w:type="dxa"/>
            <w:tcBorders/>
            <w:vAlign w:val="center"/>
          </w:tcPr>
          <w:p>
            <w:pPr>
              <w:pStyle w:val="TableContents"/>
              <w:bidi w:val="0"/>
              <w:spacing w:before="0" w:after="1"/>
              <w:ind w:left="0" w:right="0" w:hanging="0"/>
              <w:jc w:val="center"/>
              <w:rPr/>
            </w:pPr>
            <w:r>
              <w:rPr/>
              <w:t>    </w:t>
            </w:r>
          </w:p>
        </w:tc>
      </w:tr>
      <w:tr>
        <w:trPr/>
        <w:tc>
          <w:tcPr>
            <w:tcW w:w="40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(Amounts in thousands)</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71" w:type="dxa"/>
            <w:tcBorders/>
            <w:vAlign w:val="center"/>
          </w:tcPr>
          <w:p>
            <w:pPr>
              <w:pStyle w:val="TableContents"/>
              <w:bidi w:val="0"/>
              <w:spacing w:before="0" w:after="1"/>
              <w:ind w:left="0" w:right="0" w:hanging="0"/>
              <w:jc w:val="center"/>
              <w:rPr/>
            </w:pPr>
            <w:r>
              <w:rPr/>
              <w:t>    </w:t>
            </w:r>
          </w:p>
        </w:tc>
      </w:tr>
      <w:tr>
        <w:trPr/>
        <w:tc>
          <w:tcPr>
            <w:tcW w:w="40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7,633</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7,056</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13,545</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11,974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adjustments:</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4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2,735</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5,361</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4,686</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 of interest income</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1,527</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3,091</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1,980</w:t>
            </w:r>
          </w:p>
        </w:tc>
        <w:tc>
          <w:tcPr>
            <w:tcW w:w="371" w:type="dxa"/>
            <w:tcBorders/>
            <w:vAlign w:val="center"/>
          </w:tcPr>
          <w:p>
            <w:pPr>
              <w:pStyle w:val="TableContents"/>
              <w:bidi w:val="0"/>
              <w:spacing w:before="0" w:after="1"/>
              <w:ind w:left="0" w:right="0" w:hanging="0"/>
              <w:jc w:val="left"/>
              <w:rPr/>
            </w:pPr>
            <w:r>
              <w:rPr/>
              <w:t>​</w:t>
            </w:r>
          </w:p>
        </w:tc>
      </w:tr>
      <w:tr>
        <w:trPr/>
        <w:tc>
          <w:tcPr>
            <w:tcW w:w="4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3,870</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3,694</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7,721</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0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16,188</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14,461</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29,718</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25,971</w:t>
            </w:r>
          </w:p>
        </w:tc>
        <w:tc>
          <w:tcPr>
            <w:tcW w:w="371" w:type="dxa"/>
            <w:tcBorders/>
            <w:vAlign w:val="center"/>
          </w:tcPr>
          <w:p>
            <w:pPr>
              <w:pStyle w:val="TableContents"/>
              <w:bidi w:val="0"/>
              <w:spacing w:before="0" w:after="1"/>
              <w:ind w:left="0" w:right="0" w:hanging="0"/>
              <w:jc w:val="left"/>
              <w:rPr/>
            </w:pPr>
            <w:r>
              <w:rPr/>
              <w:t>​</w:t>
            </w:r>
          </w:p>
        </w:tc>
      </w:tr>
      <w:tr>
        <w:trPr/>
        <w:tc>
          <w:tcPr>
            <w:tcW w:w="4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 (a)</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1,817</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disposal of assets (b)</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71" w:type="dxa"/>
            <w:tcBorders/>
            <w:vAlign w:val="center"/>
          </w:tcPr>
          <w:p>
            <w:pPr>
              <w:pStyle w:val="TableContents"/>
              <w:bidi w:val="0"/>
              <w:spacing w:before="0" w:after="1"/>
              <w:ind w:left="0" w:right="0" w:hanging="0"/>
              <w:jc w:val="left"/>
              <w:rPr/>
            </w:pPr>
            <w:r>
              <w:rPr/>
              <w:t>​</w:t>
            </w:r>
          </w:p>
        </w:tc>
      </w:tr>
      <w:tr>
        <w:trPr/>
        <w:tc>
          <w:tcPr>
            <w:tcW w:w="4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and closed-store reserves (c)</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disposition of restaurants (d)</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71" w:type="dxa"/>
            <w:tcBorders/>
            <w:vAlign w:val="center"/>
          </w:tcPr>
          <w:p>
            <w:pPr>
              <w:pStyle w:val="TableContents"/>
              <w:bidi w:val="0"/>
              <w:spacing w:before="0" w:after="1"/>
              <w:ind w:left="0" w:right="0" w:hanging="0"/>
              <w:jc w:val="left"/>
              <w:rPr/>
            </w:pPr>
            <w:r>
              <w:rPr/>
              <w:t>​</w:t>
            </w:r>
          </w:p>
        </w:tc>
      </w:tr>
      <w:tr>
        <w:trPr/>
        <w:tc>
          <w:tcPr>
            <w:tcW w:w="4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receivable agreement expense (income) (e)</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Special other expenses (f)</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371" w:type="dxa"/>
            <w:tcBorders/>
            <w:vAlign w:val="center"/>
          </w:tcPr>
          <w:p>
            <w:pPr>
              <w:pStyle w:val="TableContents"/>
              <w:bidi w:val="0"/>
              <w:spacing w:before="0" w:after="1"/>
              <w:ind w:left="0" w:right="0" w:hanging="0"/>
              <w:jc w:val="left"/>
              <w:rPr/>
            </w:pPr>
            <w:r>
              <w:rPr/>
              <w:t>​</w:t>
            </w:r>
          </w:p>
        </w:tc>
      </w:tr>
      <w:tr>
        <w:trPr/>
        <w:tc>
          <w:tcPr>
            <w:tcW w:w="4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recovery of insurance proceeds (g)</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Executive transition costs (h)</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4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Restructuring charges (i)</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4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Pre-opening costs (j)</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71" w:type="dxa"/>
            <w:tcBorders/>
            <w:vAlign w:val="center"/>
          </w:tcPr>
          <w:p>
            <w:pPr>
              <w:pStyle w:val="TableContents"/>
              <w:bidi w:val="0"/>
              <w:spacing w:before="0" w:after="1"/>
              <w:ind w:left="0" w:right="0" w:hanging="0"/>
              <w:jc w:val="left"/>
              <w:rPr/>
            </w:pPr>
            <w:r>
              <w:rPr/>
              <w:t>​</w:t>
            </w:r>
          </w:p>
        </w:tc>
      </w:tr>
      <w:tr>
        <w:trPr/>
        <w:tc>
          <w:tcPr>
            <w:tcW w:w="40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17,218</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16,623</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32,917</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28,791</w:t>
            </w:r>
          </w:p>
        </w:tc>
        <w:tc>
          <w:tcPr>
            <w:tcW w:w="371" w:type="dxa"/>
            <w:tcBorders/>
            <w:shd w:fill="CCEEFF" w:val="clear"/>
            <w:vAlign w:val="center"/>
          </w:tcPr>
          <w:p>
            <w:pPr>
              <w:pStyle w:val="TableContents"/>
              <w:bidi w:val="0"/>
              <w:spacing w:before="0" w:after="1"/>
              <w:ind w:left="0" w:right="0" w:hanging="0"/>
              <w:jc w:val="left"/>
              <w:rPr/>
            </w:pPr>
            <w:r>
              <w:rPr/>
              <w:t>​</w:t>
            </w:r>
          </w:p>
        </w:tc>
      </w:tr>
    </w:tbl>
    <w:tbl>
      <w:tblPr>
        <w:tblW w:w="4232" w:type="dxa"/>
        <w:jc w:val="left"/>
        <w:tblInd w:w="0" w:type="dxa"/>
        <w:tblLayout w:type="fixed"/>
        <w:tblCellMar>
          <w:top w:w="0" w:type="dxa"/>
          <w:left w:w="0" w:type="dxa"/>
          <w:bottom w:w="0" w:type="dxa"/>
          <w:right w:w="0" w:type="dxa"/>
        </w:tblCellMar>
      </w:tblPr>
      <w:tblGrid>
        <w:gridCol w:w="331"/>
        <w:gridCol w:w="390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non-cash, stock-based compensation.</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disposal of assets includes the loss or gain on disposal of assets related to retirements and replacement or write-off of leasehold improvements or equipment.</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costs related to impairment of property and equipment and ROU assets and closing restaurants. During the thirteen and twenty-six weeks ended June 26, 2024, we did not record any non-cash impairment charges. During the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thirteen and twenty-six weeks ended June 28, 2023, we recorded non-cash impairment charges of less than $0.1 million, primarily related to the carrying value of the ROU assets of one restaurant in California. </w:t>
            </w:r>
          </w:p>
        </w:tc>
      </w:tr>
    </w:tbl>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During both the thirteen and twenty-six weeks ended June 26, 2024 and June 28, 2023, we recognized less than $0.1 million of closed-store reserve expense related to the amortization of ROU assets, property taxes and CAM payments for our closed locations.</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During the twenty-six weeks ended June 26, 2024, we completed the sale of one restaurant within California to an existing franchisee due to an expiring lease term on April 30, 2024. During the </w:t>
            </w:r>
            <w:r>
              <w:rPr>
                <w:rFonts w:ascii="Times New Roman;Times;serif" w:hAnsi="Times New Roman;Times;serif"/>
                <w:b w:val="false"/>
                <w:i w:val="false"/>
                <w:caps w:val="false"/>
                <w:smallCaps w:val="false"/>
                <w:sz w:val="20"/>
                <w:shd w:fill="FFFFFF" w:val="clear"/>
              </w:rPr>
              <w:t xml:space="preserve">twenty-six weeks ended </w:t>
            </w:r>
            <w:r>
              <w:rPr>
                <w:rFonts w:ascii="Times New Roman;Times;serif" w:hAnsi="Times New Roman;Times;serif"/>
                <w:b w:val="false"/>
                <w:i w:val="false"/>
                <w:caps w:val="false"/>
                <w:smallCaps w:val="false"/>
                <w:sz w:val="20"/>
              </w:rPr>
              <w:t>June 26, 2024</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and June 28, 2023, we completed the sale of one restaurant within California to an existing franchisee. </w:t>
            </w:r>
            <w:r>
              <w:rPr>
                <w:rFonts w:ascii="inherit" w:hAnsi="inherit"/>
                <w:b w:val="false"/>
                <w:i w:val="false"/>
                <w:caps w:val="false"/>
                <w:smallCaps w:val="false"/>
                <w:sz w:val="20"/>
                <w:shd w:fill="FFFFFF" w:val="clear"/>
              </w:rPr>
              <w:t>These sales resulted in cash proceeds of $0.1 million and $0.2 million, respectively, during the twenty-six weeks ended June 26, 2024 and </w:t>
            </w:r>
            <w:r>
              <w:rPr>
                <w:rFonts w:ascii="Times New Roman;Times;serif" w:hAnsi="Times New Roman;Times;serif"/>
                <w:b w:val="false"/>
                <w:i w:val="false"/>
                <w:caps w:val="false"/>
                <w:smallCaps w:val="false"/>
                <w:sz w:val="20"/>
                <w:shd w:fill="FFFFFF" w:val="clear"/>
              </w:rPr>
              <w:t>June 28, 2023,</w:t>
            </w:r>
            <w:r>
              <w:rPr>
                <w:caps w:val="false"/>
                <w:smallCaps w:val="false"/>
                <w:shd w:fill="FFFFFF" w:val="clear"/>
              </w:rPr>
              <w:t> </w:t>
            </w:r>
            <w:r>
              <w:rPr>
                <w:rFonts w:ascii="inherit" w:hAnsi="inherit"/>
                <w:b w:val="false"/>
                <w:i w:val="false"/>
                <w:caps w:val="false"/>
                <w:smallCaps w:val="false"/>
                <w:sz w:val="20"/>
                <w:shd w:fill="FFFFFF" w:val="clear"/>
              </w:rPr>
              <w:t>and a net loss on sale of restaurant of less than $0.1 million and a net gain on sale of restaurant of $0.1 million, respectively, for the twenty-six weeks ended June 26, 2024 and June 28, 2023.</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2014, we entered into the TRA. This agreement calls for us to pay to our pre-IPO stockholders 85% of the savings in cash that we realize in our taxes as a result of utilizing our NOLs and other tax attributes attributable to preceding periods. For the thirteen and twenty-six weeks ended June 26, 2024, we did not record any income tax receivable agreement income or expense. For the thirteen and twenty-six weeks ended June 28, 2023, income tax receivable agreement income consisted of the amortization of interest expense and changes in estimates for actual tax returns filed, related to our total expected TRA payments.</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5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Consists of (1) nominal costs and recoveries related to the defense of securities lawsuits, (2) $0.3 million in </w:t>
            </w:r>
            <w:r>
              <w:rPr>
                <w:rFonts w:ascii="Times New Roman;Times;serif" w:hAnsi="Times New Roman;Times;serif"/>
                <w:b w:val="false"/>
                <w:i w:val="false"/>
                <w:caps w:val="false"/>
                <w:smallCaps w:val="false"/>
                <w:sz w:val="20"/>
                <w:shd w:fill="FFFFFF" w:val="clear"/>
              </w:rPr>
              <w:t xml:space="preserve">legal costs related to the share distribution by Trimaran Group of substantially all shares of our common stock held by Trimaran Group to its investors, members and limited partners, which occurred on March 28, 2023, and (3) </w:t>
            </w:r>
            <w:r>
              <w:rPr>
                <w:rFonts w:ascii="Times New Roman;Times;serif" w:hAnsi="Times New Roman;Times;serif"/>
                <w:b w:val="false"/>
                <w:i w:val="false"/>
                <w:caps w:val="false"/>
                <w:smallCaps w:val="false"/>
                <w:sz w:val="20"/>
              </w:rPr>
              <w:t xml:space="preserve">for the twenty-six weeks ended June 28, 2023, $0.1 million in costs related to a special dividend declaration which was paid on November 9, 2022, to stockholders of record, including holders of restricted stock.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fiscal 2022, one of our restaurants incurred damage resulting from a fire. In fiscal 2023, we incurred costs directly related to the fire of less than $0.1 million. We received $0.4 million in cash, net of the insurance deductible, from the insurance company during fiscal 2023, for which we recognized gains of $0.2 million, related to the reimbursement of property and equipment and expenses incurred and $0.2 million related to the reimbursement of lost profits. The gain on recovery of insurance proceeds for the reimbursement of property and equipment and expenses and the reimbursement of lost profits, net of the related costs is included in the accompanying condensed consolidated statements of income, for the twenty-six weeks ended June 28, 2023, as a reduction of company restaurant expenses. </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Includes costs associated with the transition of our former CEO, such as severance, executive recruiting costs and stock-based compensation costs.</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March 8, 2024, we made the decision to eliminate and restructure certain positions in the organization, which resulted in one-time costs of approximately $0.6 million.</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tc>
      </w:tr>
    </w:tbl>
    <w:p>
      <w:pPr>
        <w:pStyle w:val="TextBody"/>
        <w:bidi w:val="0"/>
        <w:spacing w:before="0" w:after="240"/>
        <w:ind w:left="0" w:right="0" w:hanging="0"/>
        <w:jc w:val="left"/>
        <w:rPr>
          <w:rFonts w:ascii="Times New Roman;Times;serif" w:hAnsi="Times New Roman;Times;serif"/>
          <w:b/>
          <w:sz w:val="20"/>
        </w:rPr>
      </w:pPr>
      <w:bookmarkStart w:id="1657" w:name="_60d224b7_735d_45c6_84b4_a54d0c4de342"/>
      <w:bookmarkEnd w:id="1657"/>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Our primary sources of liquidity and capital resources have been cash provided from operations, cash and cash equivalents, and our </w:t>
      </w:r>
      <w:r>
        <w:rPr>
          <w:rFonts w:ascii="Times New Roman;Times;serif" w:hAnsi="Times New Roman;Times;serif"/>
          <w:sz w:val="20"/>
        </w:rPr>
        <w:t>2022 Revolver (defined below)</w:t>
      </w:r>
      <w:r>
        <w:rPr>
          <w:rFonts w:ascii="Times New Roman;Times;serif" w:hAnsi="Times New Roman;Times;serif"/>
          <w:sz w:val="20"/>
          <w:shd w:fill="FFFFFF" w:val="clear"/>
        </w:rPr>
        <w:t xml:space="preserve">.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including planned capital expenditures, for at least the next 12 months from the issuance of the condensed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summary cash flow information for the periods indicated (in thousands):</w:t>
      </w:r>
    </w:p>
    <w:p>
      <w:pPr>
        <w:pStyle w:val="TextBody"/>
        <w:bidi w:val="0"/>
        <w:spacing w:before="0" w:after="240"/>
        <w:ind w:left="0" w:right="0" w:hanging="0"/>
        <w:jc w:val="left"/>
        <w:rPr/>
      </w:pPr>
      <w:r>
        <w:rPr/>
        <w:t>​</w:t>
      </w:r>
    </w:p>
    <w:tbl>
      <w:tblPr>
        <w:tblW w:w="5871" w:type="dxa"/>
        <w:jc w:val="left"/>
        <w:tblInd w:w="0" w:type="dxa"/>
        <w:tblLayout w:type="fixed"/>
        <w:tblCellMar>
          <w:top w:w="0" w:type="dxa"/>
          <w:left w:w="0" w:type="dxa"/>
          <w:bottom w:w="0" w:type="dxa"/>
          <w:right w:w="0" w:type="dxa"/>
        </w:tblCellMar>
      </w:tblPr>
      <w:tblGrid>
        <w:gridCol w:w="2596"/>
        <w:gridCol w:w="326"/>
        <w:gridCol w:w="250"/>
        <w:gridCol w:w="876"/>
        <w:gridCol w:w="326"/>
        <w:gridCol w:w="250"/>
        <w:gridCol w:w="876"/>
        <w:gridCol w:w="37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648460" cy="175260"/>
                      <wp:effectExtent l="0" t="0" r="0" b="0"/>
                      <wp:wrapNone/>
                      <wp:docPr id="483" name="Frame483"/>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07010" cy="175260"/>
                      <wp:effectExtent l="0" t="0" r="0" b="0"/>
                      <wp:wrapNone/>
                      <wp:docPr id="484" name="Frame4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58750" cy="175260"/>
                      <wp:effectExtent l="0" t="0" r="0" b="0"/>
                      <wp:wrapNone/>
                      <wp:docPr id="485" name="Frame485"/>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556260" cy="175260"/>
                      <wp:effectExtent l="0" t="0" r="0" b="0"/>
                      <wp:wrapNone/>
                      <wp:docPr id="486" name="Frame486"/>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7010" cy="175260"/>
                      <wp:effectExtent l="0" t="0" r="0" b="0"/>
                      <wp:wrapNone/>
                      <wp:docPr id="487" name="Frame4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58750" cy="175260"/>
                      <wp:effectExtent l="0" t="0" r="0" b="0"/>
                      <wp:wrapNone/>
                      <wp:docPr id="488" name="Frame48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556260" cy="175260"/>
                      <wp:effectExtent l="0" t="0" r="0" b="0"/>
                      <wp:wrapNone/>
                      <wp:docPr id="489" name="Frame489"/>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35585" cy="175260"/>
                      <wp:effectExtent l="0" t="0" r="0" b="0"/>
                      <wp:wrapNone/>
                      <wp:docPr id="490" name="Frame49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Twenty-Six Weeks Ended </w:t>
            </w:r>
          </w:p>
        </w:tc>
        <w:tc>
          <w:tcPr>
            <w:tcW w:w="371" w:type="dxa"/>
            <w:tcBorders/>
            <w:vAlign w:val="center"/>
          </w:tcPr>
          <w:p>
            <w:pPr>
              <w:pStyle w:val="TableContents"/>
              <w:bidi w:val="0"/>
              <w:spacing w:before="0" w:after="0"/>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(Amounts in thousands)</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26, 2024</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2023</w:t>
            </w:r>
          </w:p>
        </w:tc>
        <w:tc>
          <w:tcPr>
            <w:tcW w:w="371" w:type="dxa"/>
            <w:tcBorders/>
            <w:vAlign w:val="center"/>
          </w:tcPr>
          <w:p>
            <w:pPr>
              <w:pStyle w:val="TableContents"/>
              <w:bidi w:val="0"/>
              <w:spacing w:before="0" w:after="0"/>
              <w:ind w:left="0" w:right="0" w:hanging="0"/>
              <w:jc w:val="center"/>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28,117</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21,796</w:t>
            </w:r>
          </w:p>
        </w:tc>
        <w:tc>
          <w:tcPr>
            <w:tcW w:w="371"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(10,546)</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(14,394)</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(23,207)</w:t>
            </w:r>
          </w:p>
        </w:tc>
        <w:tc>
          <w:tcPr>
            <w:tcW w:w="371"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(10,310)</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twenty-six weeks ended June 26, 2024, net cash from operating activities increased by approximately $6.3 million from the comparable period of the prior year. This change was due</w:t>
      </w:r>
      <w:r>
        <w:rPr>
          <w:rFonts w:ascii="Times New Roman;Times;serif" w:hAnsi="Times New Roman;Times;serif"/>
          <w:sz w:val="20"/>
          <w:shd w:fill="FFFFFF" w:val="clear"/>
        </w:rPr>
        <w:t xml:space="preserve"> to favorable working capital fluctuations and higher profitability compared to the same period in the prior year.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hanging="0"/>
        <w:jc w:val="left"/>
        <w:rPr>
          <w:rFonts w:ascii="Times New Roman;Times;serif" w:hAnsi="Times New Roman;Times;serif"/>
          <w:b w:val="false"/>
          <w:sz w:val="20"/>
          <w:shd w:fill="FFFFFF" w:val="clear"/>
        </w:rPr>
      </w:pPr>
      <w:r>
        <w:rPr>
          <w:rFonts w:ascii="Times New Roman;Times;serif" w:hAnsi="Times New Roman;Times;serif"/>
          <w:b w:val="false"/>
          <w:sz w:val="20"/>
          <w:shd w:fill="FFFFFF" w:val="clear"/>
        </w:rPr>
        <w:t xml:space="preserve">For the twenty-six weeks ended June 26, 2024, net cash used in investing activities increased by $1.7 million from the comparable period of the prior year. This change was due to an increase in purchase of property and equipment mostly related to restaurant remodeling during the twenty-six weeks ended June 26, 2024 when compared to the prior quarter.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twenty-six weeks ended June 26, 2024, net cash used in financing activities changed by $8.8 million from the comparable period of the prior year. The change was due primarily to a $3.0 million increase in net borrowings on the 2022 Revolver during the twenty-six weeks ended June 26, 2024 compared to the $6.0 million in net pay-downs during the twenty-six weeks ended June 28,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Debt and Other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as a guarantor, are a party to a credit agreement (the “2022 Credit Agreement”) among EPL, as borrower, Intermediate, as a guarantor, Bank of America, N.A., as administrative agent, swingline lender, and letter of credit issuer, the lenders party thereto, and the other parties thereto, which provides for a $150.0 million five-year senior secured revolving credit facility (the “2022 Revolver”). The 2022 Revolver, which is available pursuant to the 2022 Credit Agreement,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special dividend announced by our Board of Directors on October 11, 2022 was permitted under the terms of 2022 Revolver pursuant to both subclause (iii)(d) and (iii)(e) of the following sentence. Under the 2022 Revolver, Holdings is restricted from making certain payments such as cash dividends, except that it may, inter alia, (i) pay up to $1.0 million per year to repurchase or redeem qualified equity interests of Holdings held by our past or present officers, directors, or employees (or their estates)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w:t>
      </w:r>
      <w:r>
        <w:rPr>
          <w:rFonts w:ascii="Times New Roman;Times;serif" w:hAnsi="Times New Roman;Times;serif"/>
          <w:sz w:val="20"/>
          <w:shd w:fill="FFFFFF" w:val="clear"/>
        </w:rPr>
        <w:t>Term SOFR with a term of one-month SOFR</w:t>
      </w:r>
      <w:r>
        <w:rPr>
          <w:rFonts w:ascii="Times New Roman;Times;serif" w:hAnsi="Times New Roman;Times;serif"/>
          <w:sz w:val="20"/>
        </w:rPr>
        <w:t xml:space="preserve"> plus 1.00%. For </w:t>
      </w:r>
      <w:r>
        <w:rPr>
          <w:rFonts w:ascii="Times New Roman;Times;serif" w:hAnsi="Times New Roman;Times;serif"/>
          <w:sz w:val="20"/>
          <w:shd w:fill="FFFFFF" w:val="clear"/>
        </w:rPr>
        <w:t>Term SOFR</w:t>
      </w:r>
      <w:r>
        <w:rPr>
          <w:rFonts w:ascii="Times New Roman;Times;serif" w:hAnsi="Times New Roman;Times;serif"/>
          <w:sz w:val="20"/>
        </w:rPr>
        <w:t xml:space="preserve"> loans, the margin is in the range of 1.25% to 2.25%, and for base rate loans the margin is in a range of 0.25% to 1.25%. Borrowings under the 2022 Revolver may be repaid and reborrowed. The interest rate range under the 2022 Revolver was 6.67% and 6.96% and 6.67% to 6.94% for the thirteen and twenty-six weeks ended June 26, 2024</w:t>
      </w:r>
      <w:r>
        <w:rPr>
          <w:rFonts w:ascii="Times New Roman;Times;serif" w:hAnsi="Times New Roman;Times;serif"/>
          <w:sz w:val="20"/>
          <w:shd w:fill="FFFFFF" w:val="clear"/>
        </w:rPr>
        <w:t xml:space="preserve">, respectively, </w:t>
      </w:r>
      <w:r>
        <w:rPr>
          <w:rFonts w:ascii="Times New Roman;Times;serif" w:hAnsi="Times New Roman;Times;serif"/>
          <w:sz w:val="20"/>
        </w:rPr>
        <w:t>and 6.22% to 8.50% and 5.69% to 8.50% for the thirteen and twenty-six weeks ended June 28, 2023,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2022 Credit Agreement contains certain customary financial covenants, subject to certain exceptions. We were in compliance with the financial covenants as of June 26, 2024.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June 26, 2024, we had $87.0 million in outstanding borrowings under the 2022 Revolver and one letter of credit in the amount of $9.8 million outstanding, and as a result, we had $53.2 million in borrowing availability.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year ended December 28, 2022, we refinanced and terminated our credit agreement (the “2018 Credit Agreement”) among EPL, as borrower, we and the Intermediate, as guarantors, Bank of America, N.A., as administrative agent, swingline lender, and letter of credit issuer, the lenders party thereto, and the other parties thereto, which provided for a $150.0 million five-year senior secured revolving credit facility (the “2018 Revolver”) and entered into the 2022 Credit Agreement. See Note 4, “Long-term debt” for additional information.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Material Cash Requirements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material cash requirements as of June 26, 2024 have not changed materially since those disclosed under “Material Cash Requirements” in Part II, Item 7 of our annual report on Form 10-K for the year ended December 27, 2023. Our </w:t>
      </w:r>
      <w:r>
        <w:rPr>
          <w:rFonts w:ascii="Times New Roman;Times;serif" w:hAnsi="Times New Roman;Times;serif"/>
          <w:sz w:val="20"/>
          <w:shd w:fill="FFFFFF" w:val="clear"/>
        </w:rPr>
        <w:t>material cash requirements </w:t>
      </w:r>
      <w:r>
        <w:rPr>
          <w:rFonts w:ascii="Times New Roman;Times;serif" w:hAnsi="Times New Roman;Times;serif"/>
          <w:sz w:val="20"/>
        </w:rPr>
        <w:t xml:space="preserve">relate mostly to future (i) debt payments, including expected interest expense, calculated based on current interest rates, (ii) restaurant operating lease payments, (iii) purchasing commitments for chicken, (iv) restaurant finance lease payments, and (v) </w:t>
      </w:r>
      <w:r>
        <w:rPr>
          <w:rFonts w:ascii="Times New Roman;Times;serif" w:hAnsi="Times New Roman;Times;serif"/>
          <w:sz w:val="20"/>
          <w:shd w:fill="FFFFFF" w:val="clear"/>
        </w:rPr>
        <w:t>capital expenditures</w:t>
      </w:r>
      <w:r>
        <w:rPr>
          <w:rFonts w:ascii="Times New Roman;Times;serif" w:hAnsi="Times New Roman;Times;serif"/>
          <w:sz w:val="20"/>
        </w:rPr>
        <w:t>.</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Share Repurchases</w:t>
      </w:r>
    </w:p>
    <w:p>
      <w:pPr>
        <w:pStyle w:val="TextBody"/>
        <w:pBdr/>
        <w:bidi w:val="0"/>
        <w:spacing w:before="240" w:after="0"/>
        <w:ind w:left="0" w:right="0" w:hanging="0"/>
        <w:jc w:val="left"/>
        <w:rPr>
          <w:rFonts w:ascii="Times New Roman;Times;serif" w:hAnsi="Times New Roman;Times;serif"/>
          <w:i/>
          <w:sz w:val="20"/>
        </w:rPr>
      </w:pPr>
      <w:r>
        <w:rPr>
          <w:rFonts w:ascii="Times New Roman;Times;serif" w:hAnsi="Times New Roman;Times;serif"/>
          <w:i/>
          <w:sz w:val="20"/>
        </w:rPr>
        <w:t>Share Repurchase Program</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November 2, 2023, we announced that our Board of Directors approved a share repurchase program (“Share Repurchase Program”) under which we are authorized to repurchase up to $20,000,000 of shares of our common stock. Under the Share Repurchase Program, we are permitted to repurchase our common stock from time to time, in amounts and at prices that we deemed appropriate, subject to market conditions and other considerations. Pursuant to the Share Repurchase Program, we are authorized to effect repurchases using open market purchases, including pursuant to Rule 10b5-1 trading plans, and/or through privately negotiated transactions. The repurchase program does not obligate us to acquire any particular number of shares. The repurchase program will terminate on March 31, 2025.</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Further, on December 4, 2023, we repurchased 1.5 million shares for a total purchase price of $12.6 million under the Stock Repurchase Agreement with FS Equity Partners V, L.P. and FS Affiliates V, L.P. Following completion of this repurchase, approximately $7.4 million of our common stock remained available for repurchase under the share repurchase program at December 27, 2023.</w:t>
      </w:r>
    </w:p>
    <w:p>
      <w:pPr>
        <w:pStyle w:val="TextBody"/>
        <w:pBdr/>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For the thirteen and twenty-six weeks ended June 26, 2024, we repurchased 203,483 and 339,883 shares of common stock, respectively, under the Share Repurchase Program, using open market purchases, for total consideration of approximately $2.0 million and $3.2 million, respectively. </w:t>
      </w:r>
      <w:r>
        <w:rPr>
          <w:rFonts w:ascii="Times New Roman;Times;serif" w:hAnsi="Times New Roman;Times;serif"/>
          <w:sz w:val="20"/>
          <w:shd w:fill="FFFFFF" w:val="clear"/>
        </w:rPr>
        <w:t>Following completion of these repurchases, approximately $4.2 million of our common stock remained available for repurchase under the Share Repurchase Program at June 26, 2024.</w:t>
      </w:r>
    </w:p>
    <w:p>
      <w:pPr>
        <w:pStyle w:val="TextBody"/>
        <w:shd w:fill="FFFFFF" w:val="clear"/>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Share Repurchases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 addition, on May 29, 2024, we repurchased 1,534,303 shares for a total purchase price of $15.0 million under the Stock Repurchase Agreement with FS Equity Partners V, L.P. and FS Affiliates V, L.P.</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58" w:name="Item3QuantitativeandQualitativeDisclosur"/>
      <w:bookmarkStart w:id="1659" w:name="_575d357d_8b86_4928_96d6_234159b524c5"/>
      <w:bookmarkEnd w:id="1658"/>
      <w:bookmarkEnd w:id="1659"/>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July 27, 2022, we refinanced the 2018 Revolver and entered into the 2022 Credit Agreement, which provides for a $150 million five-year senior secured revolving facility. In connection with the refinancing, the 2018 Credit Agreement was terminated. </w:t>
      </w:r>
      <w:r>
        <w:rPr>
          <w:rFonts w:ascii="Times New Roman;Times;serif" w:hAnsi="Times New Roman;Times;serif"/>
          <w:sz w:val="20"/>
          <w:shd w:fill="FFFFFF" w:val="clear"/>
        </w:rPr>
        <w:t xml:space="preserve">We are exposed to market risk from changes in interest rates on our debt, which bears interest, at </w:t>
      </w:r>
      <w:r>
        <w:rPr>
          <w:rFonts w:ascii="Times New Roman;Times;serif" w:hAnsi="Times New Roman;Times;serif"/>
          <w:sz w:val="20"/>
        </w:rPr>
        <w:t>SOFR</w:t>
      </w:r>
      <w:r>
        <w:rPr>
          <w:rFonts w:ascii="Times New Roman;Times;serif" w:hAnsi="Times New Roman;Times;serif"/>
          <w:sz w:val="20"/>
          <w:shd w:fill="FFFFFF" w:val="clear"/>
        </w:rPr>
        <w:t xml:space="preserve"> plus a margin between 1.25% and 2.25%. As of June 26, 2024, we had outstanding borrowings of $87.0 million under our 2022 Revolver, $9.8 million of letters of credit in support of our insurance programs, and the applicable margin on outstanding borrowings under 2022 Revolver was 1.5%.</w:t>
      </w:r>
      <w:r>
        <w:rPr>
          <w:rFonts w:ascii="Times New Roman;Times;serif" w:hAnsi="Times New Roman;Times;serif"/>
          <w:sz w:val="20"/>
        </w:rPr>
        <w:t xml:space="preserve"> </w:t>
      </w:r>
      <w:r>
        <w:rPr>
          <w:rFonts w:ascii="Times New Roman;Times;serif" w:hAnsi="Times New Roman;Times;serif"/>
          <w:sz w:val="20"/>
          <w:shd w:fill="FFFFFF" w:val="clear"/>
        </w:rPr>
        <w:t>A 1.0% increase in the effective interest rate applied to our 2022 Revolver borrowings would result in a pre-tax interest expense increase of $0.9 million on an annualized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thirteen and twenty-six weeks ended June 26, 2024, we paid down $7.0 million and $11.0 million, respectively, on our 2022 Revolver and the outstanding balance as of June 26, 2024 was $87.0 million. During the thirteen and twenty-six weeks ended June 26, 2024, we borrowed $14.0 million on the 2022 Revolver. Borrowings under the 2022 Credit Agreement (other than any swingline loans) bear interest, at the borrowers’ option, at rates based upon either SOFR or a base rate, plus, for each rate, a margin determined in accordance with a lease-adjusted consolidated leverage ratio-based pricing grid. </w:t>
      </w:r>
      <w:r>
        <w:rPr>
          <w:rFonts w:ascii="Times New Roman;Times;serif" w:hAnsi="Times New Roman;Times;serif"/>
          <w:sz w:val="20"/>
          <w:shd w:fill="FFFFFF" w:val="clear"/>
        </w:rPr>
        <w:t>If future rates based upon SOFR are higher than SOFR rates as currently determined, we may experience potential increases in interest rates on our variable rate debt, which could adversely impact our interest expense, results of operations and cash flows.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Inflation has an impact on food, paper, construction, utility, labor and benefits, general and administrative, and other costs, all of which can materially impact our operations. In general, we have been able to substantially offset cost increases resulting from inflation by increasing menu prices, managing menu mix, improving productivity, or making other adjustments. We may not be able to offset cost increases in the future. In addition, we have a substantial number of hourly employees who are paid wage rates at or based on the applicable federal, state, or local minimum wage, and increases in the minimum wage will increase our labor costs.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Commodity Price Risk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60" w:name="Item4ControlsandProcedures_514743"/>
      <w:bookmarkStart w:id="1661" w:name="_6dedfb61_20be_4d47_b2e4_479bce01902b"/>
      <w:bookmarkEnd w:id="1660"/>
      <w:bookmarkEnd w:id="1661"/>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(as such term is defined in Rules 13a-15(e) of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concluded that our disclosure controls and procedures were effective, at the reasonable assurance level, as of June 26,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changes in our internal control over financial reporting occurred during the quarter ended June 26, 2024 that have materially affected, or are reasonably likely to materially affect, our internal control over financial reporting.</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62" w:name="PARTIIOTHERINFORMATION_750351"/>
      <w:bookmarkStart w:id="1663" w:name="_92c24784_f0bf_46b3_b3cd_c920f9738871"/>
      <w:bookmarkEnd w:id="1662"/>
      <w:bookmarkEnd w:id="1663"/>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664" w:name="Item1LegalProceedings_952142"/>
      <w:bookmarkEnd w:id="1664"/>
      <w:r>
        <w:rPr>
          <w:rFonts w:ascii="Times New Roman;Times;serif" w:hAnsi="Times New Roman;Times;serif"/>
          <w:b/>
          <w:sz w:val="20"/>
        </w:rPr>
        <w:t>Item 1. Legal Proceedings.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involved in various claims such as wage and hour and other legal actions that arise in the ordinary course of business, but neither we nor our subsidiaries are party to any material legal proceedings. See Note 7, “Commitments and Contingencies—Legal Matters” in the “Notes to Condensed Consolidated Financial Statements” for additional information.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65" w:name="Item1ARiskFactors_611784"/>
      <w:bookmarkStart w:id="1666" w:name="_d2adffc4_c7dc_453f_807e_0f38031dafa6"/>
      <w:bookmarkEnd w:id="1665"/>
      <w:bookmarkEnd w:id="1666"/>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There have been no material changes from the risk factors previously disclosed in our annual report on Form 10-K for the year ended December 27, 2023 filed with the SEC on March 8, 2024.</w:t>
      </w:r>
    </w:p>
    <w:p>
      <w:pPr>
        <w:pStyle w:val="TextBody"/>
        <w:pBdr/>
        <w:bidi w:val="0"/>
        <w:spacing w:before="0" w:after="0"/>
        <w:ind w:left="0" w:right="0" w:hanging="0"/>
        <w:jc w:val="left"/>
        <w:rPr>
          <w:rFonts w:ascii="Times New Roman;Times;serif" w:hAnsi="Times New Roman;Times;serif"/>
          <w:b/>
          <w:sz w:val="20"/>
        </w:rPr>
      </w:pPr>
      <w:bookmarkStart w:id="1667" w:name="Item2UnregisteredSalesofEquitySecurities"/>
      <w:bookmarkStart w:id="1668" w:name="_860e6b8a_7652_42e2_86fb_d8e4d14d4be0"/>
      <w:bookmarkEnd w:id="1667"/>
      <w:bookmarkEnd w:id="1668"/>
      <w:r>
        <w:rPr>
          <w:rFonts w:ascii="Times New Roman;Times;serif" w:hAnsi="Times New Roman;Times;serif"/>
          <w:b/>
          <w:sz w:val="20"/>
        </w:rPr>
        <w:t>Item 2. Unregistered Sales of Equity Securities and Use of Proceeds.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November 2, 2023, we announced that our Board of Directors approved a share repurchase program (“Share Repurchase Program”) under which we are authorized to repurchase up to $20,000,000 of shares of our common stock. See Note 3, “Stock Based Compensation-Share Repurchase Program” in the “Notes to Condensed Consolidated Financial Statements” for additional information.</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 on December 4, 2023, we repurchased 1.5 million shares for a total purchase price of $12.6 million under the Stock Repurchase Agreement with FS Equity Partners V, L.P. and FS Affiliates V, L.P. Following completion of this repurchase, approximately $7.4 million of its common stock remained available for repurchase under the share repurchase program at December 27, 2023.</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the thirteen weeks ended June 26, 2024, we repurchased 203,483 shares of common stock under the Share Repurchase Program, using open market purchases, for total consideration of approximately $2.0 million. Following completion of these repurchases, approximately $4.2 million of our common stock remained available for repurchase under the Share Repurchase Program at June 26, 2024.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on May 29, 2024, we repurchased 1,534,303 shares for a total purchase price of $15.0 million under the Stock Repurchase Agreement with FS Equity Partners V, L.P. and FS Affiliates V, L.P. (“FS Stock Repurchase Agreement”).</w:t>
      </w:r>
    </w:p>
    <w:p>
      <w:pPr>
        <w:pStyle w:val="TextBody"/>
        <w:bidi w:val="0"/>
        <w:spacing w:before="0" w:after="240"/>
        <w:ind w:left="0" w:right="0" w:hanging="0"/>
        <w:jc w:val="left"/>
        <w:rPr>
          <w:rFonts w:ascii="Times New Roman;Times;serif" w:hAnsi="Times New Roman;Times;serif"/>
          <w:sz w:val="20"/>
        </w:rPr>
      </w:pPr>
      <w:r>
        <w:rPr>
          <w:rFonts w:ascii="inherit" w:hAnsi="inherit"/>
          <w:sz w:val="20"/>
        </w:rPr>
        <w:t>T</w:t>
      </w:r>
      <w:r>
        <w:rPr>
          <w:rFonts w:ascii="Times New Roman;Times;serif" w:hAnsi="Times New Roman;Times;serif"/>
          <w:sz w:val="20"/>
        </w:rPr>
        <w:t>he following table summarizes our repurchases of common stock in the quarterly period ended June 26, 2024, which occurred pursuant to either our Share Repurchase Program or pursuant to Stock Repurchase Agreements as described above (in thousands, except number of shares and per share amounts):</w:t>
      </w:r>
    </w:p>
    <w:tbl>
      <w:tblPr>
        <w:tblW w:w="10205" w:type="dxa"/>
        <w:jc w:val="left"/>
        <w:tblInd w:w="0" w:type="dxa"/>
        <w:tblLayout w:type="fixed"/>
        <w:tblCellMar>
          <w:top w:w="0" w:type="dxa"/>
          <w:left w:w="0" w:type="dxa"/>
          <w:bottom w:w="0" w:type="dxa"/>
          <w:right w:w="0" w:type="dxa"/>
        </w:tblCellMar>
      </w:tblPr>
      <w:tblGrid>
        <w:gridCol w:w="1085"/>
        <w:gridCol w:w="326"/>
        <w:gridCol w:w="1403"/>
        <w:gridCol w:w="234"/>
        <w:gridCol w:w="326"/>
        <w:gridCol w:w="1187"/>
        <w:gridCol w:w="326"/>
        <w:gridCol w:w="2296"/>
        <w:gridCol w:w="109"/>
        <w:gridCol w:w="326"/>
        <w:gridCol w:w="2587"/>
      </w:tblGrid>
      <w:tr>
        <w:trPr/>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88975" cy="175260"/>
                      <wp:effectExtent l="0" t="0" r="0" b="0"/>
                      <wp:wrapNone/>
                      <wp:docPr id="491" name="Frame491"/>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2"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890905" cy="175260"/>
                      <wp:effectExtent l="0" t="0" r="0" b="0"/>
                      <wp:wrapNone/>
                      <wp:docPr id="493" name="Frame493"/>
                      <a:graphic xmlns:a="http://schemas.openxmlformats.org/drawingml/2006/main">
                        <a:graphicData uri="http://schemas.microsoft.com/office/word/2010/wordprocessingShape">
                          <wps:wsp>
                            <wps:cNvSpPr txBox="1"/>
                            <wps:spPr>
                              <a:xfrm>
                                <a:off x="0" y="0"/>
                                <a:ext cx="890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48590" cy="175260"/>
                      <wp:effectExtent l="0" t="0" r="0" b="0"/>
                      <wp:wrapNone/>
                      <wp:docPr id="494" name="Frame494"/>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753745" cy="175260"/>
                      <wp:effectExtent l="0" t="0" r="0" b="0"/>
                      <wp:wrapNone/>
                      <wp:docPr id="496" name="Frame496"/>
                      <a:graphic xmlns:a="http://schemas.openxmlformats.org/drawingml/2006/main">
                        <a:graphicData uri="http://schemas.microsoft.com/office/word/2010/wordprocessingShape">
                          <wps:wsp>
                            <wps:cNvSpPr txBox="1"/>
                            <wps:spPr>
                              <a:xfrm>
                                <a:off x="0" y="0"/>
                                <a:ext cx="753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7" name="Frame4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457960" cy="175260"/>
                      <wp:effectExtent l="0" t="0" r="0" b="0"/>
                      <wp:wrapNone/>
                      <wp:docPr id="498" name="Frame498"/>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9215" cy="175260"/>
                      <wp:effectExtent l="0" t="0" r="0" b="0"/>
                      <wp:wrapNone/>
                      <wp:docPr id="499" name="Frame4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7010" cy="175260"/>
                      <wp:effectExtent l="0" t="0" r="0" b="0"/>
                      <wp:wrapNone/>
                      <wp:docPr id="500" name="Frame5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642745" cy="175260"/>
                      <wp:effectExtent l="0" t="0" r="0" b="0"/>
                      <wp:wrapNone/>
                      <wp:docPr id="501" name="Frame501"/>
                      <a:graphic xmlns:a="http://schemas.openxmlformats.org/drawingml/2006/main">
                        <a:graphicData uri="http://schemas.microsoft.com/office/word/2010/wordprocessingShape">
                          <wps:wsp>
                            <wps:cNvSpPr txBox="1"/>
                            <wps:spPr>
                              <a:xfrm>
                                <a:off x="0" y="0"/>
                                <a:ext cx="1642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03" w:type="dxa"/>
            <w:tcBorders/>
            <w:vAlign w:val="center"/>
          </w:tcPr>
          <w:p>
            <w:pPr>
              <w:pStyle w:val="TableContents"/>
              <w:bidi w:val="0"/>
              <w:spacing w:before="0" w:after="0"/>
              <w:ind w:left="0" w:right="0" w:hanging="0"/>
              <w:jc w:val="center"/>
              <w:rPr/>
            </w:pPr>
            <w:r>
              <w:rPr/>
              <w:t>​</w:t>
            </w:r>
          </w:p>
        </w:tc>
        <w:tc>
          <w:tcPr>
            <w:tcW w:w="2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8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731" w:type="dxa"/>
            <w:gridSpan w:val="3"/>
            <w:tcBorders/>
            <w:vAlign w:val="center"/>
          </w:tcPr>
          <w:p>
            <w:pPr>
              <w:pStyle w:val="TableContents"/>
              <w:bidi w:val="0"/>
              <w:spacing w:before="0" w:after="0"/>
              <w:ind w:left="0" w:right="0" w:hanging="0"/>
              <w:jc w:val="center"/>
              <w:rPr/>
            </w:pPr>
            <w:r>
              <w:rPr/>
              <w:t>​</w:t>
            </w:r>
          </w:p>
        </w:tc>
        <w:tc>
          <w:tcPr>
            <w:tcW w:w="2587" w:type="dxa"/>
            <w:tcBorders/>
            <w:vAlign w:val="center"/>
          </w:tcPr>
          <w:p>
            <w:pPr>
              <w:pStyle w:val="TableContents"/>
              <w:bidi w:val="0"/>
              <w:spacing w:before="0" w:after="0"/>
              <w:ind w:left="0" w:right="0" w:hanging="0"/>
              <w:jc w:val="left"/>
              <w:rPr/>
            </w:pPr>
            <w:r>
              <w:rPr/>
              <w:t>​</w:t>
            </w:r>
          </w:p>
        </w:tc>
      </w:tr>
      <w:tr>
        <w:trPr/>
        <w:tc>
          <w:tcPr>
            <w:tcW w:w="10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0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Price Paid Per Share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5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Approximate Dollar Value of Shares That May Be Purchased Under the Plans or Programs</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28, 2024 to April 24, 2024</w:t>
            </w:r>
          </w:p>
        </w:tc>
        <w:tc>
          <w:tcPr>
            <w:tcW w:w="326" w:type="dxa"/>
            <w:tcBorders/>
            <w:shd w:fill="CCEEFF" w:val="clear"/>
            <w:vAlign w:val="center"/>
          </w:tcPr>
          <w:p>
            <w:pPr>
              <w:pStyle w:val="TableContents"/>
              <w:bidi w:val="0"/>
              <w:spacing w:before="0" w:after="0"/>
              <w:ind w:left="0" w:right="0" w:hanging="0"/>
              <w:jc w:val="left"/>
              <w:rPr/>
            </w:pPr>
            <w:r>
              <w:rPr/>
              <w:t> </w:t>
            </w:r>
          </w:p>
        </w:tc>
        <w:tc>
          <w:tcPr>
            <w:tcW w:w="14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71,908</w:t>
            </w:r>
          </w:p>
        </w:tc>
        <w:tc>
          <w:tcPr>
            <w:tcW w:w="23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326" w:type="dxa"/>
            <w:tcBorders/>
            <w:shd w:fill="CCEEFF" w:val="clear"/>
            <w:vAlign w:val="center"/>
          </w:tcPr>
          <w:p>
            <w:pPr>
              <w:pStyle w:val="TableContents"/>
              <w:bidi w:val="0"/>
              <w:spacing w:before="0" w:after="0"/>
              <w:ind w:left="0" w:right="0" w:hanging="0"/>
              <w:jc w:val="right"/>
              <w:rPr/>
            </w:pPr>
            <w:r>
              <w:rPr/>
              <w:t>​</w:t>
            </w:r>
          </w:p>
        </w:tc>
        <w:tc>
          <w:tcPr>
            <w:tcW w:w="22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71,908</w:t>
            </w:r>
          </w:p>
        </w:tc>
        <w:tc>
          <w:tcPr>
            <w:tcW w:w="10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5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5,539</w:t>
            </w:r>
          </w:p>
        </w:tc>
      </w:tr>
      <w:tr>
        <w:trPr/>
        <w:tc>
          <w:tcPr>
            <w:tcW w:w="1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25, 2024 to May 22, 2024</w:t>
            </w:r>
          </w:p>
        </w:tc>
        <w:tc>
          <w:tcPr>
            <w:tcW w:w="326" w:type="dxa"/>
            <w:tcBorders/>
            <w:vAlign w:val="center"/>
          </w:tcPr>
          <w:p>
            <w:pPr>
              <w:pStyle w:val="TableContents"/>
              <w:bidi w:val="0"/>
              <w:spacing w:before="0" w:after="0"/>
              <w:ind w:left="0" w:right="0" w:hanging="0"/>
              <w:jc w:val="left"/>
              <w:rPr/>
            </w:pPr>
            <w:r>
              <w:rPr/>
              <w:t> </w:t>
            </w:r>
          </w:p>
        </w:tc>
        <w:tc>
          <w:tcPr>
            <w:tcW w:w="14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79,369</w:t>
            </w:r>
          </w:p>
        </w:tc>
        <w:tc>
          <w:tcPr>
            <w:tcW w:w="2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0"/>
              <w:ind w:left="0" w:right="0" w:hanging="0"/>
              <w:jc w:val="right"/>
              <w:rPr/>
            </w:pPr>
            <w:r>
              <w:rPr/>
              <w:t>​</w:t>
            </w:r>
          </w:p>
        </w:tc>
        <w:tc>
          <w:tcPr>
            <w:tcW w:w="2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65,075</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5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4,896</w:t>
            </w:r>
          </w:p>
        </w:tc>
      </w:tr>
      <w:tr>
        <w:trPr/>
        <w:tc>
          <w:tcPr>
            <w:tcW w:w="1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23, 2024 to June 26, 2024</w:t>
            </w:r>
          </w:p>
        </w:tc>
        <w:tc>
          <w:tcPr>
            <w:tcW w:w="326" w:type="dxa"/>
            <w:tcBorders/>
            <w:shd w:fill="CCEEFF" w:val="clear"/>
            <w:vAlign w:val="center"/>
          </w:tcPr>
          <w:p>
            <w:pPr>
              <w:pStyle w:val="TableContents"/>
              <w:bidi w:val="0"/>
              <w:spacing w:before="0" w:after="0"/>
              <w:ind w:left="0" w:right="0" w:hanging="0"/>
              <w:jc w:val="left"/>
              <w:rPr/>
            </w:pPr>
            <w:r>
              <w:rPr/>
              <w:t> </w:t>
            </w:r>
          </w:p>
        </w:tc>
        <w:tc>
          <w:tcPr>
            <w:tcW w:w="14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1,600,803</w:t>
            </w:r>
          </w:p>
        </w:tc>
        <w:tc>
          <w:tcPr>
            <w:tcW w:w="23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w:t>
            </w:r>
          </w:p>
        </w:tc>
        <w:tc>
          <w:tcPr>
            <w:tcW w:w="326" w:type="dxa"/>
            <w:tcBorders/>
            <w:shd w:fill="CCEEFF" w:val="clear"/>
            <w:vAlign w:val="center"/>
          </w:tcPr>
          <w:p>
            <w:pPr>
              <w:pStyle w:val="TableContents"/>
              <w:bidi w:val="0"/>
              <w:spacing w:before="0" w:after="0"/>
              <w:ind w:left="0" w:right="0" w:hanging="0"/>
              <w:jc w:val="right"/>
              <w:rPr/>
            </w:pPr>
            <w:r>
              <w:rPr/>
              <w:t>​</w:t>
            </w:r>
          </w:p>
        </w:tc>
        <w:tc>
          <w:tcPr>
            <w:tcW w:w="22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66,500</w:t>
            </w:r>
          </w:p>
        </w:tc>
        <w:tc>
          <w:tcPr>
            <w:tcW w:w="10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5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4,190</w:t>
            </w:r>
          </w:p>
        </w:tc>
      </w:tr>
      <w:tr>
        <w:trPr/>
        <w:tc>
          <w:tcPr>
            <w:tcW w:w="1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4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1,752,080</w:t>
            </w:r>
          </w:p>
        </w:tc>
        <w:tc>
          <w:tcPr>
            <w:tcW w:w="234"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203,483</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587"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shd w:fill="FFFFFF" w:val="clea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Consists of (a) 203,483 shares repurchased by us pursuant to the Share Repurchase Program, (b) 14,294 shares acquired by us to satisfy employee tax withholding obligations in connection with the vesting of previously issued restricted stock and (c) 1,534,303 shares repurchased by us pursuant to the FS Stock Repurchase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69" w:name="Item3DefaultsofSeniorSecurities_13390"/>
      <w:bookmarkStart w:id="1670" w:name="_66eaea46_69ec_4ca5_9948_3596d5a11c6d"/>
      <w:bookmarkEnd w:id="1669"/>
      <w:bookmarkEnd w:id="1670"/>
      <w:r>
        <w:rPr>
          <w:rFonts w:ascii="Times New Roman;Times;serif" w:hAnsi="Times New Roman;Times;serif"/>
          <w:b/>
          <w:sz w:val="20"/>
        </w:rPr>
        <w:t>Item 3. Defaults Upon Senior Securities.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71" w:name="Item4MineSafetyDisclosures_432267"/>
      <w:bookmarkStart w:id="1672" w:name="_4dd2cace_14b2_4b8e_9f6c_101e6e1d5306"/>
      <w:bookmarkEnd w:id="1671"/>
      <w:bookmarkEnd w:id="1672"/>
      <w:r>
        <w:rPr>
          <w:rFonts w:ascii="Times New Roman;Times;serif" w:hAnsi="Times New Roman;Times;serif"/>
          <w:b/>
          <w:sz w:val="20"/>
        </w:rPr>
        <w:t>Item 4. Mine Safety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73" w:name="Item5OtherInformation_929848"/>
      <w:bookmarkStart w:id="1674" w:name="_cecac7a4_2b4d_49bf_8011_e71c81640d29"/>
      <w:bookmarkEnd w:id="1673"/>
      <w:bookmarkEnd w:id="1674"/>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75" w:name="Item6Exhibits_636888"/>
      <w:bookmarkStart w:id="1676" w:name="_0916238a_c75b_4b6d_80ad_8e3de1c722dd"/>
      <w:bookmarkEnd w:id="1675"/>
      <w:bookmarkEnd w:id="1676"/>
      <w:r>
        <w:rPr>
          <w:rFonts w:ascii="Times New Roman;Times;serif" w:hAnsi="Times New Roman;Times;serif"/>
          <w:b/>
          <w:sz w:val="20"/>
        </w:rPr>
        <w:t>Item 6. Exhibits.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91"/>
        <w:gridCol w:w="5382"/>
        <w:gridCol w:w="815"/>
        <w:gridCol w:w="481"/>
        <w:gridCol w:w="657"/>
        <w:gridCol w:w="616"/>
        <w:gridCol w:w="684"/>
        <w:gridCol w:w="879"/>
      </w:tblGrid>
      <w:tr>
        <w:trPr/>
        <w:tc>
          <w:tcPr>
            <w:tcW w:w="6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Number</w:t>
            </w:r>
          </w:p>
        </w:tc>
        <w:tc>
          <w:tcPr>
            <w:tcW w:w="538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Description</w:t>
            </w:r>
          </w:p>
        </w:tc>
        <w:tc>
          <w:tcPr>
            <w:tcW w:w="815"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Filed Herewith</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w:t>
            </w:r>
          </w:p>
        </w:tc>
        <w:tc>
          <w:tcPr>
            <w:tcW w:w="65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Period Ended</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Exhibit</w:t>
            </w:r>
          </w:p>
        </w:tc>
        <w:tc>
          <w:tcPr>
            <w:tcW w:w="684"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Filing Date</w:t>
            </w:r>
          </w:p>
        </w:tc>
        <w:tc>
          <w:tcPr>
            <w:tcW w:w="879"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 File Number</w:t>
            </w:r>
          </w:p>
        </w:tc>
      </w:tr>
      <w:tr>
        <w:trPr/>
        <w:tc>
          <w:tcPr>
            <w:tcW w:w="691" w:type="dxa"/>
            <w:tcBorders/>
            <w:vAlign w:val="center"/>
          </w:tcPr>
          <w:p>
            <w:pPr>
              <w:pStyle w:val="TableContents"/>
              <w:bidi w:val="0"/>
              <w:spacing w:before="0" w:after="0"/>
              <w:ind w:left="0" w:right="0" w:hanging="0"/>
              <w:jc w:val="left"/>
              <w:rPr/>
            </w:pPr>
            <w:r>
              <w:rPr/>
              <w:t>​</w:t>
            </w:r>
          </w:p>
        </w:tc>
        <w:tc>
          <w:tcPr>
            <w:tcW w:w="5382"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3.1</w:t>
            </w:r>
          </w:p>
        </w:tc>
        <w:tc>
          <w:tcPr>
            <w:tcW w:w="5382"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2"/>
                </w:rPr>
                <w:t>Amended and Restated Certificate of Incorporation of El Pollo Loco Holdings, Inc.</w:t>
              </w:r>
            </w:hyperlink>
          </w:p>
        </w:tc>
        <w:tc>
          <w:tcPr>
            <w:tcW w:w="815"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8-K</w:t>
            </w:r>
          </w:p>
        </w:tc>
        <w:tc>
          <w:tcPr>
            <w:tcW w:w="657"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N/A</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3.1</w:t>
            </w:r>
          </w:p>
        </w:tc>
        <w:tc>
          <w:tcPr>
            <w:tcW w:w="684"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6/3/2024</w:t>
            </w:r>
          </w:p>
        </w:tc>
        <w:tc>
          <w:tcPr>
            <w:tcW w:w="879"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001-36556</w:t>
            </w:r>
          </w:p>
        </w:tc>
      </w:tr>
      <w:tr>
        <w:trPr/>
        <w:tc>
          <w:tcPr>
            <w:tcW w:w="691" w:type="dxa"/>
            <w:tcBorders/>
            <w:vAlign w:val="center"/>
          </w:tcPr>
          <w:p>
            <w:pPr>
              <w:pStyle w:val="TableContents"/>
              <w:bidi w:val="0"/>
              <w:spacing w:before="0" w:after="0"/>
              <w:ind w:left="0" w:right="0" w:hanging="0"/>
              <w:jc w:val="left"/>
              <w:rPr/>
            </w:pPr>
            <w:r>
              <w:rPr/>
              <w:t>​</w:t>
            </w:r>
          </w:p>
        </w:tc>
        <w:tc>
          <w:tcPr>
            <w:tcW w:w="5382"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657"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684" w:type="dxa"/>
            <w:tcBorders/>
            <w:vAlign w:val="center"/>
          </w:tcPr>
          <w:p>
            <w:pPr>
              <w:pStyle w:val="TableContents"/>
              <w:bidi w:val="0"/>
              <w:spacing w:before="0" w:after="0"/>
              <w:ind w:left="0" w:right="0" w:hanging="0"/>
              <w:jc w:val="center"/>
              <w:rPr/>
            </w:pPr>
            <w:r>
              <w:rPr/>
              <w:t>​</w:t>
            </w:r>
          </w:p>
        </w:tc>
        <w:tc>
          <w:tcPr>
            <w:tcW w:w="879"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3.2</w:t>
            </w:r>
          </w:p>
        </w:tc>
        <w:tc>
          <w:tcPr>
            <w:tcW w:w="5382"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2"/>
                </w:rPr>
                <w:t>Certificate of Designations of Series A Preferred Stock of El Pollo Loco Holdings, Inc., as filed with the Secretary of State of the State of Delaware on August 9, 2023</w:t>
              </w:r>
            </w:hyperlink>
          </w:p>
        </w:tc>
        <w:tc>
          <w:tcPr>
            <w:tcW w:w="815"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8-K</w:t>
            </w:r>
          </w:p>
        </w:tc>
        <w:tc>
          <w:tcPr>
            <w:tcW w:w="657"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N/A</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3.1</w:t>
            </w:r>
          </w:p>
        </w:tc>
        <w:tc>
          <w:tcPr>
            <w:tcW w:w="684"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8/9/2023</w:t>
            </w:r>
          </w:p>
        </w:tc>
        <w:tc>
          <w:tcPr>
            <w:tcW w:w="879"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001-36556</w:t>
            </w:r>
          </w:p>
        </w:tc>
      </w:tr>
      <w:tr>
        <w:trPr/>
        <w:tc>
          <w:tcPr>
            <w:tcW w:w="691" w:type="dxa"/>
            <w:tcBorders/>
            <w:vAlign w:val="center"/>
          </w:tcPr>
          <w:p>
            <w:pPr>
              <w:pStyle w:val="TableContents"/>
              <w:bidi w:val="0"/>
              <w:spacing w:before="0" w:after="0"/>
              <w:ind w:left="0" w:right="0" w:hanging="0"/>
              <w:jc w:val="left"/>
              <w:rPr/>
            </w:pPr>
            <w:r>
              <w:rPr/>
              <w:t>​</w:t>
            </w:r>
          </w:p>
        </w:tc>
        <w:tc>
          <w:tcPr>
            <w:tcW w:w="5382"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657"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684" w:type="dxa"/>
            <w:tcBorders/>
            <w:vAlign w:val="center"/>
          </w:tcPr>
          <w:p>
            <w:pPr>
              <w:pStyle w:val="TableContents"/>
              <w:bidi w:val="0"/>
              <w:spacing w:before="0" w:after="0"/>
              <w:ind w:left="0" w:right="0" w:hanging="0"/>
              <w:jc w:val="center"/>
              <w:rPr/>
            </w:pPr>
            <w:r>
              <w:rPr/>
              <w:t>​</w:t>
            </w:r>
          </w:p>
        </w:tc>
        <w:tc>
          <w:tcPr>
            <w:tcW w:w="879"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3.3</w:t>
            </w:r>
          </w:p>
        </w:tc>
        <w:tc>
          <w:tcPr>
            <w:tcW w:w="5382"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2"/>
                </w:rPr>
                <w:t>Amended and Restated By-Laws of El Pollo Loco Holdings, Inc.</w:t>
              </w:r>
            </w:hyperlink>
          </w:p>
        </w:tc>
        <w:tc>
          <w:tcPr>
            <w:tcW w:w="815"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8-K</w:t>
            </w:r>
          </w:p>
        </w:tc>
        <w:tc>
          <w:tcPr>
            <w:tcW w:w="657"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N/A</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3.1</w:t>
            </w:r>
          </w:p>
        </w:tc>
        <w:tc>
          <w:tcPr>
            <w:tcW w:w="684"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2/2/2024</w:t>
            </w:r>
          </w:p>
        </w:tc>
        <w:tc>
          <w:tcPr>
            <w:tcW w:w="879"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001-36556</w:t>
            </w:r>
          </w:p>
        </w:tc>
      </w:tr>
      <w:tr>
        <w:trPr/>
        <w:tc>
          <w:tcPr>
            <w:tcW w:w="691" w:type="dxa"/>
            <w:tcBorders/>
            <w:vAlign w:val="center"/>
          </w:tcPr>
          <w:p>
            <w:pPr>
              <w:pStyle w:val="TableContents"/>
              <w:bidi w:val="0"/>
              <w:spacing w:before="0" w:after="0"/>
              <w:ind w:left="0" w:right="0" w:hanging="0"/>
              <w:jc w:val="left"/>
              <w:rPr/>
            </w:pPr>
            <w:r>
              <w:rPr/>
              <w:t>​</w:t>
            </w:r>
          </w:p>
        </w:tc>
        <w:tc>
          <w:tcPr>
            <w:tcW w:w="5382"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657"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684" w:type="dxa"/>
            <w:tcBorders/>
            <w:vAlign w:val="center"/>
          </w:tcPr>
          <w:p>
            <w:pPr>
              <w:pStyle w:val="TableContents"/>
              <w:bidi w:val="0"/>
              <w:spacing w:before="0" w:after="0"/>
              <w:ind w:left="0" w:right="0" w:hanging="0"/>
              <w:jc w:val="center"/>
              <w:rPr/>
            </w:pPr>
            <w:r>
              <w:rPr/>
              <w:t>​</w:t>
            </w:r>
          </w:p>
        </w:tc>
        <w:tc>
          <w:tcPr>
            <w:tcW w:w="879"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4.1</w:t>
            </w:r>
          </w:p>
        </w:tc>
        <w:tc>
          <w:tcPr>
            <w:tcW w:w="5382"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2"/>
                </w:rPr>
                <w:t>Rights Agreement, dated as of August 8, 2023, between El Pollo Loco Holdings, Inc. and Equiniti Trust Company, LLC, as rights agent</w:t>
              </w:r>
            </w:hyperlink>
          </w:p>
        </w:tc>
        <w:tc>
          <w:tcPr>
            <w:tcW w:w="815"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8-K</w:t>
            </w:r>
          </w:p>
        </w:tc>
        <w:tc>
          <w:tcPr>
            <w:tcW w:w="657"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N/A</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4.1</w:t>
            </w:r>
          </w:p>
        </w:tc>
        <w:tc>
          <w:tcPr>
            <w:tcW w:w="684"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8/9/2023</w:t>
            </w:r>
          </w:p>
        </w:tc>
        <w:tc>
          <w:tcPr>
            <w:tcW w:w="879"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001-36556</w:t>
            </w:r>
          </w:p>
        </w:tc>
      </w:tr>
      <w:tr>
        <w:trPr/>
        <w:tc>
          <w:tcPr>
            <w:tcW w:w="691" w:type="dxa"/>
            <w:tcBorders/>
            <w:vAlign w:val="center"/>
          </w:tcPr>
          <w:p>
            <w:pPr>
              <w:pStyle w:val="TableContents"/>
              <w:bidi w:val="0"/>
              <w:spacing w:before="0" w:after="0"/>
              <w:ind w:left="0" w:right="0" w:hanging="0"/>
              <w:jc w:val="left"/>
              <w:rPr/>
            </w:pPr>
            <w:r>
              <w:rPr/>
              <w:t>​</w:t>
            </w:r>
          </w:p>
        </w:tc>
        <w:tc>
          <w:tcPr>
            <w:tcW w:w="5382"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657"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684" w:type="dxa"/>
            <w:tcBorders/>
            <w:vAlign w:val="center"/>
          </w:tcPr>
          <w:p>
            <w:pPr>
              <w:pStyle w:val="TableContents"/>
              <w:bidi w:val="0"/>
              <w:spacing w:before="0" w:after="0"/>
              <w:ind w:left="0" w:right="0" w:hanging="0"/>
              <w:jc w:val="center"/>
              <w:rPr/>
            </w:pPr>
            <w:r>
              <w:rPr/>
              <w:t>​</w:t>
            </w:r>
          </w:p>
        </w:tc>
        <w:tc>
          <w:tcPr>
            <w:tcW w:w="879"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w:t>
            </w:r>
          </w:p>
        </w:tc>
        <w:tc>
          <w:tcPr>
            <w:tcW w:w="5382"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2"/>
                <w:i w:val="false"/>
                <w:b w:val="false"/>
                <w:rFonts w:ascii="Times New Roman;Times;serif" w:hAnsi="Times New Roman;Times;serif"/>
              </w:rPr>
              <w:instrText xml:space="preserve"> HYPERLINK "https://www.sec.gov/Archives/edgar/data/1606366/000160636624000020/loco-20240528xdef14a.htm" \l "AppendixC"</w:instrText>
            </w:r>
            <w:r>
              <w:rPr>
                <w:rStyle w:val="InternetLink"/>
                <w:smallCaps w:val="false"/>
                <w:caps w:val="false"/>
                <w:sz w:val="22"/>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2"/>
              </w:rPr>
              <w:t>El Pollo Loco Holdings, Inc. Equity Incentive Plan, as amended (included as Appendix C to the Company’s Definitive Proxy Statement filed with the Commission on April 16, 2024 and incorporated herein by reference).</w:t>
            </w:r>
            <w:r>
              <w:rPr>
                <w:rStyle w:val="InternetLink"/>
                <w:smallCaps w:val="false"/>
                <w:caps w:val="false"/>
                <w:sz w:val="22"/>
                <w:i w:val="false"/>
                <w:b w:val="false"/>
                <w:rFonts w:ascii="Times New Roman;Times;serif" w:hAnsi="Times New Roman;Times;serif"/>
              </w:rPr>
              <w:fldChar w:fldCharType="end"/>
            </w:r>
          </w:p>
        </w:tc>
        <w:tc>
          <w:tcPr>
            <w:tcW w:w="815"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8-K</w:t>
            </w:r>
          </w:p>
        </w:tc>
        <w:tc>
          <w:tcPr>
            <w:tcW w:w="657"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N/A</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10.1</w:t>
            </w:r>
          </w:p>
        </w:tc>
        <w:tc>
          <w:tcPr>
            <w:tcW w:w="684"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6/3/2024</w:t>
            </w:r>
          </w:p>
        </w:tc>
        <w:tc>
          <w:tcPr>
            <w:tcW w:w="879"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001-36556</w:t>
            </w:r>
          </w:p>
        </w:tc>
      </w:tr>
      <w:tr>
        <w:trPr/>
        <w:tc>
          <w:tcPr>
            <w:tcW w:w="691" w:type="dxa"/>
            <w:tcBorders/>
            <w:vAlign w:val="center"/>
          </w:tcPr>
          <w:p>
            <w:pPr>
              <w:pStyle w:val="TableContents"/>
              <w:bidi w:val="0"/>
              <w:spacing w:before="0" w:after="0"/>
              <w:ind w:left="0" w:right="0" w:hanging="0"/>
              <w:jc w:val="left"/>
              <w:rPr/>
            </w:pPr>
            <w:r>
              <w:rPr/>
              <w:t>​</w:t>
            </w:r>
          </w:p>
        </w:tc>
        <w:tc>
          <w:tcPr>
            <w:tcW w:w="5382"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657"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684" w:type="dxa"/>
            <w:tcBorders/>
            <w:vAlign w:val="center"/>
          </w:tcPr>
          <w:p>
            <w:pPr>
              <w:pStyle w:val="TableContents"/>
              <w:bidi w:val="0"/>
              <w:spacing w:before="0" w:after="0"/>
              <w:ind w:left="0" w:right="0" w:hanging="0"/>
              <w:jc w:val="center"/>
              <w:rPr/>
            </w:pPr>
            <w:r>
              <w:rPr/>
              <w:t>​</w:t>
            </w:r>
          </w:p>
        </w:tc>
        <w:tc>
          <w:tcPr>
            <w:tcW w:w="879"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10.2</w:t>
            </w:r>
          </w:p>
        </w:tc>
        <w:tc>
          <w:tcPr>
            <w:tcW w:w="5382"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2"/>
                </w:rPr>
                <w:t>Stock Repurchase Agreement, dated May 23, 2024, between El Pollo Loco Holdings, Inc., FS Equity Partners V, L.P. and FS Affiliates V, L.P.</w:t>
              </w:r>
            </w:hyperlink>
          </w:p>
        </w:tc>
        <w:tc>
          <w:tcPr>
            <w:tcW w:w="815"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8-K</w:t>
            </w:r>
          </w:p>
        </w:tc>
        <w:tc>
          <w:tcPr>
            <w:tcW w:w="657"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N/A</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99.1</w:t>
            </w:r>
          </w:p>
        </w:tc>
        <w:tc>
          <w:tcPr>
            <w:tcW w:w="684"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5/29/2024</w:t>
            </w:r>
          </w:p>
        </w:tc>
        <w:tc>
          <w:tcPr>
            <w:tcW w:w="879"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001-36556</w:t>
            </w:r>
          </w:p>
        </w:tc>
      </w:tr>
      <w:tr>
        <w:trPr/>
        <w:tc>
          <w:tcPr>
            <w:tcW w:w="691" w:type="dxa"/>
            <w:tcBorders/>
            <w:vAlign w:val="center"/>
          </w:tcPr>
          <w:p>
            <w:pPr>
              <w:pStyle w:val="TableContents"/>
              <w:bidi w:val="0"/>
              <w:spacing w:before="0" w:after="0"/>
              <w:ind w:left="0" w:right="0" w:hanging="0"/>
              <w:jc w:val="left"/>
              <w:rPr/>
            </w:pPr>
            <w:r>
              <w:rPr/>
              <w:t>​</w:t>
            </w:r>
          </w:p>
        </w:tc>
        <w:tc>
          <w:tcPr>
            <w:tcW w:w="5382"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657"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684" w:type="dxa"/>
            <w:tcBorders/>
            <w:vAlign w:val="center"/>
          </w:tcPr>
          <w:p>
            <w:pPr>
              <w:pStyle w:val="TableContents"/>
              <w:bidi w:val="0"/>
              <w:spacing w:before="0" w:after="0"/>
              <w:ind w:left="0" w:right="0" w:hanging="0"/>
              <w:jc w:val="center"/>
              <w:rPr/>
            </w:pPr>
            <w:r>
              <w:rPr/>
              <w:t>​</w:t>
            </w:r>
          </w:p>
        </w:tc>
        <w:tc>
          <w:tcPr>
            <w:tcW w:w="879"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31.1</w:t>
            </w:r>
          </w:p>
        </w:tc>
        <w:tc>
          <w:tcPr>
            <w:tcW w:w="5382" w:type="dxa"/>
            <w:tcBorders/>
            <w:vAlign w:val="center"/>
          </w:tcPr>
          <w:p>
            <w:pPr>
              <w:pStyle w:val="TableContents"/>
              <w:bidi w:val="0"/>
              <w:spacing w:before="0" w:after="0"/>
              <w:ind w:left="0" w:right="0" w:hanging="0"/>
              <w:jc w:val="left"/>
              <w:rPr/>
            </w:pPr>
            <w:hyperlink w:anchor="loco-20240626xex31d1.htm">
              <w:r>
                <w:rPr>
                  <w:rStyle w:val="InternetLink"/>
                  <w:rFonts w:ascii="Times New Roman;Times;serif" w:hAnsi="Times New Roman;Times;serif"/>
                  <w:b w:val="false"/>
                  <w:i w:val="false"/>
                  <w:caps w:val="false"/>
                  <w:smallCaps w:val="false"/>
                  <w:sz w:val="22"/>
                </w:rPr>
                <w:t>Certification of Chief Executive Officer under section 302 of the Sarbanes–Oxley Act of 2002</w:t>
              </w:r>
            </w:hyperlink>
          </w:p>
        </w:tc>
        <w:tc>
          <w:tcPr>
            <w:tcW w:w="815"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X</w:t>
            </w:r>
          </w:p>
        </w:tc>
        <w:tc>
          <w:tcPr>
            <w:tcW w:w="481"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r>
      <w:tr>
        <w:trPr/>
        <w:tc>
          <w:tcPr>
            <w:tcW w:w="691" w:type="dxa"/>
            <w:tcBorders/>
            <w:vAlign w:val="center"/>
          </w:tcPr>
          <w:p>
            <w:pPr>
              <w:pStyle w:val="TableContents"/>
              <w:bidi w:val="0"/>
              <w:spacing w:before="0" w:after="0"/>
              <w:ind w:left="0" w:right="0" w:hanging="0"/>
              <w:jc w:val="left"/>
              <w:rPr/>
            </w:pPr>
            <w:r>
              <w:rPr/>
              <w:t>​</w:t>
            </w:r>
          </w:p>
        </w:tc>
        <w:tc>
          <w:tcPr>
            <w:tcW w:w="5382"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31.2</w:t>
            </w:r>
          </w:p>
        </w:tc>
        <w:tc>
          <w:tcPr>
            <w:tcW w:w="5382" w:type="dxa"/>
            <w:tcBorders/>
            <w:vAlign w:val="center"/>
          </w:tcPr>
          <w:p>
            <w:pPr>
              <w:pStyle w:val="TableContents"/>
              <w:bidi w:val="0"/>
              <w:spacing w:before="0" w:after="0"/>
              <w:ind w:left="0" w:right="0" w:hanging="0"/>
              <w:jc w:val="left"/>
              <w:rPr/>
            </w:pPr>
            <w:hyperlink w:anchor="loco-20240626xex31d2.htm">
              <w:r>
                <w:rPr>
                  <w:rStyle w:val="InternetLink"/>
                  <w:rFonts w:ascii="Times New Roman;Times;serif" w:hAnsi="Times New Roman;Times;serif"/>
                  <w:b w:val="false"/>
                  <w:i w:val="false"/>
                  <w:caps w:val="false"/>
                  <w:smallCaps w:val="false"/>
                  <w:sz w:val="22"/>
                </w:rPr>
                <w:t>Certification of Chief Financial Officer under section 302 of the Sarbanes–Oxley Act of 2002</w:t>
              </w:r>
            </w:hyperlink>
          </w:p>
        </w:tc>
        <w:tc>
          <w:tcPr>
            <w:tcW w:w="815"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X</w:t>
            </w:r>
          </w:p>
        </w:tc>
        <w:tc>
          <w:tcPr>
            <w:tcW w:w="481"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r>
      <w:tr>
        <w:trPr/>
        <w:tc>
          <w:tcPr>
            <w:tcW w:w="691" w:type="dxa"/>
            <w:tcBorders/>
            <w:vAlign w:val="center"/>
          </w:tcPr>
          <w:p>
            <w:pPr>
              <w:pStyle w:val="TableContents"/>
              <w:bidi w:val="0"/>
              <w:spacing w:before="0" w:after="0"/>
              <w:ind w:left="0" w:right="0" w:hanging="0"/>
              <w:jc w:val="left"/>
              <w:rPr/>
            </w:pPr>
            <w:r>
              <w:rPr/>
              <w:t>​</w:t>
            </w:r>
          </w:p>
        </w:tc>
        <w:tc>
          <w:tcPr>
            <w:tcW w:w="5382"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32.1</w:t>
            </w:r>
          </w:p>
        </w:tc>
        <w:tc>
          <w:tcPr>
            <w:tcW w:w="5382" w:type="dxa"/>
            <w:tcBorders/>
            <w:vAlign w:val="center"/>
          </w:tcPr>
          <w:p>
            <w:pPr>
              <w:pStyle w:val="TableContents"/>
              <w:bidi w:val="0"/>
              <w:spacing w:before="0" w:after="0"/>
              <w:ind w:left="0" w:right="0" w:hanging="0"/>
              <w:jc w:val="left"/>
              <w:rPr/>
            </w:pPr>
            <w:hyperlink w:anchor="loco-20240626xex32d1.htm">
              <w:r>
                <w:rPr>
                  <w:rStyle w:val="InternetLink"/>
                  <w:rFonts w:ascii="Times New Roman;Times;serif" w:hAnsi="Times New Roman;Times;serif"/>
                  <w:b w:val="false"/>
                  <w:i w:val="false"/>
                  <w:caps w:val="false"/>
                  <w:smallCaps w:val="false"/>
                  <w:sz w:val="22"/>
                </w:rPr>
                <w:t>Certification of Chief Executive Officer and Chief Financial Officer under 18 U.S.C. section 1350, adopted by section 906 of the Sarbanes–Oxley Act of 2002</w:t>
              </w:r>
            </w:hyperlink>
          </w:p>
        </w:tc>
        <w:tc>
          <w:tcPr>
            <w:tcW w:w="815"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481"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60"/>
        <w:gridCol w:w="8583"/>
        <w:gridCol w:w="271"/>
        <w:gridCol w:w="109"/>
        <w:gridCol w:w="109"/>
        <w:gridCol w:w="109"/>
        <w:gridCol w:w="109"/>
        <w:gridCol w:w="155"/>
      </w:tblGrid>
      <w:tr>
        <w:trPr/>
        <w:tc>
          <w:tcPr>
            <w:tcW w:w="760"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6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101.INS</w:t>
            </w:r>
          </w:p>
        </w:tc>
        <w:tc>
          <w:tcPr>
            <w:tcW w:w="858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Inline XBRL Instance Document - </w:t>
            </w:r>
            <w:r>
              <w:rPr>
                <w:rFonts w:ascii="Times New Roman;Times;serif" w:hAnsi="Times New Roman;Times;serif"/>
                <w:sz w:val="22"/>
                <w:shd w:fill="FFFFFF" w:val="clear"/>
              </w:rPr>
              <w:t>the instance document does not appear in the Interactive Data File because its XBRL tags are embedded within the Inline XBRL document</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X</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60"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6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101.SCH</w:t>
            </w:r>
          </w:p>
        </w:tc>
        <w:tc>
          <w:tcPr>
            <w:tcW w:w="858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XBRL Taxonomy Extension Schema Document</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X</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60"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6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101.CAL</w:t>
            </w:r>
          </w:p>
        </w:tc>
        <w:tc>
          <w:tcPr>
            <w:tcW w:w="858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XBRL Taxonomy Extension Schema Document</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X</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60"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6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101.DEF</w:t>
            </w:r>
          </w:p>
        </w:tc>
        <w:tc>
          <w:tcPr>
            <w:tcW w:w="858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XBRL Taxonomy Extension Definition Linkbase Document</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X</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60"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6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101.LAB</w:t>
            </w:r>
          </w:p>
        </w:tc>
        <w:tc>
          <w:tcPr>
            <w:tcW w:w="858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XBRL Taxonomy Extension Label Linkbase Document</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X</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60"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6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101.PRE</w:t>
            </w:r>
          </w:p>
        </w:tc>
        <w:tc>
          <w:tcPr>
            <w:tcW w:w="858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XBRL Taxonomy Extension Presentation Linkbase Document</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X</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60" w:type="dxa"/>
            <w:tcBorders/>
            <w:vAlign w:val="center"/>
          </w:tcPr>
          <w:p>
            <w:pPr>
              <w:pStyle w:val="TableContents"/>
              <w:bidi w:val="0"/>
              <w:spacing w:before="0" w:after="0"/>
              <w:ind w:left="0" w:right="0" w:hanging="0"/>
              <w:jc w:val="left"/>
              <w:rPr/>
            </w:pPr>
            <w:r>
              <w:rPr/>
              <w:t>​</w:t>
            </w:r>
          </w:p>
        </w:tc>
        <w:tc>
          <w:tcPr>
            <w:tcW w:w="8583"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76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104</w:t>
            </w:r>
          </w:p>
        </w:tc>
        <w:tc>
          <w:tcPr>
            <w:tcW w:w="8583" w:type="dxa"/>
            <w:tcBorders/>
            <w:vAlign w:val="center"/>
          </w:tcPr>
          <w:p>
            <w:pPr>
              <w:pStyle w:val="TableContents"/>
              <w:bidi w:val="0"/>
              <w:spacing w:before="0" w:after="0"/>
              <w:ind w:left="0" w:right="0" w:hanging="0"/>
              <w:jc w:val="left"/>
              <w:rPr>
                <w:rFonts w:ascii="Times New Roman;Times;serif" w:hAnsi="Times New Roman;Times;serif"/>
                <w:sz w:val="22"/>
                <w:shd w:fill="FFFFFF" w:val="clear"/>
              </w:rPr>
            </w:pPr>
            <w:r>
              <w:rPr>
                <w:rFonts w:ascii="Times New Roman;Times;serif" w:hAnsi="Times New Roman;Times;serif"/>
                <w:sz w:val="22"/>
                <w:shd w:fill="FFFFFF" w:val="clear"/>
              </w:rPr>
              <w:t>Cover Page Interactive Data File - the cover page interactive data file does not appear in the Interactive Data File because its XBRL tags are embedded within the Inline XBRL Document</w:t>
            </w:r>
          </w:p>
        </w:tc>
        <w:tc>
          <w:tcPr>
            <w:tcW w:w="27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X</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77" w:name="SIGNATURES_726842"/>
      <w:bookmarkStart w:id="1678" w:name="_7b988f42_3560_4863_b430_7b04663338d4"/>
      <w:bookmarkEnd w:id="1677"/>
      <w:bookmarkEnd w:id="1678"/>
      <w:r>
        <w:rPr>
          <w:rFonts w:ascii="Times New Roman;Times;serif" w:hAnsi="Times New Roman;Times;serif"/>
          <w:b/>
          <w:sz w:val="20"/>
        </w:rPr>
        <w:t>SIGNATURES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center"/>
        <w:rPr/>
      </w:pPr>
      <w:r>
        <w:rPr/>
        <w:t>​</w:t>
      </w:r>
    </w:p>
    <w:tbl>
      <w:tblPr>
        <w:tblW w:w="4573" w:type="dxa"/>
        <w:jc w:val="left"/>
        <w:tblInd w:w="0" w:type="dxa"/>
        <w:tblLayout w:type="fixed"/>
        <w:tblCellMar>
          <w:top w:w="0" w:type="dxa"/>
          <w:left w:w="0" w:type="dxa"/>
          <w:bottom w:w="0" w:type="dxa"/>
          <w:right w:w="0" w:type="dxa"/>
        </w:tblCellMar>
      </w:tblPr>
      <w:tblGrid>
        <w:gridCol w:w="1846"/>
        <w:gridCol w:w="266"/>
        <w:gridCol w:w="2461"/>
      </w:tblGrid>
      <w:tr>
        <w:trPr/>
        <w:tc>
          <w:tcPr>
            <w:tcW w:w="1846"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   </w:t>
            </w:r>
          </w:p>
        </w:tc>
        <w:tc>
          <w:tcPr>
            <w:tcW w:w="2461" w:type="dxa"/>
            <w:tcBorders>
              <w:bottom w:val="single" w:sz="8"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El Pollo Loco Holdings, Inc.</w:t>
            </w:r>
          </w:p>
        </w:tc>
      </w:tr>
      <w:tr>
        <w:trPr/>
        <w:tc>
          <w:tcPr>
            <w:tcW w:w="1846"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2461" w:type="dxa"/>
            <w:tcBorders>
              <w:top w:val="single" w:sz="8" w:space="0" w:color="000000"/>
            </w:tcBorders>
            <w:tcMar>
              <w:top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846"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2461" w:type="dxa"/>
            <w:tcBorders/>
            <w:vAlign w:val="center"/>
          </w:tcPr>
          <w:p>
            <w:pPr>
              <w:pStyle w:val="TableContents"/>
              <w:bidi w:val="0"/>
              <w:spacing w:before="0" w:after="40"/>
              <w:ind w:left="0" w:right="0" w:hanging="0"/>
              <w:jc w:val="left"/>
              <w:rPr/>
            </w:pPr>
            <w:r>
              <w:rPr/>
              <w:t>​</w:t>
            </w:r>
          </w:p>
        </w:tc>
      </w:tr>
      <w:tr>
        <w:trPr/>
        <w:tc>
          <w:tcPr>
            <w:tcW w:w="1846"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Date: August 2, 2024</w:t>
            </w:r>
          </w:p>
        </w:tc>
        <w:tc>
          <w:tcPr>
            <w:tcW w:w="266" w:type="dxa"/>
            <w:tcBorders/>
            <w:vAlign w:val="center"/>
          </w:tcPr>
          <w:p>
            <w:pPr>
              <w:pStyle w:val="TableContents"/>
              <w:bidi w:val="0"/>
              <w:spacing w:before="0" w:after="40"/>
              <w:ind w:left="0" w:right="0" w:hanging="0"/>
              <w:jc w:val="left"/>
              <w:rPr/>
            </w:pPr>
            <w:r>
              <w:rPr/>
              <w:t>​</w:t>
            </w:r>
          </w:p>
        </w:tc>
        <w:tc>
          <w:tcPr>
            <w:tcW w:w="2461" w:type="dxa"/>
            <w:tcBorders>
              <w:bottom w:val="single" w:sz="8"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 Elizabeth Williams</w:t>
            </w:r>
          </w:p>
        </w:tc>
      </w:tr>
      <w:tr>
        <w:trPr/>
        <w:tc>
          <w:tcPr>
            <w:tcW w:w="1846"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2461" w:type="dxa"/>
            <w:tcBorders>
              <w:top w:val="single" w:sz="8" w:space="0" w:color="000000"/>
            </w:tcBorders>
            <w:tcMar>
              <w:top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Elizabeth Williams</w:t>
            </w:r>
          </w:p>
        </w:tc>
      </w:tr>
      <w:tr>
        <w:trPr/>
        <w:tc>
          <w:tcPr>
            <w:tcW w:w="1846"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246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46"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2461" w:type="dxa"/>
            <w:tcBorders/>
            <w:vAlign w:val="center"/>
          </w:tcPr>
          <w:p>
            <w:pPr>
              <w:pStyle w:val="TableContents"/>
              <w:bidi w:val="0"/>
              <w:spacing w:before="0" w:after="4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(duly authorized officer)</w:t>
            </w:r>
          </w:p>
          <w:p>
            <w:pPr>
              <w:pStyle w:val="TableContents"/>
              <w:bidi w:val="0"/>
              <w:spacing w:before="0" w:after="40"/>
              <w:ind w:left="0" w:right="0" w:hanging="0"/>
              <w:jc w:val="left"/>
              <w:rPr/>
            </w:pPr>
            <w:r>
              <w:rPr/>
              <w:t>​</w:t>
            </w:r>
          </w:p>
        </w:tc>
      </w:tr>
      <w:tr>
        <w:trPr/>
        <w:tc>
          <w:tcPr>
            <w:tcW w:w="1846"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Date: August 2, 2024</w:t>
            </w:r>
          </w:p>
        </w:tc>
        <w:tc>
          <w:tcPr>
            <w:tcW w:w="266" w:type="dxa"/>
            <w:tcBorders/>
            <w:vAlign w:val="center"/>
          </w:tcPr>
          <w:p>
            <w:pPr>
              <w:pStyle w:val="TableContents"/>
              <w:bidi w:val="0"/>
              <w:spacing w:before="0" w:after="40"/>
              <w:ind w:left="0" w:right="0" w:hanging="0"/>
              <w:jc w:val="left"/>
              <w:rPr/>
            </w:pPr>
            <w:r>
              <w:rPr/>
              <w:t>​</w:t>
            </w:r>
          </w:p>
        </w:tc>
        <w:tc>
          <w:tcPr>
            <w:tcW w:w="2461" w:type="dxa"/>
            <w:tcBorders>
              <w:bottom w:val="single" w:sz="8"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 Ira Fils</w:t>
            </w:r>
          </w:p>
        </w:tc>
      </w:tr>
      <w:tr>
        <w:trPr/>
        <w:tc>
          <w:tcPr>
            <w:tcW w:w="1846"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2461" w:type="dxa"/>
            <w:tcBorders>
              <w:top w:val="single" w:sz="8" w:space="0" w:color="000000"/>
            </w:tcBorders>
            <w:tcMar>
              <w:top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Ira Fils</w:t>
            </w:r>
          </w:p>
        </w:tc>
      </w:tr>
      <w:tr>
        <w:trPr/>
        <w:tc>
          <w:tcPr>
            <w:tcW w:w="1846"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246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2461" w:type="dxa"/>
            <w:tcBorders/>
            <w:vAlign w:val="center"/>
          </w:tcPr>
          <w:p>
            <w:pPr>
              <w:pStyle w:val="TableContents"/>
              <w:bidi w:val="0"/>
              <w:spacing w:before="0" w:after="4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lineRule="auto" w:line="343" w:before="0" w:after="0"/>
        <w:ind w:left="0" w:right="0" w:hanging="0"/>
        <w:jc w:val="left"/>
        <w:rPr/>
      </w:pPr>
      <w:bookmarkStart w:id="1679" w:name="loco-20240626xex31d1.htm"/>
      <w:bookmarkStart w:id="1680" w:name="ksloco20240626xex31d1"/>
      <w:bookmarkEnd w:id="1679"/>
      <w:bookmarkEnd w:id="1680"/>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31.1</w:t>
      </w:r>
      <w:bookmarkStart w:id="1681" w:name="New_Section_1"/>
      <w:bookmarkEnd w:id="1681"/>
    </w:p>
    <w:p>
      <w:pPr>
        <w:pStyle w:val="TextBody"/>
        <w:bidi w:val="0"/>
        <w:spacing w:lineRule="auto" w:line="343" w:before="240" w:after="0"/>
        <w:ind w:left="0" w:right="0" w:hanging="0"/>
        <w:jc w:val="center"/>
        <w:rPr>
          <w:rFonts w:ascii="Times New Roman;Times;serif" w:hAnsi="Times New Roman;Times;serif"/>
          <w:sz w:val="20"/>
        </w:rPr>
      </w:pPr>
      <w:r>
        <w:rPr>
          <w:rFonts w:ascii="Times New Roman;Times;serif" w:hAnsi="Times New Roman;Times;serif"/>
          <w:sz w:val="20"/>
        </w:rPr>
        <w:t>CERTIFICATIONS</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I, Elizabeth Williams, certify that: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El Pollo Loco Holdings, Inc.;</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Date: August 2, 2024</w:t>
      </w:r>
    </w:p>
    <w:p>
      <w:pPr>
        <w:pStyle w:val="TextBody"/>
        <w:bidi w:val="0"/>
        <w:spacing w:before="0" w:after="0"/>
        <w:ind w:left="0" w:right="0" w:hanging="0"/>
        <w:jc w:val="left"/>
        <w:rPr/>
      </w:pPr>
      <w:r>
        <w:rPr/>
        <w:t>​</w:t>
      </w:r>
    </w:p>
    <w:tbl>
      <w:tblPr>
        <w:tblW w:w="2491" w:type="dxa"/>
        <w:jc w:val="center"/>
        <w:tblInd w:w="0" w:type="dxa"/>
        <w:tblLayout w:type="fixed"/>
        <w:tblCellMar>
          <w:top w:w="0" w:type="dxa"/>
          <w:left w:w="0" w:type="dxa"/>
          <w:bottom w:w="28" w:type="dxa"/>
          <w:right w:w="0" w:type="dxa"/>
        </w:tblCellMar>
      </w:tblPr>
      <w:tblGrid>
        <w:gridCol w:w="2491"/>
      </w:tblGrid>
      <w:tr>
        <w:trPr/>
        <w:tc>
          <w:tcPr>
            <w:tcW w:w="2491" w:type="dxa"/>
            <w:tcBorders>
              <w:bottom w:val="single" w:sz="8"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581785" cy="172085"/>
                      <wp:effectExtent l="0" t="0" r="0" b="0"/>
                      <wp:wrapNone/>
                      <wp:docPr id="502" name="Frame502"/>
                      <a:graphic xmlns:a="http://schemas.openxmlformats.org/drawingml/2006/main">
                        <a:graphicData uri="http://schemas.microsoft.com/office/word/2010/wordprocessingShape">
                          <wps:wsp>
                            <wps:cNvSpPr txBox="1"/>
                            <wps:spPr>
                              <a:xfrm>
                                <a:off x="0" y="0"/>
                                <a:ext cx="1581785" cy="172085"/>
                              </a:xfrm>
                              <a:prstGeom prst="rect"/>
                              <a:solidFill>
                                <a:srgbClr val="FFFFFF"/>
                              </a:solidFill>
                            </wps:spPr>
                            <wps:txbx>
                              <w:txbxContent>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/s/ Elizabeth Williams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/s/ Elizabeth Williams</w:t>
                            </w:r>
                          </w:p>
                        </w:txbxContent>
                      </v:textbox>
                      <w10:wrap type="none"/>
                    </v:rect>
                  </w:pict>
                </mc:Fallback>
              </mc:AlternateContent>
            </w:r>
          </w:p>
        </w:tc>
      </w:tr>
      <w:tr>
        <w:trPr/>
        <w:tc>
          <w:tcPr>
            <w:tcW w:w="2491" w:type="dxa"/>
            <w:tcBorders>
              <w:top w:val="single" w:sz="8" w:space="0" w:color="000000"/>
            </w:tcBorders>
            <w:tcMar>
              <w:top w:w="28" w:type="dxa"/>
              <w:bottom w:w="0" w:type="dxa"/>
            </w:tcMar>
            <w:vAlign w:val="center"/>
          </w:tcPr>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Elizabeth Williams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1682" w:name="loco-20240626xex31d2.htm"/>
      <w:bookmarkStart w:id="1683" w:name="ksloco20240626xex31d2"/>
      <w:bookmarkEnd w:id="1682"/>
      <w:bookmarkEnd w:id="1683"/>
      <w:r>
        <w:rPr/>
        <w:t>​</w:t>
      </w:r>
      <w:r>
        <w:br w:type="page"/>
      </w:r>
    </w:p>
    <w:p>
      <w:pPr>
        <w:pStyle w:val="TextBody"/>
        <w:bidi w:val="0"/>
        <w:spacing w:lineRule="auto" w:line="343" w:before="0" w:after="0"/>
        <w:ind w:left="0" w:right="0" w:hanging="0"/>
        <w:jc w:val="right"/>
        <w:rPr>
          <w:rFonts w:ascii="Times New Roman;Times;serif" w:hAnsi="Times New Roman;Times;serif"/>
          <w:sz w:val="20"/>
        </w:rPr>
      </w:pPr>
      <w:r>
        <w:rPr>
          <w:rFonts w:ascii="Times New Roman;Times;serif" w:hAnsi="Times New Roman;Times;serif"/>
          <w:b/>
          <w:sz w:val="20"/>
        </w:rPr>
        <w:t>Exhibit 31.</w:t>
      </w:r>
      <w:bookmarkStart w:id="1684" w:name="New_Section_11"/>
      <w:bookmarkEnd w:id="1684"/>
      <w:r>
        <w:rPr>
          <w:rFonts w:ascii="Times New Roman;Times;serif" w:hAnsi="Times New Roman;Times;serif"/>
          <w:b/>
          <w:sz w:val="20"/>
        </w:rPr>
        <w:t>2</w:t>
      </w:r>
    </w:p>
    <w:p>
      <w:pPr>
        <w:pStyle w:val="TextBody"/>
        <w:bidi w:val="0"/>
        <w:spacing w:lineRule="auto" w:line="343" w:before="240" w:after="0"/>
        <w:ind w:left="0" w:right="0" w:hanging="0"/>
        <w:jc w:val="center"/>
        <w:rPr>
          <w:rFonts w:ascii="Times New Roman;Times;serif" w:hAnsi="Times New Roman;Times;serif"/>
          <w:sz w:val="20"/>
        </w:rPr>
      </w:pPr>
      <w:r>
        <w:rPr>
          <w:rFonts w:ascii="Times New Roman;Times;serif" w:hAnsi="Times New Roman;Times;serif"/>
          <w:sz w:val="20"/>
        </w:rPr>
        <w:t>CERTIFICATIONS</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I, Ira Fils, certify that: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El Pollo Loco Holdings, Inc.;</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Date: August 2, 2024</w:t>
      </w:r>
    </w:p>
    <w:p>
      <w:pPr>
        <w:pStyle w:val="TextBody"/>
        <w:bidi w:val="0"/>
        <w:spacing w:before="0" w:after="0"/>
        <w:ind w:left="0" w:right="0" w:hanging="0"/>
        <w:jc w:val="left"/>
        <w:rPr/>
      </w:pPr>
      <w:r>
        <w:rPr/>
        <w:t>​</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8"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07315" cy="848995"/>
                      <wp:effectExtent l="0" t="0" r="0" b="0"/>
                      <wp:wrapNone/>
                      <wp:docPr id="503" name="Frame503"/>
                      <a:graphic xmlns:a="http://schemas.openxmlformats.org/drawingml/2006/main">
                        <a:graphicData uri="http://schemas.microsoft.com/office/word/2010/wordprocessingShape">
                          <wps:wsp>
                            <wps:cNvSpPr txBox="1"/>
                            <wps:spPr>
                              <a:xfrm>
                                <a:off x="0" y="0"/>
                                <a:ext cx="107315" cy="848995"/>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Ira Fils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Ira Fils</w:t>
                            </w:r>
                          </w:p>
                        </w:txbxContent>
                      </v:textbox>
                      <w10:wrap type="none"/>
                    </v:rect>
                  </w:pict>
                </mc:Fallback>
              </mc:AlternateContent>
            </w:r>
          </w:p>
        </w:tc>
      </w:tr>
      <w:tr>
        <w:trPr/>
        <w:tc>
          <w:tcPr>
            <w:tcW w:w="169" w:type="dxa"/>
            <w:tcBorders>
              <w:top w:val="single" w:sz="8" w:space="0" w:color="000000"/>
            </w:tcBorders>
            <w:tcMar>
              <w:top w:w="28" w:type="dxa"/>
              <w:bottom w:w="0"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07315" cy="591820"/>
                      <wp:effectExtent l="0" t="0" r="0" b="0"/>
                      <wp:wrapNone/>
                      <wp:docPr id="504" name="Frame504"/>
                      <a:graphic xmlns:a="http://schemas.openxmlformats.org/drawingml/2006/main">
                        <a:graphicData uri="http://schemas.microsoft.com/office/word/2010/wordprocessingShape">
                          <wps:wsp>
                            <wps:cNvSpPr txBox="1"/>
                            <wps:spPr>
                              <a:xfrm>
                                <a:off x="0" y="0"/>
                                <a:ext cx="107315" cy="591820"/>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Ira Fils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46.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Ira Fils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1685" w:name="loco-20240626xex32d1.htm"/>
      <w:bookmarkStart w:id="1686" w:name="ksloco20240626xex32d1"/>
      <w:bookmarkEnd w:id="1685"/>
      <w:bookmarkEnd w:id="1686"/>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bookmarkStart w:id="1687" w:name="New_Section_12"/>
      <w:bookmarkEnd w:id="1687"/>
    </w:p>
    <w:p>
      <w:pPr>
        <w:pStyle w:val="TextBody"/>
        <w:bidi w:val="0"/>
        <w:spacing w:lineRule="auto" w:line="343" w:before="240" w:after="0"/>
        <w:ind w:left="0" w:right="0" w:hanging="0"/>
        <w:jc w:val="center"/>
        <w:rPr>
          <w:rFonts w:ascii="Times New Roman;Times;serif" w:hAnsi="Times New Roman;Times;serif"/>
          <w:sz w:val="20"/>
        </w:rPr>
      </w:pPr>
      <w:r>
        <w:rPr>
          <w:rFonts w:ascii="Times New Roman;Times;serif" w:hAnsi="Times New Roman;Times;serif"/>
          <w:sz w:val="20"/>
        </w:rPr>
        <w:t>CERTIFICATION</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Date: August 2, 2024</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07315" cy="175260"/>
                      <wp:effectExtent l="0" t="0" r="0" b="0"/>
                      <wp:wrapNone/>
                      <wp:docPr id="505" name="Frame505"/>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0"/>
        <w:ind w:left="0" w:right="0" w:hanging="0"/>
        <w:jc w:val="left"/>
        <w:rPr/>
      </w:pPr>
      <w:r>
        <w:rPr/>
        <w:t>​</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07315" cy="401320"/>
                      <wp:effectExtent l="0" t="0" r="0" b="0"/>
                      <wp:wrapNone/>
                      <wp:docPr id="506" name="Frame506"/>
                      <a:graphic xmlns:a="http://schemas.openxmlformats.org/drawingml/2006/main">
                        <a:graphicData uri="http://schemas.microsoft.com/office/word/2010/wordprocessingShape">
                          <wps:wsp>
                            <wps:cNvSpPr txBox="1"/>
                            <wps:spPr>
                              <a:xfrm>
                                <a:off x="0" y="0"/>
                                <a:ext cx="107315" cy="401320"/>
                              </a:xfrm>
                              <a:prstGeom prst="rect"/>
                              <a:solidFill>
                                <a:srgbClr val="FFFFFF"/>
                              </a:solidFill>
                            </wps:spPr>
                            <wps:txbx>
                              <w:txbxContent>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31.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07315" cy="2078990"/>
                      <wp:effectExtent l="0" t="0" r="0" b="0"/>
                      <wp:wrapNone/>
                      <wp:docPr id="507" name="Frame507"/>
                      <a:graphic xmlns:a="http://schemas.openxmlformats.org/drawingml/2006/main">
                        <a:graphicData uri="http://schemas.microsoft.com/office/word/2010/wordprocessingShape">
                          <wps:wsp>
                            <wps:cNvSpPr txBox="1"/>
                            <wps:spPr>
                              <a:xfrm>
                                <a:off x="0" y="0"/>
                                <a:ext cx="107315" cy="2078990"/>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Elizabeth Williams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63.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Elizabeth Williams</w:t>
                            </w:r>
                          </w:p>
                        </w:txbxContent>
                      </v:textbox>
                      <w10:wrap type="none"/>
                    </v:rect>
                  </w:pict>
                </mc:Fallback>
              </mc:AlternateContent>
            </w:r>
          </w:p>
        </w:tc>
      </w:tr>
      <w:tr>
        <w:trPr/>
        <w:tc>
          <w:tcPr>
            <w:tcW w:w="169"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07315" cy="3839210"/>
                      <wp:effectExtent l="0" t="0" r="0" b="0"/>
                      <wp:wrapNone/>
                      <wp:docPr id="508" name="Frame508"/>
                      <a:graphic xmlns:a="http://schemas.openxmlformats.org/drawingml/2006/main">
                        <a:graphicData uri="http://schemas.microsoft.com/office/word/2010/wordprocessingShape">
                          <wps:wsp>
                            <wps:cNvSpPr txBox="1"/>
                            <wps:spPr>
                              <a:xfrm>
                                <a:off x="0" y="0"/>
                                <a:ext cx="107315" cy="3839210"/>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Elizabeth Williams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302.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Elizabeth Williams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Executive Officer</w:t>
                            </w:r>
                          </w:p>
                        </w:txbxContent>
                      </v:textbox>
                      <w10:wrap type="none"/>
                    </v:rect>
                  </w:pict>
                </mc:Fallback>
              </mc:AlternateContent>
            </w:r>
          </w:p>
        </w:tc>
      </w:tr>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07315" cy="401320"/>
                      <wp:effectExtent l="0" t="0" r="0" b="0"/>
                      <wp:wrapNone/>
                      <wp:docPr id="509" name="Frame509"/>
                      <a:graphic xmlns:a="http://schemas.openxmlformats.org/drawingml/2006/main">
                        <a:graphicData uri="http://schemas.microsoft.com/office/word/2010/wordprocessingShape">
                          <wps:wsp>
                            <wps:cNvSpPr txBox="1"/>
                            <wps:spPr>
                              <a:xfrm>
                                <a:off x="0" y="0"/>
                                <a:ext cx="107315" cy="401320"/>
                              </a:xfrm>
                              <a:prstGeom prst="rect"/>
                              <a:solidFill>
                                <a:srgbClr val="FFFFFF"/>
                              </a:solidFill>
                            </wps:spPr>
                            <wps:txbx>
                              <w:txbxContent>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31.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07315" cy="905510"/>
                      <wp:effectExtent l="0" t="0" r="0" b="0"/>
                      <wp:wrapNone/>
                      <wp:docPr id="510" name="Frame510"/>
                      <a:graphic xmlns:a="http://schemas.openxmlformats.org/drawingml/2006/main">
                        <a:graphicData uri="http://schemas.microsoft.com/office/word/2010/wordprocessingShape">
                          <wps:wsp>
                            <wps:cNvSpPr txBox="1"/>
                            <wps:spPr>
                              <a:xfrm>
                                <a:off x="0" y="0"/>
                                <a:ext cx="107315" cy="905510"/>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Ira Fils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71.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Ira Fils</w:t>
                            </w:r>
                          </w:p>
                        </w:txbxContent>
                      </v:textbox>
                      <w10:wrap type="none"/>
                    </v:rect>
                  </w:pict>
                </mc:Fallback>
              </mc:AlternateContent>
            </w:r>
          </w:p>
        </w:tc>
      </w:tr>
      <w:tr>
        <w:trPr/>
        <w:tc>
          <w:tcPr>
            <w:tcW w:w="16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07315" cy="2519045"/>
                      <wp:effectExtent l="0" t="0" r="0" b="0"/>
                      <wp:wrapNone/>
                      <wp:docPr id="511" name="Frame511"/>
                      <a:graphic xmlns:a="http://schemas.openxmlformats.org/drawingml/2006/main">
                        <a:graphicData uri="http://schemas.microsoft.com/office/word/2010/wordprocessingShape">
                          <wps:wsp>
                            <wps:cNvSpPr txBox="1"/>
                            <wps:spPr>
                              <a:xfrm>
                                <a:off x="0" y="0"/>
                                <a:ext cx="107315" cy="2519045"/>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Ira Fils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98.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Ira Fils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inheri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6366/000121390024049090/ea020727301ex3-1_elpollo.htm" TargetMode="External"/><Relationship Id="rId3" Type="http://schemas.openxmlformats.org/officeDocument/2006/relationships/hyperlink" Target="https://www.sec.gov/Archives/edgar/data/1606366/000138713123009442/ex3-1.htm" TargetMode="External"/><Relationship Id="rId4" Type="http://schemas.openxmlformats.org/officeDocument/2006/relationships/hyperlink" Target="https://www.sec.gov/Archives/edgar/data/1606366/000160636624000002/loco-20240130xex3d1.htm" TargetMode="External"/><Relationship Id="rId5" Type="http://schemas.openxmlformats.org/officeDocument/2006/relationships/hyperlink" Target="https://www.sec.gov/Archives/edgar/data/1606366/000138713123009442/ex4-1.htm" TargetMode="External"/><Relationship Id="rId6" Type="http://schemas.openxmlformats.org/officeDocument/2006/relationships/hyperlink" Target="https://www.sec.gov/Archives/edgar/data/1606366/000160636624000032/loco-20240523xex99d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25949</Words>
  <Characters>143174</Characters>
  <CharactersWithSpaces>171519</CharactersWithSpaces>
  <Paragraphs>7786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