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24, 2014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EL POLLO LOCO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840" w:type="dxa"/>
        <w:tblCellMar>
          <w:top w:w="0" w:type="dxa"/>
          <w:left w:w="0" w:type="dxa"/>
          <w:bottom w:w="0" w:type="dxa"/>
          <w:right w:w="0" w:type="dxa"/>
        </w:tblCellMar>
      </w:tblPr>
      <w:tr>
        <w:trPr>
          <w:trHeight w:val="214"/>
        </w:trPr>
        <w:tc>
          <w:tcPr>
            <w:tcW w:w="6880" w:type="dxa"/>
            <w:vAlign w:val="bottom"/>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20-3563182</w:t>
            </w:r>
          </w:p>
        </w:tc>
      </w:tr>
      <w:tr>
        <w:trPr>
          <w:trHeight w:val="149"/>
        </w:trPr>
        <w:tc>
          <w:tcPr>
            <w:tcW w:w="6880" w:type="dxa"/>
            <w:vAlign w:val="bottom"/>
          </w:tcPr>
          <w:p>
            <w:pPr>
              <w:jc w:val="center"/>
              <w:ind w:right="26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880" w:type="dxa"/>
            <w:vAlign w:val="bottom"/>
          </w:tcPr>
          <w:p>
            <w:pPr>
              <w:jc w:val="center"/>
              <w:ind w:right="2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880" w:type="dxa"/>
            <w:vAlign w:val="bottom"/>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3535 Harbor Blvd., Suite 100, Costa Mesa, California</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92626</w:t>
            </w:r>
          </w:p>
        </w:tc>
      </w:tr>
      <w:tr>
        <w:trPr>
          <w:trHeight w:val="190"/>
        </w:trPr>
        <w:tc>
          <w:tcPr>
            <w:tcW w:w="6880" w:type="dxa"/>
            <w:vAlign w:val="bottom"/>
          </w:tcPr>
          <w:p>
            <w:pPr>
              <w:jc w:val="center"/>
              <w:ind w:right="2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880" w:type="dxa"/>
            <w:vAlign w:val="bottom"/>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(714) 599-5000</w:t>
            </w:r>
          </w:p>
        </w:tc>
        <w:tc>
          <w:tcPr>
            <w:tcW w:w="1500" w:type="dxa"/>
            <w:vAlign w:val="bottom"/>
          </w:tcPr>
          <w:p>
            <w:pPr>
              <w:spacing w:after="0"/>
              <w:rPr>
                <w:sz w:val="24"/>
                <w:szCs w:val="24"/>
                <w:color w:val="auto"/>
              </w:rPr>
            </w:pPr>
          </w:p>
        </w:tc>
      </w:tr>
      <w:tr>
        <w:trPr>
          <w:trHeight w:val="190"/>
        </w:trPr>
        <w:tc>
          <w:tcPr>
            <w:tcW w:w="6880" w:type="dxa"/>
            <w:vAlign w:val="bottom"/>
          </w:tcPr>
          <w:p>
            <w:pPr>
              <w:jc w:val="center"/>
              <w:ind w:left="27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7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November 7, 2014, there were 36,948,886 shares of the issuer’s common stock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6" w:right="239" w:bottom="751"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9920" w:type="dxa"/>
            <w:vAlign w:val="bottom"/>
            <w:gridSpan w:val="18"/>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20" w:type="dxa"/>
            <w:vAlign w:val="bottom"/>
          </w:tcPr>
          <w:p>
            <w:pPr>
              <w:spacing w:after="0"/>
              <w:rPr>
                <w:sz w:val="16"/>
                <w:szCs w:val="16"/>
                <w:color w:val="auto"/>
              </w:rPr>
            </w:pPr>
          </w:p>
        </w:tc>
      </w:tr>
      <w:tr>
        <w:trPr>
          <w:trHeight w:val="156"/>
        </w:trPr>
        <w:tc>
          <w:tcPr>
            <w:tcW w:w="11020" w:type="dxa"/>
            <w:vAlign w:val="bottom"/>
            <w:gridSpan w:val="20"/>
          </w:tcPr>
          <w:p>
            <w:pPr>
              <w:spacing w:after="0" w:line="142" w:lineRule="exact"/>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PART I—FINANCIAL INFORMATION</w:t>
              </w:r>
            </w:hyperlink>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r>
      <w:tr>
        <w:trPr>
          <w:trHeight w:val="210"/>
        </w:trPr>
        <w:tc>
          <w:tcPr>
            <w:tcW w:w="21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Item 1. Financial Statements.</w:t>
              </w:r>
            </w:hyperlink>
          </w:p>
        </w:tc>
        <w:tc>
          <w:tcPr>
            <w:tcW w:w="860" w:type="dxa"/>
            <w:vAlign w:val="bottom"/>
            <w:tcBorders>
              <w:top w:val="single" w:sz="8" w:color="0000EE"/>
            </w:tcBorders>
            <w:gridSpan w:val="5"/>
          </w:tcPr>
          <w:p>
            <w:pPr>
              <w:spacing w:after="0"/>
              <w:rPr>
                <w:sz w:val="18"/>
                <w:szCs w:val="18"/>
                <w:color w:val="auto"/>
              </w:rPr>
            </w:pPr>
          </w:p>
        </w:tc>
        <w:tc>
          <w:tcPr>
            <w:tcW w:w="8040" w:type="dxa"/>
            <w:vAlign w:val="bottom"/>
            <w:gridSpan w:val="8"/>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3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(Unaudited)</w:t>
              </w:r>
            </w:hyperlink>
          </w:p>
        </w:tc>
        <w:tc>
          <w:tcPr>
            <w:tcW w:w="71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(Unaudited)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96"/>
        </w:trPr>
        <w:tc>
          <w:tcPr>
            <w:tcW w:w="4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(Unaudited)</w:t>
              </w:r>
            </w:hyperlink>
          </w:p>
        </w:tc>
        <w:tc>
          <w:tcPr>
            <w:tcW w:w="63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 (Unaudited)</w:t>
              </w:r>
            </w:hyperlink>
          </w:p>
        </w:tc>
        <w:tc>
          <w:tcPr>
            <w:tcW w:w="61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7"/>
                <w:szCs w:val="17"/>
                <w:color w:val="auto"/>
              </w:rPr>
            </w:pPr>
          </w:p>
        </w:tc>
      </w:tr>
      <w:tr>
        <w:trPr>
          <w:trHeight w:val="196"/>
        </w:trPr>
        <w:tc>
          <w:tcPr>
            <w:tcW w:w="498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9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r>
      <w:tr>
        <w:trPr>
          <w:trHeight w:val="196"/>
        </w:trPr>
        <w:tc>
          <w:tcPr>
            <w:tcW w:w="2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4. Controls and Procedures.</w:t>
              </w:r>
            </w:hyperlink>
          </w:p>
        </w:tc>
        <w:tc>
          <w:tcPr>
            <w:tcW w:w="86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7"/>
                <w:szCs w:val="17"/>
                <w:color w:val="auto"/>
              </w:rPr>
            </w:pPr>
          </w:p>
        </w:tc>
      </w:tr>
      <w:tr>
        <w:trPr>
          <w:trHeight w:val="196"/>
        </w:trPr>
        <w:tc>
          <w:tcPr>
            <w:tcW w:w="26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PART II—OTHER INFORMATION</w:t>
              </w:r>
            </w:hyperlink>
          </w:p>
        </w:tc>
        <w:tc>
          <w:tcPr>
            <w:tcW w:w="834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1. Legal Proceedings.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19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1A. Risk Factors.</w:t>
              </w:r>
            </w:hyperlink>
          </w:p>
        </w:tc>
        <w:tc>
          <w:tcPr>
            <w:tcW w:w="908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Item 2. Unregistered Sales of Equity Securities and Use of Proceeds.</w:t>
              </w:r>
            </w:hyperlink>
          </w:p>
        </w:tc>
        <w:tc>
          <w:tcPr>
            <w:tcW w:w="60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29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Item 3. Defaults Upon Senior Securities.</w:t>
              </w:r>
            </w:hyperlink>
          </w:p>
        </w:tc>
        <w:tc>
          <w:tcPr>
            <w:tcW w:w="808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23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Item 4. Mine Safety Disclosures.</w:t>
              </w:r>
            </w:hyperlink>
          </w:p>
        </w:tc>
        <w:tc>
          <w:tcPr>
            <w:tcW w:w="86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5. Other Information.</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19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6. Exhibits.</w:t>
              </w:r>
            </w:hyperlink>
          </w:p>
        </w:tc>
        <w:tc>
          <w:tcPr>
            <w:tcW w:w="91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7"/>
                <w:szCs w:val="17"/>
                <w:color w:val="auto"/>
              </w:rPr>
            </w:pPr>
          </w:p>
        </w:tc>
      </w:tr>
      <w:tr>
        <w:trPr>
          <w:trHeight w:val="196"/>
        </w:trPr>
        <w:tc>
          <w:tcPr>
            <w:tcW w:w="12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Signatures</w:t>
              </w:r>
            </w:hyperlink>
          </w:p>
        </w:tc>
        <w:tc>
          <w:tcPr>
            <w:tcW w:w="982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7"/>
                <w:szCs w:val="17"/>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6300" w:type="dxa"/>
            <w:vAlign w:val="bottom"/>
            <w:gridSpan w:val="18"/>
          </w:tcPr>
          <w:p>
            <w:pPr>
              <w:jc w:val="right"/>
              <w:ind w:right="1300"/>
              <w:spacing w:after="0"/>
              <w:rPr>
                <w:sz w:val="20"/>
                <w:szCs w:val="20"/>
                <w:color w:val="auto"/>
              </w:rPr>
            </w:pPr>
            <w:r>
              <w:rPr>
                <w:rFonts w:ascii="Times New Roman" w:cs="Times New Roman" w:eastAsia="Times New Roman" w:hAnsi="Times New Roman"/>
                <w:sz w:val="18"/>
                <w:szCs w:val="18"/>
                <w:color w:val="auto"/>
              </w:rPr>
              <w:t>2</w:t>
            </w: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4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24,</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41,825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5,720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1,626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3,258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53,131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owned, net</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79,806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held under capital leases,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248,674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trademarks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61,888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28,014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477,025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416,942</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senior secured term loan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obligations under capital leases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14,716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vacation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7,419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3,946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taxes payable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2,236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45,118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 term loan, net of current portion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185,907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Second lien term loan</w:t>
            </w: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under capital leases, net of current portion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liabilities,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44,337</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277,693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368,406</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subsequent events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none outstanding</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value—200,000,000 shares authorized; 36,929,835 and 28,712,622 shares issued and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352,977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(154,014)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(191,902)</w:t>
            </w: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199,332</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477,025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416,942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23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480" w:type="dxa"/>
            <w:vAlign w:val="bottom"/>
          </w:tcPr>
          <w:p>
            <w:pPr>
              <w:spacing w:after="0"/>
              <w:rPr>
                <w:sz w:val="10"/>
                <w:szCs w:val="10"/>
                <w:color w:val="auto"/>
              </w:rPr>
            </w:pPr>
          </w:p>
        </w:tc>
        <w:tc>
          <w:tcPr>
            <w:tcW w:w="14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80,861</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74,470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238,432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15,430</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86,557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79,767</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254,888</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Food and paper cost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25,881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23,705</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75,834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18,972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59,552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16,393</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51,091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 restaurant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59,070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186,477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20,974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8,271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and close-store reserves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69,116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219,573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restaurants</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37,973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9,863</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15,286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provision for income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(22,514)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(60,402)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25,849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918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37,888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0.76</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0.70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per share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34,221,829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6"/>
              </w:rPr>
              <w:t>28,712,622</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30,549,979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28,712,622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37,171,670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29,564,795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33,499,820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29,564,795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Pending Review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9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37,888</w:t>
            </w:r>
          </w:p>
        </w:tc>
        <w:tc>
          <w:tcPr>
            <w:tcW w:w="32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Interest accretion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40,119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restaurants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Close-store reserve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favorable and unfavorable leases,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(60,536)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(457)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salaries and vacation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insurance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restaurants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(10,169)</w:t>
            </w: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senior secured loan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(101,425)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112,300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call premium on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obligations under capital leases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Amendment fee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beginning of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17,015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21,487</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894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15,705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26,380</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income taxes, net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Unpaid purchases of property and equipment</w:t>
            </w: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62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stock option exercise</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ind w:right="3780" w:firstLine="8"/>
        <w:spacing w:after="0" w:line="378"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Overview</w:t>
      </w:r>
    </w:p>
    <w:p>
      <w:pPr>
        <w:ind w:right="140"/>
        <w:spacing w:after="0" w:line="261" w:lineRule="auto"/>
        <w:rPr>
          <w:sz w:val="20"/>
          <w:szCs w:val="20"/>
          <w:color w:val="auto"/>
        </w:rPr>
      </w:pPr>
      <w:r>
        <w:rPr>
          <w:rFonts w:ascii="Times New Roman" w:cs="Times New Roman" w:eastAsia="Times New Roman" w:hAnsi="Times New Roman"/>
          <w:sz w:val="18"/>
          <w:szCs w:val="18"/>
          <w:color w:val="auto"/>
        </w:rPr>
        <w:t>El Pollo Loco Holdings, Inc. (“Holdings”) is a Delaware corporation headquartered in Costa Mesa, California. Holdings and its direct and indirect subsidiaries are collectively known as “we,” “us” or the “Company.” Our activities are conducted principally through our indirect wholly-owned subsidiary, El Pollo Loco, Inc. (“EPL”), which develops, franchises, licenses, and operates quick-service restaurants under the name 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operates under one business segment. At September 24, 2014, we operated 166 and franchised 239 El Pollo Loco restaurants.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prepared the accompanying interim unaudited condensed consolidated financial statements pursuant to the rules and regulations of the Securities and Exchange Commission (the “SEC”). Accordingly, they do not include all of the information and footnotes required by generally accepted accounting principles in the United States (“GAAP”) for complete financial statements. In our opinion, all adjustments considered necessary for the fair presentation of our results of operations, financial position, and cash flows for the periods presented have been included and are of a normal, recurring nature. The results of operations for interim periods are not necessarily indicative of the results to be expected for a full year. These financial statements should be read in conjunction with the audited financial statements and notes thereto for the year ended December 25, 2013, included in our prospectus filed with the SEC pursuant to Rule 424(b)(4) under the Securities Act of 1933 (the “Securities Act”) on July 28, 2014.</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use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2013, which was a 52-week year, ended on December 25, 2013. Fiscal 2014, which is a 53-week year, will end on December 31, 2014. Because fiscal 2014 is a 53-week year, both revenues and expenses, and other financial and operational figures, may be on an elevated scale compared with 52-week periods both before and after.</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14, 2014, we amended our certificate of incorporation to increase our authorized share count to 200,000,000 shares of common stock, par value $0.01 per share, and split our stock 8.56381:1. On July 24, 2014, we amended and restated our certificate of incorporation to, among other things, increase our authorized share count to 300,000,000 shares of stock, including 200,000,000 shares of common stock and 100,000,000 shares of preferred stock, each par value $0.01 per share. On July 30, 2014, we completed our initial public offering of 8,214,286 shares of common stock at a price to the public of $15.00 per share (the “IPO”), including 1,071,429 shares sold to the underwriters pursuant to their option to purchase additional shares. After underwriting discounts, commissions, and fees and expenses of IPO offering and distribution, as set forth in our registration statement for the IPO on</w:t>
      </w:r>
    </w:p>
    <w:p>
      <w:pPr>
        <w:ind w:right="80"/>
        <w:spacing w:after="0" w:line="255" w:lineRule="auto"/>
        <w:rPr>
          <w:sz w:val="20"/>
          <w:szCs w:val="20"/>
          <w:color w:val="auto"/>
        </w:rPr>
      </w:pPr>
      <w:r>
        <w:rPr>
          <w:rFonts w:ascii="Times New Roman" w:cs="Times New Roman" w:eastAsia="Times New Roman" w:hAnsi="Times New Roman"/>
          <w:sz w:val="18"/>
          <w:szCs w:val="18"/>
          <w:color w:val="auto"/>
        </w:rPr>
        <w:t>Form S-1, we received net IPO proceeds of approximately $112.3 million. We used these proceeds primarily to repay in whole a $100 million second lien term loan (the “Second Lien Term Loan”). All share and per-share data herein have been adjusted to reflect the 8.56381 for 1 common stock split effected on July 14, 2014 as though it had occurred prior to the earliest data presented.</w:t>
      </w:r>
    </w:p>
    <w:p>
      <w:pPr>
        <w:spacing w:after="0" w:line="18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Holdings and its wholly-owned subsidiaries. All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conformance with GAAP requires us to make estimates and assumptions that affect (i) the reported amounts of assets and liabilities, and disclosures of contingent assets and liabilities, at the date of the financial statements, and (ii) revenue and expenses during the period reported. Actual results could materially differ from those estimates. Our significant estimates include estimates for (i) impairment of goodwill, intangible assets and plant and equipment, (ii) insurance reserves, (iii) lease termination liabilities, (iv) stock-based compensation, and (v) income tax valuation allowances.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Certain comparative prior year amounts in the condensed consolidated financial statements and accompanying notes have been reclassified to conform to the current year presentation. These reclassifications have no effect on previously-reported net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principal liquidity requirements are to service our debt and to meet capital expenditure needs. At September 24, 2014, our total debt was $188.7 million. Our ability to make payments on our indebtedness and to fund planned capital expenditures depends on available cash and on our ability to generate adequate cash flows in the future, which, to a certain extent, is subject to general economic, financial, competitive, legislative, regulatory, and other factors that are beyond our control. Based on current operations, we believe that our cash flow from operations, available cash of $41.8 million at September 24, 2014, and available borrowings under our $15 million senior secured revolving credit facility (the “Revolver”) (which availability was approximately $7.7 million at September 24, 2014) will be adequate to meet our liquidity needs for the next 12 months.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two suppliers for which amounts due at September 24, 2014, and December 25, 2013, totaled 43% and 45% and 11% and 11%, respectively,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Purchases from the same suppliers accounted for the majority of our purchases for the periods ended September 24, 2014,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2013. Company-operated and franchised restaurants in the greater Los Angeles area generated, in the aggregate, approximately 79% and 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revenue for the thirteen weeks ended September 24, 2014, and September 25, 2013 respectively, and approximately 80% for the thirty-nine weeks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2014, and September 25, 2013.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 Lived Intangible Assets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indefinite lived intangible assets consist of trademarks. Goodwill represents the excess of cost over fair value of net identified assets acquired in business combinations accounted for under the purchase method. We do not amortize our goodwill and indefinite lived intangible assets.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Upon the sale of a restaurant, we decrement goodwill. The amount of goodwill that we include in the cost basis of the asset sold is determined based on the relative fair value of the reporting unit disposed of as a percentage of the fair value of the reporting unit retained.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 annual impairment tests for goodwill during the fourth fiscal quarter of each year, or more frequently if impairment indicators arise.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review goodwill for impairment utilizing either a qualitative assessment or a two-step process. If we decide that it is appropriate to perform a qualitative assessment and conclude that the fair value of a reporting unit more likely than not exceeds its carrying value, no further evaluation is necessary. If we perform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8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perform annual impairment tests for indefinite 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did not identify any indicators of potential impairment during the thirty-nine weeks ended September 24, 2014, and therefore did not perform any impairment review.</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Restaurants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September 24, 2014, we completed an agreement to sell six company-operated restaurants in the greater San Antonio area to AA Pollo, Inc., resulting in cash proceeds of $5.4 million. Goodwill was decremented by $650,000, based on a calculation of the fair value of the restaurants sold as a percentage of the relative fair value of the remainder of the reporting units retained. We recognized a net gain of $2.7 million on this transaction, which is recorded as a gain on sale of restaurants in the accompanying statement of operations. These six restaurants will now be franchised. In addition, in connection with the sale, AA Pollo, Inc., entered into an exclusive development agreement with us to develop and open eight restaurants in the greater San Antonio area. We have also agreed to an additional exclusive franchise development agreement with AA Pollo, Inc., for the development of twelve restaurants in the Houston area.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Provision for income taxes, income taxes payable, and deferred income taxes are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we assess the probability that our net deferred tax assets, if any, will be recovered. If, after evaluating all of the positive and negative evidence, we conclude that it is more likely than not that some or all of our net deferred tax assets will not be recovered, we provide for a valuation allowance by charging to tax expense to reserve the portion of deferred tax assets that we do not expect to be realized. At December 25, 2013, we maintained a full valuation allowance against our deferred tax assets. After evaluating all of the positive and negative evidence, including our continued profitability and the reduction in interest expense resulting from the 2013 Refinancing (as defined below), our completed initial public offering and the resultant payoff of the Second Lien Term Loan, we concluded that it is more likely than not that our net deferred tax assets will be recovered. As a result, during the quarter ending September 24, 2014, we released our valuation allowance of approximately $65 million. In addition, during the quarter, we applied for various tax credits that resulted in $5.4 million of additional deferred tax assets and tax benefits.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review our filing positions for all open tax years in all U.S. federal and state jurisdictions where we are required to file.</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respective authorities. The term “more likely than not” means a likelihood of more than 50 percent. Otherwise, we may not recognize any of the potential tax benefit associated with the position. We recognize a benefit for a tax position that meets the “more likely than not” criterion at the largest amount of tax benefit that is greater than 50 percent likely of being realized upon its effective resolution. Unrecognized tax benefits involve our judgment regarding the likelihood of the benefit being sustained. The final resolution of uncertain tax positions could result in adjustments to recorded amounts and may affect our results of operations, financial position, and cash flows.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recognize interest and penalties related to income tax matters in income tax expense. We had no accrual for interest or penalties at September 24, 2014, or at December 25, 2013, and did not recognize interest or penalties during the thirteen and thirty-nine weeks ended September 24, 2014, and September 25, 2013, respectively, since we had no material unrecognized tax benefits. We do not anticipate material changes in our amount of unrecognized tax benefits within the next twelve months.</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July 30, 2014, we entered into an Income Tax Receivable Agreement (the “TRA”). The TRA calls for us to pay to our pre-IPO stockholders 85% of the savings in cash that we realize in our taxes as a result of utilizing our net operating losses and other tax attributes attributable to preceding periods. In connection with the TRA, we have amended our first lien credit agreement (the “First Lien Credit Agreement”) to permit dividend payments to us by our subsidiaries in amounts up to $11 million per fiscal year, not to exceed $33 million in the aggregate, while the First Lien Credit Agreement is outstanding. During the quarter, we incurred a charge of approximately $40 million relating to the present value of our total expected TRA payments.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 Development Option Agreement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11, 2014, EPL and Trimaran Pollo Partners, L.L.C. (“LLC”) entered into a Franchise Development Option Agreement relating to development of our restaurants in the New York–Newark, NY–NJ–CT–PA Combined Statistical Area (the “Territory”). EPL granted LLC the exclusive option to develop and open fifteen restaurants in the Territory over five years (the “Initial Option”), and, provided that the Initial Option is exercised, the exclusive option to develop and open up to an additional one hundred restaurants in the Territory over ten years. The Franchise Development Option Agreement terminates (i) ten years after execution, or (ii) if the Initial Option is exercised, five years after that exercise. LLC may only exercise the Initial Option if EPL first determines to begin development of company-operated restaurants in the Territory or support the development of the Territory. We have no current intention to begin development in the Territory.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costs and related accumulated depreciation and amortization of major classes of property,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56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September 24,</w:t>
            </w:r>
          </w:p>
        </w:tc>
        <w:tc>
          <w:tcPr>
            <w:tcW w:w="13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25,</w:t>
            </w:r>
          </w:p>
        </w:tc>
      </w:tr>
      <w:tr>
        <w:trPr>
          <w:trHeight w:val="173"/>
        </w:trPr>
        <w:tc>
          <w:tcPr>
            <w:tcW w:w="48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78,181</w:t>
            </w: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46,079</w:t>
            </w:r>
          </w:p>
        </w:tc>
        <w:tc>
          <w:tcPr>
            <w:tcW w:w="120" w:type="dxa"/>
            <w:vAlign w:val="bottom"/>
            <w:shd w:val="clear" w:color="auto" w:fill="CCEEFF"/>
          </w:tcPr>
          <w:p>
            <w:pPr>
              <w:spacing w:after="0"/>
              <w:rPr>
                <w:sz w:val="18"/>
                <w:szCs w:val="18"/>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9"/>
                <w:szCs w:val="19"/>
                <w:color w:val="auto"/>
              </w:rPr>
            </w:pPr>
          </w:p>
        </w:tc>
      </w:tr>
      <w:tr>
        <w:trPr>
          <w:trHeight w:val="216"/>
        </w:trPr>
        <w:tc>
          <w:tcPr>
            <w:tcW w:w="48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138,261</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(73,764)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(69,620)</w:t>
            </w:r>
          </w:p>
        </w:tc>
      </w:tr>
      <w:tr>
        <w:trPr>
          <w:trHeight w:val="27"/>
        </w:trPr>
        <w:tc>
          <w:tcPr>
            <w:tcW w:w="4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79,806</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68,641</w:t>
            </w:r>
          </w:p>
        </w:tc>
        <w:tc>
          <w:tcPr>
            <w:tcW w:w="120" w:type="dxa"/>
            <w:vAlign w:val="bottom"/>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$2.9 million and $2.6 million and $8.3 million and $7.6 million for the thirteen and thirty-nine weeks ended September 24,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September 25, 2013, respectively. The gross value of assets under capital leases was $1.8 million at September 24, 2014, and $1.9 million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25, 2013, and corresponding accumulated depreciation was $1.7 million for both periods. For the thirteen weeks ended September 24, 2014,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totaled $8.6 million, including $2.2 million for restaurant remodeling, $5.0 million for new restaurant expenditures, and $1.4 million for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capital requirements. For the thirty-nine weeks ended September 24, 2014, capital expenditures totaled $19.0 million, including $7.6 million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restaurant remodeling, $8.1 million for new restaurant expenditures, and $3.3 million for other corporate capital requirements.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STOCK-BASED COMPENSATION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September 24, 2014, options to purchase 3,554,926 shares of common stock were outstanding, including 2,161,184 vested and 1,393,742 unvested. Unvested options vest over time, or upon our achieving annual financial goals. However, upon a change in control, the board may accelerate vesting. At September 24, 2014, 2,062,442 premium options remained outstanding. For the thirty-nine weeks ended September 24, 2014, there was one exercise of stock options for 739 shares. In connection with the completion of our IPO, we granted options to purchase 223,183 shares of our common stock with an exercise price of $15.00, the IPO price and fair market value as of the date of grant, to selected employees who are not our executive officers. We expect to incur approximately $1.3 million of stock-based compensation expense in connection with these grants, which we will expense over four years.</w:t>
      </w:r>
    </w:p>
    <w:p>
      <w:pPr>
        <w:spacing w:after="0" w:line="18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completion of our IPO, we granted two of our directors restricted grants for 3,333 shares each, equivalent to $50,000 divided by our public offering price. These grants vest based on continued service over three years. Based on our share price when the grants were consummated, we expect to incur approximately $330,000 of stock-based compensation expense as the grants vest.</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September 24, 2014, we had total unrecognized compensation expense of $2.3 million, related to unvested stock options and restricted shares, which we expect to recognize over a weighted-average period of 1.2 years.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CREDIT AGREEMENTS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October 11, 2013, we refinanced our debt (the “2013 Refinancing”), entering into (i) the First Lien Credit Agreement, including a $190 million senior secured term loan (the “First Lien Term Loan”) and the Revolver, each maturing in October 2018, and (ii) a new second lien credit agreement (the “Second Lien Credit Agreement”), including the Second Lien Term Loan. The proceeds received from the term loans were used to pay off our prior credit agreements, including our senior secured first lien credit facility due July 2017 and our 17% second priority senior secured notes due January 2018.</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Loans under the First Lien Credit Agreement bear interest, at EPL’s option, at LIBOR or an Alternate Base Rate, plus an applicable margin of 4.25% with respect to LIBOR and 3.25% with respect to the Alternate Base Rate, with a 1.00% floor with respect to LIBOR. The First Lien Term Loan was issued at a discount of $950,000, and this discount is being accreted over the term of the loan, using the effective interest method. The unamortized discount at September 24, 2014, is $768,000. The First Lien Term Loan requires quarterly principal payments of 0.25%, commencing on March 26, 2014. The First Lien Term Loan and the Revolver are secured by a first priority lien on substantially all of the assets of EPL and of EPL Intermediate, Inc. (“Intermediate”), EPL’s direct parent.</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Revolver provides a $15 million revolving line of credit. At September 24, 2014, $7.3 million in letters of credit were outstanding, and $7.7 million was available to borrow.</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Loans under the Second Lien Credit Agreement bore interest, at EPL’s option, at LIBOR or an Alternate Base Rate, plus an applicable margin of 8.50% with respect to LIBOR and 7.50% with respect to the Alternate Base Rate, with a 1.00% floor with respect to LIBOR. The Second Lien Term Loan was issued at a discount of $1.0 million, and this discount was accreted over the term of the loan, using the effective interest method. Following our IPO, we fully repaid the Second Lien Term Loan. In conjunction with the repayment of the Second Lien Term Loan, we incurred an extinguishment of debt charge of $5.1 million, consisting of</w:t>
      </w:r>
    </w:p>
    <w:p>
      <w:pPr>
        <w:spacing w:after="0" w:line="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$1.5 million in call premium, $2.7 million related to the write-off of remaining unamortized deferred finance costs, and $0.9 million relating to the write-off of the unamortized discount.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First Lien Credit Agreement contains a number of negative and financial covenants, including, among others, the following (all subject to certain exceptions): a maximum total leverage ratio covenant, a minimum interest coverage ratio covenant, and limitations on indebtedness, liens, investments, asset sales, mergers, consolidations, liquidations and dissolutions, restricted payments, and negative pledges. The First Lien Credit Agreement also contains certain customary affirmative covenants and events of default. At September 24, 2014, we were in compliance with all covenants.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080" w:type="dxa"/>
            <w:vAlign w:val="bottom"/>
            <w:gridSpan w:val="3"/>
          </w:tcPr>
          <w:p>
            <w:pPr>
              <w:ind w:left="2200"/>
              <w:spacing w:after="0"/>
              <w:rPr>
                <w:sz w:val="20"/>
                <w:szCs w:val="20"/>
                <w:color w:val="auto"/>
              </w:rPr>
            </w:pPr>
            <w:r>
              <w:rPr>
                <w:rFonts w:ascii="Times New Roman" w:cs="Times New Roman" w:eastAsia="Times New Roman" w:hAnsi="Times New Roman"/>
                <w:sz w:val="14"/>
                <w:szCs w:val="14"/>
                <w:b w:val="1"/>
                <w:bCs w:val="1"/>
                <w:color w:val="auto"/>
              </w:rPr>
              <w:t>September 24,</w:t>
            </w:r>
          </w:p>
        </w:tc>
        <w:tc>
          <w:tcPr>
            <w:tcW w:w="164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property taxes</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 payable</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22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OTHER NONCURRENT LIABILITIES</w:t>
            </w:r>
          </w:p>
        </w:tc>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40" w:type="dxa"/>
            <w:vAlign w:val="bottom"/>
            <w:gridSpan w:val="2"/>
            <w:vMerge w:val="continue"/>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80" w:type="dxa"/>
            <w:vAlign w:val="bottom"/>
            <w:gridSpan w:val="3"/>
          </w:tcPr>
          <w:p>
            <w:pPr>
              <w:ind w:left="2200"/>
              <w:spacing w:after="0"/>
              <w:rPr>
                <w:sz w:val="20"/>
                <w:szCs w:val="20"/>
                <w:color w:val="auto"/>
              </w:rPr>
            </w:pPr>
            <w:r>
              <w:rPr>
                <w:rFonts w:ascii="Times New Roman" w:cs="Times New Roman" w:eastAsia="Times New Roman" w:hAnsi="Times New Roman"/>
                <w:sz w:val="14"/>
                <w:szCs w:val="14"/>
                <w:b w:val="1"/>
                <w:bCs w:val="1"/>
                <w:color w:val="auto"/>
              </w:rPr>
              <w:t>September 24,</w:t>
            </w:r>
          </w:p>
        </w:tc>
        <w:tc>
          <w:tcPr>
            <w:tcW w:w="164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 payable</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35,949</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44,337</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0" w:type="dxa"/>
            <w:vAlign w:val="bottom"/>
            <w:vMerge w:val="restart"/>
          </w:tcPr>
          <w:p>
            <w:pPr>
              <w:jc w:val="right"/>
              <w:ind w:right="1662"/>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778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right="120"/>
        <w:spacing w:after="0" w:line="255" w:lineRule="auto"/>
        <w:rPr>
          <w:sz w:val="20"/>
          <w:szCs w:val="20"/>
          <w:color w:val="auto"/>
        </w:rPr>
      </w:pPr>
      <w:r>
        <w:rPr>
          <w:rFonts w:ascii="Times New Roman" w:cs="Times New Roman" w:eastAsia="Times New Roman" w:hAnsi="Times New Roman"/>
          <w:sz w:val="18"/>
          <w:szCs w:val="18"/>
          <w:color w:val="auto"/>
        </w:rPr>
        <w:t>Around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included compensatory and punitive damages, injunctive relief, disgorgement of profits, and reasonable attorneys’ fees and costs. No specific amount of damages sought was specified in the complaint. We were served with the complaint on March 3, 2014. While we intend to vigorously defend against this action, including its class certification, its ultimate outcome is presently not determinable, as it is in a preliminary phase. Thus, we cannot determine the likelihood of an adverse judgment nor a likely range of damages, if any. A settlement or adverse judgment could have a material adverse impact.</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involved in various claims and legal actions that arise in the ordinary course of business. We do not believe that the ultimate resolution of these actions will have a material adverse effect on our financial position, results of operations, liquidity, or capital resources. A significant increase in the number of claims or an increase in amounts payable under successful claims could materially adversely affect our business, financial condition, results of operations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Purchasing Commitments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long-term beverage supply agreements with certain major beverage vendors. Pursuant to the terms of these arrangements, marketing rebates are provided to us and our franchisees from beverage vendors based upon dollar volumes of purchases system-wide, which vary with demand for and the price of syrup. Our contracts extend so far as 2017, and our estimated obligations under them total $19.9 million.</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two supplier contracts for chicken that terminate in December 2014 and January 2015. We entered into these agreements in December 2013 at costs comparable to those of the contracts that preceded them. At September 24, 2014, our estimated obligations under them totaled $7.6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Lease Obligations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contingently liable for two leases that we assigned to franchisees. The latest lease expires in 2015. At September 24, 2014, our maximum exposure was $52,000, or $45,000, if discounted at our estimated pre-tax cost of debt. In the event of a franchisee default, we could cross-default the franchisee under its franchise agreement. We believe that cross-default provisions reduce our risk of payments, and we have not recorded any liability in our condensed consolidated financial statements related to these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at-will employment agreements with four of our officers. These agreements provide for minimum salary levels, possible annual adjustments for cost-of-living changes, and incentive bonuses payable under certain conditions.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them to the fullest extent permitted under Delaware law against liabilities that may arise by reason of their service to us, and to advance expenses incurred as a result of any proceeding against them where they could be indemnified. We also intend to enter into indemnification agreements with our future directors and executive officers.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INCOME PER SHARE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using the weighted-average number of shares of common stock outstanding during the thirteen and thirty-nine weeks ended September 24, 2014, and September 25, 2013. Diluted net income per share is calculated using the weighted-average number of shares of common stock outstanding and potentially dilutive during the period, using the treasury stock method.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basic and diluted net income per share data for the periods indicated, which are in thousands except for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10"/>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Borders>
              <w:top w:val="single" w:sz="8" w:color="auto"/>
            </w:tcBorders>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6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Borders>
              <w:top w:val="single" w:sz="8" w:color="auto"/>
            </w:tcBorders>
            <w:gridSpan w:val="5"/>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9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436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25,849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37,888</w:t>
            </w:r>
          </w:p>
        </w:tc>
        <w:tc>
          <w:tcPr>
            <w:tcW w:w="38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6"/>
              </w:rPr>
              <w:t>34,221,829</w:t>
            </w:r>
          </w:p>
        </w:tc>
        <w:tc>
          <w:tcPr>
            <w:tcW w:w="20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color w:val="auto"/>
              </w:rPr>
              <w:t>28,712,622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6"/>
              </w:rPr>
              <w:t>30,549,979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28,712,622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37,171,670</w:t>
            </w:r>
          </w:p>
        </w:tc>
        <w:tc>
          <w:tcPr>
            <w:tcW w:w="2020" w:type="dxa"/>
            <w:vAlign w:val="bottom"/>
            <w:gridSpan w:val="6"/>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29,564,795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33,499,820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29,564,795</w:t>
            </w:r>
          </w:p>
        </w:tc>
        <w:tc>
          <w:tcPr>
            <w:tcW w:w="0" w:type="dxa"/>
            <w:vAlign w:val="bottom"/>
          </w:tcPr>
          <w:p>
            <w:pPr>
              <w:spacing w:after="0"/>
              <w:rPr>
                <w:sz w:val="1"/>
                <w:szCs w:val="1"/>
                <w:color w:val="auto"/>
              </w:rPr>
            </w:pPr>
          </w:p>
        </w:tc>
      </w:tr>
      <w:tr>
        <w:trPr>
          <w:trHeight w:val="223"/>
        </w:trPr>
        <w:tc>
          <w:tcPr>
            <w:tcW w:w="4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income per share—basic</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5"/>
        </w:trPr>
        <w:tc>
          <w:tcPr>
            <w:tcW w:w="4820" w:type="dxa"/>
            <w:vAlign w:val="bottom"/>
            <w:gridSpan w:val="2"/>
          </w:tcPr>
          <w:p>
            <w:pPr>
              <w:ind w:left="460"/>
              <w:spacing w:after="0" w:line="205" w:lineRule="exact"/>
              <w:rPr>
                <w:sz w:val="20"/>
                <w:szCs w:val="20"/>
                <w:color w:val="auto"/>
              </w:rPr>
            </w:pPr>
            <w:r>
              <w:rPr>
                <w:rFonts w:ascii="Times New Roman" w:cs="Times New Roman" w:eastAsia="Times New Roman" w:hAnsi="Times New Roman"/>
                <w:sz w:val="18"/>
                <w:szCs w:val="18"/>
                <w:color w:val="auto"/>
              </w:rPr>
              <w:t>Anti-dilutive securities not considered in diluted EPS</w:t>
            </w: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calculation</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218,356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218,356</w:t>
            </w:r>
          </w:p>
        </w:tc>
        <w:tc>
          <w:tcPr>
            <w:tcW w:w="0" w:type="dxa"/>
            <w:vAlign w:val="bottom"/>
          </w:tcPr>
          <w:p>
            <w:pPr>
              <w:spacing w:after="0"/>
              <w:rPr>
                <w:sz w:val="1"/>
                <w:szCs w:val="1"/>
                <w:color w:val="auto"/>
              </w:rPr>
            </w:pPr>
          </w:p>
        </w:tc>
      </w:tr>
      <w:tr>
        <w:trPr>
          <w:trHeight w:val="43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is a reconciliation of basic and diluted share counts.</w:t>
            </w: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Borders>
              <w:top w:val="single" w:sz="8" w:color="auto"/>
            </w:tcBorders>
            <w:gridSpan w:val="5"/>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Borders>
              <w:top w:val="single" w:sz="8" w:color="auto"/>
            </w:tcBorders>
            <w:gridSpan w:val="3"/>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34,221,829</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28,712,622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30,549,979</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28,712,622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2,949,841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852,173</w:t>
            </w:r>
          </w:p>
        </w:tc>
        <w:tc>
          <w:tcPr>
            <w:tcW w:w="1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2,949,841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852,173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37,171,670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29,564,795</w:t>
            </w:r>
          </w:p>
        </w:tc>
        <w:tc>
          <w:tcPr>
            <w:tcW w:w="1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33,499,820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29,564,795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Trimaran Capital L.L.C., and Freeman Spogli &amp; Co., (together our “Sponsors”), indirectly beneficially own shares sufficient for majority control over all matters requiring stockholder votes, including elections of directors, mergers, consolidations, acquisitions, sales of all or substantially all of our assets, other decisions affecting our capital structure, amendments to our certificate of incorporation or by-laws, and our winding up and dissolution. Furthermore, so long as our Sponsors investment vehicle, owns a majority of our common stock, they can appoint the members of our board of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18, 2005, we entered into a Monitoring and Management Services Agreement with Trimaran Fund Management, LLC, providing for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of $500,000 and reasonable expenses. During the thirteen and thirty-nine weeks ended September 24, 2014, and September 25, 2013, $51,000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$142,000 and $343,000 and $465,000, respectively, were paid under the agreement, and accounted for as general and administrative expenses.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IPO, we have terminated the agreement.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40"/>
          </w:cols>
          <w:pgMar w:left="240" w:top="455" w:right="3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Item 1 above and with the financial statements contained in our prospectus of July 24, 2014. This discussion and analysis contains forward-looking statements that involve risks, uncertainties and assumptions. Outcomes may differ materially from our expectations. For more information, we direct you to the sections “Risk Factors” and “Special Note Regarding Forward-Looking Statements” in our prospectus. We make no guarantees regarding outcomes, and assume no obligations to update the forward-looking statements herein, except pursuant to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El Pollo Loco is a differentiated and growing restaurant concept that specializes in fire-grilling citrus-marinated chicken in front of our customers. We operate within the fastest-growing segment of the restaurant industry, the limited-service restaurant segment. We believe that we offer the food quality of a fast-casual restaurant, while providing the speed, convenience, and value of a quick-service restaurant (“QSR”), a combination that we call “QSR+” and that provides a value-oriented fast-casual dining experience. Our distinctive menu features our signature product—citrus-marinated fire-grilled chicken—and a variety of Mexican-inspired entrees that we create from our chicken. We offer our customers healthier alternatives to traditional food on the go, served by our engaging team members in a colorful, bright, and contemporary restaurant environment. We serve individual and family-sized chicken meals, a variety of Mexican-inspired entrees and sides, and, throughout the year, on a limited-time basis, alternative proteins such as shrimp, carnitas, and beef. Our entrees include such favorites as our Poblano Burrito, Under 500 Calorie Mango Grilled Tostada, Ultimate Pollo Bowl, Grand Baja Shrimp Tacos, and Chicken, Bacon, and Guacamole Stuffed Quesadilla. Our salsas and dressings are freshly prepared daily, allowing our customers to create their favorite flavor profiles to enhance their culinary experiences. Our distinctive menu, with its healthier alternatives, appeals to consumers across socio-economic backgrounds, and drives our balanced day-part mix.</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 and Outlook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we are well-positioned for, and in the early stages of, growth. Since 2011, we have focused on repositioning our brand, improving operational efficiency, increasing brand awareness, strengthening our management team, and refinancing our indebtedness. We plan to continue to expand our business, drive restaurant sales growth, and enhance our competitive positioning, by executing on the following strategies.</w:t>
      </w:r>
    </w:p>
    <w:p>
      <w:pPr>
        <w:spacing w:after="0" w:line="82" w:lineRule="exact"/>
        <w:rPr>
          <w:sz w:val="20"/>
          <w:szCs w:val="20"/>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restaurant base.</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comparable restaurant sales.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operations and leverage infrastructure.</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intend for new restaurant development to be a key growth driver. As of September 24, 2014, we had 405 locations in five states. In 2013, we opened two new company-operated and five new franchised restaurants. In 2014, we intend to open nine to eleven new company-operated and four new franchised restaurants in California, Nevada, and Texas. Year to date, we have opened five new company-operated restaurants. In addition, we sold six company-operated restaurants in the greater San Antonio area to a new franchisee. From time to time, we and our franchisees close restaurants. In 2014, we anticipate closing one to two company-operated restaurants. Our long-term plan is to increase the number of El Pollo Loco restaurants by 8% to 10% annually. Success is not guaranteed.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increase comparable restaurant sales, we are targeting customer frequency, attraction of new customers, and per-person spend.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our corporate infrastructure can support a larger restaurant base than we have at present, and that as we expand we will be able to benefit from economies of scale.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and Trends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System-wide, for the quarter and year-to-date periods ended September 24, 2014, comparable restaurant sales increased 7.9% and 6.8%, respectively. For company-operated restaurants, comparable restaurant sales increased 6.4% and 5.6%, respectively. For franchised restaurants, comparable restaurant sales increased 9.1% and 7.7%, respectively. For company-operated restaurants, the quarter’s 6.4% increase was due to a 3.1% increase in average check size, and a 3.3% increase in traffic.</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restaurant counts at the end of each of the last three fiscal years and the thirty-nine weeks ended September 24, 2014,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Thirty-Nine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Weeks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540" w:type="dxa"/>
            <w:vAlign w:val="bottom"/>
          </w:tcPr>
          <w:p>
            <w:pPr>
              <w:spacing w:after="0"/>
              <w:rPr>
                <w:sz w:val="10"/>
                <w:szCs w:val="10"/>
                <w:color w:val="auto"/>
              </w:rPr>
            </w:pP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Company-operated restaurant activity:</w:t>
            </w:r>
          </w:p>
        </w:tc>
        <w:tc>
          <w:tcPr>
            <w:tcW w:w="8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165</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Openings</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Closures</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54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540" w:type="dxa"/>
            <w:vAlign w:val="bottom"/>
          </w:tcPr>
          <w:p>
            <w:pPr>
              <w:spacing w:after="0"/>
              <w:rPr>
                <w:sz w:val="19"/>
                <w:szCs w:val="19"/>
                <w:color w:val="auto"/>
              </w:rPr>
            </w:pPr>
          </w:p>
        </w:tc>
        <w:tc>
          <w:tcPr>
            <w:tcW w:w="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Franchised restaurant activity:</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229</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Openings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54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540" w:type="dxa"/>
            <w:vAlign w:val="bottom"/>
          </w:tcPr>
          <w:p>
            <w:pPr>
              <w:spacing w:after="0"/>
              <w:rPr>
                <w:sz w:val="19"/>
                <w:szCs w:val="19"/>
                <w:color w:val="auto"/>
              </w:rPr>
            </w:pPr>
          </w:p>
        </w:tc>
        <w:tc>
          <w:tcPr>
            <w:tcW w:w="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System-wide restaurant activity:</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394</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Openings</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Closures</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405</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13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398</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Remodeling</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From 2011 to September 24, 2014, under our Hacienda program, we have remodeled 86 company-operated and 111 franchised restaurants, or 197 system-wide. We expect to have remodeled over 50% of our system by the end of 2014. Remodeling uses cash and affects financial statement line items including depreciation and net property. Our average expenditure per restaurant is $270,000. We believe that remodeling will lead to higher revenue and a stronger brand.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2013 Refinancing</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11, 2013, we refinanced our $12.5 million first lien revolving credit facility, $170 million first lien term loan, and $105 million 17% second priority senior secured notes, by entering into the First Lien Credit Agreement and the Second Lien Credit Agreement. The facilities under these agreements carried longer maturities and lower interest rates than the facilities that they replaced. This refinancing lowered our interest expense by an estimated $17.8 million per annum, or 49% of our $36.3 million of interest expense for fiscal 2013.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On July 30, 2014, we closed our IPO, the majority of the proceeds of which were used to repay our $100 million Second Lien Term Loan. Thus, our IPO lowered our interest expense by an estimated $10.1 million per annum, or 27.8% of our $36.3 million of interest expense for fiscal 2013.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Preparation of our financial statements in accordance with GAAP requires us to make estimates, judgments, and assumptions. We base our estimates and judgments on historical experience and on assumptions that we believe to be reasonable. We evaluate our estimates on an on-going basis. Outcomes may diverge from our estimates and assumptions.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accounting policies and estimates are integral to our financial statements, and a thorough understanding of them is important for understanding our financial condition and results of operations. Our critical accounting policies and estimates involve complex and difficult managerial judgments. For a summary of our critical accounting policies and a discussion of our use of estimates, see “Management’s Discussion and Analysis of Financial Condition and Results of Operations—Critical Accounting Policies and Use of Estimates” in our prospectus of July 24, 2014. For a summary of our significant accounting policies and a discussion of our use of estimates, see also Note 1 to Item 1 above.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40"/>
          </w:cols>
          <w:pgMar w:left="240" w:top="455" w:right="3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uses of estimates since our prospectus of July 24, 2014.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have reviewed all significant recent accounting pronouncements and concluded either that they either are not applicable to our operations or that no material effect is expected on our consolidated financial statements as a result of future adoption.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8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will cease to be an EGC following the earliest of (i) five years after our IPO, (ii) $1.0 billion in annual revenue, (iii) $700.0 million in common stock market capitalization held by non-affiliates, and (iv) $1.0 billion in non-convertible debt security issuance on a three-year rolling basis. Please refer to our prospectus of July 24, 2014,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revenue is derived from two primary sources, (i) company-operated restaurant revenue and (ii) franchise revenue. The latter is comprised of, primarily, franchise royalties, and, to a lesser extent, franchise fees and sublease rental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Food and paper costs include the direct costs of food, beverages, and packaging. These vary with sales volumes, menu mix, and commodity prices.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Labor and related expenses include wages, payroll taxes, workers’ compensation expense, benefits, and bonuses paid to our restaurant management teams. We expect labor expense to increase proportionately with restaurant revenue. Labor expense is influenced by minimum wages, payroll taxes, workers’ compensation claims, health care costs, and restaurant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Costs and Other Operating Expenses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Occupancy costs include rent, common area maintenance, and real estate taxes. Other restaurant operating expenses include utilities, advertising, credit card processing fees, supplies, and repairs and maintenance.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associated with corporate and administrative functions that support the development and operations of our restaurants, including compensation, benefits, travel expenses, stock compensation costs, and legal and professional fees. General and administrative expenses also include pre-opening costs and expenses above the restaurant level, including salaries for field management, such as area and regional managers, and franchise field operational support.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Expenses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Franchise expenses consist primarily of (i) rent expenses incurred on properties leased by us and then sublet to franchisees, and (ii) expenses incurred in support of franchisee information technology systems.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consist primarily of fixed asset depreciation, including of equipment and leasehold improvements.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disposal of assets includes losses from retirement, replacement, or write-off of equipment and leasehold improvements.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and Close-Store Reserves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review, unit-by-unit, long-lived assets including property, equipment, and intangibles, for impairment, when events or circumstances indicate that their carrying values may not be recoverable. Correspondingly, we record impairment charges when appropriate. Closure costs include non-cash restaurant charges, such as up-front expensing of unpaid rent for the remaining life of a lease.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primarily of interest on our outstanding debt. Debt issuance costs are amortized, at cost, over the life of related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 connection with the 2013 Refinancing and our IPO, we prepaid existing debt, incurring charges for prepayment penalties and fees, call premium, accelerated accretion, and write-off of deferred financing costs and fees, and of unamortized discount.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 reflects federal and state taxes.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To evaluate our performance, we utilize measures including company-operated restaurant revenue, comparable restaurant sales, comparable restaurant sales growth, company-operated average unit volumes, restaurant contribution, restaurant contribution margin, new restaurant openings, EBITDA, and adjusted EBITDA.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Company-operated restaurant revenue consists of food and beverage sales, in company-operated restaurants, net of promotional allowances, employee meals, and other discounts. Company-operated restaurant revenue for any period is affected by the number of operating weeks in that period, the number of restaurants open, and comparable restaurant sales.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Seasonality and holiday timing cause our revenue to fluctuate from quarter to quarter. Our revenue per restaurant is typically lower in the first and fourth quarters, due to reduced January and December traffic, and higher in the second and third quarters.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 and Comparable Restaurant Sales Growth</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At September 24, 2014 and September 25, 2013, there were 394 and 387 such restaurants, 165 and 160 company-operated and 229 and 227 franchised, respectively. Comparable restaurant sales indicate the performance of existing restaurants, since new restaurants are excluded.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restaurant sales growth reflects year-over-year sales changes, in percent. Growth can be driven by (i) an increase in the number of meals sold or</w:t>
      </w:r>
    </w:p>
    <w:p>
      <w:pPr>
        <w:spacing w:after="0" w:line="27" w:lineRule="exact"/>
        <w:rPr>
          <w:sz w:val="20"/>
          <w:szCs w:val="20"/>
          <w:color w:val="auto"/>
        </w:rPr>
      </w:pPr>
    </w:p>
    <w:p>
      <w:pPr>
        <w:ind w:right="260" w:firstLine="8"/>
        <w:spacing w:after="0" w:line="261"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average check amount. Average check amount can increase due to (i) increased consumption of existing menu items, (ii) consumption of new menu items, (iii) increased prices, or (iv) a shift to more-expensive menu items.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Average Unit Volumes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a fiscal year by the total number of restaurant operating weeks during that period. Second, we annualize that average weekly per-restaurant sales figure by multiplying it by 52. An operating week is defined as a week in which a particular restaurant is open for business over a seven-day period, from Thursday to Wednesday. AUV measures help us to assess (i) our performance and (ii) customer spending patterns.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Contribution and Restaurant Contribution Margin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for our restaurants. Our calculations thereof may not be comparable to those reported by other companies. Restaurant contribution and restaurant contribution margin have analytical limitations, and you should not consider them in isolation or as substitutes for analysis of our GAAP results. Management believes that restaurant contribution and restaurant contribution margin are important investor tools, because they are widely used 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against our competitors.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track new restaurant openings system-wide. Restaurants initially require pre-opening costs. Upon opening, new restaurants often experience unsustainably high sales volumes, which subsequently stabilize. Also, new restaurants often suffer from temporary inefficiencies regarding food, paper, labor, and other direct operating expenses. Consequently, a new restaurant generally has a low contribution margin during its start-up phase. Restaurant revenue and expenses generally normalize after about eight to twelve weeks. When we enter new markets, we may be exposed to start-up times and restaurant contribution margins that are longer and lower than reflected in our average historical experience.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EBITDA represents net income before interest expense, provision (benefit) for income taxes, depreciation, and amortization. Adjusted EBITDA, as we define it, represents net income before interest expense, provision (benefit) for income taxes, depreciation, amortization, and items that we do not consider representative of our ongoing operating performance, as identified in the reconciliation table below.</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EBITDA and adjusted EBITDA are supplemental measures of our performance, are neither required by, nor presented in accordance with, GAAP, and should not be considered as alternatives to net income, operating income, or any other GAAP performance measures, or as alternatives to cash flows from operating activities as liquidity measures.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EBITDA and adjusted EBITDA have analytical limitations, and you should not consider them in isolation or as substitutes for analysis of our GAAP results. Some of these limitations are (i) they do not reflect our cash expenditures, or future requirements for capital expenditures or contractual commitments,</w:t>
      </w:r>
    </w:p>
    <w:p>
      <w:pPr>
        <w:ind w:right="140" w:firstLine="8"/>
        <w:spacing w:after="0" w:line="265" w:lineRule="auto"/>
        <w:tabs>
          <w:tab w:leader="none" w:pos="26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changes in, or cash requirements for, our working capital needs, (iii) they do not reflect the significant interest expense on our debt, or the cash requirements necessary to service interest or principal payments thereon, (iv) although depreciation and amortization are non-cash charges, assets being depreciated or amortized often must be replaced in the future, and EBITDA and adjusted EBITDA do not reflect the cash required for replacements,</w:t>
      </w:r>
    </w:p>
    <w:p>
      <w:pPr>
        <w:ind w:right="20" w:firstLine="8"/>
        <w:spacing w:after="0" w:line="255"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adjust for all non-cash income or expense items that are reflected in our statements of cash flows, (vi) they may include some expenses that we do not consider to be indicative of our ongoing operations, and (vii) other companies in our industry may calculate these measures differently than we do, limiting their usefulness as comparative measures.</w:t>
      </w:r>
    </w:p>
    <w:p>
      <w:pPr>
        <w:spacing w:after="0" w:line="1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(i) providing specific information regarding the GAAP amounts excluded from such non-GAAP financial measures, and (ii) presenting comparable GAAP measures more prominently.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EBITDA and adjusted EBITDA facilitate operating performance comparisons from period to period, by isolating the effects of some items that vary (i) widely among similar companies or (ii) from period to period without correlating to core operating performance. Such variances can be caused by</w:t>
      </w:r>
    </w:p>
    <w:p>
      <w:pPr>
        <w:ind w:right="40" w:firstLine="8"/>
        <w:spacing w:after="0" w:line="254"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 differences, affecting interest expense, (ii) tax differences, including different tax rates or net operating loss positions, and (iii) book asset age and basis, affecting depreciation and amortization. We also present EBITDA and adjusted EBITDA because (i) we believe that they are frequently used by securities analysts and investors, (i) we believe that they are useful in assessing our ability to incur and service indebtedness, and (iii) we use EBITDA and adjusted EBITDA internally as peer benchmarks.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non-GAAP adjustments of EBITDA and adjusted EBITDA to net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24, 2014</w:t>
            </w:r>
          </w:p>
        </w:tc>
        <w:tc>
          <w:tcPr>
            <w:tcW w:w="300" w:type="dxa"/>
            <w:vAlign w:val="bottom"/>
          </w:tcPr>
          <w:p>
            <w:pPr>
              <w:spacing w:after="0"/>
              <w:rPr>
                <w:sz w:val="12"/>
                <w:szCs w:val="12"/>
                <w:color w:val="auto"/>
              </w:rPr>
            </w:pPr>
          </w:p>
        </w:tc>
        <w:tc>
          <w:tcPr>
            <w:tcW w:w="1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2013</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24, 2014</w:t>
            </w:r>
          </w:p>
        </w:tc>
        <w:tc>
          <w:tcPr>
            <w:tcW w:w="280" w:type="dxa"/>
            <w:vAlign w:val="bottom"/>
          </w:tcPr>
          <w:p>
            <w:pPr>
              <w:spacing w:after="0"/>
              <w:rPr>
                <w:sz w:val="12"/>
                <w:szCs w:val="12"/>
                <w:color w:val="auto"/>
              </w:rPr>
            </w:pPr>
          </w:p>
        </w:tc>
        <w:tc>
          <w:tcPr>
            <w:tcW w:w="1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25,849</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37,888</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(61,389)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(60,402)</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3,960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15,286</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7,570</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(28,656)</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13,276</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40,286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15"/>
                <w:szCs w:val="15"/>
                <w:color w:val="auto"/>
              </w:rPr>
              <w:t>(1)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635</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w:t>
            </w:r>
            <w:r>
              <w:rPr>
                <w:rFonts w:ascii="Times New Roman" w:cs="Times New Roman" w:eastAsia="Times New Roman" w:hAnsi="Times New Roman"/>
                <w:sz w:val="15"/>
                <w:szCs w:val="15"/>
                <w:color w:val="auto"/>
              </w:rPr>
              <w:t>(2)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Loss on disposal of</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r>
              <w:rPr>
                <w:rFonts w:ascii="Times New Roman" w:cs="Times New Roman" w:eastAsia="Times New Roman" w:hAnsi="Times New Roman"/>
                <w:sz w:val="15"/>
                <w:szCs w:val="15"/>
                <w:color w:val="auto"/>
              </w:rPr>
              <w:t>(3)</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closures</w:t>
            </w:r>
            <w:r>
              <w:rPr>
                <w:rFonts w:ascii="Times New Roman" w:cs="Times New Roman" w:eastAsia="Times New Roman" w:hAnsi="Times New Roman"/>
                <w:sz w:val="15"/>
                <w:szCs w:val="15"/>
                <w:color w:val="auto"/>
              </w:rPr>
              <w:t>(4)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Pre-opening costs</w:t>
            </w:r>
            <w:r>
              <w:rPr>
                <w:rFonts w:ascii="Times New Roman" w:cs="Times New Roman" w:eastAsia="Times New Roman" w:hAnsi="Times New Roman"/>
                <w:sz w:val="15"/>
                <w:szCs w:val="15"/>
                <w:color w:val="auto"/>
              </w:rPr>
              <w:t>(5)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673</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restaurants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(2,658)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40,119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expense</w:t>
            </w:r>
            <w:r>
              <w:rPr>
                <w:rFonts w:ascii="Times New Roman" w:cs="Times New Roman" w:eastAsia="Times New Roman" w:hAnsi="Times New Roman"/>
                <w:sz w:val="15"/>
                <w:szCs w:val="15"/>
                <w:color w:val="auto"/>
              </w:rPr>
              <w:t>(6)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15,153</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13,725</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46,577</w:t>
            </w: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stock-based compensation.</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fees and other out-of-pocket costs paid to affiliates of Trimaran Capital L.L.C. and Freeman Spogli &amp; Co.</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includes losses from retirement, replacement, or write-off of equipment and leasehold improvements.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impairment of long-lived assets and closing restaurants.</w:t>
      </w:r>
    </w:p>
    <w:p>
      <w:pPr>
        <w:spacing w:after="0" w:line="9"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taking of possession, and the opening, of a restaurant.</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cost to obtain the tax credits recorded in the quarter. $5.4 million of tax benefits were recorded to tax provision in the quarter.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Thirteen and Thirty-Nine Weeks Ended September 24, 2014, and September 25, 2013</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operating results for the thirteen weeks ended September 24, 2014, and September 25, 2013, in absolute terms, and expressed as percentages of revenue, are compared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54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24, 2014</w:t>
            </w:r>
          </w:p>
        </w:tc>
        <w:tc>
          <w:tcPr>
            <w:tcW w:w="15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25, 2013</w:t>
            </w:r>
          </w:p>
        </w:tc>
        <w:tc>
          <w:tcPr>
            <w:tcW w:w="1540" w:type="dxa"/>
            <w:vAlign w:val="bottom"/>
            <w:gridSpan w:val="3"/>
          </w:tcPr>
          <w:p>
            <w:pPr>
              <w:jc w:val="right"/>
              <w:ind w:right="391"/>
              <w:spacing w:after="0" w:line="118" w:lineRule="exact"/>
              <w:rPr>
                <w:sz w:val="20"/>
                <w:szCs w:val="20"/>
                <w:color w:val="auto"/>
              </w:rPr>
            </w:pPr>
            <w:r>
              <w:rPr>
                <w:rFonts w:ascii="Times New Roman" w:cs="Times New Roman" w:eastAsia="Times New Roman" w:hAnsi="Times New Roman"/>
                <w:sz w:val="13"/>
                <w:szCs w:val="13"/>
                <w:b w:val="1"/>
                <w:bCs w:val="1"/>
                <w:color w:val="auto"/>
              </w:rPr>
              <w:t>Increase /</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5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64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2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5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$ 80,861</w:t>
            </w:r>
          </w:p>
        </w:tc>
        <w:tc>
          <w:tcPr>
            <w:tcW w:w="2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$74,470</w:t>
            </w:r>
          </w:p>
        </w:tc>
        <w:tc>
          <w:tcPr>
            <w:tcW w:w="2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6,391</w:t>
            </w:r>
          </w:p>
        </w:tc>
        <w:tc>
          <w:tcPr>
            <w:tcW w:w="2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1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86,557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79,767</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6,790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Food and paper costs</w:t>
            </w:r>
            <w:r>
              <w:rPr>
                <w:rFonts w:ascii="Times New Roman" w:cs="Times New Roman" w:eastAsia="Times New Roman" w:hAnsi="Times New Roman"/>
                <w:sz w:val="15"/>
                <w:szCs w:val="15"/>
                <w:color w:val="auto"/>
              </w:rPr>
              <w:t>(1)</w:t>
            </w:r>
          </w:p>
        </w:tc>
        <w:tc>
          <w:tcPr>
            <w:tcW w:w="2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25,881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23,705</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expenses</w:t>
            </w:r>
            <w:r>
              <w:rPr>
                <w:rFonts w:ascii="Times New Roman" w:cs="Times New Roman" w:eastAsia="Times New Roman" w:hAnsi="Times New Roman"/>
                <w:sz w:val="15"/>
                <w:szCs w:val="15"/>
                <w:color w:val="auto"/>
              </w:rPr>
              <w:t>(1)</w:t>
            </w:r>
          </w:p>
        </w:tc>
        <w:tc>
          <w:tcPr>
            <w:tcW w:w="2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18,972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other operating expenses</w:t>
            </w:r>
            <w:r>
              <w:rPr>
                <w:rFonts w:ascii="Times New Roman" w:cs="Times New Roman" w:eastAsia="Times New Roman" w:hAnsi="Times New Roman"/>
                <w:sz w:val="15"/>
                <w:szCs w:val="15"/>
                <w:color w:val="auto"/>
              </w:rPr>
              <w:t>(1)</w:t>
            </w:r>
          </w:p>
        </w:tc>
        <w:tc>
          <w:tcPr>
            <w:tcW w:w="1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16,393</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 restaurant expenses</w:t>
            </w:r>
            <w:r>
              <w:rPr>
                <w:rFonts w:ascii="Times New Roman" w:cs="Times New Roman" w:eastAsia="Times New Roman" w:hAnsi="Times New Roman"/>
                <w:sz w:val="15"/>
                <w:szCs w:val="15"/>
                <w:b w:val="1"/>
                <w:bCs w:val="1"/>
                <w:color w:val="auto"/>
              </w:rPr>
              <w:t>(1)</w:t>
            </w: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64,120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59,070</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5,050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6,263</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expenses</w:t>
            </w:r>
          </w:p>
        </w:tc>
        <w:tc>
          <w:tcPr>
            <w:tcW w:w="2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2,625</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 and close-store reserves</w:t>
            </w:r>
          </w:p>
        </w:tc>
        <w:tc>
          <w:tcPr>
            <w:tcW w:w="1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75,594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69,116</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6,478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w:t>
            </w:r>
          </w:p>
        </w:tc>
        <w:tc>
          <w:tcPr>
            <w:tcW w:w="0" w:type="dxa"/>
            <w:vAlign w:val="bottom"/>
          </w:tcPr>
          <w:p>
            <w:pPr>
              <w:spacing w:after="0"/>
              <w:rPr>
                <w:sz w:val="1"/>
                <w:szCs w:val="1"/>
                <w:color w:val="auto"/>
              </w:rPr>
            </w:pPr>
          </w:p>
        </w:tc>
      </w:tr>
      <w:tr>
        <w:trPr>
          <w:trHeight w:val="230"/>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restaurants</w:t>
            </w:r>
          </w:p>
        </w:tc>
        <w:tc>
          <w:tcPr>
            <w:tcW w:w="15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13,621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15.7</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10,651</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2,970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9,863</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(5,903)</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15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40,119</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40,119</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provision for income taxes</w:t>
            </w:r>
          </w:p>
        </w:tc>
        <w:tc>
          <w:tcPr>
            <w:tcW w:w="2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(35,540)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(41.1)</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788</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(36,328)</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15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(61,389)</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(61,259)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$ 25,849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918</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$ 24,931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44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for line items relating to the cost of operations are calculated with company-operated restaurant revenue as the denominator. All other percentages use total revenue.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operating results for the thirty-nine weeks ended September 24, 2014, and September 25, 2013, in absolute terms, and expressed as percentages of revenue, are compared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24, 2014</w:t>
            </w:r>
          </w:p>
        </w:tc>
        <w:tc>
          <w:tcPr>
            <w:tcW w:w="120" w:type="dxa"/>
            <w:vAlign w:val="bottom"/>
          </w:tcPr>
          <w:p>
            <w:pPr>
              <w:spacing w:after="0"/>
              <w:rPr>
                <w:sz w:val="10"/>
                <w:szCs w:val="10"/>
                <w:color w:val="auto"/>
              </w:rPr>
            </w:pPr>
          </w:p>
        </w:tc>
        <w:tc>
          <w:tcPr>
            <w:tcW w:w="154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25, 2013</w:t>
            </w:r>
          </w:p>
        </w:tc>
        <w:tc>
          <w:tcPr>
            <w:tcW w:w="1540" w:type="dxa"/>
            <w:vAlign w:val="bottom"/>
            <w:gridSpan w:val="3"/>
          </w:tcPr>
          <w:p>
            <w:pPr>
              <w:jc w:val="right"/>
              <w:ind w:right="391"/>
              <w:spacing w:after="0" w:line="118" w:lineRule="exact"/>
              <w:rPr>
                <w:sz w:val="20"/>
                <w:szCs w:val="20"/>
                <w:color w:val="auto"/>
              </w:rPr>
            </w:pPr>
            <w:r>
              <w:rPr>
                <w:rFonts w:ascii="Times New Roman" w:cs="Times New Roman" w:eastAsia="Times New Roman" w:hAnsi="Times New Roman"/>
                <w:sz w:val="13"/>
                <w:szCs w:val="13"/>
                <w:b w:val="1"/>
                <w:bCs w:val="1"/>
                <w:color w:val="auto"/>
              </w:rPr>
              <w:t>Increase /</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50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6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 ,000)</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5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5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$238,432</w:t>
            </w:r>
          </w:p>
        </w:tc>
        <w:tc>
          <w:tcPr>
            <w:tcW w:w="2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$223,059</w:t>
            </w:r>
          </w:p>
        </w:tc>
        <w:tc>
          <w:tcPr>
            <w:tcW w:w="2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$ 15,373</w:t>
            </w:r>
          </w:p>
        </w:tc>
        <w:tc>
          <w:tcPr>
            <w:tcW w:w="2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15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16,456</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15,430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254,888</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238,489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16,399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Food and paper costs</w:t>
            </w:r>
            <w:r>
              <w:rPr>
                <w:rFonts w:ascii="Times New Roman" w:cs="Times New Roman" w:eastAsia="Times New Roman" w:hAnsi="Times New Roman"/>
                <w:sz w:val="15"/>
                <w:szCs w:val="15"/>
                <w:color w:val="auto"/>
              </w:rPr>
              <w:t>(1)</w:t>
            </w:r>
          </w:p>
        </w:tc>
        <w:tc>
          <w:tcPr>
            <w:tcW w:w="2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75,834</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70,608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expenses</w:t>
            </w:r>
            <w:r>
              <w:rPr>
                <w:rFonts w:ascii="Times New Roman" w:cs="Times New Roman" w:eastAsia="Times New Roman" w:hAnsi="Times New Roman"/>
                <w:sz w:val="15"/>
                <w:szCs w:val="15"/>
                <w:color w:val="auto"/>
              </w:rPr>
              <w:t>(1)</w:t>
            </w:r>
          </w:p>
        </w:tc>
        <w:tc>
          <w:tcPr>
            <w:tcW w:w="2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59,552</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57,260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other operating expenses</w:t>
            </w:r>
            <w:r>
              <w:rPr>
                <w:rFonts w:ascii="Times New Roman" w:cs="Times New Roman" w:eastAsia="Times New Roman" w:hAnsi="Times New Roman"/>
                <w:sz w:val="15"/>
                <w:szCs w:val="15"/>
                <w:color w:val="auto"/>
              </w:rPr>
              <w:t>(1)</w:t>
            </w:r>
          </w:p>
        </w:tc>
        <w:tc>
          <w:tcPr>
            <w:tcW w:w="15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51,091</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47,791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 restaurant expenses</w:t>
            </w:r>
            <w:r>
              <w:rPr>
                <w:rFonts w:ascii="Times New Roman" w:cs="Times New Roman" w:eastAsia="Times New Roman" w:hAnsi="Times New Roman"/>
                <w:sz w:val="15"/>
                <w:szCs w:val="15"/>
                <w:b w:val="1"/>
                <w:bCs w:val="1"/>
                <w:color w:val="auto"/>
              </w:rPr>
              <w:t>(1)</w:t>
            </w:r>
          </w:p>
        </w:tc>
        <w:tc>
          <w:tcPr>
            <w:tcW w:w="1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186,477</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78.2</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175,659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10,818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20,974</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18,754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expenses</w:t>
            </w:r>
          </w:p>
        </w:tc>
        <w:tc>
          <w:tcPr>
            <w:tcW w:w="2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2,827</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8,271</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7,570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 and close-store reserves</w:t>
            </w:r>
          </w:p>
        </w:tc>
        <w:tc>
          <w:tcPr>
            <w:tcW w:w="15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219,573</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86.1</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205,773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86.3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230"/>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restaurants</w:t>
            </w:r>
          </w:p>
        </w:tc>
        <w:tc>
          <w:tcPr>
            <w:tcW w:w="1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37,973</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32,716</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5,257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15,286</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29,443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(14,157)</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2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5,082</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15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40,119</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40,119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provision for income taxes</w:t>
            </w:r>
          </w:p>
        </w:tc>
        <w:tc>
          <w:tcPr>
            <w:tcW w:w="1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(22,514)</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3,273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(25,787)</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5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(60,402)</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2,005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(62,407)</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$ 37,888</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1,268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$ 36,620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44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for line items relating to the cost of operations are calculated with company-operated restaurant revenue as the denominator. All other percentages use total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quarter, company-operated restaurant revenue increased $6.4 million, or 8.6%, due primarily to an increase in company-operated comparable restaurant sales of $3.4 million, or 6.4%. The growth in company-operated comparable restaurant sales was due primarily to an increase in average check size of 3.1% and an increase in traffic of 3.3% year-over-year. Company-operated restaurant revenue was also favorably impacted by $1.9 million of additional sales from new restaurants, partially offset by $0.2 million of lost sales from closed restaurants.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Year-to-date, company-operated restaurant revenue increased $15.4 million, or 6.9%, due primarily to an increase in company-operated comparable restaurant sales of $9.6 million, or 5.6%. The growth in company-operated comparable restaurant sales was due primarily to an increase in average check size of 3.2% and an increase in traffic of 2.4% year-over-year. Company-operated restaurant revenue was also favorably impacted by $4.2 million of additional sales from new restaurants, partially offset by $1.1 million of lost sales from closed restaurants.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quarter, franchise revenue increased $0.4 million, or 7.5%. Year-to-date, franchise revenue increased $1.0 million, or 6.6%. These increases were due primarily to increases in franchised comparable restaurant sales of 9.1% and 7.7%,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quarter, food and paper costs increased $2.2 million, or 9.2%, due to a $1.9 million increase in food costs and a $0.3 million increase in paper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Year-to-date, food and paper costs increased $5.2 million, or 7.4%, due to a $4.6 million increase in food costs and a $0.6 million increase in paper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due primarily to higher revenue and to higher commodity costs.</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quarter, food and paper costs as a percentage of company-operated restaurant revenue were 32.0%, compared to 31.8% in the prior year. Year-to-date, they were 31.8%, compared to 31.7% in the prior year. These increases were due primarily to higher commodity costs, but were partially offset by increases in average check size, due to menu price increases in the fourth quarter of 2013 and the third quarter of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Payroll and benefit expenses increased $1.2 million, or 6.1%, for the quarter, and $2.3 million, or 4.0%, for the year-to-date period, compared to the prior year. These increases were due primarily to increased labor costs resulting from higher sales, partially offset by lower medical insurance costs, due to lower claims activity.</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 the quarter, payroll and benefit expenses as a percentage of company-operated restaurant revenue were 24.9%, compared to 25.5% in the prior year. Year-to-date, they were 25.0%, compared to 25.7% in the prior year. These decreases were due primarily to increased revenue, relatively fixed labor expenses, and lower medical insurance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and Other Operating Expenses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Occupancy and other operating expenses increased $1.7 million, or 10.4%, for the quarter, and $3.3 million, or 6.9%, for the year-to-date period, compared to the prior year. These increases for the quarter and for the year-to-date period were due primarily to, respectively, (i) $0.3 million and $1.0 million increases in utility costs, due primarily to higher gas and electric costs, (ii) $0.6 million and $1.2 million increases in advertising costs, due primarily to higher sales and to additional advertising contributions in the Los Angeles market in the second and part of the third quarters of 2014, and (iii) $0.6 million and $0.9 million increases in occupancy costs, due primarily to increased rent, as a result of new restaurants opened in 2013 and 2014, and to higher general liability costs, as a result of increased claims activity.</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quarter, occupancy and other operating expenses as a percentage of company-operated restaurant revenue were 22.4%, compared to 22.0% in the prior year. For the year-to-date period, occupancy and other operating expenses as a percentage of company-operated restaurant revenue were 21.4% for both the current and the prior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increased $1.2 million, or 19.9%, for the quarter, and $2.2 million, or 11.8% for the year-to-date period, compared to the prior year. The increases for the quarter and for the year-to-date period were due primarily to, respectively, (i) $0.3 million and $0.7 million increases in payroll expense, due primarily to an increase in corporate employees, partially offset by lower medical costs, due primarily to lower medical claims activity,</w:t>
      </w:r>
    </w:p>
    <w:p>
      <w:pPr>
        <w:spacing w:after="0" w:line="2"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and $0.8 million increases in professional fees, due primarily to costs associated with our IPO and with securing federal and state tax credits,</w:t>
      </w:r>
    </w:p>
    <w:p>
      <w:pPr>
        <w:spacing w:after="0" w:line="9" w:lineRule="exact"/>
        <w:rPr>
          <w:rFonts w:ascii="Times New Roman" w:cs="Times New Roman" w:eastAsia="Times New Roman" w:hAnsi="Times New Roman"/>
          <w:sz w:val="18"/>
          <w:szCs w:val="18"/>
          <w:color w:val="auto"/>
        </w:rPr>
      </w:pPr>
    </w:p>
    <w:p>
      <w:pPr>
        <w:ind w:right="260" w:firstLine="8"/>
        <w:spacing w:after="0" w:line="254" w:lineRule="auto"/>
        <w:tabs>
          <w:tab w:leader="none" w:pos="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and $0.5 million increases in restaurant opening costs, due primarily to increased company-operated restaurant openings in 2014 as compared to 2013, and (iv) $0.2 million and $0.4 million increases in stock option expense, due primarily to the issuance of new stock options in 2013 and 2014 and to the reversal of stock option expense in 2013 due to the departure of one manager. Both quarterly and year-to-date increases in general and administrative expenses were partially offset by decreases in legal costs, primarily due to lower legal claims activity.</w:t>
      </w:r>
    </w:p>
    <w:p>
      <w:pPr>
        <w:spacing w:after="0" w:line="1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quarter, general and administrative expenses as a percentage of total revenue were 8.7%, compared to 7.9% in the prior year. Year-to-date, they were 8.2%, compared to 7.9% in the prior year. These increases were due primarily to the higher costs noted above, partially offset by increased revenue.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Restaurant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24, 2014, we completed an agreement to sell six company-operated restaurants in the greater San Antonio area to AA Pollo, Inc., resulting in cash proceeds of $5.4 million. Goodwill was decremented by $650,000, based on a calculation of the fair value of the restaurants sold as a percentage of the relative fair value of the remainder of the reporting units retained. We recognized a net gain of $2.7 million on this transaction, which is recorded as a gain on sale of restaurants in the accompanying statement of operations. These six restaurants will now be franchised. In addition, in connection with the sale, AA Pollo, Inc., entered into an exclusive development agreement with us to develop and open eight restaurants in the greater San Antonio area. We have also agreed to an additional exclusive franchise development agreement with AA Pollo, Inc., for the development of twelve restaurants in the Houston area.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7"/>
          <w:szCs w:val="17"/>
          <w:color w:val="auto"/>
        </w:rPr>
        <w:t>Interest expense, net, decreased $5.9 million for the quarter and $14.2 million for the year-to-date period, compared to the prior year. These decreases were due primarily to the 2013 Refinancing, which reduced the interest rates on our debt, and to the payoff of the Second Lien Term Loan with IPO proceeds.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Extinguishment of Debt</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proceeds from our IPO in July 2014 were primarily used to repay the Second Lien Term Loan. In conjunction with the repayment of the Second Lien Term Loan, we incurred an extinguishment of debt charge of $5.1 million, consisting of $1.5 million in call premium, $2.7 million related to the write-off of remaining unamortized deferred finance costs, and $0.9 million relating to the write-off of the unamortized discount.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In connection with the TRA, we have amended the First Lien Credit Agreement to permit dividend payments to us by our subsidiaries in amounts up to $11 million per fiscal year, not to exceed $33 million in the aggregate, while the First Lien Credit Agreement is outstanding. During the quarter, we incurred a charge of approximately $40 million relating to the present value of our total expected TRA payments.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quarter, we recorded an income tax benefit of $61.4 million, compared to an income tax benefit of $0.1 million in 2013. Year-to-date, we recorded an income tax benefit of $60.4 million, compared to an income tax provision of $2.0 million in 2013. After evaluating all of the positive and negative evidence, including our continued profitability and the reduction in interest expense resulting from the 2013 Refinancing and from our completed initial public offering and the resultant payoff of the Second Lien Term Loan, we concluded that it is more likely than not that our net deferred tax assets will be recovered. As a result, during the quarter ending September 24, 2014, we released our valuation allowance of approximately $65 million. In addition, during the quarter, we applied for various tax credits that resulted in $5.4 million of additional deferred tax assets and tax benefits.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and capital resources have been (i) our cash and cash equivalents on hand, (ii) cash from operations, and (iii) borrowings under our credit facilities. In addition, on July 30, 2014, we closed our IPO, generating net proceeds after expenses of $112.3 million, the majority of which were used to repay our $100 million Second Lien Term Loan. Our primary uses of liquidity and capital resources have been (i) new restaurants, (ii) existing restaurant capital investments, including remodelings and maintenance, (iii) principal and interest payments on our debt, (iv) lease obligations, and</w:t>
      </w:r>
    </w:p>
    <w:p>
      <w:pPr>
        <w:spacing w:after="0" w:line="3" w:lineRule="exact"/>
        <w:rPr>
          <w:sz w:val="20"/>
          <w:szCs w:val="20"/>
          <w:color w:val="auto"/>
        </w:rPr>
      </w:pPr>
    </w:p>
    <w:p>
      <w:pPr>
        <w:ind w:right="100" w:firstLine="8"/>
        <w:spacing w:after="0" w:line="254"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needs. Our working capital requirements are not significant, since our customers pay for their purchases in cash or by credit or debit card at the time of sale. Therefore, we are able to sell much of our inventory before we have to pay our suppliers. Our restaurants do not require significant inventories or receivables. We believe that our present sources of liquidity and capital resources will be sufficient to finance our continued operations and our expansion plans for at least the next twelve months.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October 11, 2013, we refinanced our $12.5 million first lien revolving credit facility, $170 million first lien term loan, and $105 million 17% second priority senior secured notes, by entering into the First Lien Credit Agreement and the Second Lien Credit Agreement. The facilities under these agreements carried longer maturities and lower interest rates than the facilities that they replaced.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2013 Refinancing lowered our interest expense by an estimated $17.8 million per annum, or 49% of our $36.3 million of interest expense for fiscal 2013. On July 30, 2014, we closed our IPO, the majority of the proceeds of which were used to repay our $100 million Second Lien Term Loan. Thus, our IPO lowered our interest expense by an estimated $10.1 million per annum, or 27.8% of our $36.3 million of interest expense for fiscal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summary cash flow information for the periods indicated.</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88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1260" w:type="dxa"/>
            <w:vAlign w:val="bottom"/>
            <w:tcBorders>
              <w:top w:val="single" w:sz="8" w:color="auto"/>
            </w:tcBorders>
            <w:gridSpan w:val="3"/>
          </w:tcPr>
          <w:p>
            <w:pPr>
              <w:ind w:lef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00" w:type="dxa"/>
            <w:vAlign w:val="bottom"/>
            <w:gridSpan w:val="3"/>
            <w:vMerge w:val="continue"/>
          </w:tcPr>
          <w:p>
            <w:pPr>
              <w:spacing w:after="0"/>
              <w:rPr>
                <w:sz w:val="15"/>
                <w:szCs w:val="15"/>
                <w:color w:val="auto"/>
              </w:rPr>
            </w:pP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1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20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44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(13,979)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06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year to date, net cash provided by operating activities increased by $17.3 million compared to the prior year. This was due primarily to (i) increased revenue, due primarily to company-operated comparable restaurant sales growth, and (ii) lower interest payments, due to the 2013 Refinancing, which resulted in lower interest rates on our debt and required payment of accrued interest in October 2013 rather than in early 2014, and due to our IPO, the majority of the proceeds of which were used to repay the Second Lien Term Loan.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360"/>
        <w:spacing w:after="0" w:line="313" w:lineRule="auto"/>
        <w:rPr>
          <w:sz w:val="20"/>
          <w:szCs w:val="20"/>
          <w:color w:val="auto"/>
        </w:rPr>
      </w:pPr>
      <w:r>
        <w:rPr>
          <w:rFonts w:ascii="Times New Roman" w:cs="Times New Roman" w:eastAsia="Times New Roman" w:hAnsi="Times New Roman"/>
          <w:sz w:val="17"/>
          <w:szCs w:val="17"/>
          <w:color w:val="auto"/>
        </w:rPr>
        <w:t>For the year to date, net cash used in investing activities increased by $3.8 million compared to the prior year. This was due primarily to increased capital expenditures related to new restaurants and to the remodeling of existing restaurants, partially offset by sales proceeds from the San Antonio transaction.</w:t>
      </w:r>
    </w:p>
    <w:p>
      <w:pPr>
        <w:spacing w:after="0" w:line="138"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2014, we expect to incur capital expenditures of approximately $28.2 million, consisting of $16.1 million related to new restaurants $7.7 million related to the remodeling of existing restaurants and $4.4 million related to maintenance and other corporate capital expenditures.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year to date, net cash provided by financing activities increased by $10.4 million compared to the prior year. This was due primarily to our receipt of IPO proceeds, partially offset by our repayment of the Second Lien Term Loan.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Other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11, 2013, EPL entered into (i) the First Lien Credit Agreement, with Intermediate as guarantor, Jefferies Finance LLC as administrative agent and collateral agent, General Electric Capital Corporation as issuing bank and swing line lender, Golub Capital LLC as syndication agent, and with various lenders, and (ii) the Second Lien Credit Agreement, with Intermediate as guarantor, Jefferies Finance LLC as administrative agent and collateral agent, and with various lenders.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First Lien Credit Agreement provides for our $15 million Revolver, including obligations in respect of revolving loans, swing line loans, and letters of credit, and for our $190 million First Lien Term Loan. Loans under the First Lien Credit Agreement bear interest, at EPL’s option, at LIBOR or an Alternate Base Rate, plus an applicable margin of 4.25% with respect to LIBOR and 3.25% with respect to the Alternate Base Rate, with a 1.00% floor with respect to LIBOR. The Revolver and the First Lien Term Loan are secured by a first priority lien on substantially all of the assets of EPL and Intermediate. The Revolver and First Lien Term Loan mature on October 11, 2018. At September 24, 2014, under the Revolver, EPL had $7.3 million in letters of credit outstanding and $7.7 million available for borrowing.</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Second Lien Credit Agreement provided for our $100 million Second Lien Term Loan. We repaid the Second Lien Term Loan in the third quarter of 2014 with proceeds from our IPO.</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First Lien Credit Agreement contains a number of covenants that, among other things, restrict, subject to certain exceptions, EPL’s ability to (i) incur additional indebtedness, (ii) issue preferred stock, (iii) create liens on assets, (iv) engage in mergers or consolidations, (v) sell assets, (vi) make investments, loans or advances, (vii) make certain acquisitions, (viii) engage in certain transactions with affiliates, (ix) authorize or pay dividends, and (x) change business lines or fiscal year. In addition, the First Lien Credit Agreement requires that EPL (i) maintain, on a consolidated basis, a minimum interest coverage ratio, and (ii) not exceed a maximum total leverage ratio. As of September 24, 2014, we were in compliance with all financial covenants.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9, 2014, we agreed with our lenders to amend the terms of the First Lien Credit Agreement to (i) remove restrictions on capital expenditures and</w:t>
      </w:r>
    </w:p>
    <w:p>
      <w:pPr>
        <w:spacing w:after="0" w:line="27" w:lineRule="exact"/>
        <w:rPr>
          <w:sz w:val="20"/>
          <w:szCs w:val="20"/>
          <w:color w:val="auto"/>
        </w:rPr>
      </w:pPr>
    </w:p>
    <w:p>
      <w:pPr>
        <w:ind w:right="580" w:firstLine="8"/>
        <w:spacing w:after="0" w:line="261"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special dividend payments of up to $11.0 million per fiscal year, not to exceed $33.0 million in the aggregate, for our income tax receivable agreement. These provisions became operative upon the repayment in full of the Second Lien Term Loan.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Arrangements</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our credit agreements, we entered into two interest rate caps with Wells Fargo Bank, N.A. The first has a notional amount of $30 million and a rate cap of 3.00%, based on 1-month USD LIBOR, and terminates on December 1, 2015. The second has a notional amount of $120 million and a rate cap of 3.00%, based on 1-month USD LIBOR, and terminates on December 1, 2016.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contractual commitments outstanding on September 24, 2014, have not changed materially since our prospectus of July 24, 2014. These relate to</w:t>
      </w:r>
    </w:p>
    <w:p>
      <w:pPr>
        <w:spacing w:after="0" w:line="27" w:lineRule="exact"/>
        <w:rPr>
          <w:sz w:val="20"/>
          <w:szCs w:val="20"/>
          <w:color w:val="auto"/>
        </w:rPr>
      </w:pPr>
    </w:p>
    <w:p>
      <w:pPr>
        <w:ind w:firstLine="8"/>
        <w:spacing w:after="0" w:line="261" w:lineRule="auto"/>
        <w:tabs>
          <w:tab w:leader="none" w:pos="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debt payments, including expected interest expense, calculated based on current interest rates, (ii) restaurant operating lease payments, and (iii) other obligations.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and Other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24, 2014, we were using $7.7 million of Revolver borrowing capacity as collateral to secure outstanding letters of credit.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on our debt, which bears interest at variable rates and has a USD LIBOR floor of 1.00%. At September 24, 2014, we had outstanding borrowings of $188.7 million. A 1.00% increase in the effective interest rate applied to these borrowings would result in a pre-tax interest expense increase of $1.9 million on an annualized basis.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manage our interest rate risk through normal operating and financing activities and, when determined appropriate, through the use of derivative financial instruments.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mitigate exposure to fluctuations in interest rates, we entered into two interest rate caps as discussed above under “Management’s Discussion and Analysis of Financial Condition and Results of Operations—Liquidity and Capital Resources—Debt and Other Obligations—Hedging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or state minimum wage and increases in the minimum wage will increase our labor costs. The State of California (where most of our restaurants are located) has a minimum wage, which was $8.00 per hour from January 1, 2008, to June 30, 2014. Since July 1, 2014, it has been $9.00, and on January 1, 2016, it is scheduled to rise to</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$10.00. In general, we have been able to substantially offset cost increases resulting from inflation by increasing menu prices, managing menu mix, or improving productivity, or through other adjustments. We may or may not be able to offset cost increases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management establishes and maintains disclosure controls and procedures (as defined in Exchange Act Rules 13a–15(e) and 15d–15(e)) to ensure that the information we disclose under the Exchange Act is properly and timely reported. We provide this information to our chief executive and chief financial officers as appropriate to allow for timely decisions.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controls and procedures are based on assumptions. Additionally, even effective controls and procedures only provide reasonable assurance of achieving their objectives. Accordingly, we cannot guarantee that our controls and procedures will succeed or be adhered to in all circumstances.</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evaluated our disclosure controls and procedures, with the participation, and under the supervision, of our management, including our chief executive and chief financial officers. Based on this evaluation, our chief executive and chief financial officers have concluded that our disclosure controls and procedures were effective as of the end of the period covered by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Exchange Act Rules 13a–15(f) and 15d–15(f)) occurred during the period covered by this report that has affected or is reasonably likely to affect materially our internal control over financial reporting.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Around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included compensatory and punitive damages, injunctive relief, disgorgement of profits, and reasonable attorneys’ fees and costs. No specific amount of damages sought was specified in the complaint. We were served with the complaint on March 3, 2014. While we intend to vigorously defend against this action, including its class certification, its ultimate outcome is presently not determinable, as it is in a preliminary phase. Thus, we cannot determine the likelihood of an adverse judgment nor a likely range of damages, if any. A settlement or adverse judgment could have a material adverse impact.</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involved in various claims and legal actions that arise in the ordinary course of business. We do not believe that the ultimate resolution of these actions will have a material adverse effect on our financial position, results of operations, liquidity, or capital resources. A significant increase in the number of claims or an increase in amounts payable under successful claims could materially adversely affect our business, financial condition, results of operations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prospectus of July 24, 2014.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 of Common Stock</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July 24, 2014, we priced the initial public offering of our common stock, par value $0.01 per share, pursuant to a registration statement, file number 333-197001, that was declared effective by the SEC on July 24, 2014. The offering closed on July 30, 2014. Jefferies LLC and Morgan Stanley &amp; Co. LLC were the managing underwriters.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registered and sold 8,214,286 shares, including 7,142,857 pursuant to a firm commitment and 1,071,429 pursuant to the underwriters’ option to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shares. All shares were newly issued, and we received all net sales proceeds. With a price per share to the public of $15.00, gross proceeds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$123.2 million. Proceeds, net of underwriting discounts and commissions of $8.6 million, were $114.6 million. Based on estimated fees and expenses relating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sale and distribution of the offered shares of $1.8 million, as set forth in our registration statement, net proceeds were an estimated $112.3 million.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an estimated $101.5 million of these proceeds to repay in whole our $100 million Second Lien Term Loan, including $1.5 million in prepayment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penalties and fees. We are using the balance of the proceeds for general corporate purposes and to support our expansion plans, including as capital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of new restaurants, capital for remodeling of existing restaurants, and working capital.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underwriting discounts and commissions, our expenses were predominantly incurred prior to the effectiveness of the registration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we have not incurred material issuance and distribution expenses since the effective date of the registration statement.</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did not pay any of the proceeds of the offering, or the expenses thereto, directly or indirectly, to our directors or officers, to any person owning 10% or more of any class of our equity securities, to any associate of any of the foregoing, or to any of our affiliates.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4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Underwriting Agreement, dated July 24, 2014, between El Pollo Loco Holdings, Inc., and Jefferies LLC and Morgan Stanley &amp; Co. LLC,</w:t>
            </w:r>
          </w:p>
        </w:tc>
      </w:t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acting individually and as underwriters’ representatives</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Income Tax Receivable Agreement, dated July 30, 2014, between El Pollo Loco Holdings, Inc., and Trimaran Pollo Partners, L.L.C.</w:t>
            </w:r>
          </w:p>
        </w:tc>
      </w:tr>
      <w:tr>
        <w:trPr>
          <w:trHeight w:val="30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5"/>
                <w:szCs w:val="15"/>
                <w:color w:val="auto"/>
              </w:rPr>
              <w:t>(1)</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Amendment No. 1 to First Lien Credit Agreement, dated July 9, 2014, among El Pollo Loco, Inc., EPL Intermediate, Inc., the other</w:t>
            </w:r>
          </w:p>
        </w:tc>
      </w:t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guarantors party thereto, the lenders party thereto, and Jefferies Finance LLC</w:t>
            </w:r>
          </w:p>
        </w:tc>
      </w:tr>
      <w:tr>
        <w:trPr>
          <w:trHeight w:val="32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5"/>
                <w:szCs w:val="15"/>
                <w:color w:val="auto"/>
              </w:rPr>
              <w:t>(1)</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Franchise Development Option Agreement, dated July 11, 2014, between El Pollo Loco, Inc., and Trimaran Pollo Partners, L.L.C.</w:t>
            </w:r>
          </w:p>
        </w:tc>
      </w:tr>
      <w:tr>
        <w:trPr>
          <w:trHeight w:val="30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5"/>
                <w:szCs w:val="15"/>
                <w:color w:val="auto"/>
              </w:rPr>
              <w:t>(2)</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Franchise Development Agreement (Exclusive), dated August 20, 2014, between El Pollo Loco, Inc., as franchisor, and Anil Yadav and Atour</w:t>
            </w:r>
          </w:p>
        </w:tc>
      </w:t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Eyvazian, collectively, as developer</w:t>
            </w:r>
          </w:p>
        </w:tc>
      </w:tr>
      <w:tr>
        <w:trPr>
          <w:trHeight w:val="30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5"/>
                <w:szCs w:val="15"/>
                <w:color w:val="auto"/>
              </w:rPr>
              <w:t>(2)</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Consent to and Assignment of Development Rights (Initial Change of Entity), dated August 20, 2014, between El Pollo Loco, Inc., as</w:t>
            </w:r>
          </w:p>
        </w:tc>
      </w:t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franchisor, and (i) Anil Yadav and Atour Eyvazian, collectively, as assignor, and (ii) AA Pollo, Inc., as assignee</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under section 302 of the Sarbanes–Oxley Act of 2002</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under section 302 of the Sarbanes–Oxley Act of 2002</w:t>
            </w: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under 18 U.S.C. section 1350, adopted by section 906 of the Sarbanes–</w:t>
            </w:r>
          </w:p>
        </w:tc>
      </w:t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2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25"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Registration Statement on Form S-1, File No. 333-197001.</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Current Report on Form 8-K filed on August 22, 2014.</w:t>
      </w:r>
    </w:p>
    <w:p>
      <w:pPr>
        <w:spacing w:after="0" w:line="9" w:lineRule="exact"/>
        <w:rPr>
          <w:sz w:val="20"/>
          <w:szCs w:val="20"/>
          <w:color w:val="auto"/>
        </w:rPr>
      </w:pPr>
    </w:p>
    <w:p>
      <w:pPr>
        <w:ind w:left="460" w:right="100" w:hanging="452"/>
        <w:spacing w:after="0" w:line="255"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 Pollo Loco Holdings, Inc.</w:t>
            </w:r>
          </w:p>
        </w:tc>
      </w:tr>
      <w:tr>
        <w:trPr>
          <w:trHeight w:val="228"/>
        </w:trPr>
        <w:tc>
          <w:tcPr>
            <w:tcW w:w="34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2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2014</w:t>
            </w:r>
          </w:p>
        </w:tc>
        <w:tc>
          <w:tcPr>
            <w:tcW w:w="25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J. Sather</w:t>
            </w:r>
          </w:p>
        </w:tc>
      </w:tr>
      <w:tr>
        <w:trPr>
          <w:trHeight w:val="205"/>
        </w:trPr>
        <w:tc>
          <w:tcPr>
            <w:tcW w:w="348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spacing w:after="0"/>
              <w:rPr>
                <w:sz w:val="17"/>
                <w:szCs w:val="17"/>
                <w:color w:val="auto"/>
              </w:rPr>
            </w:pPr>
          </w:p>
        </w:tc>
        <w:tc>
          <w:tcPr>
            <w:tcW w:w="53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J. Sather</w:t>
            </w:r>
          </w:p>
        </w:tc>
      </w:tr>
      <w:tr>
        <w:trPr>
          <w:trHeight w:val="234"/>
        </w:trPr>
        <w:tc>
          <w:tcPr>
            <w:tcW w:w="3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2014</w:t>
            </w:r>
          </w:p>
        </w:tc>
        <w:tc>
          <w:tcPr>
            <w:tcW w:w="25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Laurance Roberts</w:t>
            </w:r>
          </w:p>
        </w:tc>
      </w:tr>
      <w:tr>
        <w:trPr>
          <w:trHeight w:val="205"/>
        </w:trPr>
        <w:tc>
          <w:tcPr>
            <w:tcW w:w="348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spacing w:after="0"/>
              <w:rPr>
                <w:sz w:val="17"/>
                <w:szCs w:val="17"/>
                <w:color w:val="auto"/>
              </w:rPr>
            </w:pPr>
          </w:p>
        </w:tc>
        <w:tc>
          <w:tcPr>
            <w:tcW w:w="53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Laurance Roberts</w:t>
            </w:r>
          </w:p>
        </w:tc>
      </w:tr>
      <w:tr>
        <w:trPr>
          <w:trHeight w:val="234"/>
        </w:trPr>
        <w:tc>
          <w:tcPr>
            <w:tcW w:w="3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5"/>
        </w:trPr>
        <w:tc>
          <w:tcPr>
            <w:tcW w:w="3480" w:type="dxa"/>
            <w:vAlign w:val="bottom"/>
          </w:tcPr>
          <w:p>
            <w:pPr>
              <w:spacing w:after="0"/>
              <w:rPr>
                <w:sz w:val="24"/>
                <w:szCs w:val="24"/>
                <w:color w:val="auto"/>
              </w:rPr>
            </w:pPr>
          </w:p>
        </w:tc>
        <w:tc>
          <w:tcPr>
            <w:tcW w:w="2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7,142,857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24,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Introductory. </w:t>
      </w:r>
      <w:r>
        <w:rPr>
          <w:rFonts w:ascii="Times New Roman" w:cs="Times New Roman" w:eastAsia="Times New Roman" w:hAnsi="Times New Roman"/>
          <w:sz w:val="18"/>
          <w:szCs w:val="18"/>
          <w:color w:val="auto"/>
        </w:rPr>
        <w:t>El Pollo Loco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7,142,857 shares of its common stock, par value $0.01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7,142,857 Shares to be sold by the Company are called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In addition, the Company has granted to the Underwriters an option to purchase up to an additional 1,071,429 Shares as provided in Section 2. The additional 1,071,429 Shares to be sold by the Company pursuant to such option are collectively called the “</w:t>
      </w:r>
      <w:r>
        <w:rPr>
          <w:rFonts w:ascii="Times New Roman" w:cs="Times New Roman" w:eastAsia="Times New Roman" w:hAnsi="Times New Roman"/>
          <w:sz w:val="18"/>
          <w:szCs w:val="18"/>
          <w:b w:val="1"/>
          <w:bCs w:val="1"/>
          <w:color w:val="auto"/>
        </w:rPr>
        <w:t>Optional Shares</w:t>
      </w:r>
      <w:r>
        <w:rPr>
          <w:rFonts w:ascii="Times New Roman" w:cs="Times New Roman" w:eastAsia="Times New Roman" w:hAnsi="Times New Roman"/>
          <w:sz w:val="18"/>
          <w:szCs w:val="18"/>
          <w:color w:val="auto"/>
        </w:rPr>
        <w:t>.” The Firm Shares and, if and to the extent such option is exercised, the Optional Shares are collectively called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 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and Morgan Stanley &amp; Co. LLC (“</w:t>
      </w:r>
      <w:r>
        <w:rPr>
          <w:rFonts w:ascii="Times New Roman" w:cs="Times New Roman" w:eastAsia="Times New Roman" w:hAnsi="Times New Roman"/>
          <w:sz w:val="18"/>
          <w:szCs w:val="18"/>
          <w:b w:val="1"/>
          <w:bCs w:val="1"/>
          <w:color w:val="auto"/>
        </w:rPr>
        <w:t>Morgan Stanley</w:t>
      </w:r>
      <w:r>
        <w:rPr>
          <w:rFonts w:ascii="Times New Roman" w:cs="Times New Roman" w:eastAsia="Times New Roman" w:hAnsi="Times New Roman"/>
          <w:sz w:val="18"/>
          <w:szCs w:val="18"/>
          <w:color w:val="auto"/>
        </w:rPr>
        <w:t>”) have agreed to act as representatives of the several Underwriters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in connection with the offering and sale of the Offered Shares. To the extent there are no additional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as used herein shall mean you, as Underwriters, and the term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shall mean either the singular or the plural, as the context requires.</w:t>
      </w:r>
    </w:p>
    <w:p>
      <w:pPr>
        <w:spacing w:after="0" w:line="18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S-1, File No. 333-197001 which contains a form of prospectus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any information deemed to be a part thereof at the time of effectiveness pursuant to Rule 430A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by the Company pursuant to Rule 462(b) under the Securities Act in connection with the offer and sale of the Offered Shares is called the “</w:t>
      </w:r>
      <w:r>
        <w:rPr>
          <w:rFonts w:ascii="Times New Roman" w:cs="Times New Roman" w:eastAsia="Times New Roman" w:hAnsi="Times New Roman"/>
          <w:sz w:val="18"/>
          <w:szCs w:val="18"/>
          <w:b w:val="1"/>
          <w:bCs w:val="1"/>
          <w:color w:val="auto"/>
        </w:rPr>
        <w:t>Rule 462(b)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from and after the date and time of filing of any such Rule 462(b) Registration Statement the term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include the Rule 462(b) Registration Statement. The prospectus, in the form first used by the Underwriters to confirm sales of the Offered Shares or in the form first made available to the Underwriters by the Company to meet requests of purchasers pursuant to Rule 173 under the Securities Act, is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preliminary prospectus dated July 14, 2014 describing the Offered Shares and the offering thereof is called the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Preliminary Prospectus and any other prospectus in preliminary form</w:t>
      </w:r>
    </w:p>
    <w:p>
      <w:pPr>
        <w:sectPr>
          <w:pgSz w:w="11900" w:h="16838" w:orient="portrait"/>
          <w:cols w:equalWidth="0" w:num="1">
            <w:col w:w="11420"/>
          </w:cols>
          <w:pgMar w:left="240" w:top="117" w:right="239" w:bottom="1440" w:gutter="0" w:footer="0" w:header="0"/>
        </w:sectPr>
      </w:pPr>
    </w:p>
    <w:bookmarkStart w:id="30" w:name="page31"/>
    <w:bookmarkEnd w:id="3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describes the Offered Shares and the offering thereof and is used prior to the filing of the Prospectus is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6:00 p.m. (New York City time) on July 24, 2014. As used herein,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and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xml:space="preserve">” means the Preliminary Prospectus together with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xml:space="preserve"> means a “road show” (as defined in Rule 433 under the Securities Act) relating to the offering of the Offered Shares contemplated hereby that is a “written communication” (as defined in Rule 405 under the Securities Act). As used herein, “</w:t>
      </w:r>
      <w:r>
        <w:rPr>
          <w:rFonts w:ascii="Times New Roman" w:cs="Times New Roman" w:eastAsia="Times New Roman" w:hAnsi="Times New Roman"/>
          <w:sz w:val="18"/>
          <w:szCs w:val="18"/>
          <w:b w:val="1"/>
          <w:bCs w:val="1"/>
          <w:color w:val="auto"/>
        </w:rPr>
        <w:t>Section 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Written Communication</w:t>
      </w:r>
      <w:r>
        <w:rPr>
          <w:rFonts w:ascii="Times New Roman" w:cs="Times New Roman" w:eastAsia="Times New Roman" w:hAnsi="Times New Roman"/>
          <w:sz w:val="18"/>
          <w:szCs w:val="18"/>
          <w:color w:val="auto"/>
        </w:rPr>
        <w:t>” means each written communication (within the meaning of Rule 405 under the Securities Act) that is made in reliance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5(d) of the Securities Act by the Company or any person authorized to act on behalf of the Company to one or more potential investors that are qualified institutional buyers (“</w:t>
      </w:r>
      <w:r>
        <w:rPr>
          <w:rFonts w:ascii="Times New Roman" w:cs="Times New Roman" w:eastAsia="Times New Roman" w:hAnsi="Times New Roman"/>
          <w:sz w:val="18"/>
          <w:szCs w:val="18"/>
          <w:b w:val="1"/>
          <w:bCs w:val="1"/>
          <w:color w:val="auto"/>
        </w:rPr>
        <w:t>QIBs</w:t>
      </w:r>
      <w:r>
        <w:rPr>
          <w:rFonts w:ascii="Times New Roman" w:cs="Times New Roman" w:eastAsia="Times New Roman" w:hAnsi="Times New Roman"/>
          <w:sz w:val="18"/>
          <w:szCs w:val="18"/>
          <w:color w:val="auto"/>
        </w:rPr>
        <w:t>”) and/or institutions that are accredited investors (“</w:t>
      </w:r>
      <w:r>
        <w:rPr>
          <w:rFonts w:ascii="Times New Roman" w:cs="Times New Roman" w:eastAsia="Times New Roman" w:hAnsi="Times New Roman"/>
          <w:sz w:val="18"/>
          <w:szCs w:val="18"/>
          <w:b w:val="1"/>
          <w:bCs w:val="1"/>
          <w:color w:val="auto"/>
        </w:rPr>
        <w:t>IAIs</w:t>
      </w:r>
      <w:r>
        <w:rPr>
          <w:rFonts w:ascii="Times New Roman" w:cs="Times New Roman" w:eastAsia="Times New Roman" w:hAnsi="Times New Roman"/>
          <w:sz w:val="18"/>
          <w:szCs w:val="18"/>
          <w:color w:val="auto"/>
        </w:rPr>
        <w:t>”), as such terms are respectively defined in Rule 144A and Rule 501(a) under the Securities Act, to determine whether such investors might have an interest in the offering of the Offered Shares; “</w:t>
      </w:r>
      <w:r>
        <w:rPr>
          <w:rFonts w:ascii="Times New Roman" w:cs="Times New Roman" w:eastAsia="Times New Roman" w:hAnsi="Times New Roman"/>
          <w:sz w:val="18"/>
          <w:szCs w:val="18"/>
          <w:b w:val="1"/>
          <w:bCs w:val="1"/>
          <w:color w:val="auto"/>
        </w:rPr>
        <w:t>Section 5(d) Oral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means each oral communication, if any, made in reliance on Section 5(d) of the Securities Act by the Company or any person authorized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on behalf of the Company made to one or more QIBs and/or one or more IAIs to determine whether such investors might have an interest in the offering of the Offered Shares;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Times New Roman" w:cs="Times New Roman" w:eastAsia="Times New Roman" w:hAnsi="Times New Roman"/>
          <w:sz w:val="18"/>
          <w:szCs w:val="18"/>
          <w:b w:val="1"/>
          <w:bCs w:val="1"/>
          <w:color w:val="auto"/>
        </w:rPr>
        <w:t>Permitted Section 5(d) Communication</w:t>
      </w:r>
      <w:r>
        <w:rPr>
          <w:rFonts w:ascii="Times New Roman" w:cs="Times New Roman" w:eastAsia="Times New Roman" w:hAnsi="Times New Roman"/>
          <w:sz w:val="18"/>
          <w:szCs w:val="18"/>
          <w:color w:val="auto"/>
        </w:rPr>
        <w:t xml:space="preserve">” means the Section 5(d) Written Communication(s) and Marketing Materials listed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attached hereto.</w:t>
      </w:r>
    </w:p>
    <w:p>
      <w:pPr>
        <w:spacing w:after="0" w:line="188"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All references in this Agreement to (i) the Registration Statement, any preliminary prospectus (including the Preliminary Prospectus), or the Prospectus, or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and (ii) the Prospectus shall be deemed to include any “electronic Prospectus” provided for use in connection with the offering of the Offered Shares as contemplated by Section 3(o) of this Agreement.</w:t>
      </w:r>
    </w:p>
    <w:p>
      <w:pPr>
        <w:spacing w:after="0" w:line="18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the Company has only one subsidiary, then all references herein to “subsidiaries” of the Company shall be deemed to refer to such single subsidiary,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hereby confirms its agreements with the Underwriters as follows:</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Section 1. Representations and Warranties.</w:t>
      </w:r>
    </w:p>
    <w:p>
      <w:pPr>
        <w:spacing w:after="0" w:line="229"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158" w:lineRule="exact"/>
        <w:rPr>
          <w:sz w:val="20"/>
          <w:szCs w:val="20"/>
          <w:color w:val="auto"/>
        </w:rPr>
      </w:pPr>
    </w:p>
    <w:p>
      <w:pPr>
        <w:ind w:right="100" w:firstLine="464"/>
        <w:spacing w:after="0" w:line="262" w:lineRule="auto"/>
        <w:tabs>
          <w:tab w:leader="none" w:pos="711"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has become effective under the Securities Act.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w:t>
      </w:r>
    </w:p>
    <w:p>
      <w:pPr>
        <w:spacing w:after="0" w:line="176" w:lineRule="exact"/>
        <w:rPr>
          <w:rFonts w:ascii="Times New Roman" w:cs="Times New Roman" w:eastAsia="Times New Roman" w:hAnsi="Times New Roman"/>
          <w:sz w:val="18"/>
          <w:szCs w:val="18"/>
          <w:b w:val="1"/>
          <w:bCs w:val="1"/>
          <w:color w:val="auto"/>
        </w:rPr>
      </w:pPr>
    </w:p>
    <w:p>
      <w:pPr>
        <w:ind w:right="340" w:firstLine="464"/>
        <w:spacing w:after="0" w:line="286" w:lineRule="auto"/>
        <w:tabs>
          <w:tab w:leader="none" w:pos="721"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preliminary prospectus and the Prospectus when filed complied in all material respects with the Securities Act and, if filed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electronic transmission pursuant to EDGAR, was identical (except as may be permitted by Regulation S-T under the Securities Act) to the copy thereof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66" w:right="259" w:bottom="1440" w:gutter="0" w:footer="0" w:header="0"/>
        </w:sectPr>
      </w:pPr>
    </w:p>
    <w:bookmarkStart w:id="31" w:name="page32"/>
    <w:bookmarkEnd w:id="31"/>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195" w:lineRule="exact"/>
        <w:rPr>
          <w:sz w:val="20"/>
          <w:szCs w:val="20"/>
          <w:color w:val="auto"/>
        </w:rPr>
      </w:pPr>
    </w:p>
    <w:p>
      <w:pPr>
        <w:ind w:right="20" w:firstLine="464"/>
        <w:spacing w:after="0" w:line="253" w:lineRule="auto"/>
        <w:tabs>
          <w:tab w:leader="none" w:pos="70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Free Writing Prospectuses; Road Show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the determination date referenced in Rule 164(h) under the Securities Act, the Company was not,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and electronic road shows, if any, furnished to you before first use, the Company has not used or referred to, and will not, without your prior written consent,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b w:val="1"/>
          <w:bCs w:val="1"/>
          <w:color w:val="auto"/>
        </w:rPr>
      </w:pPr>
    </w:p>
    <w:p>
      <w:pPr>
        <w:ind w:firstLine="464"/>
        <w:spacing w:after="0" w:line="259" w:lineRule="auto"/>
        <w:tabs>
          <w:tab w:leader="none" w:pos="72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Distribution of Offering Material By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later of (i) the expiration or termination of the option granted to the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in Section 2, (ii) the completion of the Underwriters’ distribution of the Offered Shares and (iii) the expiration of 25 days after the date of the Prospectus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any Permitted Section 5(d) Communications.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32" w:name="page33"/>
    <w:bookmarkEnd w:id="32"/>
    <w:p>
      <w:pPr>
        <w:ind w:left="700" w:hanging="236"/>
        <w:spacing w:after="0"/>
        <w:tabs>
          <w:tab w:leader="none" w:pos="7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Underwriting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b w:val="1"/>
          <w:bCs w:val="1"/>
          <w:color w:val="auto"/>
        </w:rPr>
      </w:pPr>
    </w:p>
    <w:p>
      <w:pPr>
        <w:ind w:right="300" w:firstLine="464"/>
        <w:spacing w:after="0" w:line="262" w:lineRule="auto"/>
        <w:tabs>
          <w:tab w:leader="none" w:pos="68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Shares have been duly authorized for issuance and sale pursuant to this Agreement and,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w:t>
      </w:r>
    </w:p>
    <w:p>
      <w:pPr>
        <w:spacing w:after="0" w:line="176" w:lineRule="exact"/>
        <w:rPr>
          <w:rFonts w:ascii="Times New Roman" w:cs="Times New Roman" w:eastAsia="Times New Roman" w:hAnsi="Times New Roman"/>
          <w:sz w:val="18"/>
          <w:szCs w:val="18"/>
          <w:b w:val="1"/>
          <w:bCs w:val="1"/>
          <w:color w:val="auto"/>
        </w:rPr>
      </w:pPr>
    </w:p>
    <w:p>
      <w:pPr>
        <w:ind w:right="540" w:firstLine="464"/>
        <w:spacing w:after="0" w:line="286" w:lineRule="auto"/>
        <w:tabs>
          <w:tab w:leader="none" w:pos="71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Applicable Registration or Other Similar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persons with registration or other similar rights to have any equity or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registered for sale under the Registration Statement or included in the offering contemplated by this Agreement.</w:t>
      </w:r>
    </w:p>
    <w:p>
      <w:pPr>
        <w:spacing w:after="0" w:line="154" w:lineRule="exact"/>
        <w:rPr>
          <w:rFonts w:ascii="Times New Roman" w:cs="Times New Roman" w:eastAsia="Times New Roman" w:hAnsi="Times New Roman"/>
          <w:sz w:val="18"/>
          <w:szCs w:val="18"/>
          <w:b w:val="1"/>
          <w:bCs w:val="1"/>
          <w:color w:val="auto"/>
        </w:rPr>
      </w:pPr>
    </w:p>
    <w:p>
      <w:pPr>
        <w:ind w:firstLine="464"/>
        <w:spacing w:after="0" w:line="253" w:lineRule="auto"/>
        <w:tabs>
          <w:tab w:leader="none" w:pos="72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Adverse Change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otherwise disclosed in the Registration Statement, the Time of Sale Prospectus and the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subsequent to the respective dates as of which information is given in the Registration Statement, the Time of Sale Prospectus and the Prospectus: (i) there has been no material adverse change, or any development that could be expected to result in a material adverse change, in the condition, financial or otherwise, or in the earnings, business, properties, operations, assets, liabilities or prospects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whether or not arising from transactions in the ordinary course of business, of the Company and its subsidiaries, considered as one entity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has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90" w:lineRule="exact"/>
        <w:rPr>
          <w:rFonts w:ascii="Times New Roman" w:cs="Times New Roman" w:eastAsia="Times New Roman" w:hAnsi="Times New Roman"/>
          <w:sz w:val="18"/>
          <w:szCs w:val="18"/>
          <w:b w:val="1"/>
          <w:bCs w:val="1"/>
          <w:color w:val="auto"/>
        </w:rPr>
      </w:pPr>
    </w:p>
    <w:p>
      <w:pPr>
        <w:ind w:firstLine="464"/>
        <w:spacing w:after="0" w:line="256" w:lineRule="auto"/>
        <w:tabs>
          <w:tab w:leader="none" w:pos="67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Independent Accountants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BDO USA, LLP, which has expressed its opinion with respect to the financial statements (which term as used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includes the related notes thereto) and supporting schedules filed with the Commission as a part of the Registration Statement, the Time of Sale Prospectus and the Prospectus, is (i) an independent registered public accounting firm as required by the Securities Act, the Securities Exchange Act of 1934, as amended, and the rules and regulations promulgated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3" w:lineRule="exact"/>
        <w:rPr>
          <w:rFonts w:ascii="Times New Roman" w:cs="Times New Roman" w:eastAsia="Times New Roman" w:hAnsi="Times New Roman"/>
          <w:sz w:val="18"/>
          <w:szCs w:val="18"/>
          <w:b w:val="1"/>
          <w:bCs w:val="1"/>
          <w:color w:val="auto"/>
        </w:rPr>
      </w:pPr>
    </w:p>
    <w:p>
      <w:pPr>
        <w:ind w:right="140" w:firstLine="464"/>
        <w:spacing w:after="0" w:line="257" w:lineRule="auto"/>
        <w:tabs>
          <w:tab w:leader="none" w:pos="68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financial statements filed with the Commission as a part of the Registration Statement, the Time of Sale Prospectus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Prospectus present fairly in all material respects the consolidated financial position of the Company and its subsidiaries as of the dates indicated and the results of their operations, changes in stockholders’ equity and cash flows for the periods specified. The supporting schedules included in the Registration Statement present fairly in all material respects the information required to be stated therein. Such financial statements and supporting schedules have been prepared in conformity with generally accepted accounting principles applied on a consistent basis throughout the periods involved, except as may be expressly stated in the related notes thereto. No other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6" w:right="239" w:bottom="1440" w:gutter="0" w:footer="0" w:header="0"/>
        </w:sectPr>
      </w:pPr>
    </w:p>
    <w:bookmarkStart w:id="33" w:name="page34"/>
    <w:bookmarkEnd w:id="33"/>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“Prospectus Summary— Summary Consolidated Financial and Other Data,” “Selected Historical Consolidated Financial Data” and “Capitalization” fairly present the information set forth therein on a basis consistent with that of the audited financial statements contained in the Registration Statement, the Time of Sale Prospectus and the Prospectus. All disclosures contained in the Registration Statement, any preliminary prospectus or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spacing w:after="0" w:line="182" w:lineRule="exact"/>
        <w:rPr>
          <w:sz w:val="20"/>
          <w:szCs w:val="20"/>
          <w:color w:val="auto"/>
        </w:rPr>
      </w:pPr>
    </w:p>
    <w:p>
      <w:pPr>
        <w:ind w:right="40" w:firstLine="464"/>
        <w:spacing w:after="0" w:line="257" w:lineRule="auto"/>
        <w:tabs>
          <w:tab w:leader="none" w:pos="72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Company’s Accounting 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each of its subsidiaries make and keep books and records that are accurate in all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2" w:lineRule="exact"/>
        <w:rPr>
          <w:rFonts w:ascii="Times New Roman" w:cs="Times New Roman" w:eastAsia="Times New Roman" w:hAnsi="Times New Roman"/>
          <w:sz w:val="18"/>
          <w:szCs w:val="18"/>
          <w:b w:val="1"/>
          <w:bCs w:val="1"/>
          <w:color w:val="auto"/>
        </w:rPr>
      </w:pPr>
    </w:p>
    <w:p>
      <w:pPr>
        <w:ind w:firstLine="464"/>
        <w:spacing w:after="0" w:line="254" w:lineRule="auto"/>
        <w:tabs>
          <w:tab w:leader="none" w:pos="67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 Controls and Procedures; Deficiencies in or Changes to Internal Control Over Financial Reporting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established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and (ii)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6" w:lineRule="exact"/>
        <w:rPr>
          <w:rFonts w:ascii="Times New Roman" w:cs="Times New Roman" w:eastAsia="Times New Roman" w:hAnsi="Times New Roman"/>
          <w:sz w:val="18"/>
          <w:szCs w:val="18"/>
          <w:b w:val="1"/>
          <w:bCs w:val="1"/>
          <w:color w:val="auto"/>
        </w:rPr>
      </w:pPr>
    </w:p>
    <w:p>
      <w:pPr>
        <w:ind w:right="80" w:firstLine="464"/>
        <w:spacing w:after="0" w:line="255" w:lineRule="auto"/>
        <w:tabs>
          <w:tab w:leader="none" w:pos="77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Incorporation and Good Standing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been duly incorporated and is validly existing as a corporation in good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State of Delaware and each other jurisdiction in which such qualification is required, whether by reason of the ownership or leasing of property or the conduct of business, except where the failure to be so qualified and in good standing would not, individually or in the aggregate, reasonably be expected to have a material adverse effect on the condition (financial or other), earnings, business, properties, operations, assets, liabilities or prospects of the Company and its subsidiaries, considered as one entity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34" w:name="page35"/>
    <w:bookmarkEnd w:id="34"/>
    <w:p>
      <w:pPr>
        <w:ind w:left="-20" w:firstLine="464"/>
        <w:spacing w:after="0" w:line="253" w:lineRule="auto"/>
        <w:tabs>
          <w:tab w:leader="none" w:pos="70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purposes of this Agreement, as defined in Rule 405 under the Securities Act) has been duly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so qualified and in good standing would not, individually or in the aggregate, reasonably be expected to have a Material Adverse Effect.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except (i) to the extent any such security interest, mortgage, pledge, lien, encumbrance or adverse claim would not, individually or in the aggregate, reasonably be expected to have a Material Adverse Effect and (ii) as disclosed in the Registration Statement, the Time of Sale Prospectus and the Prospectus. The Company does not own or control, directly or indirectly, any corporation, association or other entity other than the subsidiaries listed in Exhibit 21 to the Registration Statement.</w:t>
      </w:r>
    </w:p>
    <w:p>
      <w:pPr>
        <w:spacing w:after="0" w:line="188" w:lineRule="exact"/>
        <w:rPr>
          <w:rFonts w:ascii="Times New Roman" w:cs="Times New Roman" w:eastAsia="Times New Roman" w:hAnsi="Times New Roman"/>
          <w:sz w:val="18"/>
          <w:szCs w:val="18"/>
          <w:b w:val="1"/>
          <w:bCs w:val="1"/>
          <w:color w:val="auto"/>
        </w:rPr>
      </w:pPr>
    </w:p>
    <w:p>
      <w:pPr>
        <w:ind w:left="-20" w:right="20" w:firstLine="464"/>
        <w:spacing w:after="0" w:line="253" w:lineRule="auto"/>
        <w:tabs>
          <w:tab w:leader="none" w:pos="69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Capitalization and Other Capital Stock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authorized, issued and outstanding capital stock of the Company is as set forth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presents the information required to be shown with respect to such plans, arrangements, options and rights.</w:t>
      </w:r>
    </w:p>
    <w:p>
      <w:pPr>
        <w:spacing w:after="0" w:line="190" w:lineRule="exact"/>
        <w:rPr>
          <w:rFonts w:ascii="Times New Roman" w:cs="Times New Roman" w:eastAsia="Times New Roman" w:hAnsi="Times New Roman"/>
          <w:sz w:val="18"/>
          <w:szCs w:val="18"/>
          <w:b w:val="1"/>
          <w:bCs w:val="1"/>
          <w:color w:val="auto"/>
        </w:rPr>
      </w:pPr>
    </w:p>
    <w:p>
      <w:pPr>
        <w:ind w:left="-20" w:right="120" w:firstLine="464"/>
        <w:spacing w:after="0" w:line="286" w:lineRule="auto"/>
        <w:tabs>
          <w:tab w:leader="none" w:pos="70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Exchange Listing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Shares have been approved for listing on the NASDAQ Global Select Market, subject only to official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issuance.</w:t>
      </w:r>
    </w:p>
    <w:p>
      <w:pPr>
        <w:spacing w:after="0" w:line="154" w:lineRule="exact"/>
        <w:rPr>
          <w:rFonts w:ascii="Times New Roman" w:cs="Times New Roman" w:eastAsia="Times New Roman" w:hAnsi="Times New Roman"/>
          <w:sz w:val="18"/>
          <w:szCs w:val="18"/>
          <w:b w:val="1"/>
          <w:bCs w:val="1"/>
          <w:color w:val="auto"/>
        </w:rPr>
      </w:pPr>
    </w:p>
    <w:p>
      <w:pPr>
        <w:ind w:left="-20" w:right="80" w:firstLine="464"/>
        <w:spacing w:after="0" w:line="259" w:lineRule="auto"/>
        <w:tabs>
          <w:tab w:leader="none" w:pos="70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Non-Contravention of Existing Instruments; No Further Authorizations or Approvals Required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in violation of its charter or by-laws,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60" w:top="266" w:right="239" w:bottom="1440" w:gutter="0" w:footer="0" w:header="0"/>
        </w:sectPr>
      </w:pPr>
    </w:p>
    <w:bookmarkStart w:id="35" w:name="page36"/>
    <w:bookmarkEnd w:id="3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subsidiaries is a party or by which it or any of them may be bound, or to which any of their respective properties or assets are subject (each, an “</w:t>
      </w:r>
      <w:r>
        <w:rPr>
          <w:rFonts w:ascii="Times New Roman" w:cs="Times New Roman" w:eastAsia="Times New Roman" w:hAnsi="Times New Roman"/>
          <w:sz w:val="18"/>
          <w:szCs w:val="18"/>
          <w:b w:val="1"/>
          <w:bCs w:val="1"/>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except for such Defaults as would not reasonably be expected, individually or in the aggregate, to have a Material Adverse Effect.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as could not reasonably be expected, individually or in the aggregate, to have a Material Adverse Effect and (iii) will not result in any violation of any law, administrative regulation or administrative or court decree applicable to the Company or any of its subsidiaries.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FINRA.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94" w:lineRule="exact"/>
        <w:rPr>
          <w:sz w:val="20"/>
          <w:szCs w:val="20"/>
          <w:color w:val="auto"/>
        </w:rPr>
      </w:pPr>
    </w:p>
    <w:p>
      <w:pPr>
        <w:ind w:right="140" w:firstLine="464"/>
        <w:spacing w:after="0" w:line="286" w:lineRule="auto"/>
        <w:tabs>
          <w:tab w:leader="none" w:pos="701"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have been and are in compliance with all applicable laws, rules and regulations,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failure to be so in compliance could not reasonably be expected, individually or in the aggregate, to have a Material Adverse Effect.</w:t>
      </w:r>
    </w:p>
    <w:p>
      <w:pPr>
        <w:spacing w:after="0" w:line="154" w:lineRule="exact"/>
        <w:rPr>
          <w:rFonts w:ascii="Times New Roman" w:cs="Times New Roman" w:eastAsia="Times New Roman" w:hAnsi="Times New Roman"/>
          <w:sz w:val="18"/>
          <w:szCs w:val="18"/>
          <w:b w:val="1"/>
          <w:bCs w:val="1"/>
          <w:color w:val="auto"/>
        </w:rPr>
      </w:pPr>
    </w:p>
    <w:p>
      <w:pPr>
        <w:ind w:firstLine="464"/>
        <w:spacing w:after="0" w:line="254" w:lineRule="auto"/>
        <w:tabs>
          <w:tab w:leader="none" w:pos="691"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Actions or Proceedings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described in the Registration Statement, the Time of Sale Prospectus and the Prospectus, there is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 suit, proceeding, inquiry or investigation brought by or before any court or governmental agency or body, domestic or foreign, now pending or, to the knowledge of the Company, threatened, against or affecting the Company or any of its subsidiaries, which could reasonably be expected, individually or in the aggregate, to have a Material Adverse Effect or materially and adversely affect the consummation of the transactions contemplated by this Agreement or the performance by the Company of its obligations hereunder;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could not reasonably be expected to have a Material Adverse Effect. No material labor dispute with the employees of the Company or any of its subsidiaries exists or, to the knowledge of the Company, is threatened or imminent, and the Company is not aware of any existing or imminent labor disturbance by the employees of any of its principal suppliers, manufacturers, customers or contractors, that, in either case, would reasonably be expected to result in a Material Adverse Effect.</w:t>
      </w:r>
    </w:p>
    <w:p>
      <w:pPr>
        <w:spacing w:after="0" w:line="186" w:lineRule="exact"/>
        <w:rPr>
          <w:rFonts w:ascii="Times New Roman" w:cs="Times New Roman" w:eastAsia="Times New Roman" w:hAnsi="Times New Roman"/>
          <w:sz w:val="18"/>
          <w:szCs w:val="18"/>
          <w:b w:val="1"/>
          <w:bCs w:val="1"/>
          <w:color w:val="auto"/>
        </w:rPr>
      </w:pPr>
    </w:p>
    <w:p>
      <w:pPr>
        <w:ind w:right="40" w:firstLine="464"/>
        <w:spacing w:after="0" w:line="268" w:lineRule="auto"/>
        <w:tabs>
          <w:tab w:leader="none" w:pos="681"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The Company and its subsidiaries own all right, title and interest in the “El Pollo Loco” mark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use in connection with the goods and services for which such mark is currently used by the Company and its subsidiaries and the Company and its subsidiaries own all right, title, and interest in its registrations for such mark elsewhere in the world in</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266" w:right="299" w:bottom="1440" w:gutter="0" w:footer="0" w:header="0"/>
        </w:sectPr>
      </w:pPr>
    </w:p>
    <w:bookmarkStart w:id="36" w:name="page37"/>
    <w:bookmarkEnd w:id="3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42 other countries / political unions disclosed to the Underwriters and listed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to the Company’s knowledge, no other person or entity has any ownership interest in such mark in connection with such goods and services anywhere in the world (except for Mexico), and (B) (i) the Company and its subsidiaries own or possess all patents, patent rights, patent applications, licenses, inventions, copyrights, know-how (including trade secrets and other unpatented and/or unpatentable proprietary or confidential information, systems or procedures), trademarks (both registered and unregistered), service marks, trade names, logotypes and other indicia of origin, or other intellectual property and proprietary information described in the Registration Statement, the Time of Sale Prospectus or the Prospectus and as being owned or licensed by any of them or which is necessary for the conduct of, or material to, any of their respective businesses (collectively, the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including, to the extent that the Company is licensing its Intellectual Property to third parties, the right to do so and to collect royalties therefrom, and including, with respect to Intellectual Property owned by the Company, the right to enforce its rights therein and (ii) the Company and its subsidiaries have not received any written notice or is otherwise aware of: (x) any infringement of or conflict with asserted rights of others with respect to any Intellectual Property or of any facts or circumstances that would render any Intellectual Property invalid or inadequate to protect the interest of the Company therein, and which infringement or conflict (if the subject of any unfavorable decision, ruling or finding) or invalidity or inadequacy, singly or in the aggregate, would reasonably be expected to result in a Material Adverse Effect, or (y) any third party infringement, misappropriation, or other violation of the Intellectual Property which, singly or in the aggregate, would reasonably be expected to result in a Material Adverse Effect.</w:t>
      </w:r>
    </w:p>
    <w:p>
      <w:pPr>
        <w:spacing w:after="0" w:line="195" w:lineRule="exact"/>
        <w:rPr>
          <w:sz w:val="20"/>
          <w:szCs w:val="20"/>
          <w:color w:val="auto"/>
        </w:rPr>
      </w:pPr>
    </w:p>
    <w:p>
      <w:pPr>
        <w:ind w:right="20" w:firstLine="464"/>
        <w:spacing w:after="0" w:line="255" w:lineRule="auto"/>
        <w:tabs>
          <w:tab w:leader="none" w:pos="721"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All Necessary Permits, etc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possess such permits, licenses, registrations (other than franchise registrations,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covered by (qq) below) and other authorizations (collectively,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issued by the appropriate federal, state, local or foreign regulatory agencies or bodies necessary to conduct the business now operated by it, except where the failure so to possess would not, singly or in the aggregate, reasonably be expected to result in a Material Adverse Effect; the Company and its subsidiaries are in compliance with the terms and conditions of all such Permits, except where the failure so to comply would not, singly or in the aggregate, reasonably be expected to result in a Material Adverse Effect; all such Permits are valid and in full force and effect, except where the invalidity of such Permits or the failure of such Permits to be in full force and effect would not, singly or in the aggregate, reasonably be expected to result in a Material Adverse Effect; and neither the Company nor the Guarantor has received any written notice of proceedings relating to the revocation or modification of any such Permits that, singly or in the aggregate, would reasonably be expected to result in a Material Adverse Effect.</w:t>
      </w:r>
    </w:p>
    <w:p>
      <w:pPr>
        <w:spacing w:after="0" w:line="181" w:lineRule="exact"/>
        <w:rPr>
          <w:rFonts w:ascii="Times New Roman" w:cs="Times New Roman" w:eastAsia="Times New Roman" w:hAnsi="Times New Roman"/>
          <w:sz w:val="18"/>
          <w:szCs w:val="18"/>
          <w:b w:val="1"/>
          <w:bCs w:val="1"/>
          <w:color w:val="auto"/>
        </w:rPr>
      </w:pPr>
    </w:p>
    <w:p>
      <w:pPr>
        <w:ind w:right="120" w:firstLine="464"/>
        <w:spacing w:after="0" w:line="278" w:lineRule="auto"/>
        <w:tabs>
          <w:tab w:leader="none" w:pos="711" w:val="left"/>
        </w:tabs>
        <w:numPr>
          <w:ilvl w:val="1"/>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Title to Properties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and its subsidiaries have good and marketable fee simple title to all real property owned by the Company and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subsidiaries, in each case, free and clear of all mortgages, pledges, liens, security interests, claims, restrictions or encumbrances of any kind except such as</w:t>
      </w:r>
    </w:p>
    <w:p>
      <w:pPr>
        <w:spacing w:after="0" w:line="1" w:lineRule="exact"/>
        <w:rPr>
          <w:rFonts w:ascii="Times New Roman" w:cs="Times New Roman" w:eastAsia="Times New Roman" w:hAnsi="Times New Roman"/>
          <w:sz w:val="17"/>
          <w:szCs w:val="17"/>
          <w:b w:val="1"/>
          <w:bCs w:val="1"/>
          <w:color w:val="auto"/>
        </w:rPr>
      </w:pPr>
    </w:p>
    <w:p>
      <w:pPr>
        <w:ind w:firstLine="8"/>
        <w:spacing w:after="0" w:line="251"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described in the Registration Statement, the Time of Sale Prospectus and the Prospectus or (b) do not, singly or in the aggregate, materially affect the value of such property and do not interfere with the use and operation made and proposed to be made of such property by the Company or its Subsidiaries or would not, singly or in the aggregate, reasonably be expected to have a Material Adverse Effect; and all of the leases and subleases, singly or in the aggregate, material to the business of the Company and its subsidiaries and under which the Company or its subsidiaries hold properties described in the Registration Statement, the Time of Sale Prospectus or the Prospectus, to the knowledge of the Company, are in full force and effect, and the Company has not received any written notice of, nor does the Company have any knowledge of (a) any default that remains uncured under the leases on the date hereof or (b) any claim that has been asserted by anyone adverse to the rights of the Company or its subsidiaries under any of the leases or subleases mentioned above, or affecting or questioning the rights of the Company or its subsidiaries thereof to the continued possession of the leased or subleased premises under any such lease or sublease, except for such defaults or claims that would not reasonably be expected to result in a Material Adverse Effect.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0" w:right="259" w:bottom="1440" w:gutter="0" w:footer="0" w:header="0"/>
        </w:sectPr>
      </w:pPr>
    </w:p>
    <w:bookmarkStart w:id="37" w:name="page38"/>
    <w:bookmarkEnd w:id="37"/>
    <w:p>
      <w:pPr>
        <w:ind w:firstLine="464"/>
        <w:spacing w:after="0" w:line="259" w:lineRule="auto"/>
        <w:tabs>
          <w:tab w:leader="none" w:pos="751"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Law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have filed all necessary federal, state and foreign income and franchise tax returns or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1(k) above in respect of all federal, state and foreign income and franchise taxes for all periods as to which the tax liability of the Company or any of its subsidiaries has not been finally determined.</w:t>
      </w:r>
    </w:p>
    <w:p>
      <w:pPr>
        <w:spacing w:after="0" w:line="179" w:lineRule="exact"/>
        <w:rPr>
          <w:rFonts w:ascii="Times New Roman" w:cs="Times New Roman" w:eastAsia="Times New Roman" w:hAnsi="Times New Roman"/>
          <w:sz w:val="18"/>
          <w:szCs w:val="18"/>
          <w:b w:val="1"/>
          <w:bCs w:val="1"/>
          <w:color w:val="auto"/>
        </w:rPr>
      </w:pPr>
    </w:p>
    <w:p>
      <w:pPr>
        <w:ind w:firstLine="464"/>
        <w:spacing w:after="0" w:line="259" w:lineRule="auto"/>
        <w:tabs>
          <w:tab w:leader="none" w:pos="711"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such amounts as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be reasonably expected to have a Material Adverse Effect.</w:t>
      </w:r>
    </w:p>
    <w:p>
      <w:pPr>
        <w:spacing w:after="0" w:line="179"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Environmental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could not reasonably be expected, individually or in the aggregate, to have a Material Adverse</w:t>
      </w:r>
    </w:p>
    <w:p>
      <w:pPr>
        <w:spacing w:after="0" w:line="31" w:lineRule="exact"/>
        <w:rPr>
          <w:rFonts w:ascii="Times New Roman" w:cs="Times New Roman" w:eastAsia="Times New Roman" w:hAnsi="Times New Roman"/>
          <w:sz w:val="18"/>
          <w:szCs w:val="18"/>
          <w:b w:val="1"/>
          <w:bCs w:val="1"/>
          <w:color w:val="auto"/>
        </w:rPr>
      </w:pPr>
    </w:p>
    <w:p>
      <w:pPr>
        <w:ind w:right="8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7"/>
          <w:szCs w:val="17"/>
          <w:b w:val="1"/>
          <w:bCs w:val="1"/>
          <w:color w:val="auto"/>
        </w:rPr>
        <w:t>Hazardous Materials</w:t>
      </w:r>
      <w:r>
        <w:rPr>
          <w:rFonts w:ascii="Times New Roman" w:cs="Times New Roman" w:eastAsia="Times New Roman" w:hAnsi="Times New Roman"/>
          <w:sz w:val="17"/>
          <w:szCs w:val="17"/>
          <w:color w:val="auto"/>
        </w:rPr>
        <w:t>”) or to the manufacture, processing, distribution, use, treatment, storage, disposal, transport or handling of Hazardous Materials (collectively, “</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8"/>
          <w:szCs w:val="18"/>
          <w:b w:val="1"/>
          <w:bCs w:val="1"/>
          <w:color w:val="auto"/>
        </w:rPr>
      </w:pPr>
    </w:p>
    <w:p>
      <w:pPr>
        <w:ind w:right="20" w:firstLine="8"/>
        <w:spacing w:after="0" w:line="252"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86" w:lineRule="exact"/>
        <w:rPr>
          <w:rFonts w:ascii="Times New Roman" w:cs="Times New Roman" w:eastAsia="Times New Roman" w:hAnsi="Times New Roman"/>
          <w:sz w:val="18"/>
          <w:szCs w:val="18"/>
          <w:color w:val="auto"/>
        </w:rPr>
      </w:pPr>
    </w:p>
    <w:p>
      <w:pPr>
        <w:ind w:firstLine="464"/>
        <w:spacing w:after="0" w:line="257" w:lineRule="auto"/>
        <w:tabs>
          <w:tab w:leader="none" w:pos="701"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Periodic Review of Costs of Environmental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ordinary course of its business, the Company conducts a periodic review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reasonably be expected, individually or in the aggregate, to have a Material Adverse Effect.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66" w:right="259" w:bottom="1440" w:gutter="0" w:footer="0" w:header="0"/>
        </w:sectPr>
      </w:pPr>
    </w:p>
    <w:bookmarkStart w:id="38" w:name="page39"/>
    <w:bookmarkEnd w:id="38"/>
    <w:p>
      <w:pPr>
        <w:ind w:firstLine="464"/>
        <w:spacing w:after="0" w:line="253" w:lineRule="auto"/>
        <w:tabs>
          <w:tab w:leader="none" w:pos="801"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ERISA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and any “employee benefit plan” (as defined under the Employee Retirement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that would reasonably be expected to have a Material Adverse Effect.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88" w:lineRule="exact"/>
        <w:rPr>
          <w:rFonts w:ascii="Times New Roman" w:cs="Times New Roman" w:eastAsia="Times New Roman" w:hAnsi="Times New Roman"/>
          <w:sz w:val="18"/>
          <w:szCs w:val="18"/>
          <w:b w:val="1"/>
          <w:bCs w:val="1"/>
          <w:color w:val="auto"/>
        </w:rPr>
      </w:pPr>
    </w:p>
    <w:p>
      <w:pPr>
        <w:ind w:right="80" w:firstLine="464"/>
        <w:spacing w:after="0" w:line="268" w:lineRule="auto"/>
        <w:tabs>
          <w:tab w:leader="none" w:pos="82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Company Not an “Investment Company.” </w:t>
      </w:r>
      <w:r>
        <w:rPr>
          <w:rFonts w:ascii="Times New Roman" w:cs="Times New Roman" w:eastAsia="Times New Roman" w:hAnsi="Times New Roman"/>
          <w:sz w:val="18"/>
          <w:szCs w:val="18"/>
          <w:color w:val="auto"/>
        </w:rPr>
        <w:t>The Company is not, and will not be, either after receipt of payment for the Offered Shares or after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right="220" w:firstLine="464"/>
        <w:spacing w:after="0" w:line="262" w:lineRule="auto"/>
        <w:tabs>
          <w:tab w:leader="none" w:pos="781"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Price Stabilization or Manipulation; Compliance with Regulation 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has taken, directly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indirectly, any action designed to or that might cause or result in stabilization or manipulation of the price of the Shares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Shares, whether to facilitate the sale or resale of the Offered Shares or otherwise, and has taken no action which would directly or indirectly violate Regulation M.</w:t>
      </w:r>
    </w:p>
    <w:p>
      <w:pPr>
        <w:spacing w:after="0" w:line="176" w:lineRule="exact"/>
        <w:rPr>
          <w:rFonts w:ascii="Times New Roman" w:cs="Times New Roman" w:eastAsia="Times New Roman" w:hAnsi="Times New Roman"/>
          <w:sz w:val="18"/>
          <w:szCs w:val="18"/>
          <w:b w:val="1"/>
          <w:bCs w:val="1"/>
          <w:color w:val="auto"/>
        </w:rPr>
      </w:pPr>
    </w:p>
    <w:p>
      <w:pPr>
        <w:ind w:right="140" w:firstLine="464"/>
        <w:spacing w:after="0" w:line="268" w:lineRule="auto"/>
        <w:tabs>
          <w:tab w:leader="none" w:pos="82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Related-Party Transactions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business relationships or related-party transactions involving the Company or any of its subsidiaries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other person required to be described in the Registration Statement, the Time of Sale Prospectus or the Prospectus that have not been described as required.</w:t>
      </w:r>
    </w:p>
    <w:p>
      <w:pPr>
        <w:spacing w:after="0" w:line="170" w:lineRule="exact"/>
        <w:rPr>
          <w:rFonts w:ascii="Times New Roman" w:cs="Times New Roman" w:eastAsia="Times New Roman" w:hAnsi="Times New Roman"/>
          <w:sz w:val="18"/>
          <w:szCs w:val="18"/>
          <w:b w:val="1"/>
          <w:bCs w:val="1"/>
          <w:color w:val="auto"/>
        </w:rPr>
      </w:pPr>
    </w:p>
    <w:p>
      <w:pPr>
        <w:ind w:right="100" w:firstLine="464"/>
        <w:spacing w:after="0" w:line="262" w:lineRule="auto"/>
        <w:tabs>
          <w:tab w:leader="none" w:pos="781"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FINRA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the information provided to the Underwriters or to counsel for the Underwriters by the Company and to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knowledge, its officers and directors and the holders of any securities (debt or equity) or options to acquire any securities of the Company in connection with the offering of the Offered Shares is true, complete, correct and compliant with FINRA’s rules and any letters, filings or other supplemental information provided to FINRA pursuant to FINRA Rule 5110 is true, complete and correct.</w:t>
      </w:r>
    </w:p>
    <w:p>
      <w:pPr>
        <w:spacing w:after="0" w:line="176" w:lineRule="exact"/>
        <w:rPr>
          <w:rFonts w:ascii="Times New Roman" w:cs="Times New Roman" w:eastAsia="Times New Roman" w:hAnsi="Times New Roman"/>
          <w:sz w:val="18"/>
          <w:szCs w:val="18"/>
          <w:b w:val="1"/>
          <w:bCs w:val="1"/>
          <w:color w:val="auto"/>
        </w:rPr>
      </w:pPr>
    </w:p>
    <w:p>
      <w:pPr>
        <w:ind w:left="740" w:hanging="276"/>
        <w:spacing w:after="0"/>
        <w:tabs>
          <w:tab w:leader="none" w:pos="7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Parties to Lock-Up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furnished to the Underwriters a letter agreement in the form attached hereto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w:t>
      </w:r>
    </w:p>
    <w:p>
      <w:pPr>
        <w:spacing w:after="0" w:line="3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xml:space="preserve">”) from each of the persons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lists under an appropriate caption the directors and officers of the Company. If any additional persons shall become directors or officers of the Company prior to the end of the Company Lock-up Period (as defined below), the Company shall cause each such person, prior to or contemporaneously with their appointment or election as a director or officer of the Company, to execute and deliver to Jefferies and Morgan Stanley a Lock-up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66" w:right="239" w:bottom="1440" w:gutter="0" w:footer="0" w:header="0"/>
        </w:sectPr>
      </w:pPr>
    </w:p>
    <w:bookmarkStart w:id="39" w:name="page40"/>
    <w:bookmarkEnd w:id="39"/>
    <w:p>
      <w:pPr>
        <w:ind w:left="-20" w:right="20" w:firstLine="464"/>
        <w:spacing w:after="0" w:line="268" w:lineRule="auto"/>
        <w:tabs>
          <w:tab w:leader="none" w:pos="781"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Statistical and Market-Related Data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statistical, demographic and market-related data included in the Registration Statement, the Time of 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170" w:lineRule="exact"/>
        <w:rPr>
          <w:rFonts w:ascii="Times New Roman" w:cs="Times New Roman" w:eastAsia="Times New Roman" w:hAnsi="Times New Roman"/>
          <w:sz w:val="18"/>
          <w:szCs w:val="18"/>
          <w:b w:val="1"/>
          <w:bCs w:val="1"/>
          <w:color w:val="auto"/>
        </w:rPr>
      </w:pPr>
    </w:p>
    <w:p>
      <w:pPr>
        <w:ind w:left="-20" w:right="40" w:firstLine="464"/>
        <w:spacing w:after="0" w:line="291" w:lineRule="auto"/>
        <w:tabs>
          <w:tab w:leader="none" w:pos="802"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No Unlawful Contributions or Other Payments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Neither the Company nor any of its subsidiaries nor, to the best of the Company’s knowledge,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any 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53" w:lineRule="exact"/>
        <w:rPr>
          <w:rFonts w:ascii="Times New Roman" w:cs="Times New Roman" w:eastAsia="Times New Roman" w:hAnsi="Times New Roman"/>
          <w:sz w:val="17"/>
          <w:szCs w:val="17"/>
          <w:b w:val="1"/>
          <w:bCs w:val="1"/>
          <w:color w:val="auto"/>
        </w:rPr>
      </w:pPr>
    </w:p>
    <w:p>
      <w:pPr>
        <w:ind w:left="-20" w:firstLine="464"/>
        <w:spacing w:after="0" w:line="254" w:lineRule="auto"/>
        <w:tabs>
          <w:tab w:leader="none" w:pos="701"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Foreign Corrupt Practices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or affiliates within the Company’s control, nor any director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nor, to the knowledge of the Company, any employee, any agent or other person acting on behalf of the Company or any of its subsidiaries has or will, in the course of its actions for, or on behalf of, the Company or any of its subsidiaries (i) used or will use any corporate funds for any unlawful contribution, gift, entertainment or other unlawful expenses relating to political activity; (ii) made or will make any direct or indirect unlawful payment to any domestic government official,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employee from corporate funds; (iii) violated or is in violation of any provision of the FCPA or any applicable non-U.S. anti-bribery statute or regulation; or (iv) made or will make any unlawful bribe, rebate, payoff, influence payment, kickback or other unlawful payment to any domestic government official, such foreign official or employee; and the Company and its subsidiaries and, to the Company’s knowledge, affiliates within the Company’s control have conducted their respective businesses in compliance with the FCPA and applicable anti-corruption laws and have instituted and maintain and will continue to maintain policies and procedures designed to ensure, and which are reasonably expected to continue to ensure, continued compliance therewith.</w:t>
      </w:r>
    </w:p>
    <w:p>
      <w:pPr>
        <w:spacing w:after="0" w:line="183" w:lineRule="exact"/>
        <w:rPr>
          <w:rFonts w:ascii="Times New Roman" w:cs="Times New Roman" w:eastAsia="Times New Roman" w:hAnsi="Times New Roman"/>
          <w:sz w:val="18"/>
          <w:szCs w:val="18"/>
          <w:b w:val="1"/>
          <w:bCs w:val="1"/>
          <w:color w:val="auto"/>
        </w:rPr>
      </w:pPr>
    </w:p>
    <w:p>
      <w:pPr>
        <w:ind w:left="-20" w:right="40" w:firstLine="464"/>
        <w:spacing w:after="0" w:line="257" w:lineRule="auto"/>
        <w:tabs>
          <w:tab w:leader="none" w:pos="721"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operations of the Company and its subsidiaries are, and have been conducted at all times, in compliance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82" w:lineRule="exact"/>
        <w:rPr>
          <w:rFonts w:ascii="Times New Roman" w:cs="Times New Roman" w:eastAsia="Times New Roman" w:hAnsi="Times New Roman"/>
          <w:sz w:val="18"/>
          <w:szCs w:val="18"/>
          <w:b w:val="1"/>
          <w:bCs w:val="1"/>
          <w:color w:val="auto"/>
        </w:rPr>
      </w:pPr>
    </w:p>
    <w:p>
      <w:pPr>
        <w:ind w:left="-20" w:right="80" w:firstLine="464"/>
        <w:spacing w:after="0" w:line="275" w:lineRule="auto"/>
        <w:tabs>
          <w:tab w:leader="none" w:pos="801"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OFAC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Neither the Company nor any of its subsidiaries or affiliates within the Company’s control, nor any director or officer, nor, to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knowledge of the Company, after due inquiry, any employee, any agent or person acting on behalf of the Company or any of its subsidiaries is, or is controlled by a person or entity that is, (i) currently subject to any U.S. sanctions administered by the Office of Foreign Assets Control of the U.S. Treasury Department (“</w:t>
      </w:r>
      <w:r>
        <w:rPr>
          <w:rFonts w:ascii="Times New Roman" w:cs="Times New Roman" w:eastAsia="Times New Roman" w:hAnsi="Times New Roman"/>
          <w:sz w:val="17"/>
          <w:szCs w:val="17"/>
          <w:b w:val="1"/>
          <w:bCs w:val="1"/>
          <w:color w:val="auto"/>
        </w:rPr>
        <w:t>OFAC</w:t>
      </w:r>
      <w:r>
        <w:rPr>
          <w:rFonts w:ascii="Times New Roman" w:cs="Times New Roman" w:eastAsia="Times New Roman" w:hAnsi="Times New Roman"/>
          <w:sz w:val="17"/>
          <w:szCs w:val="17"/>
          <w:color w:val="auto"/>
        </w:rPr>
        <w:t>”) (collectively, “</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nor (ii) located, organized or resident in a country or territory that is the subject of Sanctions (including, without limitation, Cuba, Iran, North Korea, Sudan and Syria); and the Company will not directly or indirectly use the proceeds of this offering, or lend, contribute or otherwise make available such proceeds to any subsidiary, or any joint venture partner or other person or entity, for the purpose of financing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60" w:top="266" w:right="259" w:bottom="1440" w:gutter="0" w:footer="0" w:header="0"/>
        </w:sectPr>
      </w:pPr>
    </w:p>
    <w:bookmarkStart w:id="40" w:name="page41"/>
    <w:bookmarkEnd w:id="4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activities of or business with any person, or in any country or territory, that currently is the subject to any Sanctions or in any other manner that will result in a violation by any person (including any person participating in the transaction whether as underwriter, advisor, investor or otherwise) of Sanctions. For the past 5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76" w:lineRule="exact"/>
        <w:rPr>
          <w:sz w:val="20"/>
          <w:szCs w:val="20"/>
          <w:color w:val="auto"/>
        </w:rPr>
      </w:pPr>
    </w:p>
    <w:p>
      <w:pPr>
        <w:ind w:right="140" w:firstLine="464"/>
        <w:spacing w:after="0" w:line="286" w:lineRule="auto"/>
        <w:tabs>
          <w:tab w:leader="none" w:pos="72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Brokers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pursuant to this Agreement, there is no broker, finder or other party that is entitled to receive from the Company any brokerage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finder’s fee or other fee or commission as a result of any transactions contemplated by this Agreement.</w:t>
      </w:r>
    </w:p>
    <w:p>
      <w:pPr>
        <w:spacing w:after="0" w:line="154" w:lineRule="exact"/>
        <w:rPr>
          <w:rFonts w:ascii="Times New Roman" w:cs="Times New Roman" w:eastAsia="Times New Roman" w:hAnsi="Times New Roman"/>
          <w:sz w:val="18"/>
          <w:szCs w:val="18"/>
          <w:b w:val="1"/>
          <w:bCs w:val="1"/>
          <w:color w:val="auto"/>
        </w:rPr>
      </w:pPr>
    </w:p>
    <w:p>
      <w:pPr>
        <w:ind w:right="20" w:firstLine="464"/>
        <w:spacing w:after="0" w:line="257" w:lineRule="auto"/>
        <w:tabs>
          <w:tab w:leader="none" w:pos="92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Forward-Looking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financial or operational projection or other “forward-looking statement” (as defined by Section 27A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is was false or misleading in any material respect.</w:t>
      </w:r>
    </w:p>
    <w:p>
      <w:pPr>
        <w:spacing w:after="0" w:line="183" w:lineRule="exact"/>
        <w:rPr>
          <w:sz w:val="20"/>
          <w:szCs w:val="20"/>
          <w:color w:val="auto"/>
        </w:rPr>
      </w:pPr>
    </w:p>
    <w:p>
      <w:pPr>
        <w:ind w:right="120" w:firstLine="464"/>
        <w:spacing w:after="0" w:line="291" w:lineRule="auto"/>
        <w:tabs>
          <w:tab w:leader="none" w:pos="801"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Emerging Growth Company Status</w:t>
      </w:r>
      <w:r>
        <w:rPr>
          <w:rFonts w:ascii="Times New Roman" w:cs="Times New Roman" w:eastAsia="Times New Roman" w:hAnsi="Times New Roman"/>
          <w:sz w:val="17"/>
          <w:szCs w:val="17"/>
          <w:color w:val="auto"/>
        </w:rPr>
        <w:t>. From the time of initial confidential submission of the Registration Statement to the Commission (or, if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Times New Roman" w:cs="Times New Roman" w:eastAsia="Times New Roman" w:hAnsi="Times New Roman"/>
          <w:sz w:val="17"/>
          <w:szCs w:val="17"/>
          <w:b w:val="1"/>
          <w:bCs w:val="1"/>
          <w:color w:val="auto"/>
        </w:rPr>
        <w:t>Emerging Growth Company</w:t>
      </w:r>
      <w:r>
        <w:rPr>
          <w:rFonts w:ascii="Times New Roman" w:cs="Times New Roman" w:eastAsia="Times New Roman" w:hAnsi="Times New Roman"/>
          <w:sz w:val="17"/>
          <w:szCs w:val="17"/>
          <w:color w:val="auto"/>
        </w:rPr>
        <w:t>”).</w:t>
      </w:r>
    </w:p>
    <w:p>
      <w:pPr>
        <w:spacing w:after="0" w:line="153" w:lineRule="exact"/>
        <w:rPr>
          <w:rFonts w:ascii="Times New Roman" w:cs="Times New Roman" w:eastAsia="Times New Roman" w:hAnsi="Times New Roman"/>
          <w:sz w:val="17"/>
          <w:szCs w:val="17"/>
          <w:b w:val="1"/>
          <w:bCs w:val="1"/>
          <w:color w:val="auto"/>
        </w:rPr>
      </w:pPr>
    </w:p>
    <w:p>
      <w:pPr>
        <w:ind w:right="20" w:firstLine="464"/>
        <w:spacing w:after="0" w:line="254" w:lineRule="auto"/>
        <w:tabs>
          <w:tab w:leader="none" w:pos="82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Communications</w:t>
      </w:r>
      <w:r>
        <w:rPr>
          <w:rFonts w:ascii="Times New Roman" w:cs="Times New Roman" w:eastAsia="Times New Roman" w:hAnsi="Times New Roman"/>
          <w:sz w:val="18"/>
          <w:szCs w:val="18"/>
          <w:color w:val="auto"/>
        </w:rPr>
        <w:t>. The Company (i) has not alone engaged in communications with potential investors in reliance on Section 5(d) of the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other than Permitted Section 5(d)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21 calendar days prior to any “road show” (as defined in Rule 433 under the Act), any confidentially submitted registration statement and registration statement amendments relating to the offer and sale of the Offered Shares.</w:t>
      </w:r>
    </w:p>
    <w:p>
      <w:pPr>
        <w:spacing w:after="0" w:line="186" w:lineRule="exact"/>
        <w:rPr>
          <w:rFonts w:ascii="Times New Roman" w:cs="Times New Roman" w:eastAsia="Times New Roman" w:hAnsi="Times New Roman"/>
          <w:sz w:val="18"/>
          <w:szCs w:val="18"/>
          <w:b w:val="1"/>
          <w:bCs w:val="1"/>
          <w:color w:val="auto"/>
        </w:rPr>
      </w:pPr>
    </w:p>
    <w:p>
      <w:pPr>
        <w:ind w:right="20" w:firstLine="464"/>
        <w:spacing w:after="0" w:line="257" w:lineRule="auto"/>
        <w:tabs>
          <w:tab w:leader="none" w:pos="82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Franchise Law. </w:t>
      </w:r>
      <w:r>
        <w:rPr>
          <w:rFonts w:ascii="Times New Roman" w:cs="Times New Roman" w:eastAsia="Times New Roman" w:hAnsi="Times New Roman"/>
          <w:sz w:val="18"/>
          <w:szCs w:val="18"/>
          <w:color w:val="auto"/>
        </w:rPr>
        <w:t>The Company has made all the necessary filings and obtained all authorizations with such governmental entities necessary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 on the business of a franchisor offering and selling franchises, except where the failure to obtain such filings and authorizations would not reasonably be expected to have a Material Adverse Effect. Except for those matters that would not reasonably be expected to have a Material Adverse Effect and except for the suspension, if any, of franchise registrations for limited time periods specified in certain states in connection with a proposed acquisition, all franchise registrations remain in full force and effect and are not the subject of any existing or, to the knowledge of the Company, threatened proceeding that might, in whole or in part, result in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0" w:right="239" w:bottom="1440" w:gutter="0" w:footer="0" w:header="0"/>
        </w:sectPr>
      </w:pPr>
    </w:p>
    <w:bookmarkStart w:id="41" w:name="page42"/>
    <w:bookmarkEnd w:id="41"/>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revocation, modification, suspension, conditioning or dissolution of any such franchise registration and/or any other circumstance that may impede or preclude the Company’s ability routinely to renew or amend (as the case may be) any such franchise registration and/or enter into franchise agreements in any jurisdictions in any material respect. The Company is in compliance with the applicable requirements of the FTC Trade Regulation Rule entitled “Disclosure Requirements and Prohibitions Concerning Franchising and Business Opportunity Ventures” (the “</w:t>
      </w:r>
      <w:r>
        <w:rPr>
          <w:rFonts w:ascii="Times New Roman" w:cs="Times New Roman" w:eastAsia="Times New Roman" w:hAnsi="Times New Roman"/>
          <w:sz w:val="18"/>
          <w:szCs w:val="18"/>
          <w:b w:val="1"/>
          <w:bCs w:val="1"/>
          <w:color w:val="auto"/>
        </w:rPr>
        <w:t>FTC Rule</w:t>
      </w:r>
      <w:r>
        <w:rPr>
          <w:rFonts w:ascii="Times New Roman" w:cs="Times New Roman" w:eastAsia="Times New Roman" w:hAnsi="Times New Roman"/>
          <w:sz w:val="18"/>
          <w:szCs w:val="18"/>
          <w:color w:val="auto"/>
        </w:rPr>
        <w:t>”), and is in compliance with the applicable requirements of franchise registration law pertaining to the offer and sale of franchises, except for any non-compliance that would not reasonably be expected to have a Material Adverse Effect. Each franchise disclosure document of the Company and its subsidiaries (each, an “</w:t>
      </w:r>
      <w:r>
        <w:rPr>
          <w:rFonts w:ascii="Times New Roman" w:cs="Times New Roman" w:eastAsia="Times New Roman" w:hAnsi="Times New Roman"/>
          <w:sz w:val="18"/>
          <w:szCs w:val="18"/>
          <w:b w:val="1"/>
          <w:bCs w:val="1"/>
          <w:color w:val="auto"/>
        </w:rPr>
        <w:t>FDD</w:t>
      </w:r>
      <w:r>
        <w:rPr>
          <w:rFonts w:ascii="Times New Roman" w:cs="Times New Roman" w:eastAsia="Times New Roman" w:hAnsi="Times New Roman"/>
          <w:sz w:val="18"/>
          <w:szCs w:val="18"/>
          <w:color w:val="auto"/>
        </w:rPr>
        <w:t>”) is in material compliance, as of the effective date of such FDD, with the applicable disclosure provisions of the FTC Rule and the franchise disclosure laws of those states with which the Company has obtained registration or exemption of franchise offers and sales, except for any non-compliance that would not reasonably be expected to have a Material Adverse Effect. Except for any non-compliance that would not reasonably be expected to have a Material Adverse Effect, no FDD contains any untrue statement of a material fact or omits to state a material fact required to be stated therein or necessary in order to make the statements therein, in light of the circumstances under which they were made, not misleading. To the Company’s knowledge, the Company is not subject to a notice of violation of the FTC Rule or any franchise registration law or any cease and desist order issued by the Federal Trade Commission regarding the Company or the Guarantor’s franchising activities.</w:t>
      </w:r>
    </w:p>
    <w:p>
      <w:pPr>
        <w:spacing w:after="0" w:line="185" w:lineRule="exact"/>
        <w:rPr>
          <w:sz w:val="20"/>
          <w:szCs w:val="20"/>
          <w:color w:val="auto"/>
        </w:rPr>
      </w:pPr>
    </w:p>
    <w:p>
      <w:pPr>
        <w:ind w:firstLine="464"/>
        <w:spacing w:after="0" w:line="255" w:lineRule="auto"/>
        <w:tabs>
          <w:tab w:leader="none" w:pos="78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Franchise Agreements. </w:t>
      </w:r>
      <w:r>
        <w:rPr>
          <w:rFonts w:ascii="Times New Roman" w:cs="Times New Roman" w:eastAsia="Times New Roman" w:hAnsi="Times New Roman"/>
          <w:sz w:val="18"/>
          <w:szCs w:val="18"/>
          <w:color w:val="auto"/>
        </w:rPr>
        <w:t>Each of the franchise agreements entered into by the Company or any of its subsidiaries and described or referred to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 the Time of Sale Prospectus or the Prospectus (collectively, the “</w:t>
      </w:r>
      <w:r>
        <w:rPr>
          <w:rFonts w:ascii="Times New Roman" w:cs="Times New Roman" w:eastAsia="Times New Roman" w:hAnsi="Times New Roman"/>
          <w:sz w:val="18"/>
          <w:szCs w:val="18"/>
          <w:b w:val="1"/>
          <w:bCs w:val="1"/>
          <w:color w:val="auto"/>
        </w:rPr>
        <w:t>Franchise Agreements</w:t>
      </w:r>
      <w:r>
        <w:rPr>
          <w:rFonts w:ascii="Times New Roman" w:cs="Times New Roman" w:eastAsia="Times New Roman" w:hAnsi="Times New Roman"/>
          <w:sz w:val="18"/>
          <w:szCs w:val="18"/>
          <w:color w:val="auto"/>
        </w:rPr>
        <w:t>”) is in full force and effect except as would not reasonably be expected to have a Material Adverse Effect; to the Company’s knowledge, none of the persons or entities (the “</w:t>
      </w:r>
      <w:r>
        <w:rPr>
          <w:rFonts w:ascii="Times New Roman" w:cs="Times New Roman" w:eastAsia="Times New Roman" w:hAnsi="Times New Roman"/>
          <w:sz w:val="18"/>
          <w:szCs w:val="18"/>
          <w:b w:val="1"/>
          <w:bCs w:val="1"/>
          <w:color w:val="auto"/>
        </w:rPr>
        <w:t>Franchise Owners</w:t>
      </w:r>
      <w:r>
        <w:rPr>
          <w:rFonts w:ascii="Times New Roman" w:cs="Times New Roman" w:eastAsia="Times New Roman" w:hAnsi="Times New Roman"/>
          <w:sz w:val="18"/>
          <w:szCs w:val="18"/>
          <w:color w:val="auto"/>
        </w:rPr>
        <w:t>”) holding franchise rights from the Company or any of its subsidiary is in breach or violation of, or in default under (nor has any event occurred which with notice, lapse of time, or both would result in any breach or violation of, or constitute a default under) any such Franchise Agreement; neither the Company nor any of its subsidiary nor, to the Company’s knowledge, any Franchise Owner has the right to terminate any Franchise Agreement prior to the termination of its stated term, and no event or circumstance has occurred which, with notice, lapse of time or both, would create such a right; and neither the Company nor any subsidiary has received, or, to the Company’s knowledge, been threatened with, a termination notice from any Franchise Owner or any other party with respect to a Franchise Agreement, nor is the Company aware that any person or entity intends to furnish such a notice.</w:t>
      </w:r>
    </w:p>
    <w:p>
      <w:pPr>
        <w:spacing w:after="0" w:line="181" w:lineRule="exact"/>
        <w:rPr>
          <w:rFonts w:ascii="Times New Roman" w:cs="Times New Roman" w:eastAsia="Times New Roman" w:hAnsi="Times New Roman"/>
          <w:sz w:val="18"/>
          <w:szCs w:val="18"/>
          <w:b w:val="1"/>
          <w:bCs w:val="1"/>
          <w:color w:val="auto"/>
        </w:rPr>
      </w:pPr>
    </w:p>
    <w:p>
      <w:pPr>
        <w:ind w:left="760" w:hanging="296"/>
        <w:spacing w:after="0"/>
        <w:tabs>
          <w:tab w:leader="none" w:pos="7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Franchise Owners and Franchises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Company’s knowledge: (i) each of the Franchise Owners and the franchises (collectively, the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Franchises</w:t>
      </w:r>
      <w:r>
        <w:rPr>
          <w:rFonts w:ascii="Times New Roman" w:cs="Times New Roman" w:eastAsia="Times New Roman" w:hAnsi="Times New Roman"/>
          <w:sz w:val="18"/>
          <w:szCs w:val="18"/>
          <w:color w:val="auto"/>
        </w:rPr>
        <w:t>”) operated by any of the Franchise Owners has all necessary licenses, authorizations, consents and approvals and has made all necessary filings required under any federal, state, local or foreign law, regulation or rule, and has obtained all necessary licenses, authorizations, consents and approvals from other persons, in order to conduct its business, except where the failure to obtain any such licenses, authorizations, consents or approvals or make any such filings could not be expected, individually or in the aggregate, to have a Material Adverse Effect; (ii) none of the Franchise Owners is in violation of, or in default under, or has received notice of any proceedings relating to revocation or modification of, any such license, authorization, consent or approval or any federal, state, local or foreign law, regulation or rule (including those federal, state, local or foreign laws, regulations or rules applicable to reimbursement for healthcare or any related services) or any decree, order or judgment applicable to such Franchise Owner or the business conducted thereby, except where such violation, default, revocation or modification could not, individually or in the aggregate, be expected to have a Material Adverse Effect; and (iii) there are no actions, suits, claims, investigations or proceedings pending or threatened or contemplated to which any of the Franchise Owners is or would be a party or of which any of their respective properties is or would be subject at law or in equity, before or by</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270" w:right="279" w:bottom="1440" w:gutter="0" w:footer="0" w:header="0"/>
        </w:sectPr>
      </w:pPr>
    </w:p>
    <w:bookmarkStart w:id="42" w:name="page43"/>
    <w:bookmarkEnd w:id="42"/>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federal, state, local or foreign governmental or regulatory commission, board, body, authority or agency, or before or by any self-regulatory organization or other non-governmental regulatory authority, except any such action, suit, claim, investigation or proceeding which could not result in a judgment, decree or order having, individually or in the aggregate, a Material Adverse Effect.</w:t>
      </w:r>
    </w:p>
    <w:p>
      <w:pPr>
        <w:spacing w:after="0" w:line="172" w:lineRule="exact"/>
        <w:rPr>
          <w:sz w:val="20"/>
          <w:szCs w:val="20"/>
          <w:color w:val="auto"/>
        </w:rPr>
      </w:pPr>
    </w:p>
    <w:p>
      <w:pPr>
        <w:ind w:right="220" w:firstLine="464"/>
        <w:spacing w:after="0" w:line="268" w:lineRule="auto"/>
        <w:tabs>
          <w:tab w:leader="none" w:pos="74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Rights to Purchase Preferred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issuance and sale of the Shares as contemplated hereby will not cause any holder of any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170" w:lineRule="exact"/>
        <w:rPr>
          <w:rFonts w:ascii="Times New Roman" w:cs="Times New Roman" w:eastAsia="Times New Roman" w:hAnsi="Times New Roman"/>
          <w:sz w:val="18"/>
          <w:szCs w:val="18"/>
          <w:b w:val="1"/>
          <w:bCs w:val="1"/>
          <w:color w:val="auto"/>
        </w:rPr>
      </w:pPr>
    </w:p>
    <w:p>
      <w:pPr>
        <w:ind w:firstLine="464"/>
        <w:spacing w:after="0" w:line="259" w:lineRule="auto"/>
        <w:tabs>
          <w:tab w:leader="none" w:pos="82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No Contract Terminations. </w:t>
      </w:r>
      <w:r>
        <w:rPr>
          <w:rFonts w:ascii="Times New Roman" w:cs="Times New Roman" w:eastAsia="Times New Roman" w:hAnsi="Times New Roman"/>
          <w:sz w:val="18"/>
          <w:szCs w:val="18"/>
          <w:color w:val="auto"/>
        </w:rPr>
        <w:t>Neither the Company nor any of its subsidiaries has sent or received any communication regarding termination of,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intent not to renew, any 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79" w:lineRule="exact"/>
        <w:rPr>
          <w:rFonts w:ascii="Times New Roman" w:cs="Times New Roman" w:eastAsia="Times New Roman" w:hAnsi="Times New Roman"/>
          <w:sz w:val="18"/>
          <w:szCs w:val="18"/>
          <w:b w:val="1"/>
          <w:bCs w:val="1"/>
          <w:color w:val="auto"/>
        </w:rPr>
      </w:pPr>
    </w:p>
    <w:p>
      <w:pPr>
        <w:ind w:right="100" w:firstLine="464"/>
        <w:spacing w:after="0" w:line="282" w:lineRule="auto"/>
        <w:tabs>
          <w:tab w:leader="none" w:pos="801"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Dividend Restrictions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as disclosed in the Registration Statement, the Time of Sale Prospectus and the Prospectus, no subsidiary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6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76"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Section 2. Purchase, Sale and Delivery of the Offered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64"/>
        <w:spacing w:after="0" w:line="262" w:lineRule="auto"/>
        <w:tabs>
          <w:tab w:leader="none" w:pos="71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Firm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terms herein set forth, the Company agrees to issue and sell to the several Underwriters an aggregate of 7,142,857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purchase price per Firm Share to be paid by the several Underwriters to the Company shall be $13.95 per share.</w:t>
      </w:r>
    </w:p>
    <w:p>
      <w:pPr>
        <w:spacing w:after="0" w:line="176" w:lineRule="exact"/>
        <w:rPr>
          <w:rFonts w:ascii="Times New Roman" w:cs="Times New Roman" w:eastAsia="Times New Roman" w:hAnsi="Times New Roman"/>
          <w:sz w:val="18"/>
          <w:szCs w:val="18"/>
          <w:b w:val="1"/>
          <w:bCs w:val="1"/>
          <w:color w:val="auto"/>
        </w:rPr>
      </w:pPr>
    </w:p>
    <w:p>
      <w:pPr>
        <w:ind w:firstLine="464"/>
        <w:spacing w:after="0" w:line="262" w:lineRule="auto"/>
        <w:tabs>
          <w:tab w:leader="none" w:pos="72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First Closing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of certificates for the Firm Shares to be purchased by the Underwriters and payment therefor shall be made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of Latham &amp; Watkins LLP (or such other place as may be agreed to by the Company and the Representatives) at 9:00 a.m. New York City time, on July 30, 2014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such other time and date not later than 1:30 p.m. New York City time, on August 13, 2014 as the Representatives shall designate by notice to the Company (the time and date 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0" w:right="239" w:bottom="1440" w:gutter="0" w:footer="0" w:header="0"/>
        </w:sectPr>
      </w:pPr>
    </w:p>
    <w:bookmarkStart w:id="43" w:name="page44"/>
    <w:bookmarkEnd w:id="43"/>
    <w:p>
      <w:pPr>
        <w:ind w:right="1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closing are called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171" w:lineRule="exact"/>
        <w:rPr>
          <w:sz w:val="20"/>
          <w:szCs w:val="20"/>
          <w:color w:val="auto"/>
        </w:rPr>
      </w:pPr>
    </w:p>
    <w:p>
      <w:pPr>
        <w:ind w:firstLine="464"/>
        <w:spacing w:after="0" w:line="252" w:lineRule="auto"/>
        <w:tabs>
          <w:tab w:leader="none" w:pos="701"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Optional Shares; Option Closing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addition, on the basis of the representations, warranties and agreements herein contained, and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terms but subject to the conditions herein set forth, the Company, hereby grants an option to the several Underwriters to purchase, severally and not jointly, up to an aggregate of 1,071,429 Optional Shares from the Company at the purchase price per share to be paid by the Underwriters for the Firm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amount paid by the Underwriters for any Optional Shares shall be reduced by an amount per share equal to any dividends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Company and payable on the Firm Shares but not payable on such Optional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shall refer to the time and date of delivery of certificates for the Firm Shares and such Optional Shares). Any such time and date of delivery, if subsequent to the First Closing Date, is called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xml:space="preserve">,” shall be determined by the Representatives and shall not be earlier than three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Firm Shares. The Representatives may cancel the option at any time prior to its expiration by giving written notice of such cancellation to the Company.</w:t>
      </w:r>
    </w:p>
    <w:p>
      <w:pPr>
        <w:spacing w:after="0" w:line="196" w:lineRule="exact"/>
        <w:rPr>
          <w:rFonts w:ascii="Times New Roman" w:cs="Times New Roman" w:eastAsia="Times New Roman" w:hAnsi="Times New Roman"/>
          <w:sz w:val="18"/>
          <w:szCs w:val="18"/>
          <w:b w:val="1"/>
          <w:bCs w:val="1"/>
          <w:color w:val="auto"/>
        </w:rPr>
      </w:pPr>
    </w:p>
    <w:p>
      <w:pPr>
        <w:jc w:val="both"/>
        <w:ind w:right="20" w:firstLine="464"/>
        <w:spacing w:after="0" w:line="262" w:lineRule="auto"/>
        <w:tabs>
          <w:tab w:leader="none" w:pos="721"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Offering of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Representatives hereby advise the Company that the Underwriters intend to offer for sale to the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have determined is advisable and practicable.</w:t>
      </w:r>
    </w:p>
    <w:p>
      <w:pPr>
        <w:spacing w:after="0" w:line="176" w:lineRule="exact"/>
        <w:rPr>
          <w:rFonts w:ascii="Times New Roman" w:cs="Times New Roman" w:eastAsia="Times New Roman" w:hAnsi="Times New Roman"/>
          <w:sz w:val="18"/>
          <w:szCs w:val="18"/>
          <w:b w:val="1"/>
          <w:bCs w:val="1"/>
          <w:color w:val="auto"/>
        </w:rPr>
      </w:pPr>
    </w:p>
    <w:p>
      <w:pPr>
        <w:ind w:right="440" w:firstLine="464"/>
        <w:spacing w:after="0" w:line="286" w:lineRule="auto"/>
        <w:tabs>
          <w:tab w:leader="none" w:pos="701"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Payment for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 Payment for the Offered Shares shall be made at the First Closing Date (and, if applicable, at each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Date) by wire transfer of immediately available funds to the order of the Company.</w:t>
      </w:r>
    </w:p>
    <w:p>
      <w:pPr>
        <w:spacing w:after="0" w:line="158" w:lineRule="exact"/>
        <w:rPr>
          <w:rFonts w:ascii="Times New Roman" w:cs="Times New Roman" w:eastAsia="Times New Roman" w:hAnsi="Times New Roman"/>
          <w:sz w:val="18"/>
          <w:szCs w:val="18"/>
          <w:b w:val="1"/>
          <w:bCs w:val="1"/>
          <w:color w:val="auto"/>
        </w:rPr>
      </w:pPr>
    </w:p>
    <w:p>
      <w:pPr>
        <w:ind w:right="160" w:firstLine="921"/>
        <w:spacing w:after="0" w:line="256" w:lineRule="auto"/>
        <w:tabs>
          <w:tab w:leader="none" w:pos="117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and Morgan Stanley,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83" w:lineRule="exact"/>
        <w:rPr>
          <w:rFonts w:ascii="Times New Roman" w:cs="Times New Roman" w:eastAsia="Times New Roman" w:hAnsi="Times New Roman"/>
          <w:sz w:val="18"/>
          <w:szCs w:val="18"/>
          <w:color w:val="auto"/>
        </w:rPr>
      </w:pPr>
    </w:p>
    <w:p>
      <w:pPr>
        <w:ind w:right="800" w:firstLine="464"/>
        <w:spacing w:after="0" w:line="286" w:lineRule="auto"/>
        <w:tabs>
          <w:tab w:leader="none" w:pos="681"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Delivery of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deliver, or cause to be delivered to the Representatives for the accounts of the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certificates for the Firm Shares at the First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66" w:right="239" w:bottom="1440" w:gutter="0" w:footer="0" w:header="0"/>
        </w:sectPr>
      </w:pPr>
    </w:p>
    <w:bookmarkStart w:id="44" w:name="page45"/>
    <w:bookmarkEnd w:id="4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Closing Date, against release of a wire transfer of immediately available funds for the amount of the purchase price therefor. The Company shall also deliver, or cause to be delivered to the Representatives for the accounts of the several Underwriters, certificates for the Optional Shares the Underwriters have agreed to purchase at the First Closing Date or the applicable Option Closing Date, as the case may be, against the release of a wire transfer of immediately available funds for the amount of the purchase price therefor. The certificates for the Offered Shares shall be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18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Section 3. Additional Covenants.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further covenants and agrees with each Underwriter as follows:</w:t>
      </w:r>
    </w:p>
    <w:p>
      <w:pPr>
        <w:spacing w:after="0" w:line="221" w:lineRule="exact"/>
        <w:rPr>
          <w:sz w:val="20"/>
          <w:szCs w:val="20"/>
          <w:color w:val="auto"/>
        </w:rPr>
      </w:pPr>
    </w:p>
    <w:p>
      <w:pPr>
        <w:ind w:firstLine="464"/>
        <w:spacing w:after="0" w:line="259" w:lineRule="auto"/>
        <w:tabs>
          <w:tab w:leader="none" w:pos="711"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Delivery of Registration Statement, Time of Sale Prospectus and Prospectus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furnish to you in New York City, without charge,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179" w:lineRule="exact"/>
        <w:rPr>
          <w:rFonts w:ascii="Times New Roman" w:cs="Times New Roman" w:eastAsia="Times New Roman" w:hAnsi="Times New Roman"/>
          <w:sz w:val="18"/>
          <w:szCs w:val="18"/>
          <w:b w:val="1"/>
          <w:bCs w:val="1"/>
          <w:color w:val="auto"/>
        </w:rPr>
      </w:pPr>
    </w:p>
    <w:p>
      <w:pPr>
        <w:ind w:right="220" w:firstLine="464"/>
        <w:spacing w:after="0" w:line="255" w:lineRule="auto"/>
        <w:tabs>
          <w:tab w:leader="none" w:pos="721"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Representatives’ Review of Proposed Amendments and Supplements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period when a prospectus relating to the Offered Shares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81" w:lineRule="exact"/>
        <w:rPr>
          <w:rFonts w:ascii="Times New Roman" w:cs="Times New Roman" w:eastAsia="Times New Roman" w:hAnsi="Times New Roman"/>
          <w:sz w:val="18"/>
          <w:szCs w:val="18"/>
          <w:b w:val="1"/>
          <w:bCs w:val="1"/>
          <w:color w:val="auto"/>
        </w:rPr>
      </w:pPr>
    </w:p>
    <w:p>
      <w:pPr>
        <w:ind w:right="20" w:firstLine="464"/>
        <w:spacing w:after="0" w:line="272" w:lineRule="auto"/>
        <w:tabs>
          <w:tab w:leader="none" w:pos="701"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Free Writing Prospectuses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shall furnish to the Representatives for review, a reasonable amount of time prior to the proposed time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filing or use thereof, a copy of each proposed free writing prospectus or any amendment or supplement thereto used by, or referred to by the Company, and the Company shall not file, use or refer to any proposed free writing prospectus or any amendment or supplement thereto without the Representatives’ prior written consent. The Company shall furnish to each Underwriter, without charge, as many copies of any free writing prospectus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used by, or referred to by the Company conflicted or would conflict with the information contained in the Registration Statement or included or would include an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0" w:right="259" w:bottom="1440" w:gutter="0" w:footer="0" w:header="0"/>
        </w:sectPr>
      </w:pPr>
    </w:p>
    <w:bookmarkStart w:id="45" w:name="page46"/>
    <w:bookmarkEnd w:id="45"/>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w:t>
      </w:r>
    </w:p>
    <w:p>
      <w:pPr>
        <w:spacing w:after="0" w:line="181" w:lineRule="exact"/>
        <w:rPr>
          <w:sz w:val="20"/>
          <w:szCs w:val="20"/>
          <w:color w:val="auto"/>
        </w:rPr>
      </w:pPr>
    </w:p>
    <w:p>
      <w:pPr>
        <w:ind w:right="360" w:firstLine="464"/>
        <w:spacing w:after="0" w:line="268" w:lineRule="auto"/>
        <w:tabs>
          <w:tab w:leader="none" w:pos="72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Filing of Underwriter Free Writing Prospectuses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not take any action that would result in an Underwriter or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70" w:lineRule="exact"/>
        <w:rPr>
          <w:rFonts w:ascii="Times New Roman" w:cs="Times New Roman" w:eastAsia="Times New Roman" w:hAnsi="Times New Roman"/>
          <w:sz w:val="18"/>
          <w:szCs w:val="18"/>
          <w:b w:val="1"/>
          <w:bCs w:val="1"/>
          <w:color w:val="auto"/>
        </w:rPr>
      </w:pPr>
    </w:p>
    <w:p>
      <w:pPr>
        <w:ind w:firstLine="464"/>
        <w:spacing w:after="0" w:line="253" w:lineRule="auto"/>
        <w:tabs>
          <w:tab w:leader="none" w:pos="70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Amendments and Supplements to Time of Sale Prospectus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 Time of Sale Prospectus is being used to solicit offers to buy the Offered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90" w:lineRule="exact"/>
        <w:rPr>
          <w:rFonts w:ascii="Times New Roman" w:cs="Times New Roman" w:eastAsia="Times New Roman" w:hAnsi="Times New Roman"/>
          <w:sz w:val="18"/>
          <w:szCs w:val="18"/>
          <w:b w:val="1"/>
          <w:bCs w:val="1"/>
          <w:color w:val="auto"/>
        </w:rPr>
      </w:pPr>
    </w:p>
    <w:p>
      <w:pPr>
        <w:ind w:right="60" w:firstLine="464"/>
        <w:spacing w:after="0" w:line="254" w:lineRule="auto"/>
        <w:tabs>
          <w:tab w:leader="none" w:pos="68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Notifications and Required 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the date of this Agreement and until such time as the Underwriters are no longer required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 a Prospectus in order to confirm sales of the Offered Shares, the Company shall promptly advise the Representatives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0" w:right="259" w:bottom="1440" w:gutter="0" w:footer="0" w:header="0"/>
        </w:sectPr>
      </w:pPr>
    </w:p>
    <w:bookmarkStart w:id="46" w:name="page47"/>
    <w:bookmarkEnd w:id="46"/>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lifting of such order at the earliest possible moment.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172" w:lineRule="exact"/>
        <w:rPr>
          <w:sz w:val="20"/>
          <w:szCs w:val="20"/>
          <w:color w:val="auto"/>
        </w:rPr>
      </w:pPr>
    </w:p>
    <w:p>
      <w:pPr>
        <w:ind w:right="20" w:firstLine="464"/>
        <w:spacing w:after="0" w:line="254" w:lineRule="auto"/>
        <w:tabs>
          <w:tab w:leader="none" w:pos="711"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Amendments and Supplements to the Prospectus and Other Securities Act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any event shall occur or condition exist as a result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183" w:lineRule="exact"/>
        <w:rPr>
          <w:rFonts w:ascii="Times New Roman" w:cs="Times New Roman" w:eastAsia="Times New Roman" w:hAnsi="Times New Roman"/>
          <w:sz w:val="18"/>
          <w:szCs w:val="18"/>
          <w:b w:val="1"/>
          <w:bCs w:val="1"/>
          <w:color w:val="auto"/>
        </w:rPr>
      </w:pPr>
    </w:p>
    <w:p>
      <w:pPr>
        <w:ind w:firstLine="464"/>
        <w:spacing w:after="0" w:line="255" w:lineRule="auto"/>
        <w:tabs>
          <w:tab w:leader="none" w:pos="721"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Blue Sky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cooperate with the Representatives and counsel for the Underwriters to qualify or register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for sale under (or obtain exemptions from the application of) the state securities or blue sky laws or Canadian provincial securities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1" w:lineRule="exact"/>
        <w:rPr>
          <w:rFonts w:ascii="Times New Roman" w:cs="Times New Roman" w:eastAsia="Times New Roman" w:hAnsi="Times New Roman"/>
          <w:sz w:val="18"/>
          <w:szCs w:val="18"/>
          <w:b w:val="1"/>
          <w:bCs w:val="1"/>
          <w:color w:val="auto"/>
        </w:rPr>
      </w:pPr>
    </w:p>
    <w:p>
      <w:pPr>
        <w:ind w:firstLine="464"/>
        <w:spacing w:after="0" w:line="286" w:lineRule="auto"/>
        <w:tabs>
          <w:tab w:leader="none" w:pos="671"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apply the net proceeds from the sale of the Offered Shares sold by it in the manner described under the caption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of Proceeds” in the Registration Statement, the Time of Sale Prospectus and the Prospectus.</w:t>
      </w:r>
    </w:p>
    <w:p>
      <w:pPr>
        <w:spacing w:after="0" w:line="154" w:lineRule="exact"/>
        <w:rPr>
          <w:rFonts w:ascii="Times New Roman" w:cs="Times New Roman" w:eastAsia="Times New Roman" w:hAnsi="Times New Roman"/>
          <w:sz w:val="18"/>
          <w:szCs w:val="18"/>
          <w:b w:val="1"/>
          <w:bCs w:val="1"/>
          <w:color w:val="auto"/>
        </w:rPr>
      </w:pPr>
    </w:p>
    <w:p>
      <w:pPr>
        <w:ind w:left="680" w:hanging="216"/>
        <w:spacing w:after="0"/>
        <w:tabs>
          <w:tab w:leader="none" w:pos="6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engage and maintain, at its expense, a registrar and transfer agent for the Shares.</w:t>
      </w:r>
    </w:p>
    <w:p>
      <w:pPr>
        <w:spacing w:after="0" w:line="225" w:lineRule="exact"/>
        <w:rPr>
          <w:rFonts w:ascii="Times New Roman" w:cs="Times New Roman" w:eastAsia="Times New Roman" w:hAnsi="Times New Roman"/>
          <w:sz w:val="18"/>
          <w:szCs w:val="18"/>
          <w:b w:val="1"/>
          <w:bCs w:val="1"/>
          <w:color w:val="auto"/>
        </w:rPr>
      </w:pPr>
    </w:p>
    <w:p>
      <w:pPr>
        <w:ind w:right="540" w:firstLine="464"/>
        <w:spacing w:after="0" w:line="262" w:lineRule="auto"/>
        <w:tabs>
          <w:tab w:leader="none" w:pos="721"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make generally available to its security holders and to the Representatives as soon as practicable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270" w:right="279" w:bottom="1440" w:gutter="0" w:footer="0" w:header="0"/>
        </w:sectPr>
      </w:pPr>
    </w:p>
    <w:bookmarkStart w:id="47" w:name="page48"/>
    <w:bookmarkEnd w:id="47"/>
    <w:p>
      <w:pPr>
        <w:ind w:left="-8" w:right="20" w:firstLine="464"/>
        <w:spacing w:after="0" w:line="257" w:lineRule="auto"/>
        <w:tabs>
          <w:tab w:leader="none" w:pos="663"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Continued Compliance with Securities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comply with the Securities Act and the Exchange Act so as to permit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of the distribution of the Offered Shares as contemplated by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Global Select Market all reports and documents required to be filed under the Exchange Act. Additionally, the Company shall report the use of proceeds from the issuance of the Offered Shares as may be required under Rule 463 under the Securities Act.</w:t>
      </w:r>
    </w:p>
    <w:p>
      <w:pPr>
        <w:spacing w:after="0" w:line="182" w:lineRule="exact"/>
        <w:rPr>
          <w:rFonts w:ascii="Times New Roman" w:cs="Times New Roman" w:eastAsia="Times New Roman" w:hAnsi="Times New Roman"/>
          <w:sz w:val="18"/>
          <w:szCs w:val="18"/>
          <w:b w:val="1"/>
          <w:bCs w:val="1"/>
          <w:color w:val="auto"/>
        </w:rPr>
      </w:pPr>
    </w:p>
    <w:p>
      <w:pPr>
        <w:ind w:left="772" w:hanging="316"/>
        <w:spacing w:after="0"/>
        <w:tabs>
          <w:tab w:leader="none" w:pos="772"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8" w:firstLine="464"/>
        <w:spacing w:after="0" w:line="253" w:lineRule="auto"/>
        <w:tabs>
          <w:tab w:leader="none" w:pos="713"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to Provide Copy of the Prospectus in Form That May be Downloaded from the Internet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requested by the Representatives,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cause to be prepared and delivered, at its expense, within one business day from the effective date of this Agreement, to the Representatives an “electronic Prospectus” to be used in connection with the offering and sale of the Offered Shares. As used herein, the term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means a form of Time of Sale Prospectus, and any amendment or supplement thereto, that meets each of the following conditions: (i) it shall be encoded in an electronic format, satisfactory to the Representatives, that may be transmitted electronically by the Representatives to offerees and purchasers of the Offered Shares;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Jefferies and Morgan Stanley,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188" w:lineRule="exact"/>
        <w:rPr>
          <w:rFonts w:ascii="Times New Roman" w:cs="Times New Roman" w:eastAsia="Times New Roman" w:hAnsi="Times New Roman"/>
          <w:sz w:val="18"/>
          <w:szCs w:val="18"/>
          <w:b w:val="1"/>
          <w:bCs w:val="1"/>
          <w:color w:val="auto"/>
        </w:rPr>
      </w:pPr>
    </w:p>
    <w:p>
      <w:pPr>
        <w:ind w:left="-8" w:right="20" w:firstLine="464"/>
        <w:spacing w:after="0" w:line="253" w:lineRule="auto"/>
        <w:tabs>
          <w:tab w:leader="none" w:pos="703"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Not to Offer or Sell Additional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period commencing on and including the date hereof and continuing through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180th day following the date of the Prospectus (such period, as extended as described below, being referred to herein as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Company will not, without the prior written consent of Jefferies and Morgan Stanley (which consent may be withheld in their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file any registration statement under the Securities Act in respect of any Shares or Related Securities (other than as contemplated by this Agreement with respect to the Offered Shares); or</w:t>
      </w:r>
    </w:p>
    <w:p>
      <w:pPr>
        <w:spacing w:after="0" w:line="1" w:lineRule="exact"/>
        <w:rPr>
          <w:rFonts w:ascii="Times New Roman" w:cs="Times New Roman" w:eastAsia="Times New Roman" w:hAnsi="Times New Roman"/>
          <w:sz w:val="18"/>
          <w:szCs w:val="18"/>
          <w:b w:val="1"/>
          <w:bCs w:val="1"/>
          <w:color w:val="auto"/>
        </w:rPr>
      </w:pPr>
    </w:p>
    <w:p>
      <w:pPr>
        <w:jc w:val="both"/>
        <w:ind w:left="-8" w:right="120" w:firstLine="8"/>
        <w:spacing w:after="0" w:line="255" w:lineRule="auto"/>
        <w:tabs>
          <w:tab w:leader="none" w:pos="3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publicly announce the intention to do any of the foregoing;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(A) effect the transactions contemplated hereby and (B) issue Shares or options to purchase Shares, or issue Shares upon exercise of options, pursuant to any stock option, stock bonus or other stock plan or arrangement described in the Registration Statement, the Time of Sale Prospectus and the Prospectus, but only if the</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92"/>
          </w:cols>
          <w:pgMar w:left="248" w:top="266" w:right="259" w:bottom="1440" w:gutter="0" w:footer="0" w:header="0"/>
        </w:sectPr>
      </w:pPr>
    </w:p>
    <w:bookmarkStart w:id="48" w:name="page49"/>
    <w:bookmarkEnd w:id="48"/>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holders of such Shares or options agree in writing with the Underwriters not to sell, offer, dispose of or otherwise transfer any such Shares or options on the terms of the Form of Lock-up Agreement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 file a registration statement on Form S-8 with respect to any securities issued or issuable pursuant to any stock option, stock bonus or other stock plan or arrangement described in the Registration Statement, the Time of Sale Prospectus and the Prospectus (D) sell or issue or enter into an agreement to sell or issue Shares or Related Securities in connection with bona fide mergers or acquisitions, joint ventures, commercial relationships or other strategic transactions (whether by means of merger, stock purchase, asset purchase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or Related Securities that the Company may sell or issue or agree to sell or issue pursuant to this clause (D) shall not exceed 5% of the total number of shares of the Company’s Common Stock issued and outstanding immediately following the completions of the transactions contemplated by this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recipient of Shares or Related Securities pursuant to this clause (D) shall execute a lock-up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purposes of the foregoing, “</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89" w:lineRule="exact"/>
        <w:rPr>
          <w:sz w:val="20"/>
          <w:szCs w:val="20"/>
          <w:color w:val="auto"/>
        </w:rPr>
      </w:pPr>
    </w:p>
    <w:p>
      <w:pPr>
        <w:ind w:right="20" w:firstLine="464"/>
        <w:spacing w:after="0" w:line="254" w:lineRule="auto"/>
        <w:tabs>
          <w:tab w:leader="none" w:pos="72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Future Reports to the Representatives. </w:t>
      </w:r>
      <w:r>
        <w:rPr>
          <w:rFonts w:ascii="Times New Roman" w:cs="Times New Roman" w:eastAsia="Times New Roman" w:hAnsi="Times New Roman"/>
          <w:sz w:val="18"/>
          <w:szCs w:val="18"/>
          <w:color w:val="auto"/>
        </w:rPr>
        <w:t>During the period of five years hereafter, the Company will furnish to the Representatives, c/o Jefferies,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Jefferies LLC, 520 Madison Avenue, New York, New York 10022, Attention: Global Head of Syndicate and Morgan Stanley, at Morgan Stanley &amp; Co. LLC, 1585 Broadway, New York, New York 10036, Attention: Equity Syndicate Department, with a copy to the Legal Department: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and (iii) as soon as available, copies of any report or communication of the Company furnished or made available generally to holders of its capital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requirements of this Section 3(q) shall be satisfied to the extent that such reports, statement, communications, financial statements or other documents are available on EDGAR.</w:t>
      </w:r>
    </w:p>
    <w:p>
      <w:pPr>
        <w:spacing w:after="0" w:line="186" w:lineRule="exact"/>
        <w:rPr>
          <w:rFonts w:ascii="Times New Roman" w:cs="Times New Roman" w:eastAsia="Times New Roman" w:hAnsi="Times New Roman"/>
          <w:sz w:val="18"/>
          <w:szCs w:val="18"/>
          <w:b w:val="1"/>
          <w:bCs w:val="1"/>
          <w:color w:val="auto"/>
        </w:rPr>
      </w:pPr>
    </w:p>
    <w:p>
      <w:pPr>
        <w:ind w:firstLine="464"/>
        <w:spacing w:after="0" w:line="286" w:lineRule="auto"/>
        <w:tabs>
          <w:tab w:leader="none" w:pos="72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Investment Limitation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not invest or otherwise use the proceeds received by the Company from its sale of the Offered Shares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 manner as would require the Company or any of its subsidiaries to register as an investment company under the Investment Company Act.</w:t>
      </w:r>
    </w:p>
    <w:p>
      <w:pPr>
        <w:spacing w:after="0" w:line="154" w:lineRule="exact"/>
        <w:rPr>
          <w:rFonts w:ascii="Times New Roman" w:cs="Times New Roman" w:eastAsia="Times New Roman" w:hAnsi="Times New Roman"/>
          <w:sz w:val="18"/>
          <w:szCs w:val="18"/>
          <w:b w:val="1"/>
          <w:bCs w:val="1"/>
          <w:color w:val="auto"/>
        </w:rPr>
      </w:pPr>
    </w:p>
    <w:p>
      <w:pPr>
        <w:ind w:right="80" w:firstLine="464"/>
        <w:spacing w:after="0" w:line="262" w:lineRule="auto"/>
        <w:tabs>
          <w:tab w:leader="none" w:pos="70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Stabilization or Manipulation; Compliance with Regulation 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not take, and will ensure that no affiliate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take, directly or indirectly, any action designed to or that might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176" w:lineRule="exact"/>
        <w:rPr>
          <w:rFonts w:ascii="Times New Roman" w:cs="Times New Roman" w:eastAsia="Times New Roman" w:hAnsi="Times New Roman"/>
          <w:sz w:val="18"/>
          <w:szCs w:val="18"/>
          <w:b w:val="1"/>
          <w:bCs w:val="1"/>
          <w:color w:val="auto"/>
        </w:rPr>
      </w:pPr>
    </w:p>
    <w:p>
      <w:pPr>
        <w:ind w:right="80" w:firstLine="464"/>
        <w:spacing w:after="0" w:line="259" w:lineRule="auto"/>
        <w:tabs>
          <w:tab w:leader="none" w:pos="69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Enforce Lock-Up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Lock-up Period, the Company will enforce all agreements between the Company and any of its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and stockholders pursuant to Section 6(h) hereof.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0" w:right="259" w:bottom="1440" w:gutter="0" w:footer="0" w:header="0"/>
        </w:sectPr>
      </w:pPr>
    </w:p>
    <w:bookmarkStart w:id="49" w:name="page50"/>
    <w:bookmarkEnd w:id="49"/>
    <w:p>
      <w:pPr>
        <w:ind w:right="40" w:firstLine="464"/>
        <w:spacing w:after="0" w:line="291" w:lineRule="auto"/>
        <w:tabs>
          <w:tab w:leader="none" w:pos="681"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to Provide Interim Financial Statements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Prior to the First Closing Date and each applicable Option Closing Date, the Company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53" w:lineRule="exact"/>
        <w:rPr>
          <w:rFonts w:ascii="Times New Roman" w:cs="Times New Roman" w:eastAsia="Times New Roman" w:hAnsi="Times New Roman"/>
          <w:sz w:val="17"/>
          <w:szCs w:val="17"/>
          <w:b w:val="1"/>
          <w:bCs w:val="1"/>
          <w:color w:val="auto"/>
        </w:rPr>
      </w:pPr>
    </w:p>
    <w:p>
      <w:pPr>
        <w:ind w:firstLine="464"/>
        <w:spacing w:after="0" w:line="259" w:lineRule="auto"/>
        <w:tabs>
          <w:tab w:leader="none" w:pos="72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Amendments and Supplements to Permitted Section 5(d) Communications</w:t>
      </w:r>
      <w:r>
        <w:rPr>
          <w:rFonts w:ascii="Times New Roman" w:cs="Times New Roman" w:eastAsia="Times New Roman" w:hAnsi="Times New Roman"/>
          <w:sz w:val="18"/>
          <w:szCs w:val="18"/>
          <w:color w:val="auto"/>
        </w:rPr>
        <w:t>. If at any time following the distribution of any Permitted Section 5(d)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pacing w:after="0" w:line="179" w:lineRule="exact"/>
        <w:rPr>
          <w:rFonts w:ascii="Times New Roman" w:cs="Times New Roman" w:eastAsia="Times New Roman" w:hAnsi="Times New Roman"/>
          <w:sz w:val="18"/>
          <w:szCs w:val="18"/>
          <w:b w:val="1"/>
          <w:bCs w:val="1"/>
          <w:color w:val="auto"/>
        </w:rPr>
      </w:pPr>
    </w:p>
    <w:p>
      <w:pPr>
        <w:ind w:right="300" w:firstLine="464"/>
        <w:spacing w:after="0" w:line="262" w:lineRule="auto"/>
        <w:tabs>
          <w:tab w:leader="none" w:pos="71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Emerging Growth Company Status</w:t>
      </w:r>
      <w:r>
        <w:rPr>
          <w:rFonts w:ascii="Times New Roman" w:cs="Times New Roman" w:eastAsia="Times New Roman" w:hAnsi="Times New Roman"/>
          <w:sz w:val="18"/>
          <w:szCs w:val="18"/>
          <w:color w:val="auto"/>
        </w:rPr>
        <w:t>. The Company will promptly notify the Representatives if the Company ceases to be an Emerging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18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158" w:lineRule="exact"/>
        <w:rPr>
          <w:sz w:val="20"/>
          <w:szCs w:val="20"/>
          <w:color w:val="auto"/>
        </w:rPr>
      </w:pPr>
    </w:p>
    <w:p>
      <w:pPr>
        <w:ind w:right="160" w:firstLine="913"/>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 Payment of Expenses. </w:t>
      </w:r>
      <w:r>
        <w:rPr>
          <w:rFonts w:ascii="Times New Roman" w:cs="Times New Roman" w:eastAsia="Times New Roman" w:hAnsi="Times New Roman"/>
          <w:sz w:val="18"/>
          <w:szCs w:val="18"/>
          <w:color w:val="auto"/>
        </w:rPr>
        <w:t>The Company agrees to pay all costs, fees and expenses incurred in connection with the performance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used by, or referred to by the Company,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of counsel for the Underwriters in connection with the FINRA review and approval of the Underwriters’ participation in the offering and distribution of the Offered Shares, including any related filing fees and the legal fees of, and disbursements by, counsel to the Underwriters, provided that the aggregate attorneys’ costs, fees and expenses pursuant to this clause (vii) shall not exceed $30,000, (viii) the costs and expenses of the Company relating to investor presentations on any “road show”, any Permitted Section 5(d) Communication or any Section 5(d) Oral Communication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66" w:right="259" w:bottom="1440" w:gutter="0" w:footer="0" w:header="0"/>
        </w:sectPr>
      </w:pPr>
    </w:p>
    <w:bookmarkStart w:id="50" w:name="page51"/>
    <w:bookmarkEnd w:id="50"/>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undertaken in connection with the offering of the Offered Shares, including, without limitation, expenses associated with the preparation or dissemination of any electronic road show, expenses associated with the production of road show slides and graphics, travel and lodging expenses of the representatives, employees and officers of the Company, and 50% of the cost of any aircraft chartered in connection with the road show, with the other 50% being paid by the Underwriters, (ix) the fees and expenses associated with listing the Offered Shares on the NASDAQ Global Select Market, and (x) all other fees, costs and expenses of the nature referred to in Item 13 of Part II of the Registration Statement. Except as provided in this Section 4 or in Section 7, Section 9 or Section 10 hereof, the Underwriters shall pay their own expenses, including the fees and disbursements of their counsel.</w:t>
      </w:r>
    </w:p>
    <w:p>
      <w:pPr>
        <w:spacing w:after="0" w:line="184" w:lineRule="exact"/>
        <w:rPr>
          <w:sz w:val="20"/>
          <w:szCs w:val="20"/>
          <w:color w:val="auto"/>
        </w:rPr>
      </w:pPr>
    </w:p>
    <w:p>
      <w:pPr>
        <w:jc w:val="both"/>
        <w:ind w:right="140" w:firstLine="91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 Covenant of the Underwriters. </w:t>
      </w:r>
      <w:r>
        <w:rPr>
          <w:rFonts w:ascii="Times New Roman" w:cs="Times New Roman" w:eastAsia="Times New Roman" w:hAnsi="Times New Roman"/>
          <w:sz w:val="18"/>
          <w:szCs w:val="18"/>
          <w:color w:val="auto"/>
        </w:rPr>
        <w:t>Each Underwriter severally and not jointly covenants with the Company not to take any action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71" w:lineRule="exact"/>
        <w:rPr>
          <w:sz w:val="20"/>
          <w:szCs w:val="20"/>
          <w:color w:val="auto"/>
        </w:rPr>
      </w:pPr>
    </w:p>
    <w:p>
      <w:pPr>
        <w:ind w:right="160" w:firstLine="91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 Conditions of the Obligations of the Underwriters. </w:t>
      </w:r>
      <w:r>
        <w:rPr>
          <w:rFonts w:ascii="Times New Roman" w:cs="Times New Roman" w:eastAsia="Times New Roman" w:hAnsi="Times New Roman"/>
          <w:sz w:val="18"/>
          <w:szCs w:val="18"/>
          <w:color w:val="auto"/>
        </w:rPr>
        <w:t>The respective obligations of the several Underwriters hereunder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180" w:lineRule="exact"/>
        <w:rPr>
          <w:sz w:val="20"/>
          <w:szCs w:val="20"/>
          <w:color w:val="auto"/>
        </w:rPr>
      </w:pPr>
    </w:p>
    <w:p>
      <w:pPr>
        <w:ind w:firstLine="464"/>
        <w:spacing w:after="0" w:line="259" w:lineRule="auto"/>
        <w:tabs>
          <w:tab w:leader="none" w:pos="71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Comfort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date hereof, the Representatives shall have received from BDO USA, LLP, independent registered public accountants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79"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 No Stop Order; No Objection from FINRA</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120" w:firstLine="921"/>
        <w:spacing w:after="0" w:line="289" w:lineRule="auto"/>
        <w:tabs>
          <w:tab w:leader="none" w:pos="1128"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158" w:lineRule="exact"/>
        <w:rPr>
          <w:rFonts w:ascii="Times New Roman" w:cs="Times New Roman" w:eastAsia="Times New Roman" w:hAnsi="Times New Roman"/>
          <w:sz w:val="17"/>
          <w:szCs w:val="17"/>
          <w:color w:val="auto"/>
        </w:rPr>
      </w:pPr>
    </w:p>
    <w:p>
      <w:pPr>
        <w:ind w:right="60" w:firstLine="921"/>
        <w:spacing w:after="0" w:line="282" w:lineRule="auto"/>
        <w:tabs>
          <w:tab w:leader="none" w:pos="117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61" w:lineRule="exact"/>
        <w:rPr>
          <w:rFonts w:ascii="Times New Roman" w:cs="Times New Roman" w:eastAsia="Times New Roman" w:hAnsi="Times New Roman"/>
          <w:sz w:val="18"/>
          <w:szCs w:val="18"/>
          <w:color w:val="auto"/>
        </w:rPr>
      </w:pPr>
    </w:p>
    <w:p>
      <w:pPr>
        <w:ind w:left="1240" w:hanging="319"/>
        <w:spacing w:after="0"/>
        <w:tabs>
          <w:tab w:leader="none" w:pos="12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raised no objection to the fairness and reasonableness of the underwriting terms and arrangements.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0" w:right="239" w:bottom="1440" w:gutter="0" w:footer="0" w:header="0"/>
        </w:sectPr>
      </w:pPr>
    </w:p>
    <w:bookmarkStart w:id="51" w:name="page52"/>
    <w:bookmarkEnd w:id="51"/>
    <w:p>
      <w:pPr>
        <w:ind w:right="160" w:firstLine="464"/>
        <w:spacing w:after="0" w:line="286" w:lineRule="auto"/>
        <w:tabs>
          <w:tab w:leader="none" w:pos="70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Material Adverse Change or Ratings Agency Change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period from and after the date of this Agreement and through and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Closing Date and, with respect to any Optional Shares purchased after the First Closing Date, each Option Closing Date:</w:t>
      </w:r>
    </w:p>
    <w:p>
      <w:pPr>
        <w:spacing w:after="0" w:line="158" w:lineRule="exact"/>
        <w:rPr>
          <w:rFonts w:ascii="Times New Roman" w:cs="Times New Roman" w:eastAsia="Times New Roman" w:hAnsi="Times New Roman"/>
          <w:sz w:val="18"/>
          <w:szCs w:val="18"/>
          <w:b w:val="1"/>
          <w:bCs w:val="1"/>
          <w:color w:val="auto"/>
        </w:rPr>
      </w:pPr>
    </w:p>
    <w:p>
      <w:pPr>
        <w:ind w:left="1140" w:hanging="219"/>
        <w:spacing w:after="0"/>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judgment of the Representatives there shall not have occurred any Material Adverse Change; and</w:t>
      </w:r>
    </w:p>
    <w:p>
      <w:pPr>
        <w:spacing w:after="0" w:line="225" w:lineRule="exact"/>
        <w:rPr>
          <w:rFonts w:ascii="Times New Roman" w:cs="Times New Roman" w:eastAsia="Times New Roman" w:hAnsi="Times New Roman"/>
          <w:sz w:val="18"/>
          <w:szCs w:val="18"/>
          <w:color w:val="auto"/>
        </w:rPr>
      </w:pPr>
    </w:p>
    <w:p>
      <w:pPr>
        <w:jc w:val="both"/>
        <w:ind w:right="380" w:firstLine="921"/>
        <w:spacing w:after="0" w:line="266" w:lineRule="auto"/>
        <w:tabs>
          <w:tab w:leader="none" w:pos="11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pacing w:after="0" w:line="172" w:lineRule="exact"/>
        <w:rPr>
          <w:rFonts w:ascii="Times New Roman" w:cs="Times New Roman" w:eastAsia="Times New Roman" w:hAnsi="Times New Roman"/>
          <w:sz w:val="18"/>
          <w:szCs w:val="18"/>
          <w:color w:val="auto"/>
        </w:rPr>
      </w:pPr>
    </w:p>
    <w:p>
      <w:pPr>
        <w:jc w:val="both"/>
        <w:ind w:right="80" w:firstLine="464"/>
        <w:spacing w:after="0" w:line="268" w:lineRule="auto"/>
        <w:tabs>
          <w:tab w:leader="none" w:pos="72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opinion of Skadden, Arps, Slate, Meagher &amp; Flom LLP, counsel for the Company, dated as of such date, in form and substance reasonably satisfactory to the Representatives and previously agreed upon with counsel to the Representatives.</w:t>
      </w:r>
    </w:p>
    <w:p>
      <w:pPr>
        <w:spacing w:after="0" w:line="170" w:lineRule="exact"/>
        <w:rPr>
          <w:rFonts w:ascii="Times New Roman" w:cs="Times New Roman" w:eastAsia="Times New Roman" w:hAnsi="Times New Roman"/>
          <w:sz w:val="18"/>
          <w:szCs w:val="18"/>
          <w:b w:val="1"/>
          <w:bCs w:val="1"/>
          <w:color w:val="auto"/>
        </w:rPr>
      </w:pPr>
    </w:p>
    <w:p>
      <w:pPr>
        <w:ind w:right="80" w:firstLine="464"/>
        <w:spacing w:after="0" w:line="268" w:lineRule="auto"/>
        <w:tabs>
          <w:tab w:leader="none" w:pos="70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Underwriters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opinion of Latham &amp; Watkins LLP, counsel for the Underwriters in connection with the offer and sale of the Offered Shares, in form and substance satisfactory to the Underwriters, dated as of such date, with executed copies for each of the other Underwriters named on the Prospectus cover page.</w:t>
      </w:r>
    </w:p>
    <w:p>
      <w:pPr>
        <w:spacing w:after="0" w:line="170" w:lineRule="exact"/>
        <w:rPr>
          <w:rFonts w:ascii="Times New Roman" w:cs="Times New Roman" w:eastAsia="Times New Roman" w:hAnsi="Times New Roman"/>
          <w:sz w:val="18"/>
          <w:szCs w:val="18"/>
          <w:b w:val="1"/>
          <w:bCs w:val="1"/>
          <w:color w:val="auto"/>
        </w:rPr>
      </w:pPr>
    </w:p>
    <w:p>
      <w:pPr>
        <w:ind w:right="40" w:firstLine="464"/>
        <w:spacing w:after="0" w:line="268" w:lineRule="auto"/>
        <w:tabs>
          <w:tab w:leader="none" w:pos="68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 a certificate executed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Chief Executive Officer or President of the Company and the Chief Financial Officer of the Company, dated as of such date, to the effect set forth in Section 6(b)(ii) and further to the effect that:</w:t>
      </w:r>
    </w:p>
    <w:p>
      <w:pPr>
        <w:spacing w:after="0" w:line="174" w:lineRule="exact"/>
        <w:rPr>
          <w:rFonts w:ascii="Times New Roman" w:cs="Times New Roman" w:eastAsia="Times New Roman" w:hAnsi="Times New Roman"/>
          <w:sz w:val="18"/>
          <w:szCs w:val="18"/>
          <w:b w:val="1"/>
          <w:bCs w:val="1"/>
          <w:color w:val="auto"/>
        </w:rPr>
      </w:pPr>
    </w:p>
    <w:p>
      <w:pPr>
        <w:ind w:left="1140" w:hanging="219"/>
        <w:spacing w:after="0"/>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and including the date of this Agreement through and including such date, there has not occurred any Material Adverse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w:t>
      </w:r>
    </w:p>
    <w:p>
      <w:pPr>
        <w:spacing w:after="0" w:line="206" w:lineRule="exact"/>
        <w:rPr>
          <w:rFonts w:ascii="Times New Roman" w:cs="Times New Roman" w:eastAsia="Times New Roman" w:hAnsi="Times New Roman"/>
          <w:sz w:val="18"/>
          <w:szCs w:val="18"/>
          <w:color w:val="auto"/>
        </w:rPr>
      </w:pPr>
    </w:p>
    <w:p>
      <w:pPr>
        <w:ind w:right="400" w:firstLine="921"/>
        <w:spacing w:after="0" w:line="282" w:lineRule="auto"/>
        <w:tabs>
          <w:tab w:leader="none" w:pos="11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61" w:lineRule="exact"/>
        <w:rPr>
          <w:rFonts w:ascii="Times New Roman" w:cs="Times New Roman" w:eastAsia="Times New Roman" w:hAnsi="Times New Roman"/>
          <w:sz w:val="18"/>
          <w:szCs w:val="18"/>
          <w:color w:val="auto"/>
        </w:rPr>
      </w:pPr>
    </w:p>
    <w:p>
      <w:pPr>
        <w:ind w:right="700" w:firstLine="921"/>
        <w:spacing w:after="0" w:line="282" w:lineRule="auto"/>
        <w:tabs>
          <w:tab w:leader="none" w:pos="12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the agreements hereunder and satisfied all the conditions on its part to be performed or satisfied hereunder at or prior to such date.</w:t>
      </w:r>
    </w:p>
    <w:p>
      <w:pPr>
        <w:spacing w:after="0" w:line="157" w:lineRule="exact"/>
        <w:rPr>
          <w:rFonts w:ascii="Times New Roman" w:cs="Times New Roman" w:eastAsia="Times New Roman" w:hAnsi="Times New Roman"/>
          <w:sz w:val="18"/>
          <w:szCs w:val="18"/>
          <w:color w:val="auto"/>
        </w:rPr>
      </w:pPr>
    </w:p>
    <w:p>
      <w:pPr>
        <w:ind w:firstLine="464"/>
        <w:spacing w:after="0" w:line="259" w:lineRule="auto"/>
        <w:tabs>
          <w:tab w:leader="none" w:pos="71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 from BDO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USA,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79" w:lineRule="exact"/>
        <w:rPr>
          <w:rFonts w:ascii="Times New Roman" w:cs="Times New Roman" w:eastAsia="Times New Roman" w:hAnsi="Times New Roman"/>
          <w:sz w:val="18"/>
          <w:szCs w:val="18"/>
          <w:b w:val="1"/>
          <w:bCs w:val="1"/>
          <w:color w:val="auto"/>
        </w:rPr>
      </w:pPr>
    </w:p>
    <w:p>
      <w:pPr>
        <w:ind w:right="120" w:firstLine="464"/>
        <w:spacing w:after="0" w:line="268" w:lineRule="auto"/>
        <w:tabs>
          <w:tab w:leader="none" w:pos="72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Lock-Up Agreements. </w:t>
      </w:r>
      <w:r>
        <w:rPr>
          <w:rFonts w:ascii="Times New Roman" w:cs="Times New Roman" w:eastAsia="Times New Roman" w:hAnsi="Times New Roman"/>
          <w:sz w:val="18"/>
          <w:szCs w:val="18"/>
          <w:color w:val="auto"/>
        </w:rPr>
        <w:t>On or prior to the date hereof, the Company shall have furnished to the Representatives an agreement in the form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from each of the persons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each such agreement shall be in full force and effect on each of the First Closing Date and each Option Closing Date.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66" w:right="239" w:bottom="1440" w:gutter="0" w:footer="0" w:header="0"/>
        </w:sectPr>
      </w:pPr>
    </w:p>
    <w:bookmarkStart w:id="52" w:name="page53"/>
    <w:bookmarkEnd w:id="52"/>
    <w:p>
      <w:pPr>
        <w:ind w:right="60" w:firstLine="464"/>
        <w:spacing w:after="0" w:line="268" w:lineRule="auto"/>
        <w:tabs>
          <w:tab w:leader="none" w:pos="67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462(b) Registration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that a Rule 462(b) Registration Statement is filed in connection with the offering contemplated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such Rule 462(b) Registration Statement shall have been filed with the Commission on the date of this Agreement and shall have become effective automatically upon such filing.</w:t>
      </w:r>
    </w:p>
    <w:p>
      <w:pPr>
        <w:spacing w:after="0" w:line="170" w:lineRule="exact"/>
        <w:rPr>
          <w:rFonts w:ascii="Times New Roman" w:cs="Times New Roman" w:eastAsia="Times New Roman" w:hAnsi="Times New Roman"/>
          <w:sz w:val="18"/>
          <w:szCs w:val="18"/>
          <w:b w:val="1"/>
          <w:bCs w:val="1"/>
          <w:color w:val="auto"/>
        </w:rPr>
      </w:pPr>
    </w:p>
    <w:p>
      <w:pPr>
        <w:ind w:right="380" w:firstLine="464"/>
        <w:spacing w:after="0" w:line="286" w:lineRule="auto"/>
        <w:tabs>
          <w:tab w:leader="none" w:pos="68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Approval of Listing</w:t>
      </w:r>
      <w:r>
        <w:rPr>
          <w:rFonts w:ascii="Times New Roman" w:cs="Times New Roman" w:eastAsia="Times New Roman" w:hAnsi="Times New Roman"/>
          <w:sz w:val="18"/>
          <w:szCs w:val="18"/>
          <w:color w:val="auto"/>
        </w:rPr>
        <w:t>. At the First Closing Date, the Offered Shares shall have been approved for listing on the NASDAQ Global Select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only to official notice of issuance.</w:t>
      </w:r>
    </w:p>
    <w:p>
      <w:pPr>
        <w:spacing w:after="0" w:line="154" w:lineRule="exact"/>
        <w:rPr>
          <w:rFonts w:ascii="Times New Roman" w:cs="Times New Roman" w:eastAsia="Times New Roman" w:hAnsi="Times New Roman"/>
          <w:sz w:val="18"/>
          <w:szCs w:val="18"/>
          <w:b w:val="1"/>
          <w:bCs w:val="1"/>
          <w:color w:val="auto"/>
        </w:rPr>
      </w:pPr>
    </w:p>
    <w:p>
      <w:pPr>
        <w:ind w:right="140" w:firstLine="464"/>
        <w:spacing w:after="0" w:line="268" w:lineRule="auto"/>
        <w:tabs>
          <w:tab w:leader="none" w:pos="72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CFO Certificate. </w:t>
      </w:r>
      <w:r>
        <w:rPr>
          <w:rFonts w:ascii="Times New Roman" w:cs="Times New Roman" w:eastAsia="Times New Roman" w:hAnsi="Times New Roman"/>
          <w:sz w:val="18"/>
          <w:szCs w:val="18"/>
          <w:color w:val="auto"/>
        </w:rPr>
        <w:t>On the date hereof and each of the First Closing Date and each Option Closing Date, the Representatives shall have received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certificate executed by the Chief Financial Officer of the Company, dated as of each such date, to the effect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hereto and to such further effect as the Representatives shall reasonably request.</w:t>
      </w:r>
    </w:p>
    <w:p>
      <w:pPr>
        <w:spacing w:after="0" w:line="170" w:lineRule="exact"/>
        <w:rPr>
          <w:rFonts w:ascii="Times New Roman" w:cs="Times New Roman" w:eastAsia="Times New Roman" w:hAnsi="Times New Roman"/>
          <w:sz w:val="18"/>
          <w:szCs w:val="18"/>
          <w:b w:val="1"/>
          <w:bCs w:val="1"/>
          <w:color w:val="auto"/>
        </w:rPr>
      </w:pPr>
    </w:p>
    <w:p>
      <w:pPr>
        <w:ind w:right="160" w:firstLine="464"/>
        <w:spacing w:after="0" w:line="257" w:lineRule="auto"/>
        <w:tabs>
          <w:tab w:leader="none" w:pos="67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Additional Documents</w:t>
      </w:r>
      <w:r>
        <w:rPr>
          <w:rFonts w:ascii="Times New Roman" w:cs="Times New Roman" w:eastAsia="Times New Roman" w:hAnsi="Times New Roman"/>
          <w:sz w:val="18"/>
          <w:szCs w:val="18"/>
          <w:color w:val="auto"/>
        </w:rPr>
        <w:t>. On or before each of the First Closing Date and each Option Closing Date, the Representatives and counsel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87"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6 is not satisfied when and as required to be satisfied, this Agreement may be terminated by the Representatives by notice from Jefferies and Morgan Stanley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76"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b w:val="1"/>
          <w:bCs w:val="1"/>
          <w:color w:val="auto"/>
        </w:rPr>
        <w:t>Section 7. Reimbursement of Underwriters’ Expenses</w:t>
      </w:r>
      <w:r>
        <w:rPr>
          <w:rFonts w:ascii="Times New Roman" w:cs="Times New Roman" w:eastAsia="Times New Roman" w:hAnsi="Times New Roman"/>
          <w:sz w:val="18"/>
          <w:szCs w:val="18"/>
          <w:color w:val="auto"/>
        </w:rPr>
        <w:t>. If this Agreement is terminated by the Representatives pursuant to 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documented out-of-pocket expenses that shall have been reasonably incurred by the Representatives and the Underwriters in connection with the proposed purchase and the offering and sale of the Offered Shares, including, but not limited to, reasonably incurred fees and disbursements of counsel, printing expenses, travel expenses, postage, facsimile and telephone charges.</w:t>
      </w:r>
    </w:p>
    <w:p>
      <w:pPr>
        <w:spacing w:after="0" w:line="1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Section 8. Effectiveness of this Agreement</w:t>
      </w:r>
      <w:r>
        <w:rPr>
          <w:rFonts w:ascii="Times New Roman" w:cs="Times New Roman" w:eastAsia="Times New Roman" w:hAnsi="Times New Roman"/>
          <w:sz w:val="18"/>
          <w:szCs w:val="18"/>
          <w:color w:val="auto"/>
        </w:rPr>
        <w:t>. This Agreement shall become effective upon the execution and delivery hereof by the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Section 9.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64"/>
        <w:spacing w:after="0" w:line="262" w:lineRule="auto"/>
        <w:tabs>
          <w:tab w:leader="none" w:pos="711"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Underwriters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agrees to indemnify and hold harmless each Underwriter, its affiliates, directors,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266" w:right="279" w:bottom="1440" w:gutter="0" w:footer="0" w:header="0"/>
        </w:sectPr>
      </w:pPr>
    </w:p>
    <w:bookmarkStart w:id="53" w:name="page54"/>
    <w:bookmarkEnd w:id="5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and to reimburse each Underwriter and each such affiliate, director, officer, employee, agent and controlling person for any and all documented expenses (including the fees and disbursements of counsel) as such expenses are reasonably incurred by such Underwriter or such affiliate, director, officer,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190" w:lineRule="exact"/>
        <w:rPr>
          <w:sz w:val="20"/>
          <w:szCs w:val="20"/>
          <w:color w:val="auto"/>
        </w:rPr>
      </w:pPr>
    </w:p>
    <w:p>
      <w:pPr>
        <w:ind w:right="80" w:firstLine="464"/>
        <w:spacing w:after="0" w:line="252" w:lineRule="auto"/>
        <w:tabs>
          <w:tab w:leader="none" w:pos="72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Company, its Directors and Officers</w:t>
      </w:r>
      <w:r>
        <w:rPr>
          <w:rFonts w:ascii="Times New Roman" w:cs="Times New Roman" w:eastAsia="Times New Roman" w:hAnsi="Times New Roman"/>
          <w:sz w:val="18"/>
          <w:szCs w:val="18"/>
          <w:color w:val="auto"/>
        </w:rPr>
        <w:t>. Each Underwriter agrees, severally and not jointly, to indemnify and hold harmless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0" w:right="239" w:bottom="1440" w:gutter="0" w:footer="0" w:header="0"/>
        </w:sectPr>
      </w:pPr>
    </w:p>
    <w:bookmarkStart w:id="54" w:name="page55"/>
    <w:bookmarkEnd w:id="5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(i) the first sentence of the third paragraph under the caption “Underwriting,” (ii) the first paragraph under the caption “Underwriting—Commission and Expenses,” (iii) the statements concerning stabilizing transactions and syndicate covering transactions under the caption “Underwriting—Stabilization” and (iv) the first sentence of the first paragraph under the caption “Underwriting—Electronic Distribution” in the Preliminary Prospectus and the Prospectus. The indemnity agreement set forth in this Section 9(b) shall be in addition to any liabilities that each Underwriter may otherwise have.</w:t>
      </w:r>
    </w:p>
    <w:p>
      <w:pPr>
        <w:spacing w:after="0" w:line="182" w:lineRule="exact"/>
        <w:rPr>
          <w:sz w:val="20"/>
          <w:szCs w:val="20"/>
          <w:color w:val="auto"/>
        </w:rPr>
      </w:pPr>
    </w:p>
    <w:p>
      <w:pPr>
        <w:ind w:firstLine="464"/>
        <w:spacing w:after="0" w:line="252" w:lineRule="auto"/>
        <w:tabs>
          <w:tab w:leader="none" w:pos="701"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Notifications and Other Indemnification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Promptly after receipt by an indemnified party under this Section 9 of notice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commencement of any action, such indemnified party will, if a claim in respect thereof is to be made against an indemnifying party under this Section 9,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(through the forfeiture of substantive rights and defenses)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and Morgan Stanley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270" w:right="279" w:bottom="1440" w:gutter="0" w:footer="0" w:header="0"/>
        </w:sectPr>
      </w:pPr>
    </w:p>
    <w:bookmarkStart w:id="55" w:name="page56"/>
    <w:bookmarkEnd w:id="55"/>
    <w:p>
      <w:pPr>
        <w:ind w:firstLine="464"/>
        <w:spacing w:after="0" w:line="254" w:lineRule="auto"/>
        <w:tabs>
          <w:tab w:leader="none" w:pos="721"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Settlements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indemnifying party under this Section 9 shall not be liable for any settlement of any proceeding effected without its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83" w:lineRule="exact"/>
        <w:rPr>
          <w:sz w:val="20"/>
          <w:szCs w:val="20"/>
          <w:color w:val="auto"/>
        </w:rPr>
      </w:pPr>
    </w:p>
    <w:p>
      <w:pPr>
        <w:ind w:right="40" w:firstLine="913"/>
        <w:spacing w:after="0" w:line="252" w:lineRule="auto"/>
        <w:rPr>
          <w:sz w:val="20"/>
          <w:szCs w:val="20"/>
          <w:color w:val="auto"/>
        </w:rPr>
      </w:pPr>
      <w:r>
        <w:rPr>
          <w:rFonts w:ascii="Times New Roman" w:cs="Times New Roman" w:eastAsia="Times New Roman" w:hAnsi="Times New Roman"/>
          <w:sz w:val="18"/>
          <w:szCs w:val="18"/>
          <w:b w:val="1"/>
          <w:bCs w:val="1"/>
          <w:color w:val="auto"/>
        </w:rPr>
        <w:t>Section 10. Contribution</w:t>
      </w:r>
      <w:r>
        <w:rPr>
          <w:rFonts w:ascii="Times New Roman" w:cs="Times New Roman" w:eastAsia="Times New Roman" w:hAnsi="Times New Roman"/>
          <w:sz w:val="18"/>
          <w:szCs w:val="18"/>
          <w:color w:val="auto"/>
        </w:rPr>
        <w:t>. If the indemnification provided for in Section 9 is for any reason held to be unavailable to or otherwise insufficient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20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Section 9(c), any documented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Section 9(c) for purposes of indemnification.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66" w:right="259" w:bottom="1440" w:gutter="0" w:footer="0" w:header="0"/>
        </w:sectPr>
      </w:pPr>
    </w:p>
    <w:bookmarkStart w:id="56" w:name="page57"/>
    <w:bookmarkEnd w:id="56"/>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7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85"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b w:val="1"/>
          <w:bCs w:val="1"/>
          <w:color w:val="auto"/>
        </w:rPr>
        <w:t>Section 11. Default of One or More of the Several Underwriters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 the First Closing Date or any Option Closing Date any one or more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96" w:lineRule="exact"/>
        <w:rPr>
          <w:sz w:val="20"/>
          <w:szCs w:val="20"/>
          <w:color w:val="auto"/>
        </w:rPr>
      </w:pPr>
    </w:p>
    <w:p>
      <w:pPr>
        <w:ind w:right="300" w:firstLine="456"/>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1" w:lineRule="exact"/>
        <w:rPr>
          <w:sz w:val="20"/>
          <w:szCs w:val="20"/>
          <w:color w:val="auto"/>
        </w:rPr>
      </w:pPr>
    </w:p>
    <w:p>
      <w:pPr>
        <w:ind w:right="60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Section 12. Termination of this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purchase of the Firm Shares by the Underwriters on the First Closing Date,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may be terminated by the Representatives by notice given to the Company if at any time: (i) trading or quotation in any of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0" w:right="239" w:bottom="1440" w:gutter="0" w:footer="0" w:header="0"/>
        </w:sectPr>
      </w:pPr>
    </w:p>
    <w:bookmarkStart w:id="57" w:name="page58"/>
    <w:bookmarkEnd w:id="5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Company’s securities shall have been suspended or limited by the Commission or by the NASDAQ Global Select Market, or trading in securities generally on either the NASDAQ Global Market or the New York Stock Exchange shall have been suspended or limited, or minimum or maximum prices shall have been generally established on any of such stock exchanges; (ii) a general banking moratorium shall have been declared by any of federal, New York or California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Jefferies and Morgan Stanley is material and adverse and makes it impracticable to market the Offered Shares in the manner and on the terms described in the Time of Sale Prospectus or the Prospectus or to enforce contracts for the sale of securities; (iv) in the judgment of Jefferies and Morgan Stanley there shall have occurred any Material Adverse Change; or (v) the Company shall have sustained a loss by strike, fire, flood, earthquake, accident or other calamity of such character as in the judgment of Jefferies and Morgan Stanley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provisions of Section 9 and Section 10 shall at all times be effective and shall survive such termination.</w:t>
      </w:r>
    </w:p>
    <w:p>
      <w:pPr>
        <w:spacing w:after="0" w:line="185"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13. No Advisory or Fiduciary Relationship. </w:t>
      </w:r>
      <w:r>
        <w:rPr>
          <w:rFonts w:ascii="Times New Roman" w:cs="Times New Roman" w:eastAsia="Times New Roman" w:hAnsi="Times New Roman"/>
          <w:sz w:val="18"/>
          <w:szCs w:val="18"/>
          <w:color w:val="auto"/>
        </w:rPr>
        <w:t>The Company acknowledges and agrees that (a) the purchase and sale of the Offered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or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83" w:lineRule="exact"/>
        <w:rPr>
          <w:sz w:val="20"/>
          <w:szCs w:val="20"/>
          <w:color w:val="auto"/>
        </w:rPr>
      </w:pPr>
    </w:p>
    <w:p>
      <w:pPr>
        <w:ind w:right="40" w:firstLine="913"/>
        <w:spacing w:after="0" w:line="259" w:lineRule="auto"/>
        <w:rPr>
          <w:sz w:val="20"/>
          <w:szCs w:val="20"/>
          <w:color w:val="auto"/>
        </w:rPr>
      </w:pPr>
      <w:r>
        <w:rPr>
          <w:rFonts w:ascii="Times New Roman" w:cs="Times New Roman" w:eastAsia="Times New Roman" w:hAnsi="Times New Roman"/>
          <w:sz w:val="18"/>
          <w:szCs w:val="18"/>
          <w:b w:val="1"/>
          <w:bCs w:val="1"/>
          <w:color w:val="auto"/>
        </w:rPr>
        <w:t>Section 14. Representations and Indemnities to Survive Delivery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indemnities, agreements, representations, warranties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270" w:right="259" w:bottom="1440" w:gutter="0" w:footer="0" w:header="0"/>
        </w:sectPr>
      </w:pPr>
    </w:p>
    <w:bookmarkStart w:id="58" w:name="page59"/>
    <w:bookmarkEnd w:id="58"/>
    <w:p>
      <w:pPr>
        <w:ind w:right="26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15. Notices</w:t>
      </w:r>
      <w:r>
        <w:rPr>
          <w:rFonts w:ascii="Times New Roman" w:cs="Times New Roman" w:eastAsia="Times New Roman" w:hAnsi="Times New Roman"/>
          <w:sz w:val="18"/>
          <w:szCs w:val="18"/>
          <w:color w:val="auto"/>
        </w:rPr>
        <w:t>. All communications hereunder shall be in writing and shall be mailed, hand delivered or telecopied and confirmed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as follows:</w:t>
      </w:r>
    </w:p>
    <w:p>
      <w:pPr>
        <w:sectPr>
          <w:pgSz w:w="11900" w:h="16838" w:orient="portrait"/>
          <w:cols w:equalWidth="0" w:num="1">
            <w:col w:w="11400"/>
          </w:cols>
          <w:pgMar w:left="240" w:top="266" w:right="259" w:bottom="1440" w:gutter="0" w:footer="0" w:header="0"/>
        </w:sectPr>
      </w:pP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If to the Representatives: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619-4437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sectPr>
          <w:pgSz w:w="11900" w:h="16838" w:orient="portrait"/>
          <w:cols w:equalWidth="0" w:num="2">
            <w:col w:w="2620" w:space="720"/>
            <w:col w:w="8060"/>
          </w:cols>
          <w:pgMar w:left="240" w:top="266" w:right="259" w:bottom="1440" w:gutter="0" w:footer="0" w:header="0"/>
          <w:type w:val="continuous"/>
        </w:sectPr>
      </w:pPr>
    </w:p>
    <w:p>
      <w:pPr>
        <w:ind w:left="334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Attention: Equity Syndicate Desk,</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color w:val="auto"/>
        </w:rPr>
        <w:t>with a copy to the Legal Department</w:t>
      </w:r>
    </w:p>
    <w:p>
      <w:pPr>
        <w:sectPr>
          <w:pgSz w:w="11900" w:h="16838" w:orient="portrait"/>
          <w:cols w:equalWidth="0" w:num="1">
            <w:col w:w="11400"/>
          </w:cols>
          <w:pgMar w:left="240" w:top="266" w:right="259" w:bottom="1440" w:gutter="0" w:footer="0" w:header="0"/>
          <w:type w:val="continuous"/>
        </w:sectPr>
      </w:pP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Latham &amp; Watkins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885 Third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Marc Jaffe</w:t>
      </w:r>
    </w:p>
    <w:p>
      <w:pPr>
        <w:spacing w:after="0" w:line="99" w:lineRule="exact"/>
        <w:rPr>
          <w:sz w:val="20"/>
          <w:szCs w:val="20"/>
          <w:color w:val="auto"/>
        </w:rPr>
      </w:pPr>
    </w:p>
    <w:p>
      <w:pPr>
        <w:sectPr>
          <w:pgSz w:w="11900" w:h="16838" w:orient="portrait"/>
          <w:cols w:equalWidth="0" w:num="2">
            <w:col w:w="2620" w:space="720"/>
            <w:col w:w="8060"/>
          </w:cols>
          <w:pgMar w:left="240" w:top="266" w:right="25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3535 Harbor Boulevard,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 92626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Laurance Roberts, Chief Financial Officer</w:t>
      </w:r>
    </w:p>
    <w:p>
      <w:pPr>
        <w:spacing w:after="0" w:line="110" w:lineRule="exact"/>
        <w:rPr>
          <w:sz w:val="20"/>
          <w:szCs w:val="20"/>
          <w:color w:val="auto"/>
        </w:rPr>
      </w:pPr>
    </w:p>
    <w:p>
      <w:pPr>
        <w:sectPr>
          <w:pgSz w:w="11900" w:h="16838" w:orient="portrait"/>
          <w:cols w:equalWidth="0" w:num="2">
            <w:col w:w="2620" w:space="720"/>
            <w:col w:w="8060"/>
          </w:cols>
          <w:pgMar w:left="240" w:top="266" w:right="25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Skadden, Arps, Slate, Meagher &amp; Flom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Times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Richard Aftanas</w:t>
      </w:r>
    </w:p>
    <w:p>
      <w:pPr>
        <w:spacing w:after="0" w:line="200" w:lineRule="exact"/>
        <w:rPr>
          <w:sz w:val="20"/>
          <w:szCs w:val="20"/>
          <w:color w:val="auto"/>
        </w:rPr>
      </w:pPr>
    </w:p>
    <w:p>
      <w:pPr>
        <w:sectPr>
          <w:pgSz w:w="11900" w:h="16838" w:orient="portrait"/>
          <w:cols w:equalWidth="0" w:num="2">
            <w:col w:w="2620" w:space="720"/>
            <w:col w:w="8060"/>
          </w:cols>
          <w:pgMar w:left="240" w:top="266" w:right="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7"/>
          <w:szCs w:val="17"/>
          <w:b w:val="1"/>
          <w:bCs w:val="1"/>
          <w:color w:val="auto"/>
        </w:rPr>
        <w:t>Section 16. Successors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will inure to the benefit of and be binding upon the parties hereto, including any substitute Underwriters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w:t>
      </w:r>
      <w:r>
        <w:rPr>
          <w:rFonts w:ascii="Times New Roman" w:cs="Times New Roman" w:eastAsia="Times New Roman" w:hAnsi="Times New Roman"/>
          <w:sz w:val="17"/>
          <w:szCs w:val="17"/>
          <w:b w:val="1"/>
          <w:bCs w:val="1"/>
          <w:color w:val="auto"/>
        </w:rPr>
        <w:t>successors</w:t>
      </w:r>
      <w:r>
        <w:rPr>
          <w:rFonts w:ascii="Times New Roman" w:cs="Times New Roman" w:eastAsia="Times New Roman" w:hAnsi="Times New Roman"/>
          <w:sz w:val="17"/>
          <w:szCs w:val="17"/>
          <w:color w:val="auto"/>
        </w:rPr>
        <w:t>” shall not include any purchaser of the Offered Shares as such from any of the Underwriters merely by reason of such purchase.</w:t>
      </w:r>
    </w:p>
    <w:p>
      <w:pPr>
        <w:spacing w:after="0" w:line="162" w:lineRule="exact"/>
        <w:rPr>
          <w:sz w:val="20"/>
          <w:szCs w:val="20"/>
          <w:color w:val="auto"/>
        </w:rPr>
      </w:pPr>
    </w:p>
    <w:p>
      <w:pPr>
        <w:ind w:right="240" w:firstLine="913"/>
        <w:spacing w:after="0" w:line="262" w:lineRule="auto"/>
        <w:rPr>
          <w:sz w:val="20"/>
          <w:szCs w:val="20"/>
          <w:color w:val="auto"/>
        </w:rPr>
      </w:pPr>
      <w:r>
        <w:rPr>
          <w:rFonts w:ascii="Times New Roman" w:cs="Times New Roman" w:eastAsia="Times New Roman" w:hAnsi="Times New Roman"/>
          <w:sz w:val="18"/>
          <w:szCs w:val="18"/>
          <w:b w:val="1"/>
          <w:bCs w:val="1"/>
          <w:color w:val="auto"/>
        </w:rPr>
        <w:t>Section 17. 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7" w:lineRule="exact"/>
        <w:rPr>
          <w:sz w:val="20"/>
          <w:szCs w:val="20"/>
          <w:color w:val="auto"/>
        </w:rPr>
      </w:pPr>
    </w:p>
    <w:p>
      <w:pPr>
        <w:jc w:val="both"/>
        <w:ind w:right="20" w:firstLine="913"/>
        <w:spacing w:after="0" w:line="268" w:lineRule="auto"/>
        <w:rPr>
          <w:sz w:val="20"/>
          <w:szCs w:val="20"/>
          <w:color w:val="auto"/>
        </w:rPr>
      </w:pPr>
      <w:r>
        <w:rPr>
          <w:rFonts w:ascii="Times New Roman" w:cs="Times New Roman" w:eastAsia="Times New Roman" w:hAnsi="Times New Roman"/>
          <w:sz w:val="18"/>
          <w:szCs w:val="18"/>
          <w:b w:val="1"/>
          <w:bCs w:val="1"/>
          <w:color w:val="auto"/>
        </w:rPr>
        <w:t>Section 18. Governing Law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in accordance with the internal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may be instituted in the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66" w:right="259" w:bottom="1440" w:gutter="0" w:footer="0" w:header="0"/>
          <w:type w:val="continuous"/>
        </w:sectPr>
      </w:pPr>
    </w:p>
    <w:bookmarkStart w:id="59" w:name="page60"/>
    <w:bookmarkEnd w:id="59"/>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1" w:lineRule="exact"/>
        <w:rPr>
          <w:sz w:val="20"/>
          <w:szCs w:val="20"/>
          <w:color w:val="auto"/>
        </w:rPr>
      </w:pPr>
    </w:p>
    <w:p>
      <w:pPr>
        <w:ind w:right="120" w:firstLine="91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19. General Provisions. </w:t>
      </w:r>
      <w:r>
        <w:rPr>
          <w:rFonts w:ascii="Times New Roman" w:cs="Times New Roman" w:eastAsia="Times New Roman" w:hAnsi="Times New Roman"/>
          <w:sz w:val="18"/>
          <w:szCs w:val="18"/>
          <w:color w:val="auto"/>
        </w:rPr>
        <w:t>This Agreement constitutes the entire agreement of the parties to this Agreement and supersedes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8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70" w:right="259" w:bottom="1440" w:gutter="0" w:footer="0" w:header="0"/>
        </w:sectPr>
      </w:pPr>
    </w:p>
    <w:bookmarkStart w:id="60" w:name="page61"/>
    <w:bookmarkEnd w:id="60"/>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841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Laurance Roberts</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CFO</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foregoing Underwriting Agreement is hereby confirmed and accepted by the Representatives in New York, New York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above written.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Representatives of the several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Underwriters named in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A.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17145</wp:posOffset>
            </wp:positionV>
            <wp:extent cx="26498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Name:  Michael A. Bauer</w:t>
      </w:r>
    </w:p>
    <w:p>
      <w:pPr>
        <w:spacing w:after="0" w:line="27" w:lineRule="exact"/>
        <w:rPr>
          <w:sz w:val="20"/>
          <w:szCs w:val="20"/>
          <w:color w:val="auto"/>
        </w:rPr>
      </w:pPr>
    </w:p>
    <w:p>
      <w:pPr>
        <w:ind w:left="40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MORGAN STANLEY &amp; 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Tyree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17145</wp:posOffset>
            </wp:positionV>
            <wp:extent cx="26498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Name:  John Tyree</w:t>
      </w:r>
    </w:p>
    <w:p>
      <w:pPr>
        <w:spacing w:after="0" w:line="27" w:lineRule="exact"/>
        <w:rPr>
          <w:sz w:val="20"/>
          <w:szCs w:val="20"/>
          <w:color w:val="auto"/>
        </w:rPr>
      </w:pPr>
    </w:p>
    <w:p>
      <w:pPr>
        <w:ind w:left="40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00"/>
          </w:cols>
          <w:pgMar w:left="240" w:top="270"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1034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7"/>
              </w:rPr>
              <w:t>Schedule A</w:t>
            </w:r>
          </w:p>
        </w:tc>
      </w:tr>
      <w:tr>
        <w:trPr>
          <w:trHeight w:val="367"/>
        </w:trPr>
        <w:tc>
          <w:tcPr>
            <w:tcW w:w="1034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49"/>
        </w:trPr>
        <w:tc>
          <w:tcPr>
            <w:tcW w:w="1034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Firm Shares</w:t>
            </w:r>
          </w:p>
        </w:tc>
      </w:tr>
      <w:tr>
        <w:trPr>
          <w:trHeight w:val="187"/>
        </w:trPr>
        <w:tc>
          <w:tcPr>
            <w:tcW w:w="10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be Purchased</w:t>
            </w:r>
          </w:p>
        </w:tc>
      </w:tr>
      <w:tr>
        <w:trPr>
          <w:trHeight w:val="216"/>
        </w:trPr>
        <w:tc>
          <w:tcPr>
            <w:tcW w:w="10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2,571,429</w:t>
            </w:r>
          </w:p>
        </w:tc>
        <w:tc>
          <w:tcPr>
            <w:tcW w:w="100" w:type="dxa"/>
            <w:vAlign w:val="bottom"/>
            <w:shd w:val="clear" w:color="auto" w:fill="CCEEFF"/>
          </w:tcPr>
          <w:p>
            <w:pPr>
              <w:spacing w:after="0"/>
              <w:rPr>
                <w:sz w:val="18"/>
                <w:szCs w:val="18"/>
                <w:color w:val="auto"/>
              </w:rPr>
            </w:pP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2,571,429</w:t>
            </w:r>
          </w:p>
        </w:tc>
        <w:tc>
          <w:tcPr>
            <w:tcW w:w="1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Baird &amp; Co. Incorporated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857,142</w:t>
            </w:r>
          </w:p>
        </w:tc>
        <w:tc>
          <w:tcPr>
            <w:tcW w:w="100" w:type="dxa"/>
            <w:vAlign w:val="bottom"/>
            <w:shd w:val="clear" w:color="auto" w:fill="CCEEFF"/>
          </w:tcPr>
          <w:p>
            <w:pPr>
              <w:spacing w:after="0"/>
              <w:rPr>
                <w:sz w:val="18"/>
                <w:szCs w:val="18"/>
                <w:color w:val="auto"/>
              </w:rPr>
            </w:pP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642,857</w:t>
            </w:r>
          </w:p>
        </w:tc>
        <w:tc>
          <w:tcPr>
            <w:tcW w:w="1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8"/>
                <w:szCs w:val="18"/>
                <w:color w:val="auto"/>
              </w:rPr>
            </w:pPr>
          </w:p>
        </w:tc>
      </w:tr>
      <w:tr>
        <w:trPr>
          <w:trHeight w:val="331"/>
        </w:trPr>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7,142,857</w:t>
            </w:r>
          </w:p>
        </w:tc>
        <w:tc>
          <w:tcPr>
            <w:tcW w:w="100" w:type="dxa"/>
            <w:vAlign w:val="bottom"/>
          </w:tcPr>
          <w:p>
            <w:pPr>
              <w:spacing w:after="0"/>
              <w:rPr>
                <w:sz w:val="24"/>
                <w:szCs w:val="24"/>
                <w:color w:val="auto"/>
              </w:rPr>
            </w:pPr>
          </w:p>
        </w:tc>
      </w:tr>
      <w:tr>
        <w:trPr>
          <w:trHeight w:val="20"/>
        </w:trPr>
        <w:tc>
          <w:tcPr>
            <w:tcW w:w="10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Free Writing Prospectuses Included in the Time of Sale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20"/>
          </w:cols>
          <w:pgMar w:left="240" w:top="266"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Permitted Section 5(d)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20"/>
          </w:cols>
          <w:pgMar w:left="240" w:top="266"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4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El Pollo Loco Holdings,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22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undersigned is an owner of shares of common stock, par value $0.01 per share, of the Company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or of securities convertible into or exchangeable or exercisable for Shares. The Company proposes to conduct a public offering of Shares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for which 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and Morgan Stanley &amp; Co. LLC (“</w:t>
      </w:r>
      <w:r>
        <w:rPr>
          <w:rFonts w:ascii="Times New Roman" w:cs="Times New Roman" w:eastAsia="Times New Roman" w:hAnsi="Times New Roman"/>
          <w:sz w:val="18"/>
          <w:szCs w:val="18"/>
          <w:b w:val="1"/>
          <w:bCs w:val="1"/>
          <w:color w:val="auto"/>
        </w:rPr>
        <w:t>Morgan Stanley</w:t>
      </w:r>
      <w:r>
        <w:rPr>
          <w:rFonts w:ascii="Times New Roman" w:cs="Times New Roman" w:eastAsia="Times New Roman" w:hAnsi="Times New Roman"/>
          <w:sz w:val="18"/>
          <w:szCs w:val="18"/>
          <w:color w:val="auto"/>
        </w:rPr>
        <w:t>”) will act as the representatives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and other underwriting arrangements with the Company with respect to the Offering.</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Annex A sets forth definitions for capitalized terms used in this letter agreement that are not defined in the body of this agreement. Those definitions are a part of this agreement.</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Jefferies and Morgan Stanley, which may withhold their consent in their sole discretion:</w:t>
      </w:r>
    </w:p>
    <w:p>
      <w:pPr>
        <w:spacing w:after="0" w:line="82" w:lineRule="exact"/>
        <w:rPr>
          <w:sz w:val="20"/>
          <w:szCs w:val="20"/>
          <w:color w:val="auto"/>
        </w:rPr>
      </w:pPr>
    </w:p>
    <w:p>
      <w:pPr>
        <w:ind w:left="900" w:right="60" w:hanging="325"/>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w:t>
      </w:r>
    </w:p>
    <w:p>
      <w:pPr>
        <w:spacing w:after="0" w:line="130" w:lineRule="exact"/>
        <w:rPr>
          <w:rFonts w:ascii="Times New Roman" w:cs="Times New Roman" w:eastAsia="Times New Roman" w:hAnsi="Times New Roman"/>
          <w:sz w:val="18"/>
          <w:szCs w:val="18"/>
          <w:color w:val="auto"/>
        </w:rPr>
      </w:pPr>
    </w:p>
    <w:p>
      <w:pPr>
        <w:ind w:left="900" w:right="40" w:hanging="325"/>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266" w:right="239" w:bottom="1440" w:gutter="0" w:footer="0" w:header="0"/>
        </w:sectPr>
      </w:pPr>
    </w:p>
    <w:bookmarkStart w:id="65" w:name="page66"/>
    <w:bookmarkEnd w:id="65"/>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will not apply to the registration of the offer and sale of the Shares, and the sale of the Shares to the underwriters, in each case as contemplated by the Underwriting Agreement. In addition, the foregoing restrictions shall not apply to: (i) the transfer of Shares or Related Securities by (a) gift, or by will or intestate succession to a Family Member or to a trust whose beneficiaries consist exclusively of one or more of the undersigned and/or a Family Member</w:t>
      </w:r>
    </w:p>
    <w:p>
      <w:pPr>
        <w:spacing w:after="0" w:line="2" w:lineRule="exact"/>
        <w:rPr>
          <w:sz w:val="20"/>
          <w:szCs w:val="20"/>
          <w:color w:val="auto"/>
        </w:rPr>
      </w:pPr>
    </w:p>
    <w:p>
      <w:pPr>
        <w:ind w:firstLine="8"/>
        <w:spacing w:after="0" w:line="251"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operation of law pursuant to a qualified domestic order or in connection with a divorce settlement or (c) as a distribution or transfer to: (x) general partners, limited partners, members, stockholders or affiliates of the undersigned or (y) any corporation, partnership, limited liability company or other entity which controls or is controlled by the undersigned or to entities under common control with the undersigned and/or Family Members of the undersigned;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any such case, it shall be a condition to such transfer that (a) each transferee executes and delivers to Jefferies and Morgan Stanley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 agreement in form and substance satisfactory to Jefferies and Morgan Stanley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 (b) prior to the expiration of the Lock-up Period, no public disclosure or filing under the Exchange Act by any party to the transfer (donor, donee, transferor or transferee) shall be required, or made voluntarily, reporting a reduction in beneficial ownership of Shares in connection with such transfer, and (ii) transfers of Shares or Related Securities pursuant to a liquidation, tender offer, merger, consolidation, stock exchange or similar transaction that results in all of the Company’s stockholders having the right to exchange their Shares or Related Securities for cash, securities or other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liquidation, tender offer, merger, consolidation, stock exchange or similar transaction is not consummated, such Shares and/or Related Securities shall remain subject to this agreement.</w:t>
      </w:r>
    </w:p>
    <w:p>
      <w:pPr>
        <w:spacing w:after="0" w:line="19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the undersigned further agrees that the foregoing provisions shall be equally applicable to any Company-directed Shares the undersigned may purchase or otherwise receive in the Offering (including pursuant to a directed share program).]</w:t>
      </w:r>
    </w:p>
    <w:p>
      <w:pPr>
        <w:spacing w:after="0" w:line="16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addition, if the undersigned is an officer or director of the Company, (i) Jefferies and Morgan Stanley agree that, at least three business days before the effective date of any release or waiver of the foregoing restrictions in connection with a transfer of Shares, Jefferies and/or Morgan Stanley will notify the Company of the impending release or waiver, and (ii) the Company (in accordance with the provisions of the Underwriting Agreement) will announce the impending release or waiver by press release through a major news service at least two business days before the effective date of the release or waiver. Any release or waiver granted by Jefferies and Morgan Stanley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agreement that are applicable to the transferor to the extent and for the duration that such terms remain in effect at the time of the transfer.</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nothing herein shall prevent (i) any exercise (including a cashless exercise) of options or warrants to purchase Shares or Related Securities or the conversion or exchange of any equity security held by the undersigned, individually or as a fiduciary, pursuant to employee benefit plans or arrangements described in the Registration Statement, the Time of Sale Prospectus and the Prospectus (each as defined in the Underwriting Agreement), into Shares, including the payment of taxes (estimated or otherwise) due as a result of such exercise with respect to options outstanding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Shares received upon such exercise, conversion or exchange will be subject to this letter agreement, or</w:t>
      </w:r>
    </w:p>
    <w:p>
      <w:pPr>
        <w:spacing w:after="0" w:line="3" w:lineRule="exact"/>
        <w:rPr>
          <w:sz w:val="20"/>
          <w:szCs w:val="20"/>
          <w:color w:val="auto"/>
        </w:rPr>
      </w:pPr>
    </w:p>
    <w:p>
      <w:pPr>
        <w:ind w:left="280" w:hanging="272"/>
        <w:spacing w:after="0"/>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from establishing a contract, instruction or plan in accordance with Rule 10b5-1 under the Exchange Act or from amending the same, so</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A-2</w:t>
      </w:r>
    </w:p>
    <w:p>
      <w:pPr>
        <w:sectPr>
          <w:pgSz w:w="11900" w:h="16838" w:orient="portrait"/>
          <w:cols w:equalWidth="0" w:num="1">
            <w:col w:w="11400"/>
          </w:cols>
          <w:pgMar w:left="240" w:top="270" w:right="259" w:bottom="1440" w:gutter="0" w:footer="0" w:header="0"/>
        </w:sectPr>
      </w:pPr>
    </w:p>
    <w:bookmarkStart w:id="66" w:name="page67"/>
    <w:bookmarkEnd w:id="66"/>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 as there are no direct or indirect offers, sales, pledges or distributions of securities of the Company under such plans during the Lock-Up Period, and no filing or other public announcement of the execution of such plan shall be required or voluntarily made by the undersigned or the Company during the Lock-Up Period.</w:t>
      </w:r>
    </w:p>
    <w:p>
      <w:pPr>
        <w:spacing w:after="0" w:line="176"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7"/>
          <w:szCs w:val="17"/>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1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letter shall lapse and become null and void if (i) the Offering shall not have occurred on or before December 31, 2014, (ii) prior to the execution of the Underwriting Agreement by the parties thereto, either Jefferies or Morgan Stanley, on the one hand, or the Company, on the other hand, notifies the other(s) in writing that it does not intend to proceed with the Offering or (iii) the Underwriting Agreement (other than the provisions thereof which survive termination) shall terminate or be terminated prior to payment for and delivery of the Shares to be sold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20"/>
          </w:cols>
          <w:pgMar w:left="240" w:top="270"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of Person Signing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 signing as custodian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trustee, or on behalf of an entity)</w:t>
      </w:r>
    </w:p>
    <w:p>
      <w:pPr>
        <w:spacing w:after="0" w:line="139"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219"/>
          </w:cols>
          <w:pgMar w:left="240" w:top="513" w:right="1440" w:bottom="1440" w:gutter="0" w:footer="0" w:header="0"/>
        </w:sectPr>
      </w:pPr>
    </w:p>
    <w:bookmarkStart w:id="68" w:name="page69"/>
    <w:bookmarkEnd w:id="6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Defined Terms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Used in Lock-up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letter agreement to which this Annex A is attached and of which it is made a part:</w:t>
      </w:r>
    </w:p>
    <w:p>
      <w:pPr>
        <w:spacing w:after="0" w:line="127" w:lineRule="exact"/>
        <w:rPr>
          <w:sz w:val="20"/>
          <w:szCs w:val="20"/>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Equivalent Position</w:t>
      </w:r>
      <w:r>
        <w:rPr>
          <w:rFonts w:ascii="Times New Roman" w:cs="Times New Roman" w:eastAsia="Times New Roman" w:hAnsi="Times New Roman"/>
          <w:sz w:val="18"/>
          <w:szCs w:val="18"/>
          <w:color w:val="auto"/>
        </w:rPr>
        <w:t>” shall have the meaning set forth in Rule 16a-1(b) under the Exchange Act.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130" w:lineRule="exact"/>
        <w:rPr>
          <w:rFonts w:ascii="Times New Roman" w:cs="Times New Roman" w:eastAsia="Times New Roman" w:hAnsi="Times New Roman"/>
          <w:sz w:val="18"/>
          <w:szCs w:val="18"/>
          <w:color w:val="auto"/>
        </w:rPr>
      </w:pPr>
    </w:p>
    <w:p>
      <w:pPr>
        <w:ind w:left="900" w:hanging="325"/>
        <w:spacing w:after="0" w:line="259"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as used above shall have the meaning set forth in Rule 16a-1(e) under the Exchange Act.</w:t>
      </w:r>
    </w:p>
    <w:p>
      <w:pPr>
        <w:spacing w:after="0" w:line="85" w:lineRule="exact"/>
        <w:rPr>
          <w:rFonts w:ascii="Times New Roman" w:cs="Times New Roman" w:eastAsia="Times New Roman" w:hAnsi="Times New Roman"/>
          <w:sz w:val="18"/>
          <w:szCs w:val="18"/>
          <w:color w:val="auto"/>
        </w:rPr>
      </w:pPr>
    </w:p>
    <w:p>
      <w:pPr>
        <w:ind w:left="900" w:right="160" w:hanging="325"/>
        <w:spacing w:after="0" w:line="286"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shall mean the period beginning on the date hereof and continuing through the close of trading on the date that is 180 days after the date of the Prospectus (as defined in the Underwriting Agreement).</w:t>
      </w:r>
    </w:p>
    <w:p>
      <w:pPr>
        <w:spacing w:after="0" w:line="6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Equivalent Position</w:t>
      </w:r>
      <w:r>
        <w:rPr>
          <w:rFonts w:ascii="Times New Roman" w:cs="Times New Roman" w:eastAsia="Times New Roman" w:hAnsi="Times New Roman"/>
          <w:sz w:val="18"/>
          <w:szCs w:val="18"/>
          <w:color w:val="auto"/>
        </w:rPr>
        <w:t>” shall have the meaning set forth in Rule 16a-1(h) under the Exchange Act.</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6"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6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 or Offer to Sell</w:t>
      </w:r>
      <w:r>
        <w:rPr>
          <w:rFonts w:ascii="Times New Roman" w:cs="Times New Roman" w:eastAsia="Times New Roman" w:hAnsi="Times New Roman"/>
          <w:sz w:val="18"/>
          <w:szCs w:val="18"/>
          <w:color w:val="auto"/>
        </w:rPr>
        <w:t>” shall mean to:</w:t>
      </w:r>
    </w:p>
    <w:p>
      <w:pPr>
        <w:spacing w:after="0" w:line="134"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to sell, contract to sell or lend,</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short sale or establish or increase a Put Equivalent Position or liquidate or decrease any Call Equivalent Position</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hypothecate or grant any security interest in, or</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way transfer or dispose of,</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each case whether effected directly or indirectly.</w:t>
      </w:r>
    </w:p>
    <w:p>
      <w:pPr>
        <w:spacing w:after="0" w:line="127" w:lineRule="exact"/>
        <w:rPr>
          <w:sz w:val="20"/>
          <w:szCs w:val="20"/>
          <w:color w:val="auto"/>
        </w:rPr>
      </w:pPr>
    </w:p>
    <w:p>
      <w:pPr>
        <w:ind w:left="900" w:right="120" w:hanging="325"/>
        <w:spacing w:after="0" w:line="286"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w:t>
      </w:r>
      <w:r>
        <w:rPr>
          <w:rFonts w:ascii="Times New Roman" w:cs="Times New Roman" w:eastAsia="Times New Roman" w:hAnsi="Times New Roman"/>
          <w:sz w:val="18"/>
          <w:szCs w:val="18"/>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defined in this Annex A shall have the meanings given to them in the body of this lock-up agreement.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80"/>
          </w:cols>
          <w:pgMar w:left="240" w:top="266" w:right="37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Officers and Others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Signing Lock-up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Sather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 Maselli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Dean C. Kehler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Wesley W. Barton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 Roth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K. Ammerman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N. Borgese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Kay Bogeajis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Valle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Trimaran Pollo Partners,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420"/>
          </w:cols>
          <w:pgMar w:left="240" w:top="266"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56" w:lineRule="exact"/>
        <w:rPr>
          <w:sz w:val="20"/>
          <w:szCs w:val="20"/>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Argentina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Belize</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Bolivia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Brazil</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Chile</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Costa Rica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Denmark</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Dominican Republic</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Ecuador</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Egypt</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Community</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Guatemala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Honduras</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Indonesia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Italy</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Korea, Republic of</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Malaysia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Zealand</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Nicaragua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Norway</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Panama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Paraguay</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Peru</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Philippines</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Portugal</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Spain</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Switzerland</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Thailand</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Trinidad and Tobago</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Uruguay</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Venezuela</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Vietnam</w:t>
      </w:r>
    </w:p>
    <w:p>
      <w:pPr>
        <w:spacing w:after="0" w:line="158" w:lineRule="exact"/>
        <w:rPr>
          <w:sz w:val="20"/>
          <w:szCs w:val="20"/>
          <w:color w:val="auto"/>
        </w:rPr>
      </w:pPr>
    </w:p>
    <w:p>
      <w:pPr>
        <w:ind w:left="5005"/>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845"/>
          </w:cols>
          <w:pgMar w:left="815" w:top="266" w:right="239" w:bottom="113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CFO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Chief Financial Officer’s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2014</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 Laurance Roberts, do hereby certify that I am the Chief Financial Officer of El Pollo Loco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solely in my capacity as such, and based upon an examination of the consolidated financial records and schedules of the Company and its subsidiaries undertaken by myself or members of my staff who are responsible for the Company’s financial and accounting matters, do hereby certify that:</w:t>
      </w:r>
    </w:p>
    <w:p>
      <w:pPr>
        <w:spacing w:after="0" w:line="82" w:lineRule="exact"/>
        <w:rPr>
          <w:sz w:val="20"/>
          <w:szCs w:val="20"/>
          <w:color w:val="auto"/>
        </w:rPr>
      </w:pPr>
    </w:p>
    <w:p>
      <w:pPr>
        <w:ind w:left="900" w:right="240" w:hanging="446"/>
        <w:spacing w:after="0" w:line="261"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providing this certificate in connection with the sale of shares of common stock, par value $0.01 per share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pursuant to an underwriting agreement, dated [—], 2014 by and among the Company and Jefferies LLC and Morgan Stanley &amp; Co. LLC, as Representatives of the several Underwriters named in Schedule A thereto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as described in the registration statement (No. 333-197001) on Form S-1 filed by the Company under the Securities Act of 1933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relating to the Shares.</w:t>
      </w:r>
    </w:p>
    <w:p>
      <w:pPr>
        <w:spacing w:after="0" w:line="8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familiar with the accounting, operations and records systems of the Company and its consolidated subsidiaries.</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(i) read the Registration Statement and (ii) reviewed the circled information contained in the attached Exhibit A, which is included in the Registration Statement.</w:t>
      </w:r>
    </w:p>
    <w:p>
      <w:pPr>
        <w:spacing w:after="0" w:line="67" w:lineRule="exact"/>
        <w:rPr>
          <w:rFonts w:ascii="Times New Roman" w:cs="Times New Roman" w:eastAsia="Times New Roman" w:hAnsi="Times New Roman"/>
          <w:sz w:val="18"/>
          <w:szCs w:val="18"/>
          <w:color w:val="auto"/>
        </w:rPr>
      </w:pPr>
    </w:p>
    <w:p>
      <w:pPr>
        <w:ind w:left="900" w:right="280" w:hanging="446"/>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my attention that causes me to believe that the circled information contained in the attached Exhibit A is not true, correct and accurate in all respects.</w:t>
      </w:r>
    </w:p>
    <w:p>
      <w:pPr>
        <w:spacing w:after="0" w:line="67"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or members of my staff who are responsible for the Company’s financial and accounting matters have reviewed the items circled in the attached Exhibit A and have compared such items to the Company’s accounting records, and found such items to be in agreement.</w:t>
      </w:r>
    </w:p>
    <w:p>
      <w:pPr>
        <w:spacing w:after="0" w:line="162"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to the Underwriters solely to assist them in conducting their investigation of the Company and its subsidiaries in connection with the offering of the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420"/>
          </w:cols>
          <w:pgMar w:left="240" w:top="266"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chief financial officer’s certificate on behalf of the Company as of</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2014.</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25215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Laurance Roberts</w:t>
      </w:r>
    </w:p>
    <w:p>
      <w:pPr>
        <w:spacing w:after="0" w:line="27"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340"/>
          </w:cols>
          <w:pgMar w:left="280" w:top="270" w:right="27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INCOME TAX RECEIVABLE AGREEMENT</w:t>
      </w:r>
    </w:p>
    <w:p>
      <w:pPr>
        <w:spacing w:after="0" w:line="23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Dated as of July 30, 2014</w:t>
      </w:r>
    </w:p>
    <w:p>
      <w:pPr>
        <w:sectPr>
          <w:pgSz w:w="11900" w:h="16838" w:orient="portrait"/>
          <w:cols w:equalWidth="0" w:num="1">
            <w:col w:w="10220"/>
          </w:cols>
          <w:pgMar w:left="1440" w:top="117"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986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118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180" w:type="dxa"/>
            <w:vAlign w:val="bottom"/>
          </w:tcPr>
          <w:p>
            <w:pPr>
              <w:spacing w:after="0"/>
              <w:rPr>
                <w:sz w:val="24"/>
                <w:szCs w:val="24"/>
                <w:color w:val="auto"/>
              </w:rPr>
            </w:pPr>
          </w:p>
        </w:tc>
        <w:tc>
          <w:tcPr>
            <w:tcW w:w="986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ARTICLE I</w:t>
            </w:r>
          </w:p>
        </w:tc>
        <w:tc>
          <w:tcPr>
            <w:tcW w:w="280" w:type="dxa"/>
            <w:vAlign w:val="bottom"/>
          </w:tcPr>
          <w:p>
            <w:pPr>
              <w:spacing w:after="0"/>
              <w:rPr>
                <w:sz w:val="24"/>
                <w:szCs w:val="24"/>
                <w:color w:val="auto"/>
              </w:rPr>
            </w:pPr>
          </w:p>
        </w:tc>
      </w:tr>
      <w:tr>
        <w:trPr>
          <w:trHeight w:val="324"/>
        </w:trPr>
        <w:tc>
          <w:tcPr>
            <w:tcW w:w="1180" w:type="dxa"/>
            <w:vAlign w:val="bottom"/>
          </w:tcPr>
          <w:p>
            <w:pPr>
              <w:spacing w:after="0"/>
              <w:rPr>
                <w:sz w:val="24"/>
                <w:szCs w:val="24"/>
                <w:color w:val="auto"/>
              </w:rPr>
            </w:pPr>
          </w:p>
        </w:tc>
        <w:tc>
          <w:tcPr>
            <w:tcW w:w="98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DEFINITIONS</w:t>
            </w:r>
          </w:p>
        </w:tc>
        <w:tc>
          <w:tcPr>
            <w:tcW w:w="280" w:type="dxa"/>
            <w:vAlign w:val="bottom"/>
          </w:tcPr>
          <w:p>
            <w:pPr>
              <w:spacing w:after="0"/>
              <w:rPr>
                <w:sz w:val="24"/>
                <w:szCs w:val="24"/>
                <w:color w:val="auto"/>
              </w:rPr>
            </w:pP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180" w:type="dxa"/>
            <w:vAlign w:val="bottom"/>
          </w:tcPr>
          <w:p>
            <w:pPr>
              <w:spacing w:after="0"/>
              <w:rPr>
                <w:sz w:val="24"/>
                <w:szCs w:val="24"/>
                <w:color w:val="auto"/>
              </w:rPr>
            </w:pPr>
          </w:p>
        </w:tc>
        <w:tc>
          <w:tcPr>
            <w:tcW w:w="98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ARTICLE II</w:t>
            </w:r>
          </w:p>
        </w:tc>
        <w:tc>
          <w:tcPr>
            <w:tcW w:w="280" w:type="dxa"/>
            <w:vAlign w:val="bottom"/>
          </w:tcPr>
          <w:p>
            <w:pPr>
              <w:spacing w:after="0"/>
              <w:rPr>
                <w:sz w:val="24"/>
                <w:szCs w:val="24"/>
                <w:color w:val="auto"/>
              </w:rPr>
            </w:pPr>
          </w:p>
        </w:tc>
      </w:tr>
      <w:tr>
        <w:trPr>
          <w:trHeight w:val="324"/>
        </w:trPr>
        <w:tc>
          <w:tcPr>
            <w:tcW w:w="1180" w:type="dxa"/>
            <w:vAlign w:val="bottom"/>
          </w:tcPr>
          <w:p>
            <w:pPr>
              <w:spacing w:after="0"/>
              <w:rPr>
                <w:sz w:val="24"/>
                <w:szCs w:val="24"/>
                <w:color w:val="auto"/>
              </w:rPr>
            </w:pPr>
          </w:p>
        </w:tc>
        <w:tc>
          <w:tcPr>
            <w:tcW w:w="986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DETERMINATION OF REALIZED TAX BENEFIT</w:t>
            </w:r>
          </w:p>
        </w:tc>
        <w:tc>
          <w:tcPr>
            <w:tcW w:w="280" w:type="dxa"/>
            <w:vAlign w:val="bottom"/>
          </w:tcPr>
          <w:p>
            <w:pPr>
              <w:spacing w:after="0"/>
              <w:rPr>
                <w:sz w:val="24"/>
                <w:szCs w:val="24"/>
                <w:color w:val="auto"/>
              </w:rPr>
            </w:pPr>
          </w:p>
        </w:tc>
      </w:tr>
      <w:tr>
        <w:trPr>
          <w:trHeight w:val="30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Pre-IPO NOLs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Benefit Schedule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Procedures; Amendments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180" w:type="dxa"/>
            <w:vAlign w:val="bottom"/>
          </w:tcPr>
          <w:p>
            <w:pPr>
              <w:spacing w:after="0"/>
              <w:rPr>
                <w:sz w:val="24"/>
                <w:szCs w:val="24"/>
                <w:color w:val="auto"/>
              </w:rPr>
            </w:pPr>
          </w:p>
        </w:tc>
        <w:tc>
          <w:tcPr>
            <w:tcW w:w="986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ARTICLE III</w:t>
            </w:r>
          </w:p>
        </w:tc>
        <w:tc>
          <w:tcPr>
            <w:tcW w:w="280" w:type="dxa"/>
            <w:vAlign w:val="bottom"/>
          </w:tcPr>
          <w:p>
            <w:pPr>
              <w:spacing w:after="0"/>
              <w:rPr>
                <w:sz w:val="24"/>
                <w:szCs w:val="24"/>
                <w:color w:val="auto"/>
              </w:rPr>
            </w:pPr>
          </w:p>
        </w:tc>
      </w:tr>
      <w:tr>
        <w:trPr>
          <w:trHeight w:val="324"/>
        </w:trPr>
        <w:tc>
          <w:tcPr>
            <w:tcW w:w="1180" w:type="dxa"/>
            <w:vAlign w:val="bottom"/>
          </w:tcPr>
          <w:p>
            <w:pPr>
              <w:spacing w:after="0"/>
              <w:rPr>
                <w:sz w:val="24"/>
                <w:szCs w:val="24"/>
                <w:color w:val="auto"/>
              </w:rPr>
            </w:pPr>
          </w:p>
        </w:tc>
        <w:tc>
          <w:tcPr>
            <w:tcW w:w="98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7"/>
              </w:rPr>
              <w:t>TAX BENEFIT PAYMENTS</w:t>
            </w:r>
          </w:p>
        </w:tc>
        <w:tc>
          <w:tcPr>
            <w:tcW w:w="280" w:type="dxa"/>
            <w:vAlign w:val="bottom"/>
          </w:tcPr>
          <w:p>
            <w:pPr>
              <w:spacing w:after="0"/>
              <w:rPr>
                <w:sz w:val="24"/>
                <w:szCs w:val="24"/>
                <w:color w:val="auto"/>
              </w:rPr>
            </w:pPr>
          </w:p>
        </w:tc>
      </w:tr>
      <w:tr>
        <w:trPr>
          <w:trHeight w:val="30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Duplicative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180" w:type="dxa"/>
            <w:vAlign w:val="bottom"/>
          </w:tcPr>
          <w:p>
            <w:pPr>
              <w:spacing w:after="0"/>
              <w:rPr>
                <w:sz w:val="24"/>
                <w:szCs w:val="24"/>
                <w:color w:val="auto"/>
              </w:rPr>
            </w:pPr>
          </w:p>
        </w:tc>
        <w:tc>
          <w:tcPr>
            <w:tcW w:w="986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8"/>
              </w:rPr>
              <w:t>ARTICLE IV</w:t>
            </w:r>
          </w:p>
        </w:tc>
        <w:tc>
          <w:tcPr>
            <w:tcW w:w="280" w:type="dxa"/>
            <w:vAlign w:val="bottom"/>
          </w:tcPr>
          <w:p>
            <w:pPr>
              <w:spacing w:after="0"/>
              <w:rPr>
                <w:sz w:val="24"/>
                <w:szCs w:val="24"/>
                <w:color w:val="auto"/>
              </w:rPr>
            </w:pPr>
          </w:p>
        </w:tc>
      </w:tr>
      <w:tr>
        <w:trPr>
          <w:trHeight w:val="324"/>
        </w:trPr>
        <w:tc>
          <w:tcPr>
            <w:tcW w:w="1180" w:type="dxa"/>
            <w:vAlign w:val="bottom"/>
          </w:tcPr>
          <w:p>
            <w:pPr>
              <w:spacing w:after="0"/>
              <w:rPr>
                <w:sz w:val="24"/>
                <w:szCs w:val="24"/>
                <w:color w:val="auto"/>
              </w:rPr>
            </w:pPr>
          </w:p>
        </w:tc>
        <w:tc>
          <w:tcPr>
            <w:tcW w:w="986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7"/>
              </w:rPr>
              <w:t>TERMINATION</w:t>
            </w:r>
          </w:p>
        </w:tc>
        <w:tc>
          <w:tcPr>
            <w:tcW w:w="280" w:type="dxa"/>
            <w:vAlign w:val="bottom"/>
          </w:tcPr>
          <w:p>
            <w:pPr>
              <w:spacing w:after="0"/>
              <w:rPr>
                <w:sz w:val="24"/>
                <w:szCs w:val="24"/>
                <w:color w:val="auto"/>
              </w:rPr>
            </w:pPr>
          </w:p>
        </w:tc>
      </w:tr>
      <w:tr>
        <w:trPr>
          <w:trHeight w:val="30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Termination, Early Termination and Breach of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Early Termination Notice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upon Early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Other Right of Early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180" w:type="dxa"/>
            <w:vAlign w:val="bottom"/>
          </w:tcPr>
          <w:p>
            <w:pPr>
              <w:spacing w:after="0"/>
              <w:rPr>
                <w:sz w:val="24"/>
                <w:szCs w:val="24"/>
                <w:color w:val="auto"/>
              </w:rPr>
            </w:pPr>
          </w:p>
        </w:tc>
        <w:tc>
          <w:tcPr>
            <w:tcW w:w="98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8"/>
              </w:rPr>
              <w:t>ARTICLE V</w:t>
            </w:r>
          </w:p>
        </w:tc>
        <w:tc>
          <w:tcPr>
            <w:tcW w:w="280" w:type="dxa"/>
            <w:vAlign w:val="bottom"/>
          </w:tcPr>
          <w:p>
            <w:pPr>
              <w:spacing w:after="0"/>
              <w:rPr>
                <w:sz w:val="24"/>
                <w:szCs w:val="24"/>
                <w:color w:val="auto"/>
              </w:rPr>
            </w:pPr>
          </w:p>
        </w:tc>
      </w:tr>
      <w:tr>
        <w:trPr>
          <w:trHeight w:val="324"/>
        </w:trPr>
        <w:tc>
          <w:tcPr>
            <w:tcW w:w="1180" w:type="dxa"/>
            <w:vAlign w:val="bottom"/>
          </w:tcPr>
          <w:p>
            <w:pPr>
              <w:spacing w:after="0"/>
              <w:rPr>
                <w:sz w:val="24"/>
                <w:szCs w:val="24"/>
                <w:color w:val="auto"/>
              </w:rPr>
            </w:pPr>
          </w:p>
        </w:tc>
        <w:tc>
          <w:tcPr>
            <w:tcW w:w="986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LATE PAYMENTS AND COMPLIANCE WITH INDEBTEDNESS</w:t>
            </w:r>
          </w:p>
        </w:tc>
        <w:tc>
          <w:tcPr>
            <w:tcW w:w="280" w:type="dxa"/>
            <w:vAlign w:val="bottom"/>
          </w:tcPr>
          <w:p>
            <w:pPr>
              <w:spacing w:after="0"/>
              <w:rPr>
                <w:sz w:val="24"/>
                <w:szCs w:val="24"/>
                <w:color w:val="auto"/>
              </w:rPr>
            </w:pPr>
          </w:p>
        </w:tc>
      </w:tr>
      <w:tr>
        <w:trPr>
          <w:trHeight w:val="30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Late Payments by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Compliance with Indebtedness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26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VI</w:t>
            </w:r>
          </w:p>
        </w:tc>
        <w:tc>
          <w:tcPr>
            <w:tcW w:w="1020" w:type="dxa"/>
            <w:vAlign w:val="bottom"/>
          </w:tcPr>
          <w:p>
            <w:pPr>
              <w:spacing w:after="0"/>
              <w:rPr>
                <w:sz w:val="20"/>
                <w:szCs w:val="20"/>
                <w:color w:val="auto"/>
              </w:rPr>
            </w:pPr>
          </w:p>
        </w:tc>
      </w:tr>
      <w:tr>
        <w:trPr>
          <w:trHeight w:val="324"/>
        </w:trPr>
        <w:tc>
          <w:tcPr>
            <w:tcW w:w="112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 DISPUTES; CONSISTENCY; COOPERATION</w:t>
            </w:r>
          </w:p>
        </w:tc>
        <w:tc>
          <w:tcPr>
            <w:tcW w:w="1020" w:type="dxa"/>
            <w:vAlign w:val="bottom"/>
          </w:tcPr>
          <w:p>
            <w:pPr>
              <w:spacing w:after="0"/>
              <w:rPr>
                <w:sz w:val="24"/>
                <w:szCs w:val="24"/>
                <w:color w:val="auto"/>
              </w:rPr>
            </w:pPr>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Existing Stockholders Representative’s Participation in the Corporation’s Tax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Consistency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Cooperation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120" w:type="dxa"/>
            <w:vAlign w:val="bottom"/>
          </w:tcPr>
          <w:p>
            <w:pPr>
              <w:spacing w:after="0"/>
              <w:rPr>
                <w:sz w:val="24"/>
                <w:szCs w:val="24"/>
                <w:color w:val="auto"/>
              </w:rPr>
            </w:pPr>
          </w:p>
        </w:tc>
        <w:tc>
          <w:tcPr>
            <w:tcW w:w="9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ARTICLE VII</w:t>
            </w:r>
          </w:p>
        </w:tc>
        <w:tc>
          <w:tcPr>
            <w:tcW w:w="102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MISCELLANEOUS</w:t>
            </w:r>
          </w:p>
        </w:tc>
        <w:tc>
          <w:tcPr>
            <w:tcW w:w="1020" w:type="dxa"/>
            <w:vAlign w:val="bottom"/>
          </w:tcPr>
          <w:p>
            <w:pPr>
              <w:spacing w:after="0"/>
              <w:rPr>
                <w:sz w:val="24"/>
                <w:szCs w:val="24"/>
                <w:color w:val="auto"/>
              </w:rPr>
            </w:pPr>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Entire Agreement; Third Party Beneficiaries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Successors; Assignment; Amendments; Waivers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 Titles, and Subtitles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Resolution of Disputes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Reconciliation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Withholding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Affiliated Corporations; Admission of the Corporation into a Consolidated Group; Transfers of Corporate Assets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Confidentiality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Appointment of Existing Stockholders Representative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20"/>
          </w:cols>
          <w:pgMar w:left="240" w:top="378" w:right="339" w:bottom="1440" w:gutter="0" w:footer="0" w:header="0"/>
        </w:sectPr>
      </w:pPr>
    </w:p>
    <w:bookmarkStart w:id="76" w:name="page77"/>
    <w:bookmarkEnd w:id="76"/>
    <w:p>
      <w:pPr>
        <w:jc w:val="both"/>
        <w:ind w:right="380" w:firstLine="913"/>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INCOME TAX RECEIVABLE AGREEMENT (as amended from time to time,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dated as of July 30, 2014, is hereby entered into by and among El Pollo Loco Holdings, Inc., a Delaware corporation (the “</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color w:val="auto"/>
        </w:rPr>
        <w:t>”), and Trimaran Pollo Partners, L.L.C., a Delaware limited liability company (the “</w:t>
      </w:r>
      <w:r>
        <w:rPr>
          <w:rFonts w:ascii="Times New Roman" w:cs="Times New Roman" w:eastAsia="Times New Roman" w:hAnsi="Times New Roman"/>
          <w:sz w:val="18"/>
          <w:szCs w:val="18"/>
          <w:b w:val="1"/>
          <w:bCs w:val="1"/>
          <w:u w:val="single" w:color="auto"/>
          <w:color w:val="auto"/>
        </w:rPr>
        <w:t>Existing Stockholders Representative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the Existing Stockholders (as defined below), in the aggregate, hold 100% of the capital stock of the Corporation, directly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pursuant to the IPO, the Corporation will become a public company;</w:t>
      </w:r>
    </w:p>
    <w:p>
      <w:pPr>
        <w:spacing w:after="0" w:line="225" w:lineRule="exact"/>
        <w:rPr>
          <w:sz w:val="20"/>
          <w:szCs w:val="20"/>
          <w:color w:val="auto"/>
        </w:rPr>
      </w:pPr>
    </w:p>
    <w:p>
      <w:pPr>
        <w:ind w:right="100" w:firstLine="913"/>
        <w:spacing w:after="0" w:line="261" w:lineRule="auto"/>
        <w:rPr>
          <w:sz w:val="20"/>
          <w:szCs w:val="20"/>
          <w:color w:val="auto"/>
        </w:rPr>
      </w:pPr>
      <w:r>
        <w:rPr>
          <w:rFonts w:ascii="Times New Roman" w:cs="Times New Roman" w:eastAsia="Times New Roman" w:hAnsi="Times New Roman"/>
          <w:sz w:val="18"/>
          <w:szCs w:val="18"/>
          <w:color w:val="auto"/>
        </w:rPr>
        <w:t>WHEREAS, after the IPO, the Corporation will have, for applicable Tax purposes, net operating losses, capital losses, charitable deductions, alternative minimum tax credit carryforwards (including alternative minimum tax credits that arise after the IPO as a result of limitations on the use of NOLs under the alternative minimum tax) and other Tax attributes (collectively, “</w:t>
      </w:r>
      <w:r>
        <w:rPr>
          <w:rFonts w:ascii="Times New Roman" w:cs="Times New Roman" w:eastAsia="Times New Roman" w:hAnsi="Times New Roman"/>
          <w:sz w:val="18"/>
          <w:szCs w:val="18"/>
          <w:b w:val="1"/>
          <w:bCs w:val="1"/>
          <w:u w:val="single" w:color="auto"/>
          <w:color w:val="auto"/>
        </w:rPr>
        <w:t>NOLs</w:t>
      </w:r>
      <w:r>
        <w:rPr>
          <w:rFonts w:ascii="Times New Roman" w:cs="Times New Roman" w:eastAsia="Times New Roman" w:hAnsi="Times New Roman"/>
          <w:sz w:val="18"/>
          <w:szCs w:val="18"/>
          <w:color w:val="auto"/>
        </w:rPr>
        <w:t>”) that relate to periods (or portions thereof) prior to the IPO (the “</w:t>
      </w:r>
      <w:r>
        <w:rPr>
          <w:rFonts w:ascii="Times New Roman" w:cs="Times New Roman" w:eastAsia="Times New Roman" w:hAnsi="Times New Roman"/>
          <w:sz w:val="18"/>
          <w:szCs w:val="18"/>
          <w:b w:val="1"/>
          <w:bCs w:val="1"/>
          <w:u w:val="single" w:color="auto"/>
          <w:color w:val="auto"/>
        </w:rPr>
        <w:t>Pre-IPO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NOLs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the Pre-IPO NOLs may reduce the reported liability for Taxes (as defined below) that the Corporation might otherwise be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pay;</w:t>
      </w:r>
    </w:p>
    <w:p>
      <w:pPr>
        <w:spacing w:after="0" w:line="207" w:lineRule="exact"/>
        <w:rPr>
          <w:sz w:val="20"/>
          <w:szCs w:val="20"/>
          <w:color w:val="auto"/>
        </w:rPr>
      </w:pPr>
    </w:p>
    <w:p>
      <w:pPr>
        <w:ind w:right="280" w:firstLine="913"/>
        <w:spacing w:after="0" w:line="282" w:lineRule="auto"/>
        <w:rPr>
          <w:sz w:val="20"/>
          <w:szCs w:val="20"/>
          <w:color w:val="auto"/>
        </w:rPr>
      </w:pPr>
      <w:r>
        <w:rPr>
          <w:rFonts w:ascii="Times New Roman" w:cs="Times New Roman" w:eastAsia="Times New Roman" w:hAnsi="Times New Roman"/>
          <w:sz w:val="18"/>
          <w:szCs w:val="18"/>
          <w:color w:val="auto"/>
        </w:rPr>
        <w:t>WHEREAS, the parties to this Agreement desire to make certain arrangements with respect to the effect of the Pre-IPO NOLs on the reported liability for Taxes of the Corporation;</w:t>
      </w:r>
    </w:p>
    <w:p>
      <w:pPr>
        <w:spacing w:after="0" w:line="162"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covenants and agreements set forth herein, and intending to be legally bound hereby, the parties hereto agree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terms set forth in this Article I shall have the following meanings (such meanings to be equally applicable to both the singular and plural forms of the terms defined).</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Acceptance Notice</w:t>
      </w:r>
      <w:r>
        <w:rPr>
          <w:rFonts w:ascii="Times New Roman" w:cs="Times New Roman" w:eastAsia="Times New Roman" w:hAnsi="Times New Roman"/>
          <w:sz w:val="18"/>
          <w:szCs w:val="18"/>
          <w:color w:val="auto"/>
        </w:rPr>
        <w:t>” is defined in Section 7.06(b) of this Agreement.</w:t>
      </w:r>
    </w:p>
    <w:p>
      <w:pPr>
        <w:spacing w:after="0" w:line="225" w:lineRule="exact"/>
        <w:rPr>
          <w:sz w:val="20"/>
          <w:szCs w:val="20"/>
          <w:color w:val="auto"/>
        </w:rPr>
      </w:pPr>
    </w:p>
    <w:p>
      <w:pPr>
        <w:ind w:right="360"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Advisory Firm</w:t>
      </w:r>
      <w:r>
        <w:rPr>
          <w:rFonts w:ascii="Times New Roman" w:cs="Times New Roman" w:eastAsia="Times New Roman" w:hAnsi="Times New Roman"/>
          <w:sz w:val="18"/>
          <w:szCs w:val="18"/>
          <w:color w:val="auto"/>
        </w:rPr>
        <w:t>” means (i) BDO USA, LLP or (ii) any other law or accounting firm that is (A) nationally recognized as being expert in Tax matters and (B) that is agreed to by the Corporation and the Existing Stockholders Representative.</w:t>
      </w:r>
    </w:p>
    <w:p>
      <w:pPr>
        <w:spacing w:after="0" w:line="155" w:lineRule="exact"/>
        <w:rPr>
          <w:sz w:val="20"/>
          <w:szCs w:val="20"/>
          <w:color w:val="auto"/>
        </w:rPr>
      </w:pPr>
    </w:p>
    <w:p>
      <w:pPr>
        <w:ind w:right="10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Advisory Firm Letter</w:t>
      </w:r>
      <w:r>
        <w:rPr>
          <w:rFonts w:ascii="Times New Roman" w:cs="Times New Roman" w:eastAsia="Times New Roman" w:hAnsi="Times New Roman"/>
          <w:sz w:val="18"/>
          <w:szCs w:val="18"/>
          <w:color w:val="auto"/>
        </w:rPr>
        <w:t>” means a letter from the Advisory Firm stating, as applicable, that the relevant Schedule, notice, or other information to be provided by the Corporation to the Existing Stockholders Representative and all supporting schedules and work papers were prepared in a manner consistent with the terms of this Agreement and, to the extent not expressly provided in this Agreement, on a reasonable basis in light of the facts and applicable law in existence on the date to which such Schedule, notice or other information relates.</w:t>
      </w:r>
    </w:p>
    <w:p>
      <w:pPr>
        <w:sectPr>
          <w:pgSz w:w="11900" w:h="16838" w:orient="portrait"/>
          <w:cols w:equalWidth="0" w:num="1">
            <w:col w:w="11420"/>
          </w:cols>
          <w:pgMar w:left="240" w:top="266" w:right="239" w:bottom="1440" w:gutter="0" w:footer="0" w:header="0"/>
        </w:sectPr>
      </w:pPr>
    </w:p>
    <w:bookmarkStart w:id="77" w:name="page78"/>
    <w:bookmarkEnd w:id="77"/>
    <w:p>
      <w:pPr>
        <w:ind w:right="460" w:firstLine="913"/>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first Person.</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Agreed Rate</w:t>
      </w:r>
      <w:r>
        <w:rPr>
          <w:rFonts w:ascii="Times New Roman" w:cs="Times New Roman" w:eastAsia="Times New Roman" w:hAnsi="Times New Roman"/>
          <w:sz w:val="18"/>
          <w:szCs w:val="18"/>
          <w:color w:val="auto"/>
        </w:rPr>
        <w:t>” means LIBOR plus 200 basis points.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defined in the preamble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Amended Schedule</w:t>
      </w:r>
      <w:r>
        <w:rPr>
          <w:rFonts w:ascii="Times New Roman" w:cs="Times New Roman" w:eastAsia="Times New Roman" w:hAnsi="Times New Roman"/>
          <w:sz w:val="18"/>
          <w:szCs w:val="18"/>
          <w:color w:val="auto"/>
        </w:rPr>
        <w:t>” is defined in Section 2.03(b) of this Agreement.</w:t>
      </w:r>
    </w:p>
    <w:p>
      <w:pPr>
        <w:spacing w:after="0" w:line="225" w:lineRule="exact"/>
        <w:rPr>
          <w:sz w:val="20"/>
          <w:szCs w:val="20"/>
          <w:color w:val="auto"/>
        </w:rPr>
      </w:pPr>
    </w:p>
    <w:p>
      <w:pPr>
        <w:ind w:right="120"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Percentage</w:t>
      </w:r>
      <w:r>
        <w:rPr>
          <w:rFonts w:ascii="Times New Roman" w:cs="Times New Roman" w:eastAsia="Times New Roman" w:hAnsi="Times New Roman"/>
          <w:sz w:val="18"/>
          <w:szCs w:val="18"/>
          <w:color w:val="auto"/>
        </w:rPr>
        <w:t>” means, with respect to any Existing Stockholder, the percentage set forth opposite such Existing Stockholder’s name on Schedule A, as amended from time to time to reflect any Permitted Assignment.</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Bankruptcy Code</w:t>
      </w:r>
      <w:r>
        <w:rPr>
          <w:rFonts w:ascii="Times New Roman" w:cs="Times New Roman" w:eastAsia="Times New Roman" w:hAnsi="Times New Roman"/>
          <w:sz w:val="18"/>
          <w:szCs w:val="18"/>
          <w:color w:val="auto"/>
        </w:rPr>
        <w:t>” means Title 11 of the United States Code.</w:t>
      </w:r>
    </w:p>
    <w:p>
      <w:pPr>
        <w:spacing w:after="0" w:line="225" w:lineRule="exact"/>
        <w:rPr>
          <w:sz w:val="20"/>
          <w:szCs w:val="20"/>
          <w:color w:val="auto"/>
        </w:rPr>
      </w:pPr>
    </w:p>
    <w:p>
      <w:pPr>
        <w:ind w:right="220"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60" w:right="60" w:firstLine="443"/>
        <w:spacing w:after="0" w:line="256" w:lineRule="auto"/>
        <w:tabs>
          <w:tab w:leader="none" w:pos="111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consolidation or similar form of business transaction directly involving the Corporation or indirectly involving the Corporation through one or more intermediaries unless, immediately following such transaction, more than 50% of the voting power of the then outstanding voting stock or other equity securities of the Corporation resulting from consummation of such transaction (including, without limitation, any parent or ultimate parent corporation of such Person that as a result of such transaction owns directly or indirectly the Corporation and all or substantially all of the Corporation’s assets) is held by the existing equityholders of the Corporation (determined immediately prior to such transaction and related transactions); or</w:t>
      </w:r>
    </w:p>
    <w:p>
      <w:pPr>
        <w:spacing w:after="0" w:line="79" w:lineRule="exact"/>
        <w:rPr>
          <w:rFonts w:ascii="Times New Roman" w:cs="Times New Roman" w:eastAsia="Times New Roman" w:hAnsi="Times New Roman"/>
          <w:sz w:val="18"/>
          <w:szCs w:val="18"/>
          <w:color w:val="auto"/>
        </w:rPr>
      </w:pPr>
    </w:p>
    <w:p>
      <w:pPr>
        <w:ind w:left="460" w:right="740" w:firstLine="443"/>
        <w:spacing w:after="0" w:line="282" w:lineRule="auto"/>
        <w:tabs>
          <w:tab w:leader="none" w:pos="116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in which the Corporation, directly or indirectly, sells, assigns, conveys, transfers, leases or otherwise disposes of all or substantially all of its assets to another Person other than an Affiliate; or</w:t>
      </w:r>
    </w:p>
    <w:p>
      <w:pPr>
        <w:spacing w:after="0" w:line="53" w:lineRule="exact"/>
        <w:rPr>
          <w:rFonts w:ascii="Times New Roman" w:cs="Times New Roman" w:eastAsia="Times New Roman" w:hAnsi="Times New Roman"/>
          <w:sz w:val="18"/>
          <w:szCs w:val="18"/>
          <w:color w:val="auto"/>
        </w:rPr>
      </w:pPr>
    </w:p>
    <w:p>
      <w:pPr>
        <w:ind w:left="460" w:firstLine="443"/>
        <w:spacing w:after="0" w:line="258" w:lineRule="auto"/>
        <w:tabs>
          <w:tab w:leader="none" w:pos="121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in which there is an acquisition of control of the Corporation by a Person or group of Persons (other than Existing Stockholders and their Affiliates). For purposes of this definition, the term “control” shall mean the possession, directly or indirectly, of the power to either (A) vote more than 50% of the securities having ordinary voting power for the election of directors (or comparable positions in the case of partnerships and limited liability companies), or (B) direct or cause the direction of the management and policies of such Person, whether by contract or otherwise (for the avoidance of doubt, consent rights do not constitute “control” for the purpose of this definition); or</w:t>
      </w:r>
    </w:p>
    <w:p>
      <w:pPr>
        <w:spacing w:after="0" w:line="75"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or dissolution of the Corporation.</w:t>
      </w:r>
    </w:p>
    <w:p>
      <w:pPr>
        <w:sectPr>
          <w:pgSz w:w="11900" w:h="16838" w:orient="portrait"/>
          <w:cols w:equalWidth="0" w:num="1">
            <w:col w:w="11360"/>
          </w:cols>
          <w:pgMar w:left="240" w:top="266" w:right="299" w:bottom="1440" w:gutter="0" w:footer="0" w:header="0"/>
        </w:sectPr>
      </w:pPr>
    </w:p>
    <w:bookmarkStart w:id="78" w:name="page79"/>
    <w:bookmarkEnd w:id="78"/>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Compensated NOLs</w:t>
      </w:r>
      <w:r>
        <w:rPr>
          <w:rFonts w:ascii="Times New Roman" w:cs="Times New Roman" w:eastAsia="Times New Roman" w:hAnsi="Times New Roman"/>
          <w:sz w:val="18"/>
          <w:szCs w:val="18"/>
          <w:color w:val="auto"/>
        </w:rPr>
        <w:t>” means, for a Taxable Year, the Pre-IPO NOLs utilized in determining the Realized Tax Benefit under this Agreement.</w:t>
      </w:r>
    </w:p>
    <w:p>
      <w:pPr>
        <w:spacing w:after="0" w:line="225" w:lineRule="exact"/>
        <w:rPr>
          <w:sz w:val="20"/>
          <w:szCs w:val="20"/>
          <w:color w:val="auto"/>
        </w:rPr>
      </w:pPr>
    </w:p>
    <w:p>
      <w:pPr>
        <w:ind w:right="380"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Control</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color w:val="auto"/>
        </w:rPr>
        <w:t>” is defined in the preamble of this Agreement.</w:t>
      </w:r>
    </w:p>
    <w:p>
      <w:pPr>
        <w:spacing w:after="0" w:line="225" w:lineRule="exact"/>
        <w:rPr>
          <w:sz w:val="20"/>
          <w:szCs w:val="20"/>
          <w:color w:val="auto"/>
        </w:rPr>
      </w:pPr>
    </w:p>
    <w:p>
      <w:pPr>
        <w:ind w:right="80"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Corporation Return</w:t>
      </w:r>
      <w:r>
        <w:rPr>
          <w:rFonts w:ascii="Times New Roman" w:cs="Times New Roman" w:eastAsia="Times New Roman" w:hAnsi="Times New Roman"/>
          <w:sz w:val="18"/>
          <w:szCs w:val="18"/>
          <w:color w:val="auto"/>
        </w:rPr>
        <w:t>” means the federal Tax Return and/or state and/or local and/or foreign Tax Return, as applicable, of the Corporation filed with respect to Taxes of any Taxable Year.</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 Rate</w:t>
      </w:r>
      <w:r>
        <w:rPr>
          <w:rFonts w:ascii="Times New Roman" w:cs="Times New Roman" w:eastAsia="Times New Roman" w:hAnsi="Times New Roman"/>
          <w:sz w:val="18"/>
          <w:szCs w:val="18"/>
          <w:color w:val="auto"/>
        </w:rPr>
        <w:t>” means LIBOR plus 500 basis points.</w:t>
      </w:r>
    </w:p>
    <w:p>
      <w:pPr>
        <w:spacing w:after="0" w:line="225" w:lineRule="exact"/>
        <w:rPr>
          <w:sz w:val="20"/>
          <w:szCs w:val="20"/>
          <w:color w:val="auto"/>
        </w:rPr>
      </w:pPr>
    </w:p>
    <w:p>
      <w:pPr>
        <w:ind w:right="80" w:firstLine="91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Determination</w:t>
      </w:r>
      <w:r>
        <w:rPr>
          <w:rFonts w:ascii="Times New Roman" w:cs="Times New Roman" w:eastAsia="Times New Roman" w:hAnsi="Times New Roman"/>
          <w:sz w:val="18"/>
          <w:szCs w:val="18"/>
          <w:color w:val="auto"/>
        </w:rPr>
        <w:t>” shall (a) have the meaning ascribed to such term in Section 1313(a) of the Code or similar provision of state, local and foreign Tax law, as applicable, or (b) mean any other event (including the execution of a Form 870-AD) that finally and conclusively establishes the amount of any liability for Tax.</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Date</w:t>
      </w:r>
      <w:r>
        <w:rPr>
          <w:rFonts w:ascii="Times New Roman" w:cs="Times New Roman" w:eastAsia="Times New Roman" w:hAnsi="Times New Roman"/>
          <w:sz w:val="18"/>
          <w:szCs w:val="18"/>
          <w:color w:val="auto"/>
        </w:rPr>
        <w:t>” means the date of an Early Termination Notice for purposes of determining the Early Termination Payment.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Notice</w:t>
      </w:r>
      <w:r>
        <w:rPr>
          <w:rFonts w:ascii="Times New Roman" w:cs="Times New Roman" w:eastAsia="Times New Roman" w:hAnsi="Times New Roman"/>
          <w:sz w:val="18"/>
          <w:szCs w:val="18"/>
          <w:color w:val="auto"/>
        </w:rPr>
        <w:t>” is defined in Section 4.02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Payment</w:t>
      </w:r>
      <w:r>
        <w:rPr>
          <w:rFonts w:ascii="Times New Roman" w:cs="Times New Roman" w:eastAsia="Times New Roman" w:hAnsi="Times New Roman"/>
          <w:sz w:val="18"/>
          <w:szCs w:val="18"/>
          <w:color w:val="auto"/>
        </w:rPr>
        <w:t>” is defined in Section 4.03(b)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Rate</w:t>
      </w:r>
      <w:r>
        <w:rPr>
          <w:rFonts w:ascii="Times New Roman" w:cs="Times New Roman" w:eastAsia="Times New Roman" w:hAnsi="Times New Roman"/>
          <w:sz w:val="18"/>
          <w:szCs w:val="18"/>
          <w:color w:val="auto"/>
        </w:rPr>
        <w:t>” means LIBOR plus 500 basis points.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Schedule</w:t>
      </w:r>
      <w:r>
        <w:rPr>
          <w:rFonts w:ascii="Times New Roman" w:cs="Times New Roman" w:eastAsia="Times New Roman" w:hAnsi="Times New Roman"/>
          <w:sz w:val="18"/>
          <w:szCs w:val="18"/>
          <w:color w:val="auto"/>
        </w:rPr>
        <w:t>” is defined in Section 4.02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Expert</w:t>
      </w:r>
      <w:r>
        <w:rPr>
          <w:rFonts w:ascii="Times New Roman" w:cs="Times New Roman" w:eastAsia="Times New Roman" w:hAnsi="Times New Roman"/>
          <w:sz w:val="18"/>
          <w:szCs w:val="18"/>
          <w:color w:val="auto"/>
        </w:rPr>
        <w:t>” is defined in Section 7.09 of this Agreement.</w:t>
      </w:r>
    </w:p>
    <w:p>
      <w:pPr>
        <w:spacing w:after="0" w:line="225" w:lineRule="exact"/>
        <w:rPr>
          <w:sz w:val="20"/>
          <w:szCs w:val="20"/>
          <w:color w:val="auto"/>
        </w:rPr>
      </w:pPr>
    </w:p>
    <w:p>
      <w:pPr>
        <w:ind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Existing Stockholders</w:t>
      </w:r>
      <w:r>
        <w:rPr>
          <w:rFonts w:ascii="Times New Roman" w:cs="Times New Roman" w:eastAsia="Times New Roman" w:hAnsi="Times New Roman"/>
          <w:sz w:val="18"/>
          <w:szCs w:val="18"/>
          <w:color w:val="auto"/>
        </w:rPr>
        <w:t>” means the stockholders of the Corporation immediately prior to the IPO as listed on Schedule A (including the Existing Stockholders Representative in its capacity as an Existing Stockholder) together with any Permitted Assignees.</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Existing Stockholders Representative</w:t>
      </w:r>
      <w:r>
        <w:rPr>
          <w:rFonts w:ascii="Times New Roman" w:cs="Times New Roman" w:eastAsia="Times New Roman" w:hAnsi="Times New Roman"/>
          <w:sz w:val="18"/>
          <w:szCs w:val="18"/>
          <w:color w:val="auto"/>
        </w:rPr>
        <w:t>” is defined in the preamble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Interest Amount</w:t>
      </w:r>
      <w:r>
        <w:rPr>
          <w:rFonts w:ascii="Times New Roman" w:cs="Times New Roman" w:eastAsia="Times New Roman" w:hAnsi="Times New Roman"/>
          <w:sz w:val="18"/>
          <w:szCs w:val="18"/>
          <w:color w:val="auto"/>
        </w:rPr>
        <w:t>” is defined in Section 3.01(b) of this Agreement.</w:t>
      </w:r>
    </w:p>
    <w:p>
      <w:pPr>
        <w:sectPr>
          <w:pgSz w:w="11900" w:h="16838" w:orient="portrait"/>
          <w:cols w:equalWidth="0" w:num="1">
            <w:col w:w="11400"/>
          </w:cols>
          <w:pgMar w:left="240" w:top="266" w:right="259" w:bottom="1440" w:gutter="0" w:footer="0" w:header="0"/>
        </w:sectPr>
      </w:pPr>
    </w:p>
    <w:bookmarkStart w:id="79" w:name="page80"/>
    <w:bookmarkEnd w:id="79"/>
    <w:p>
      <w:pPr>
        <w:ind w:right="180" w:firstLine="913"/>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means the initial public offering of common stock of the Corporation pursuant to the registration statement on Form S-1 (File No. 333-197001) of the Corporation.</w:t>
      </w:r>
    </w:p>
    <w:p>
      <w:pPr>
        <w:spacing w:after="0" w:line="155" w:lineRule="exact"/>
        <w:rPr>
          <w:sz w:val="20"/>
          <w:szCs w:val="20"/>
          <w:color w:val="auto"/>
        </w:rPr>
      </w:pPr>
    </w:p>
    <w:p>
      <w:pPr>
        <w:ind w:right="640"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ITR Payment</w:t>
      </w:r>
      <w:r>
        <w:rPr>
          <w:rFonts w:ascii="Times New Roman" w:cs="Times New Roman" w:eastAsia="Times New Roman" w:hAnsi="Times New Roman"/>
          <w:sz w:val="18"/>
          <w:szCs w:val="18"/>
          <w:color w:val="auto"/>
        </w:rPr>
        <w:t>” means any Tax Benefit Payment or Early Termination Payment required to be made by the Corporation to the Existing Stockholders under this Agreement.</w:t>
      </w:r>
    </w:p>
    <w:p>
      <w:pPr>
        <w:spacing w:after="0" w:line="155" w:lineRule="exact"/>
        <w:rPr>
          <w:sz w:val="20"/>
          <w:szCs w:val="20"/>
          <w:color w:val="auto"/>
        </w:rPr>
      </w:pPr>
    </w:p>
    <w:p>
      <w:pPr>
        <w:ind w:firstLine="91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LIBOR</w:t>
      </w:r>
      <w:r>
        <w:rPr>
          <w:rFonts w:ascii="Times New Roman" w:cs="Times New Roman" w:eastAsia="Times New Roman" w:hAnsi="Times New Roman"/>
          <w:sz w:val="18"/>
          <w:szCs w:val="18"/>
          <w:color w:val="auto"/>
        </w:rPr>
        <w:t>” means, during any period, an interest rate per annum equal to the one-year LIBOR reported, on the date two days prior to the first day of such period, on the Reuters Screen page “LIBOR01” (or if such screen shall cease to be publicly available, as reported by any other publicly available source of such market rate) for London interbank offered rates for U.S. dollar deposits for such period.</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Objection Notice</w:t>
      </w:r>
      <w:r>
        <w:rPr>
          <w:rFonts w:ascii="Times New Roman" w:cs="Times New Roman" w:eastAsia="Times New Roman" w:hAnsi="Times New Roman"/>
          <w:sz w:val="18"/>
          <w:szCs w:val="18"/>
          <w:color w:val="auto"/>
        </w:rPr>
        <w:t>” is defined in Section 2.03(a)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Net Tax Benefit</w:t>
      </w:r>
      <w:r>
        <w:rPr>
          <w:rFonts w:ascii="Times New Roman" w:cs="Times New Roman" w:eastAsia="Times New Roman" w:hAnsi="Times New Roman"/>
          <w:sz w:val="18"/>
          <w:szCs w:val="18"/>
          <w:color w:val="auto"/>
        </w:rPr>
        <w:t>” is defined in Section 3.01(b)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NOLs</w:t>
      </w:r>
      <w:r>
        <w:rPr>
          <w:rFonts w:ascii="Times New Roman" w:cs="Times New Roman" w:eastAsia="Times New Roman" w:hAnsi="Times New Roman"/>
          <w:sz w:val="18"/>
          <w:szCs w:val="18"/>
          <w:color w:val="auto"/>
        </w:rPr>
        <w:t>” is defined in the recitals of this Agreement.</w:t>
      </w:r>
    </w:p>
    <w:p>
      <w:pPr>
        <w:spacing w:after="0" w:line="225" w:lineRule="exact"/>
        <w:rPr>
          <w:sz w:val="20"/>
          <w:szCs w:val="20"/>
          <w:color w:val="auto"/>
        </w:rPr>
      </w:pPr>
    </w:p>
    <w:p>
      <w:pPr>
        <w:ind w:right="14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Non-NOL Tax Liability</w:t>
      </w:r>
      <w:r>
        <w:rPr>
          <w:rFonts w:ascii="Times New Roman" w:cs="Times New Roman" w:eastAsia="Times New Roman" w:hAnsi="Times New Roman"/>
          <w:sz w:val="18"/>
          <w:szCs w:val="18"/>
          <w:color w:val="auto"/>
        </w:rPr>
        <w:t>” means, with respect to any Taxable Year, the liability for Taxes of the Corporation determined using the same methods, elections, conventions and similar practices used on the relevant Corporation Return, but without taking into account the Pre-IPO NOLs, if any. If all or any portion of the liability for Taxes for the Taxable Year arises as a result of an audit by a Taxing Authority of such Taxable Year, such liability shall not be included in determining the Non-NOL Tax Liability unless and until there has been a Determination with respect to such liability.</w:t>
      </w:r>
    </w:p>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Payment Date</w:t>
      </w:r>
      <w:r>
        <w:rPr>
          <w:rFonts w:ascii="Times New Roman" w:cs="Times New Roman" w:eastAsia="Times New Roman" w:hAnsi="Times New Roman"/>
          <w:sz w:val="18"/>
          <w:szCs w:val="18"/>
          <w:color w:val="auto"/>
        </w:rPr>
        <w:t>” means any date on which a payment is required to be made pursuant to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Assignee</w:t>
      </w:r>
      <w:r>
        <w:rPr>
          <w:rFonts w:ascii="Times New Roman" w:cs="Times New Roman" w:eastAsia="Times New Roman" w:hAnsi="Times New Roman"/>
          <w:sz w:val="18"/>
          <w:szCs w:val="18"/>
          <w:color w:val="auto"/>
        </w:rPr>
        <w:t>” means any Person who receives rights under this Agreement pursuant to a Permitted Assignment.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Assignment</w:t>
      </w:r>
      <w:r>
        <w:rPr>
          <w:rFonts w:ascii="Times New Roman" w:cs="Times New Roman" w:eastAsia="Times New Roman" w:hAnsi="Times New Roman"/>
          <w:sz w:val="18"/>
          <w:szCs w:val="18"/>
          <w:color w:val="auto"/>
        </w:rPr>
        <w:t>” is defined in Section 7.06(b) of this Agreement.</w:t>
      </w:r>
    </w:p>
    <w:p>
      <w:pPr>
        <w:spacing w:after="0" w:line="225" w:lineRule="exact"/>
        <w:rPr>
          <w:sz w:val="20"/>
          <w:szCs w:val="20"/>
          <w:color w:val="auto"/>
        </w:rPr>
      </w:pPr>
    </w:p>
    <w:p>
      <w:pPr>
        <w:ind w:right="520"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corporation, firm, partnership, joint venture, limited liability company, estate, trust, business association, organization, governmental entity or other entity.</w:t>
      </w:r>
    </w:p>
    <w:p>
      <w:pPr>
        <w:spacing w:after="0" w:line="155" w:lineRule="exact"/>
        <w:rPr>
          <w:sz w:val="20"/>
          <w:szCs w:val="20"/>
          <w:color w:val="auto"/>
        </w:rPr>
      </w:pPr>
    </w:p>
    <w:p>
      <w:pPr>
        <w:ind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Pre-IPO NOLs</w:t>
      </w:r>
      <w:r>
        <w:rPr>
          <w:rFonts w:ascii="Times New Roman" w:cs="Times New Roman" w:eastAsia="Times New Roman" w:hAnsi="Times New Roman"/>
          <w:sz w:val="18"/>
          <w:szCs w:val="18"/>
          <w:color w:val="auto"/>
        </w:rPr>
        <w:t xml:space="preserve">” is defined in the recitals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order to determine whether an NOL is a Pre-IPO NOL, the Taxable Year of the Corporation that includes the effective date of the IPO shall be deemed to end as of the close of such effective date.</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Proposed Price</w:t>
      </w:r>
      <w:r>
        <w:rPr>
          <w:rFonts w:ascii="Times New Roman" w:cs="Times New Roman" w:eastAsia="Times New Roman" w:hAnsi="Times New Roman"/>
          <w:sz w:val="18"/>
          <w:szCs w:val="18"/>
          <w:color w:val="auto"/>
        </w:rPr>
        <w:t>” is defined in Section 7.06(b)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Proposed Transfer Notice</w:t>
      </w:r>
      <w:r>
        <w:rPr>
          <w:rFonts w:ascii="Times New Roman" w:cs="Times New Roman" w:eastAsia="Times New Roman" w:hAnsi="Times New Roman"/>
          <w:sz w:val="18"/>
          <w:szCs w:val="18"/>
          <w:color w:val="auto"/>
        </w:rPr>
        <w:t>” is defined in Section 7.06(b)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Proposed Transferor</w:t>
      </w:r>
      <w:r>
        <w:rPr>
          <w:rFonts w:ascii="Times New Roman" w:cs="Times New Roman" w:eastAsia="Times New Roman" w:hAnsi="Times New Roman"/>
          <w:sz w:val="18"/>
          <w:szCs w:val="18"/>
          <w:color w:val="auto"/>
        </w:rPr>
        <w:t>” is defined in Section 7.06(b) of this Agreement.</w:t>
      </w:r>
    </w:p>
    <w:p>
      <w:pPr>
        <w:sectPr>
          <w:pgSz w:w="11900" w:h="16838" w:orient="portrait"/>
          <w:cols w:equalWidth="0" w:num="1">
            <w:col w:w="11340"/>
          </w:cols>
          <w:pgMar w:left="240" w:top="266" w:right="319" w:bottom="1440" w:gutter="0" w:footer="0" w:header="0"/>
        </w:sectPr>
      </w:pPr>
    </w:p>
    <w:bookmarkStart w:id="80" w:name="page81"/>
    <w:bookmarkEnd w:id="80"/>
    <w:p>
      <w:pPr>
        <w:ind w:right="60"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Realized Tax Benefit</w:t>
      </w:r>
      <w:r>
        <w:rPr>
          <w:rFonts w:ascii="Times New Roman" w:cs="Times New Roman" w:eastAsia="Times New Roman" w:hAnsi="Times New Roman"/>
          <w:sz w:val="18"/>
          <w:szCs w:val="18"/>
          <w:color w:val="auto"/>
        </w:rPr>
        <w:t>” means, for a Taxable Year, the excess, if any, of the Non-NOL Tax Liability over the actual liability for Taxes of the Corporation for such Taxable Year. If all or a portion of the actual Tax liability for Taxes for the Taxable Year arises as a result of an audit by a Taxing Authority of any Taxable Year, such liability shall not be included in determining the Realized Tax Benefit unless and until there has been a Determination with respect to such liability.</w:t>
      </w:r>
    </w:p>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Reconciliation Dispute</w:t>
      </w:r>
      <w:r>
        <w:rPr>
          <w:rFonts w:ascii="Times New Roman" w:cs="Times New Roman" w:eastAsia="Times New Roman" w:hAnsi="Times New Roman"/>
          <w:sz w:val="18"/>
          <w:szCs w:val="18"/>
          <w:color w:val="auto"/>
        </w:rPr>
        <w:t>” is defined in Section 7.09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Reconciliation Procedures</w:t>
      </w:r>
      <w:r>
        <w:rPr>
          <w:rFonts w:ascii="Times New Roman" w:cs="Times New Roman" w:eastAsia="Times New Roman" w:hAnsi="Times New Roman"/>
          <w:sz w:val="18"/>
          <w:szCs w:val="18"/>
          <w:color w:val="auto"/>
        </w:rPr>
        <w:t>” means those procedures set forth in Section 7.09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means, as applicable, any Tax Benefit Schedule and the Early Termination Schedule.</w:t>
      </w:r>
    </w:p>
    <w:p>
      <w:pPr>
        <w:spacing w:after="0" w:line="225" w:lineRule="exact"/>
        <w:rPr>
          <w:sz w:val="20"/>
          <w:szCs w:val="20"/>
          <w:color w:val="auto"/>
        </w:rPr>
      </w:pPr>
    </w:p>
    <w:p>
      <w:pPr>
        <w:jc w:val="both"/>
        <w:ind w:right="20" w:firstLine="91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Benefit Payment</w:t>
      </w:r>
      <w:r>
        <w:rPr>
          <w:rFonts w:ascii="Times New Roman" w:cs="Times New Roman" w:eastAsia="Times New Roman" w:hAnsi="Times New Roman"/>
          <w:sz w:val="18"/>
          <w:szCs w:val="18"/>
          <w:color w:val="auto"/>
        </w:rPr>
        <w:t>” is defined in Section 3.01(b)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Benefit Schedule</w:t>
      </w:r>
      <w:r>
        <w:rPr>
          <w:rFonts w:ascii="Times New Roman" w:cs="Times New Roman" w:eastAsia="Times New Roman" w:hAnsi="Times New Roman"/>
          <w:sz w:val="18"/>
          <w:szCs w:val="18"/>
          <w:color w:val="auto"/>
        </w:rPr>
        <w:t>” is defined in Section 2.02 of this Agreement.</w:t>
      </w:r>
    </w:p>
    <w:p>
      <w:pPr>
        <w:spacing w:after="0" w:line="225" w:lineRule="exact"/>
        <w:rPr>
          <w:sz w:val="20"/>
          <w:szCs w:val="20"/>
          <w:color w:val="auto"/>
        </w:rPr>
      </w:pPr>
    </w:p>
    <w:p>
      <w:pPr>
        <w:ind w:right="360"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Return</w:t>
      </w:r>
      <w:r>
        <w:rPr>
          <w:rFonts w:ascii="Times New Roman" w:cs="Times New Roman" w:eastAsia="Times New Roman" w:hAnsi="Times New Roman"/>
          <w:sz w:val="18"/>
          <w:szCs w:val="18"/>
          <w:color w:val="auto"/>
        </w:rPr>
        <w:t>” means any return, declaration, report or similar statement required to be filed with respect to Taxes (including any attached schedules), including, without limitation, any information return, claim for refund, amended return and declaration of estimated Tax.</w:t>
      </w:r>
    </w:p>
    <w:p>
      <w:pPr>
        <w:spacing w:after="0" w:line="155" w:lineRule="exact"/>
        <w:rPr>
          <w:sz w:val="20"/>
          <w:szCs w:val="20"/>
          <w:color w:val="auto"/>
        </w:rPr>
      </w:pPr>
    </w:p>
    <w:p>
      <w:pPr>
        <w:ind w:right="80" w:firstLine="91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Taxable Year</w:t>
      </w:r>
      <w:r>
        <w:rPr>
          <w:rFonts w:ascii="Times New Roman" w:cs="Times New Roman" w:eastAsia="Times New Roman" w:hAnsi="Times New Roman"/>
          <w:sz w:val="18"/>
          <w:szCs w:val="18"/>
          <w:color w:val="auto"/>
        </w:rPr>
        <w:t>” means a taxable year as defined in Section 441(b) of the Code or comparable section of state, local or foreign Tax law, as applicable (and, therefore, for the avoidance of doubt, may include a period of less than 12 months for which a Tax Return is made), ending on or after the date hereof.</w:t>
      </w:r>
    </w:p>
    <w:p>
      <w:pPr>
        <w:spacing w:after="0" w:line="171" w:lineRule="exact"/>
        <w:rPr>
          <w:sz w:val="20"/>
          <w:szCs w:val="20"/>
          <w:color w:val="auto"/>
        </w:rPr>
      </w:pPr>
    </w:p>
    <w:p>
      <w:pPr>
        <w:ind w:right="100"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means any and all U.S. federal, state, local and foreign taxes, assessments or similar charges measured with respect to net income or profits, and any interest related to such taxes.</w:t>
      </w:r>
    </w:p>
    <w:p>
      <w:pPr>
        <w:spacing w:after="0" w:line="155" w:lineRule="exact"/>
        <w:rPr>
          <w:sz w:val="20"/>
          <w:szCs w:val="20"/>
          <w:color w:val="auto"/>
        </w:rPr>
      </w:pPr>
    </w:p>
    <w:p>
      <w:pPr>
        <w:ind w:right="100" w:firstLine="91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Taxing Authority</w:t>
      </w:r>
      <w:r>
        <w:rPr>
          <w:rFonts w:ascii="Times New Roman" w:cs="Times New Roman" w:eastAsia="Times New Roman" w:hAnsi="Times New Roman"/>
          <w:sz w:val="18"/>
          <w:szCs w:val="18"/>
          <w:color w:val="auto"/>
        </w:rPr>
        <w:t>” means any domestic, foreign,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71" w:lineRule="exact"/>
        <w:rPr>
          <w:sz w:val="20"/>
          <w:szCs w:val="20"/>
          <w:color w:val="auto"/>
        </w:rPr>
      </w:pPr>
    </w:p>
    <w:p>
      <w:pPr>
        <w:ind w:right="140"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Uncompensated NOLs</w:t>
      </w:r>
      <w:r>
        <w:rPr>
          <w:rFonts w:ascii="Times New Roman" w:cs="Times New Roman" w:eastAsia="Times New Roman" w:hAnsi="Times New Roman"/>
          <w:sz w:val="18"/>
          <w:szCs w:val="18"/>
          <w:color w:val="auto"/>
        </w:rPr>
        <w:t>” means, for a Taxable Year, the excess, if any, of the Pre-IPO NOLs over the sum of all Compensated NOLs for all prior Taxable Years.</w:t>
      </w:r>
    </w:p>
    <w:p>
      <w:pPr>
        <w:spacing w:after="0" w:line="155" w:lineRule="exact"/>
        <w:rPr>
          <w:sz w:val="20"/>
          <w:szCs w:val="20"/>
          <w:color w:val="auto"/>
        </w:rPr>
      </w:pPr>
    </w:p>
    <w:p>
      <w:pPr>
        <w:ind w:firstLine="91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Valuation Assumptions</w:t>
      </w:r>
      <w:r>
        <w:rPr>
          <w:rFonts w:ascii="Times New Roman" w:cs="Times New Roman" w:eastAsia="Times New Roman" w:hAnsi="Times New Roman"/>
          <w:sz w:val="18"/>
          <w:szCs w:val="18"/>
          <w:color w:val="auto"/>
        </w:rPr>
        <w:t>” means, as of an Early Termination Date, the assumptions that (i) in each Taxable Year ending on or after such Early Termination Date, the Corporation will generate an</w:t>
      </w:r>
    </w:p>
    <w:p>
      <w:pPr>
        <w:sectPr>
          <w:pgSz w:w="11900" w:h="16838" w:orient="portrait"/>
          <w:cols w:equalWidth="0" w:num="1">
            <w:col w:w="11200"/>
          </w:cols>
          <w:pgMar w:left="240" w:top="266" w:right="459" w:bottom="1440" w:gutter="0" w:footer="0" w:header="0"/>
        </w:sectPr>
      </w:pPr>
    </w:p>
    <w:bookmarkStart w:id="81" w:name="page82"/>
    <w:bookmarkEnd w:id="81"/>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taxable income sufficient to fully use the Pre-IPO NOLs, (ii) the utilization of the Pre-IPO NOLs for such Taxable Year or future Taxable Years, as applicable, will be determined based on the Tax laws in effect on the Early Termination Date, and (iii) the federal income Tax rates and state, local and foreign income Tax rates that will be in effect for each such Taxable Year will be those specified for each such Taxable Year by the Code and other laws as in effect on the Early Termination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DETERMINATION OF REALIZED TAX BENEFIT</w:t>
      </w:r>
    </w:p>
    <w:p>
      <w:pPr>
        <w:spacing w:after="0" w:line="22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Pre-IPO NOLs</w:t>
      </w:r>
      <w:r>
        <w:rPr>
          <w:rFonts w:ascii="Times New Roman" w:cs="Times New Roman" w:eastAsia="Times New Roman" w:hAnsi="Times New Roman"/>
          <w:sz w:val="18"/>
          <w:szCs w:val="18"/>
          <w:color w:val="auto"/>
        </w:rPr>
        <w:t>. The Corporation, on the one hand, and the Existing Stockholders, on the other hand, acknowledge that the Corporation may utilize the Pre-IPO NOLs to reduce the amount of Taxes that the Corporation would otherwise be required to pay in the future.</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Within ninety (90) calendar days after the filing of the U.S. federal income Tax Return of the Corporation for any Taxable Year in which there is a Realized Tax Benefit (or as soon as practicable thereafter), the Corporation shall provide to the Existing Stockholders Representative a schedule showing, in reasonable detail, (i) the calculation of the Realized Tax Benefit for such Taxable Year, and (ii) the calculation of any payment to be made to the Existing Stockholders pursuant to Article III with respect to such Taxable Year (collectively, a “</w:t>
      </w:r>
      <w:r>
        <w:rPr>
          <w:rFonts w:ascii="Times New Roman" w:cs="Times New Roman" w:eastAsia="Times New Roman" w:hAnsi="Times New Roman"/>
          <w:sz w:val="18"/>
          <w:szCs w:val="18"/>
          <w:b w:val="1"/>
          <w:bCs w:val="1"/>
          <w:u w:val="single" w:color="auto"/>
          <w:color w:val="auto"/>
        </w:rPr>
        <w:t>Tax Benefit Schedule</w:t>
      </w:r>
      <w:r>
        <w:rPr>
          <w:rFonts w:ascii="Times New Roman" w:cs="Times New Roman" w:eastAsia="Times New Roman" w:hAnsi="Times New Roman"/>
          <w:sz w:val="18"/>
          <w:szCs w:val="18"/>
          <w:color w:val="auto"/>
        </w:rPr>
        <w:t>”). Concurrently, the Corporation shall also deliver to the Existing Stockholders Representative all supporting information (including work papers and valuation reports) reasonably necessary to support the calculation of such payment. The Schedule will become final as provided in Section 2.03(a) and may be amended as provided in Section 2.03(b) (subject to the procedures set forth in Section 2.03(a)).</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Procedures;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21"/>
        <w:spacing w:after="0" w:line="254" w:lineRule="auto"/>
        <w:tabs>
          <w:tab w:leader="none" w:pos="115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Each time the Corporation delivers to the Existing Stockholders Representative an applicable Schedule under this Agreement, including any Amended Schedule delivered pursuant to Section 2.03(b), and including any Early Termination Schedule or amended Early Termination Schedule, the Corporation shall also (x) deliver to the Existing Stockholders Representative the schedules, valuation reports, if any, and work papers necessary to provide reasonable detail regarding the preparation of the Schedule and an Advisory Firm Letter related to such Schedule and (y) allow the Existing Stockholders Representative reasonable access at no cost to the appropriate representatives at each of the Corporation and the Advisory Firm in connection with a review of such Schedule. The applicable Schedule shall become final and binding on all parties unless the Existing Stockholders Representative, within thirty (30) calendar days after receiving any Schedule or amendment thereto, provides the Corporation with notice of a material objection to such Schedule (a “</w:t>
      </w:r>
      <w:r>
        <w:rPr>
          <w:rFonts w:ascii="Times New Roman" w:cs="Times New Roman" w:eastAsia="Times New Roman" w:hAnsi="Times New Roman"/>
          <w:sz w:val="18"/>
          <w:szCs w:val="18"/>
          <w:b w:val="1"/>
          <w:bCs w:val="1"/>
          <w:u w:val="single" w:color="auto"/>
          <w:color w:val="auto"/>
        </w:rPr>
        <w:t>Material Objection Notice</w:t>
      </w:r>
      <w:r>
        <w:rPr>
          <w:rFonts w:ascii="Times New Roman" w:cs="Times New Roman" w:eastAsia="Times New Roman" w:hAnsi="Times New Roman"/>
          <w:sz w:val="18"/>
          <w:szCs w:val="18"/>
          <w:color w:val="auto"/>
        </w:rPr>
        <w:t>”) made in good faith. If the parties, for any reason, are unable to successfully resolve the issues raised in any Material Objection Notice within thirty (30) calendar days of receipt by the Corporation of such Material Objection Notice, the Corporation and the Existing Stockholders Representative shall employ the Reconciliation Procedures.</w:t>
      </w:r>
    </w:p>
    <w:p>
      <w:pPr>
        <w:spacing w:after="0" w:line="186" w:lineRule="exact"/>
        <w:rPr>
          <w:rFonts w:ascii="Times New Roman" w:cs="Times New Roman" w:eastAsia="Times New Roman" w:hAnsi="Times New Roman"/>
          <w:sz w:val="18"/>
          <w:szCs w:val="18"/>
          <w:color w:val="auto"/>
        </w:rPr>
      </w:pPr>
    </w:p>
    <w:p>
      <w:pPr>
        <w:ind w:right="200" w:firstLine="921"/>
        <w:spacing w:after="0" w:line="282" w:lineRule="auto"/>
        <w:tabs>
          <w:tab w:leader="none" w:pos="11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Amended Schedule</w:t>
      </w:r>
      <w:r>
        <w:rPr>
          <w:rFonts w:ascii="Times New Roman" w:cs="Times New Roman" w:eastAsia="Times New Roman" w:hAnsi="Times New Roman"/>
          <w:sz w:val="18"/>
          <w:szCs w:val="18"/>
          <w:color w:val="auto"/>
        </w:rPr>
        <w:t>. The applicable Schedule for any Taxable Year may be amended from time to time by the Corporation (i) in connection with a Determination affecting such</w:t>
      </w:r>
    </w:p>
    <w:p>
      <w:pPr>
        <w:sectPr>
          <w:pgSz w:w="11900" w:h="16838" w:orient="portrait"/>
          <w:cols w:equalWidth="0" w:num="1">
            <w:col w:w="11400"/>
          </w:cols>
          <w:pgMar w:left="240" w:top="270" w:right="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 to correct material inaccuracies in the Schedule identified as a result of the receipt of additional factual information relating to a Taxable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date the Schedule was provided to the Existing Stockholders Representative, (iii) to comply with the Expert’s determination under the Reconciliation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Procedures, (iv) to reflect a material change (relative to the amounts in the original Schedule) in the Realized Tax Benefit for such Taxable Year attributable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carryback or carryforward of a loss or other Tax item to such Taxable Year, or (v) to reflect a material change (relative to the amounts in the original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in the Realized Tax Benefit for such Taxable Year attributable to an amended Tax Return filed for such Taxable Year (such Schedule,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Amended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amendment under clause (i) attributable to an audit of a Tax Return by an applicable Taxing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made on an Amended Schedule unless and until there has been a Determination with respect to such change. The Corporation shall provide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Schedule to the Existing Stockholders Representative within thirty (30) calendar days of the occurrence of an event referred to in clauses</w:t>
      </w:r>
    </w:p>
    <w:p>
      <w:pPr>
        <w:spacing w:after="0" w:line="9" w:lineRule="exact"/>
        <w:rPr>
          <w:sz w:val="20"/>
          <w:szCs w:val="20"/>
          <w:color w:val="auto"/>
        </w:rPr>
      </w:pPr>
    </w:p>
    <w:p>
      <w:pPr>
        <w:ind w:right="1100" w:firstLine="8"/>
        <w:spacing w:after="0" w:line="261" w:lineRule="auto"/>
        <w:tabs>
          <w:tab w:leader="none" w:pos="2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of the preceding sentence, and any such Amended Schedule shall be subject to approval procedures similar to those described in Section 2.03(a).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TAX BENEFIT PAYMENTS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21"/>
        <w:spacing w:after="0" w:line="256" w:lineRule="auto"/>
        <w:tabs>
          <w:tab w:leader="none" w:pos="115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Payments</w:t>
      </w:r>
      <w:r>
        <w:rPr>
          <w:rFonts w:ascii="Times New Roman" w:cs="Times New Roman" w:eastAsia="Times New Roman" w:hAnsi="Times New Roman"/>
          <w:sz w:val="18"/>
          <w:szCs w:val="18"/>
          <w:color w:val="auto"/>
        </w:rPr>
        <w:t>. Within five (5) Business Days of a Tax Benefit Schedule delivered to the Existing Stockholders Representative becoming final in accordance with Section 2.03(a), the Corporation shall pay to each Existing Stockholder for such Taxable Year its share (based on such Existing Stockholder’s Applicable Percentage) of the Tax Benefit Payment determined pursuant to Section 3.01(b). Each such Tax Benefit Payment shall be made by wire transfer of immediately available funds to a bank account of the applicable Existing Stockholder previously designated by the Existing Stockholder to the Corporation, or as otherwise agreed by the Corporation and the Existing Stockholder. For the avoidance of doubt, no Tax Benefit Payment shall be made in respect of estimated Tax payments, including, without limitation, estimated federal income Tax payments.</w:t>
      </w:r>
    </w:p>
    <w:p>
      <w:pPr>
        <w:spacing w:after="0" w:line="183" w:lineRule="exact"/>
        <w:rPr>
          <w:rFonts w:ascii="Times New Roman" w:cs="Times New Roman" w:eastAsia="Times New Roman" w:hAnsi="Times New Roman"/>
          <w:sz w:val="18"/>
          <w:szCs w:val="18"/>
          <w:color w:val="auto"/>
        </w:rPr>
      </w:pPr>
    </w:p>
    <w:p>
      <w:pPr>
        <w:ind w:right="100" w:firstLine="921"/>
        <w:spacing w:after="0" w:line="254" w:lineRule="auto"/>
        <w:tabs>
          <w:tab w:leader="none" w:pos="11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u w:val="single" w:color="auto"/>
          <w:color w:val="auto"/>
        </w:rPr>
        <w:t>Tax Benefit Payment</w:t>
      </w:r>
      <w:r>
        <w:rPr>
          <w:rFonts w:ascii="Times New Roman" w:cs="Times New Roman" w:eastAsia="Times New Roman" w:hAnsi="Times New Roman"/>
          <w:sz w:val="18"/>
          <w:szCs w:val="18"/>
          <w:color w:val="auto"/>
        </w:rPr>
        <w:t>” means an amount, not less than zero, equal to eighty-five percent (85%) of the sum of the Net Tax Benefit (as defined below) and the Interest Amount (as defined below). The “</w:t>
      </w:r>
      <w:r>
        <w:rPr>
          <w:rFonts w:ascii="Times New Roman" w:cs="Times New Roman" w:eastAsia="Times New Roman" w:hAnsi="Times New Roman"/>
          <w:sz w:val="18"/>
          <w:szCs w:val="18"/>
          <w:b w:val="1"/>
          <w:bCs w:val="1"/>
          <w:u w:val="single" w:color="auto"/>
          <w:color w:val="auto"/>
        </w:rPr>
        <w:t>Net Tax Benefit</w:t>
      </w:r>
      <w:r>
        <w:rPr>
          <w:rFonts w:ascii="Times New Roman" w:cs="Times New Roman" w:eastAsia="Times New Roman" w:hAnsi="Times New Roman"/>
          <w:sz w:val="18"/>
          <w:szCs w:val="18"/>
          <w:color w:val="auto"/>
        </w:rPr>
        <w:t xml:space="preserve">” shall equal: (i) the Corporation’s Realized Tax Benefit, if any, for a Taxable Year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amount of the excess (if any) of the Realized Tax Benefit reflected on an Amended Schedule for a previous Taxable Year over the Realized Tax Benefit reflected on the Tax Benefit Schedule for such previous Taxable Year,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(iii) the excess (if any) of the Realized Tax Benefit reflected on a Tax Benefit Schedule for a previous Taxable Year over the Realized Tax Benefit reflected on the Amended Schedule for such previous Taxable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of the amounts described in clauses (ii) and (iii) of this definition were taken into account in determining any Tax Benefit Payment in a preceding Taxable Year, such amounts shall not be taken into account in determining a Tax Benefit Payment attributable to any other Taxable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for the avoidance of doubt, that the Existing Stockholders shall not be required to return any portion of any previously made Tax Benefit Payment. The “</w:t>
      </w:r>
      <w:r>
        <w:rPr>
          <w:rFonts w:ascii="Times New Roman" w:cs="Times New Roman" w:eastAsia="Times New Roman" w:hAnsi="Times New Roman"/>
          <w:sz w:val="18"/>
          <w:szCs w:val="18"/>
          <w:b w:val="1"/>
          <w:bCs w:val="1"/>
          <w:u w:val="single" w:color="auto"/>
          <w:color w:val="auto"/>
        </w:rPr>
        <w:t>Interest Amount</w:t>
      </w:r>
      <w:r>
        <w:rPr>
          <w:rFonts w:ascii="Times New Roman" w:cs="Times New Roman" w:eastAsia="Times New Roman" w:hAnsi="Times New Roman"/>
          <w:sz w:val="18"/>
          <w:szCs w:val="18"/>
          <w:color w:val="auto"/>
        </w:rPr>
        <w:t>” shall equal the interest on any Net Tax Benefit calculated at the Agreed Rate from the due date (without extensions) for filing the Corporation Return with respect to Taxes for the Taxable Year for which the Net Tax Benefit is being measured until the Payment Date.</w:t>
      </w:r>
    </w:p>
    <w:p>
      <w:pPr>
        <w:sectPr>
          <w:pgSz w:w="11900" w:h="16838" w:orient="portrait"/>
          <w:cols w:equalWidth="0" w:num="1">
            <w:col w:w="11420"/>
          </w:cols>
          <w:pgMar w:left="240" w:top="270" w:right="239" w:bottom="1440" w:gutter="0" w:footer="0" w:header="0"/>
        </w:sectPr>
      </w:pPr>
    </w:p>
    <w:bookmarkStart w:id="83" w:name="page84"/>
    <w:bookmarkEnd w:id="83"/>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No Duplicative Payments</w:t>
      </w:r>
      <w:r>
        <w:rPr>
          <w:rFonts w:ascii="Times New Roman" w:cs="Times New Roman" w:eastAsia="Times New Roman" w:hAnsi="Times New Roman"/>
          <w:sz w:val="18"/>
          <w:szCs w:val="18"/>
          <w:color w:val="auto"/>
        </w:rPr>
        <w:t>. It is intended that the provisions of this Agreement will not result in duplicative payment of any amount (including interest) required under this Agreement, and this Agreement shall be construed and interpreted in accordance with such intention.</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Termination, Early Termination and Breach of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terminate at the time that all Tax Benefit Payments have been made to the Existing Stockholders under this Agreement.</w:t>
      </w:r>
    </w:p>
    <w:p>
      <w:pPr>
        <w:spacing w:after="0" w:line="225" w:lineRule="exact"/>
        <w:rPr>
          <w:rFonts w:ascii="Times New Roman" w:cs="Times New Roman" w:eastAsia="Times New Roman" w:hAnsi="Times New Roman"/>
          <w:sz w:val="18"/>
          <w:szCs w:val="18"/>
          <w:color w:val="auto"/>
        </w:rPr>
      </w:pPr>
    </w:p>
    <w:p>
      <w:pPr>
        <w:ind w:right="20" w:firstLine="921"/>
        <w:spacing w:after="0" w:line="258" w:lineRule="auto"/>
        <w:tabs>
          <w:tab w:leader="none" w:pos="11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4.01(a), the Corporation may terminate this Agreement by paying to the Existing Stockholders the Early Termination Payment. Upon payment of the Early Termination Payment by the Corporation, neither the Corporation nor any Existing Stockholder shall have any further payment obligations under this Agreement, other than any (i) Tax Benefit Payment agreed to by the Corporation and the Existing Stockholders as due and payable but unpaid as of the Early Termination Notice and (ii) Tax Benefit Payment due for a Taxable Year ending prior to, with or including the date of the Early Termination Notice (except to the extent that such amount is included in the Early Termination Payment).</w:t>
      </w:r>
    </w:p>
    <w:p>
      <w:pPr>
        <w:spacing w:after="0" w:line="183" w:lineRule="exact"/>
        <w:rPr>
          <w:rFonts w:ascii="Times New Roman" w:cs="Times New Roman" w:eastAsia="Times New Roman" w:hAnsi="Times New Roman"/>
          <w:sz w:val="18"/>
          <w:szCs w:val="18"/>
          <w:color w:val="auto"/>
        </w:rPr>
      </w:pPr>
    </w:p>
    <w:p>
      <w:pPr>
        <w:ind w:firstLine="921"/>
        <w:spacing w:after="0" w:line="252" w:lineRule="auto"/>
        <w:tabs>
          <w:tab w:leader="none" w:pos="11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Corporation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the Bankruptcy Code or otherwise, then all obligations hereunder shall be accelerated, and such obligations shall be calculated pursuant to this Article IV as if an Early Termination Notice had been delivered on the date of such breach and shall include, but not be limited to, (1) the Early Termination Payment calculated as if an Early Termination Notice had been delivered on the date of such breach, (2) any Tax Benefit Payment agreed to by the Corporation and the Existing Stockholders as due and payable but unpaid as of the Early Termination Notice and (3) any Tax Benefit Payment due for the Taxable Year ending prior to, with or including the date of a breach. Notwithstanding the foregoing, in the event that the Corporation breaches this Agreement, the Existing Stockholders shall be entitled to elect to receive the amounts set forth in (1), (2) and (3) above or to seek specific performance of the terms hereof. The parties agree that the failure to make any payment due pursuant to this Agreement within six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six months of the date such payment is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the event that payment is not made within six months of the date such payment is due, the Existing Stockholders (through the Existing Stockholders Representative) shall be required to give written notice to the Corporation that the Corporation has breached its material obligations, and so long as such payment is made within five (5) Business Days of the delivery of such notice to the Corporation, the Corporation shall no longer be deemed to be in breach of its material obligations under this Agreement.</w:t>
      </w:r>
    </w:p>
    <w:p>
      <w:pPr>
        <w:sectPr>
          <w:pgSz w:w="11900" w:h="16838" w:orient="portrait"/>
          <w:cols w:equalWidth="0" w:num="1">
            <w:col w:w="11400"/>
          </w:cols>
          <w:pgMar w:left="240" w:top="270" w:right="259" w:bottom="1440" w:gutter="0" w:footer="0" w:header="0"/>
        </w:sectPr>
      </w:pPr>
    </w:p>
    <w:bookmarkStart w:id="84" w:name="page85"/>
    <w:bookmarkEnd w:id="84"/>
    <w:p>
      <w:pPr>
        <w:ind w:right="40" w:firstLine="921"/>
        <w:spacing w:after="0" w:line="253" w:lineRule="auto"/>
        <w:tabs>
          <w:tab w:leader="none" w:pos="116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of Control</w:t>
      </w:r>
      <w:r>
        <w:rPr>
          <w:rFonts w:ascii="Times New Roman" w:cs="Times New Roman" w:eastAsia="Times New Roman" w:hAnsi="Times New Roman"/>
          <w:sz w:val="18"/>
          <w:szCs w:val="18"/>
          <w:color w:val="auto"/>
        </w:rPr>
        <w:t>. In the event of a Change of Control, all obligations hereunder shall be accelerated, and such obligations shall be calculated pursuant to this ARTICLE IV as if an Early Termination Notice had been delivered on the date of the Change of Control and shall include, but not be limited to, (1) the Early Termination Payment calculated as if an Early Termination Notice had been delivered on the effective date of the Change of Control, (2) any Tax Benefit Payment agreed to by the Corporation and the Existing Stockholders as due and payable but unpaid as of the Early Termination Notice and (3) any Tax Benefit Payment due for any Taxable Year ending prior to, with or including the effective date of a Change of Control. No later than ninety (90) calendar days after such Change of Control, the Corporation shall deliver to the Existing Stockholder Representative an Early Termination Schedule (which, for the avoidance of doubt, shall be deemed to have been delivered on the date of the Change of Control) and the Existing Stockholders Representative shall have thirty (30) calendar days after actually receiving the Early Termination Schedule to provide the Corporation with a Material Objection Notice in accordance with the procedures set forth in Section 4.02 below. In the event of a Change of Control, the Early Termination Payment shall be calculated utilizing the Valuation Assumptions, substituting in each case the phrase “closing date of a Change of Control” for the phrase “Early Termination Date.”</w:t>
      </w:r>
    </w:p>
    <w:p>
      <w:pPr>
        <w:spacing w:after="0" w:line="19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Early Termination Notice</w:t>
      </w:r>
      <w:r>
        <w:rPr>
          <w:rFonts w:ascii="Times New Roman" w:cs="Times New Roman" w:eastAsia="Times New Roman" w:hAnsi="Times New Roman"/>
          <w:sz w:val="18"/>
          <w:szCs w:val="18"/>
          <w:color w:val="auto"/>
        </w:rPr>
        <w:t>. If the Corporation chooses to exercise its right of early termination under Section 4.01 above, the Corporation shall deliver to the Existing Stockholders Representative notice of such intention to exercise such right (an “</w:t>
      </w:r>
      <w:r>
        <w:rPr>
          <w:rFonts w:ascii="Times New Roman" w:cs="Times New Roman" w:eastAsia="Times New Roman" w:hAnsi="Times New Roman"/>
          <w:sz w:val="18"/>
          <w:szCs w:val="18"/>
          <w:b w:val="1"/>
          <w:bCs w:val="1"/>
          <w:u w:val="single" w:color="auto"/>
          <w:color w:val="auto"/>
        </w:rPr>
        <w:t>Early Termination Notice</w:t>
      </w:r>
      <w:r>
        <w:rPr>
          <w:rFonts w:ascii="Times New Roman" w:cs="Times New Roman" w:eastAsia="Times New Roman" w:hAnsi="Times New Roman"/>
          <w:sz w:val="18"/>
          <w:szCs w:val="18"/>
          <w:color w:val="auto"/>
        </w:rPr>
        <w:t>”) and a schedule (the “</w:t>
      </w:r>
      <w:r>
        <w:rPr>
          <w:rFonts w:ascii="Times New Roman" w:cs="Times New Roman" w:eastAsia="Times New Roman" w:hAnsi="Times New Roman"/>
          <w:sz w:val="18"/>
          <w:szCs w:val="18"/>
          <w:b w:val="1"/>
          <w:bCs w:val="1"/>
          <w:u w:val="single" w:color="auto"/>
          <w:color w:val="auto"/>
        </w:rPr>
        <w:t>Early Termination Schedule</w:t>
      </w:r>
      <w:r>
        <w:rPr>
          <w:rFonts w:ascii="Times New Roman" w:cs="Times New Roman" w:eastAsia="Times New Roman" w:hAnsi="Times New Roman"/>
          <w:sz w:val="18"/>
          <w:szCs w:val="18"/>
          <w:color w:val="auto"/>
        </w:rPr>
        <w:t>”) specifying the Corporation’s intention to exercise such right and showing in reasonable detail the information required pursuant to Section 2.02 and the calculation of the Early Termination Payment. The Early Termination Schedule shall become final and binding on all parties unless the Existing Stockholders Representative, within thirty (30) calendar days after receiving the Early Termination Schedule, provides the Corporation with a Material Objection Notice. If the parties, for any reason, are unable to successfully resolve the issues raised in such Material Objection Notice within thirty (30) calendar days after receipt by the Corporation of the Material Objection Notice, the Corporation and the Existing Stockholders Representative shall employ the Reconciliation Procedures as described in Section 7.09 of this Agreement.</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Payment upon Early Termination</w:t>
      </w:r>
      <w:r>
        <w:rPr>
          <w:rFonts w:ascii="Times New Roman" w:cs="Times New Roman" w:eastAsia="Times New Roman" w:hAnsi="Times New Roman"/>
          <w:sz w:val="18"/>
          <w:szCs w:val="18"/>
          <w:color w:val="auto"/>
        </w:rPr>
        <w:t>. (a) Within three (3) Business Days after agreement is reached between the Existing Stockholders Representative and the Corporation concerning the Early Termination Schedule, the Corporation shall pay to each Existing Stockholder its share (based on such Existing Stockholder’s Applicable Percentage) of an amount equal to the Early Termination Payment. Such payment shall be made by wire transfer of immediately available funds to a bank account designated by the applicable Existing Stockholders, or as otherwise agreed by the Corporation and the Existing Stockholder.</w:t>
      </w:r>
    </w:p>
    <w:p>
      <w:pPr>
        <w:spacing w:after="0" w:line="180" w:lineRule="exact"/>
        <w:rPr>
          <w:sz w:val="20"/>
          <w:szCs w:val="20"/>
          <w:color w:val="auto"/>
        </w:rPr>
      </w:pPr>
    </w:p>
    <w:p>
      <w:pPr>
        <w:ind w:right="120" w:firstLine="921"/>
        <w:spacing w:after="0" w:line="268" w:lineRule="auto"/>
        <w:tabs>
          <w:tab w:leader="none" w:pos="11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Early Termination Payment</w:t>
      </w:r>
      <w:r>
        <w:rPr>
          <w:rFonts w:ascii="Times New Roman" w:cs="Times New Roman" w:eastAsia="Times New Roman" w:hAnsi="Times New Roman"/>
          <w:sz w:val="18"/>
          <w:szCs w:val="18"/>
          <w:color w:val="auto"/>
        </w:rPr>
        <w:t>” means, as of the date of the delivery of an Early Termination Schedule, the present value, discounted at the Early Termination Rate as of such date, of all Tax Benefit Payments that would be required to be paid by the Corporation to the Existing Stockholders beginning from the Early Termination Date (other than a payment which is not required to</w:t>
      </w:r>
    </w:p>
    <w:p>
      <w:pPr>
        <w:sectPr>
          <w:pgSz w:w="11900" w:h="16838" w:orient="portrait"/>
          <w:cols w:equalWidth="0" w:num="1">
            <w:col w:w="11400"/>
          </w:cols>
          <w:pgMar w:left="240" w:top="270" w:right="259" w:bottom="1440" w:gutter="0" w:footer="0" w:header="0"/>
        </w:sectPr>
      </w:pPr>
    </w:p>
    <w:bookmarkStart w:id="85" w:name="page86"/>
    <w:bookmarkEnd w:id="85"/>
    <w:p>
      <w:pPr>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paid solely by reason of the application of Section 5.02), assuming the Valuation Assumptions are applied. For purposes of calculating, pursuant to this Section 4.03(b), the present value of all Tax Benefit Payments that would be required to be paid, it shall be assumed that, absent the Early Termination Notice, all Tax Benefit Payments would be paid on the due date (without extensions) for filing the Corporation Return with respect to Taxes for each Taxable Year.</w:t>
      </w:r>
    </w:p>
    <w:p>
      <w:pPr>
        <w:spacing w:after="0" w:line="158"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 Other Right of Early Termination</w:t>
      </w:r>
      <w:r>
        <w:rPr>
          <w:rFonts w:ascii="Times New Roman" w:cs="Times New Roman" w:eastAsia="Times New Roman" w:hAnsi="Times New Roman"/>
          <w:sz w:val="18"/>
          <w:szCs w:val="18"/>
          <w:color w:val="auto"/>
        </w:rPr>
        <w:t>. For the avoidance of doubt, the Existing Stockholders shall not be entitled to cause an early termination of this Agreement.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LATE PAYMENTS AND COMPLIANCE WITH INDEBTEDNESS</w:t>
      </w:r>
    </w:p>
    <w:p>
      <w:pPr>
        <w:spacing w:after="0" w:line="229"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Late Payments by the Corporation</w:t>
      </w:r>
      <w:r>
        <w:rPr>
          <w:rFonts w:ascii="Times New Roman" w:cs="Times New Roman" w:eastAsia="Times New Roman" w:hAnsi="Times New Roman"/>
          <w:sz w:val="18"/>
          <w:szCs w:val="18"/>
          <w:color w:val="auto"/>
        </w:rPr>
        <w:t>. The amount of all or any portion of any ITR Payment not made to the Existing Stockholders when due under the terms of this Agreement shall be payable together with any interest thereon, computed at the Default Rate and commencing from the date on which such ITR Payment was due and payable.</w:t>
      </w:r>
    </w:p>
    <w:p>
      <w:pPr>
        <w:spacing w:after="0" w:line="17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Compliance with Indebtedness</w:t>
      </w:r>
      <w:r>
        <w:rPr>
          <w:rFonts w:ascii="Times New Roman" w:cs="Times New Roman" w:eastAsia="Times New Roman" w:hAnsi="Times New Roman"/>
          <w:sz w:val="18"/>
          <w:szCs w:val="18"/>
          <w:color w:val="auto"/>
        </w:rPr>
        <w:t>. Notwithstanding anything to the contrary provided herein, if at the time any amounts become due and payable hereunder the Corporation is not permitted, pursuant to the terms of the Corporation’s or its direct or indirect Subsidiaries’ debt documentation, to pay such amounts, or the Corporation’s direct or indirect Subsidiaries are not permitted, pursuant to the terms of the Corporation’s or its direct or indirect Subsidiaries’ debt documentation, to make payments to the Corporation to allow the Corporation to pay such amounts, then the Corporation shall by notice to the Existing Stockholders Representative be permitted to defer the payment of such amounts until each condition rendering the payment of such amounts impermissible as described in this Section 5.02 is no longer applicable. At the time such condition is no longer applicable and no other such condition exist, such amounts (together with accrued and unpaid interest thereon as described in the immediately following sentence) shall become due and payable immediately. If the Corporation defers the payment of any such amounts pursuant to the first sentence in this Section 5.02, such amounts shall accrue interest at the Agreed Rate per annum from the date that such amounts originally became due and owing pursuant to the terms hereof to the date that such amounts were paid. For the avoidance of doubt, any payment not made due to the preceding sentence shall not be deemed a breach under Section 4.01(c) of this Agreement unless and until such payment remains unpaid thirty (30) calendar days after the date on which such condition described in this Section 5.02 is no longer applicable.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 DISPUTES; CONSISTENCY; COOPERATION</w:t>
      </w:r>
    </w:p>
    <w:p>
      <w:pPr>
        <w:spacing w:after="0" w:line="22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The Existing Stockholders Representative’s Participation in the Corporation’s Tax Matters</w:t>
      </w:r>
      <w:r>
        <w:rPr>
          <w:rFonts w:ascii="Times New Roman" w:cs="Times New Roman" w:eastAsia="Times New Roman" w:hAnsi="Times New Roman"/>
          <w:sz w:val="18"/>
          <w:szCs w:val="18"/>
          <w:color w:val="auto"/>
        </w:rPr>
        <w:t>. Except as otherwise provided herein, the Corporation shall have full responsibility for, and sole discretion over, all Tax matters concerning the Corporation, including, without limitation, the preparation, filing or amendment of any Tax Return and the defense, contest, or settlement of any issue pertaining to Taxes, subject to a requirement that the Corporation act in good faith in connection with its</w:t>
      </w:r>
    </w:p>
    <w:p>
      <w:pPr>
        <w:sectPr>
          <w:pgSz w:w="11900" w:h="16838" w:orient="portrait"/>
          <w:cols w:equalWidth="0" w:num="1">
            <w:col w:w="11420"/>
          </w:cols>
          <w:pgMar w:left="240" w:top="270" w:right="239" w:bottom="1440" w:gutter="0" w:footer="0" w:header="0"/>
        </w:sectPr>
      </w:pPr>
    </w:p>
    <w:bookmarkStart w:id="86" w:name="page87"/>
    <w:bookmarkEnd w:id="86"/>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 of any matter which is reasonably expected to affect any Existing Stockholder’s rights and obligations under this Agreement. Notwithstanding the foregoing, the Corporation shall notify the Existing Stockholders Representative of, and keep the Existing Stockholders Representative reasonably informed with respect to, the portion of any audit of the Corporation by a Taxing Authority the outcome of which is reasonably expected to affect any Existing Stockholder’s rights and obligations under this Agreement, and shall give the Existing Stockholders Representative reasonable opportunity to provide information and participate in the applicable portion of such audit.</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Consistency</w:t>
      </w:r>
      <w:r>
        <w:rPr>
          <w:rFonts w:ascii="Times New Roman" w:cs="Times New Roman" w:eastAsia="Times New Roman" w:hAnsi="Times New Roman"/>
          <w:sz w:val="18"/>
          <w:szCs w:val="18"/>
          <w:color w:val="auto"/>
        </w:rPr>
        <w:t xml:space="preserve">. Except upon the written advice of the Advisory Firm, the Corporation and the Existing Stockholders Representative agree to report and cause to be reported for all purposes, including federal, state, local, and foreign Tax purposes and financial reporting purposes, all Tax-related items (including, without limitation, ITR Payments) in a manner consistent with that specified by the Corporation in any Schedule or statement required or permitted to be provided by or on behalf of the Corporation under this Agreement or under applicable Tax law. Any dispute concerning such advice shall be subject to the Reconciliation Procedures;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Existing Stockholders Representative shall have the right to object to such advice pursuant this Section 6.02.</w:t>
      </w:r>
    </w:p>
    <w:p>
      <w:pPr>
        <w:spacing w:after="0" w:line="188"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of the Corporation and the Existing Stockholders (through the Existing Stockholders Representative) shall (a) furnish to the other party in a timely manner such information, documents and other materials as the other party may reasonably request for purposes of making or approving any determination or computation necessary or appropriate under this Agreement, preparing any Tax Return or contesting or defending any audit, examination or controversy with any Taxing Authority, (b) make itself available to the other party and its representatives to provide explanations of documents and materials and such other information as the requesting party or its representatives may reasonably request in connection with any of the matters described in clause (a) above, and (c) reasonably cooperate in connection with any such matter, and the requesting party shall reimburse the other party for any reasonable third-party costs and expenses incurred pursuant to this Section 6.03.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deemed duly given and received (a) on the date of delivery, if delivered personally, or by facsimile (upon confirmation of transmission by the sender’s fax machine if sent on a Business Day (or otherwise on the next Business Day))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to the Corporation, to:</w:t>
      </w:r>
    </w:p>
    <w:p>
      <w:pPr>
        <w:spacing w:after="0" w:line="1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3535 Harbor Blvd. Suite 100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Costa Mesa, CA 92626</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Fax: (714) 599-5593</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Chief Financial Officer</w:t>
      </w:r>
    </w:p>
    <w:p>
      <w:pPr>
        <w:sectPr>
          <w:pgSz w:w="11900" w:h="16838" w:orient="portrait"/>
          <w:cols w:equalWidth="0" w:num="1">
            <w:col w:w="11420"/>
          </w:cols>
          <w:pgMar w:left="240" w:top="270" w:right="239" w:bottom="1440" w:gutter="0" w:footer="0" w:header="0"/>
        </w:sectPr>
      </w:pPr>
    </w:p>
    <w:bookmarkStart w:id="87" w:name="page88"/>
    <w:bookmarkEnd w:id="87"/>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4 Times Square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Fax: (212) 735-2000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Richard B. Aftanas and Steven J. Matays</w:t>
      </w:r>
    </w:p>
    <w:p>
      <w:pPr>
        <w:spacing w:after="0" w:line="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to the Existing Stockholders Representative,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Trimaran Pollo Partners, L.L.C.</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1325 Avenue of the Americas,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Fax: (212) 616-3709</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Wesley Barton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may change its address or fax number by giving the other party written notice of its new address or fax number in the manner set forth above.</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8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Entire Agreement; Third Party Beneficiaries</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The parties to this Agreement agree that the Existing Stockholders are expressly made third party beneficiaries to this Agreement. Other than as provided in the preceding sentence, nothing in this Agreement, express or implied, is intended to, or shall, confer upon any other Person any right, benefit or remedy of any nature whatsoever under or by reason of this Agreement.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w:t>
      </w:r>
    </w:p>
    <w:p>
      <w:pPr>
        <w:sectPr>
          <w:pgSz w:w="11900" w:h="16838" w:orient="portrait"/>
          <w:cols w:equalWidth="0" w:num="1">
            <w:col w:w="11340"/>
          </w:cols>
          <w:pgMar w:left="240" w:top="270" w:right="319" w:bottom="1440" w:gutter="0" w:footer="0" w:header="0"/>
        </w:sectPr>
      </w:pPr>
    </w:p>
    <w:bookmarkStart w:id="88" w:name="page89"/>
    <w:bookmarkEnd w:id="88"/>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determined to be invalid, illegal or incapable of being enforced as a result of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may be consummated as originally contemplated to the greatest extent possible.</w:t>
      </w:r>
    </w:p>
    <w:p>
      <w:pPr>
        <w:spacing w:after="0" w:line="18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Successors; Assignment; Amendments; Waivers</w:t>
      </w:r>
      <w:r>
        <w:rPr>
          <w:rFonts w:ascii="Times New Roman" w:cs="Times New Roman" w:eastAsia="Times New Roman" w:hAnsi="Times New Roman"/>
          <w:sz w:val="18"/>
          <w:szCs w:val="18"/>
          <w:color w:val="auto"/>
        </w:rPr>
        <w:t xml:space="preserve">. (a) The Existing Stockholders Representative, solely in its capacity as the Existing Stockholders Representative and not in its capacity as an Existing Stockholder, may not assign this Agreement to any person without the prior written consent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Existing Stockholders Representative may assign this Agreement solely in its capacity as the Existing Stockholders Representative to any of its Affiliates, as long as such Affiliate has executed and delivered, or, in connection with such transfer, executes and delivers, a joinder to this Agreement, in form and substance reasonably satisfactory to the Corporation, agreeing to be bound by all provisions of this Agreement.</w:t>
      </w:r>
    </w:p>
    <w:p>
      <w:pPr>
        <w:spacing w:after="0" w:line="188" w:lineRule="exact"/>
        <w:rPr>
          <w:sz w:val="20"/>
          <w:szCs w:val="20"/>
          <w:color w:val="auto"/>
        </w:rPr>
      </w:pPr>
    </w:p>
    <w:p>
      <w:pPr>
        <w:ind w:right="20" w:firstLine="921"/>
        <w:spacing w:after="0" w:line="252" w:lineRule="auto"/>
        <w:tabs>
          <w:tab w:leader="none" w:pos="11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 7.06(b), each Existing Stockholder may freely assign or transfer its rights under this Agreement without the prior written consent of the Corporation to (i) any Existing Stockholder or any Existing Stockholder’s Affiliates or (ii) to any Person who holds an equity interest in such Existing Stockholder, in each case, as long as such transferee has executed and delivered, or, in connection with such transfer, executes and delivers, a joinder to this Agreement, in form and substance reasonably satisfactory to the Corporation, agreeing to be bound by all provisions of this Agreement. If an Existing Stockholder (including any transferee of any Existing Stockholder) proposes to transfer any of its rights (a “</w:t>
      </w:r>
      <w:r>
        <w:rPr>
          <w:rFonts w:ascii="Times New Roman" w:cs="Times New Roman" w:eastAsia="Times New Roman" w:hAnsi="Times New Roman"/>
          <w:sz w:val="18"/>
          <w:szCs w:val="18"/>
          <w:b w:val="1"/>
          <w:bCs w:val="1"/>
          <w:u w:val="single" w:color="auto"/>
          <w:color w:val="auto"/>
        </w:rPr>
        <w:t>Proposed Transferor</w:t>
      </w:r>
      <w:r>
        <w:rPr>
          <w:rFonts w:ascii="Times New Roman" w:cs="Times New Roman" w:eastAsia="Times New Roman" w:hAnsi="Times New Roman"/>
          <w:sz w:val="18"/>
          <w:szCs w:val="18"/>
          <w:color w:val="auto"/>
        </w:rPr>
        <w:t>”) other than as set forth in the immediately preceding sentence to any Person or Persons, then the Proposed Transferor shall first give written notice (a “</w:t>
      </w:r>
      <w:r>
        <w:rPr>
          <w:rFonts w:ascii="Times New Roman" w:cs="Times New Roman" w:eastAsia="Times New Roman" w:hAnsi="Times New Roman"/>
          <w:sz w:val="18"/>
          <w:szCs w:val="18"/>
          <w:b w:val="1"/>
          <w:bCs w:val="1"/>
          <w:u w:val="single" w:color="auto"/>
          <w:color w:val="auto"/>
        </w:rPr>
        <w:t>Proposed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to the Corporation at least sixty (60) calendar days prior to the proposed transfer setting forth (i) the name of the proposed transferee, (ii) the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Proposed Price</w:t>
      </w:r>
      <w:r>
        <w:rPr>
          <w:rFonts w:ascii="Times New Roman" w:cs="Times New Roman" w:eastAsia="Times New Roman" w:hAnsi="Times New Roman"/>
          <w:sz w:val="18"/>
          <w:szCs w:val="18"/>
          <w:color w:val="auto"/>
        </w:rPr>
        <w:t>”), (iii) the other material terms and conditions of such transfer and (iv) any other information about such transfer that is reasonably requested by the Corporation. The Proposed Transfer Notice shall contain an irrevocable offer to transfer such rights to the Corporation (in the manner set forth below) at the Proposed Price and on the terms and conditions described in the Proposed Transfer Notice. The Proposed Transferor shall also attach to such Proposed Transfer Notice a joinder, in form and substance reasonably satisfactory to the Corporation, executed by the proposed transferee pursuant to which such proposed transferee (x) agrees to be bound by all provisions of this Agreement and (y) acknowledges specifically the last sentence of</w:t>
      </w:r>
    </w:p>
    <w:p>
      <w:pPr>
        <w:spacing w:after="0" w:line="3"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7.06(c), in each case, subject to the completion of the proposed transfer. The Corporation shall thereafter have the right exercisable by written notice (the “</w:t>
      </w:r>
      <w:r>
        <w:rPr>
          <w:rFonts w:ascii="Times New Roman" w:cs="Times New Roman" w:eastAsia="Times New Roman" w:hAnsi="Times New Roman"/>
          <w:sz w:val="18"/>
          <w:szCs w:val="18"/>
          <w:b w:val="1"/>
          <w:bCs w:val="1"/>
          <w:u w:val="single" w:color="auto"/>
          <w:color w:val="auto"/>
        </w:rPr>
        <w:t>Acceptance Notice</w:t>
      </w:r>
      <w:r>
        <w:rPr>
          <w:rFonts w:ascii="Times New Roman" w:cs="Times New Roman" w:eastAsia="Times New Roman" w:hAnsi="Times New Roman"/>
          <w:sz w:val="18"/>
          <w:szCs w:val="18"/>
          <w:color w:val="auto"/>
        </w:rPr>
        <w:t>”) to the Proposed Transferor within thirty (30) calendar days after receipt of the Proposed Transfer Notice to acquire all (but not less than all) such rights at the Proposed Price and on the same terms and conditions as provided in the Proposed Transfer Notice. If at the end of such thirty (30)-calendar day period, the Corporation has not delivered an Acceptance Notice, the Proposed Transferor may, during the succeeding sixty (60)-calendar day period (subject to extension to the extent necessary to obtain required governmental or other approvals), transfer its rights covered by the Proposed Transfer Notice to a</w:t>
      </w:r>
    </w:p>
    <w:p>
      <w:pPr>
        <w:sectPr>
          <w:pgSz w:w="11900" w:h="16838" w:orient="portrait"/>
          <w:cols w:equalWidth="0" w:num="1">
            <w:col w:w="11420"/>
          </w:cols>
          <w:pgMar w:left="240" w:top="270" w:right="239" w:bottom="1440" w:gutter="0" w:footer="0" w:header="0"/>
        </w:sectPr>
      </w:pPr>
    </w:p>
    <w:bookmarkStart w:id="89" w:name="page90"/>
    <w:bookmarkEnd w:id="89"/>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transferee at the Proposed Price and on the same terms and conditions as provided in the Proposed Transfer Notice. After such transfer, the Proposed Transferor shall notify the Corporation of the consummation thereof and shall furnish such evidence of the completion of such transfer and of the terms thereof as may reasonably be requested by the Corporation. If, at the end of sixty (60) calendar days following the expiration of the thirty (30)-calendar day period during which the Corporation is entitled hereunder to deliver an Acceptance Notice, the Proposed Transferor has not completed the transfer of such rights as aforesaid, any such transfer by the Proposed Transferor shall again be subject to the provisions of this Section 7.06(b) with respect to a proposed subsequent transfer. Any assignment or transfer of an Existing Stockholder’s rights meeting the requirements of this paragraph shall be referred to herein as a “</w:t>
      </w:r>
      <w:r>
        <w:rPr>
          <w:rFonts w:ascii="Times New Roman" w:cs="Times New Roman" w:eastAsia="Times New Roman" w:hAnsi="Times New Roman"/>
          <w:sz w:val="18"/>
          <w:szCs w:val="18"/>
          <w:b w:val="1"/>
          <w:bCs w:val="1"/>
          <w:u w:val="single" w:color="auto"/>
          <w:color w:val="auto"/>
        </w:rPr>
        <w:t>Permitted Assignment</w:t>
      </w:r>
      <w:r>
        <w:rPr>
          <w:rFonts w:ascii="Times New Roman" w:cs="Times New Roman" w:eastAsia="Times New Roman" w:hAnsi="Times New Roman"/>
          <w:sz w:val="18"/>
          <w:szCs w:val="18"/>
          <w:color w:val="auto"/>
        </w:rPr>
        <w:t>,” and Schedule A hereto shall be amended to reflect such Permitted Assignment and the change in the Applicable Percentage of the assignor and assignee.</w:t>
      </w:r>
    </w:p>
    <w:p>
      <w:pPr>
        <w:spacing w:after="0" w:line="185" w:lineRule="exact"/>
        <w:rPr>
          <w:sz w:val="20"/>
          <w:szCs w:val="20"/>
          <w:color w:val="auto"/>
        </w:rPr>
      </w:pPr>
    </w:p>
    <w:p>
      <w:pPr>
        <w:ind w:right="60" w:firstLine="921"/>
        <w:spacing w:after="0" w:line="266" w:lineRule="auto"/>
        <w:tabs>
          <w:tab w:leader="none" w:pos="115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may be amended unless such amendment is approved in writing by the Corporation and the Existing Stockholders (through the Existing Stockholders Representative). No provision of this Agreement may be waived unless such waiver is in writing and signed by the party against whom the waiver is to be effective.</w:t>
      </w:r>
    </w:p>
    <w:p>
      <w:pPr>
        <w:spacing w:after="0" w:line="176" w:lineRule="exact"/>
        <w:rPr>
          <w:rFonts w:ascii="Times New Roman" w:cs="Times New Roman" w:eastAsia="Times New Roman" w:hAnsi="Times New Roman"/>
          <w:sz w:val="18"/>
          <w:szCs w:val="18"/>
          <w:color w:val="auto"/>
        </w:rPr>
      </w:pPr>
    </w:p>
    <w:p>
      <w:pPr>
        <w:ind w:right="100" w:firstLine="921"/>
        <w:spacing w:after="0" w:line="258" w:lineRule="auto"/>
        <w:tabs>
          <w:tab w:leader="none" w:pos="11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terms and provisions of this Agreement shall be binding upon, shall inure to the benefit of and shall be enforceable by the parties hereto and their respective successors, assigns, heirs, executors, administrators and legal representatives, including any Permitted Assignee pursuant to a Permitted Assignment. The Corporation shall require and cause any direct or indirect successor (whether by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184"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Headings, Titles, and Subtitles</w:t>
      </w:r>
      <w:r>
        <w:rPr>
          <w:rFonts w:ascii="Times New Roman" w:cs="Times New Roman" w:eastAsia="Times New Roman" w:hAnsi="Times New Roman"/>
          <w:sz w:val="18"/>
          <w:szCs w:val="18"/>
          <w:color w:val="auto"/>
        </w:rPr>
        <w:t>. The headings, titles, and subtitles of the sections and subsections of this Agreement are for convenience of reference only and are not to be considered in construing this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21"/>
        <w:spacing w:after="0" w:line="254" w:lineRule="auto"/>
        <w:tabs>
          <w:tab w:leader="none" w:pos="115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any disputes under Section 2.02, Section 4.02, or Section 6.02 (which are to be resolved pursuant to Section 7.09), any and all disputes which cannot be settled amicably, including any ancillary claims of any party, arising out of, relating to or in connection with the validity, negotiation, execution, interpretation, performance or non-performance of this Agreement (including the validity, scope and enforceability of this arbitration provision) shall be finally settled by arbitration conducted by a single arbitrator in accordance with the then existing Rules of Arbitration of the International Chamber of Commerce. The place of arbitration shall be New York, New York. The parties shall jointly select a single arbitrator who shall have the authority to hold hearings and to render a decision in accordance with the then existing Rules of Arbitration of the International Chamber of Commerce. If the parties to the dispute fail to agree on the selection of an arbitrator within thirty (30) calendar days of the receipt of the request for arbitration, the arbitrator shall be selected by the International Chamber of Commerce. The arbitrator shall be a lawyer. The arbitration shall be governed by the Federal Arbitration Act, 9 U.S.C. Section 1, et seq., and judgment on the award may be entered by any court having jurisdiction thereof. Performance under this Agreement shall continue if reasonably possible during any arbitration proceedings.</w:t>
      </w:r>
    </w:p>
    <w:p>
      <w:pPr>
        <w:sectPr>
          <w:pgSz w:w="11900" w:h="16838" w:orient="portrait"/>
          <w:cols w:equalWidth="0" w:num="1">
            <w:col w:w="11400"/>
          </w:cols>
          <w:pgMar w:left="240" w:top="270" w:right="259" w:bottom="1440" w:gutter="0" w:footer="0" w:header="0"/>
        </w:sectPr>
      </w:pPr>
    </w:p>
    <w:bookmarkStart w:id="90" w:name="page91"/>
    <w:bookmarkEnd w:id="90"/>
    <w:p>
      <w:pPr>
        <w:ind w:left="-903" w:firstLine="921"/>
        <w:spacing w:after="0" w:line="255" w:lineRule="auto"/>
        <w:tabs>
          <w:tab w:leader="none" w:pos="26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provisions of Section 7.08(a), either party may bring an action or special proceeding in any court of competent jurisdiction for the purpose of compelling a party to arbitrate, seeking temporary or preliminary relief in aid of an arbitration hereunder, and/or enforcing an arbitration award and, for the purposes of this Section 7.08(b), each Existing Stockholder (through the Existing Stockholders Representative) (i) expressly consents to the application of Section 7.08(c) to any such action or proceeding, and (ii) irrevocably appoints the Corporation as its agent for service of process in connection with any such action or proceeding and agrees that service of process upon such agent, who shall promptly advise the Existing Stockholders Representative of any such service of process, shall be deemed in every respect effective service of process upon such Existing Stockholder in any such action or proceeding.</w:t>
      </w:r>
    </w:p>
    <w:p>
      <w:pPr>
        <w:spacing w:after="0" w:line="81" w:lineRule="exact"/>
        <w:rPr>
          <w:rFonts w:ascii="Times New Roman" w:cs="Times New Roman" w:eastAsia="Times New Roman" w:hAnsi="Times New Roman"/>
          <w:sz w:val="18"/>
          <w:szCs w:val="18"/>
          <w:color w:val="auto"/>
        </w:rPr>
      </w:pPr>
    </w:p>
    <w:p>
      <w:pPr>
        <w:ind w:left="-443" w:right="40" w:firstLine="443"/>
        <w:spacing w:after="0" w:line="255" w:lineRule="auto"/>
        <w:tabs>
          <w:tab w:leader="none" w:pos="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CORPORATION AND EACH EXISTING STOCKHOLDER (THROUGH THE EXISTING STOCKHOLDERS REPRESENTATIVE) HEREBY IRREVOCABLY SUBMITS TO THE JURISDICTION OF COURTS LOCATED IN NEW YORK AND AGREES THAT ANY JUDICIAL PROCEEDING BROUGHT IN ACCORDANCE WITH THE PROVISIONS OF Section 7.08(b) SHALL BE BROUGHT AND DETERMINED EXCLUSIVELY IN THE SUPREME COURT OF THE STATE OF NEW YORK AND ANY STATE APPELLATE COURT THEREFROM WITHIN THE STATE OF NEW YORK (OR, IF THE SUPREME COURT OF THE STATE OF NEW YORK REFUSES TO ACCEPT JURISDICTION OVER A PARTICULAR MATTER, ANY STATE OR FEDERAL COURT WITHIN THE STATE OF NEW YORK). The parties acknowledge that the forum designated by this Section 7.08(c) has a reasonable relation to this Agreement and to the parties’ relationship with one another.</w:t>
      </w:r>
    </w:p>
    <w:p>
      <w:pPr>
        <w:spacing w:after="0" w:line="77" w:lineRule="exact"/>
        <w:rPr>
          <w:rFonts w:ascii="Times New Roman" w:cs="Times New Roman" w:eastAsia="Times New Roman" w:hAnsi="Times New Roman"/>
          <w:sz w:val="18"/>
          <w:szCs w:val="18"/>
          <w:color w:val="auto"/>
        </w:rPr>
      </w:pPr>
    </w:p>
    <w:p>
      <w:pPr>
        <w:ind w:left="17" w:right="160" w:firstLine="421"/>
        <w:spacing w:after="0" w:line="276" w:lineRule="auto"/>
        <w:tabs>
          <w:tab w:leader="none" w:pos="702" w:val="left"/>
        </w:tabs>
        <w:numPr>
          <w:ilvl w:val="2"/>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hereby waive, to the fullest extent permitted by applicable law, any objection which they now or hereafter may have to personal jurisdiction or to the laying of venue of any such ancillary suit, action or proceeding brought in any court referred to in Section 7.08(c)</w:t>
      </w:r>
    </w:p>
    <w:p>
      <w:pPr>
        <w:ind w:left="237" w:hanging="219"/>
        <w:spacing w:after="0"/>
        <w:tabs>
          <w:tab w:leader="none" w:pos="23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such parties agree not to plead or claim the same.</w:t>
      </w:r>
    </w:p>
    <w:p>
      <w:pPr>
        <w:spacing w:after="0" w:line="98" w:lineRule="exact"/>
        <w:rPr>
          <w:rFonts w:ascii="Times New Roman" w:cs="Times New Roman" w:eastAsia="Times New Roman" w:hAnsi="Times New Roman"/>
          <w:sz w:val="18"/>
          <w:szCs w:val="18"/>
          <w:color w:val="auto"/>
        </w:rPr>
      </w:pPr>
    </w:p>
    <w:p>
      <w:pPr>
        <w:ind w:left="17" w:right="20" w:firstLine="421"/>
        <w:spacing w:after="0" w:line="255" w:lineRule="auto"/>
        <w:tabs>
          <w:tab w:leader="none" w:pos="752"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SPECIFICALLY BARGAINED INDUCEMENT FOR EACH OF THE PARTIES TO ENTER INTO THIS AGREEMENT (WITH EACH PARTY HAVING HAD OPPORTUNITY TO CONSULT COUNSEL), EACH OF THE PARTIES EXPRESSLY AND IRREVOCABLY WAIVES THE RIGHT TO A TRIAL BY JURY IN ANY ACTION OR PROCEEDING UNDER THIS AGREEMENT OR ANY ACTION OR PROCEEDING ARISING OUT OF THE TRANSACTIONS CONTEMPLATED HEREBY, REGARDLESS OF WHICH PARTY INITIATES SUCH ACTION OR PROCEEDING, AND ANY ACTION OR PROCEEDING UNDER THIS AGREEMENT OR ANY ACTION OR PROCEEDING ARISING OUT OF THE TRANSACTIONS CONTEMPLATED HEREBY SHALL BE TRIED IN A COURT OF COMPETENT JURISDICTION BY A JUDGE SITTING WITHOUT A JURY.</w:t>
      </w:r>
    </w:p>
    <w:p>
      <w:pPr>
        <w:sectPr>
          <w:pgSz w:w="11900" w:h="16838" w:orient="portrait"/>
          <w:cols w:equalWidth="0" w:num="1">
            <w:col w:w="10517"/>
          </w:cols>
          <w:pgMar w:left="1143" w:top="270" w:right="239" w:bottom="1440" w:gutter="0" w:footer="0" w:header="0"/>
        </w:sectPr>
      </w:pPr>
    </w:p>
    <w:bookmarkStart w:id="91" w:name="page92"/>
    <w:bookmarkEnd w:id="91"/>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7.09 </w:t>
      </w:r>
      <w:r>
        <w:rPr>
          <w:rFonts w:ascii="Times New Roman" w:cs="Times New Roman" w:eastAsia="Times New Roman" w:hAnsi="Times New Roman"/>
          <w:sz w:val="18"/>
          <w:szCs w:val="18"/>
          <w:u w:val="single" w:color="auto"/>
          <w:color w:val="auto"/>
        </w:rPr>
        <w:t>Reconciliation Procedures</w:t>
      </w:r>
      <w:r>
        <w:rPr>
          <w:rFonts w:ascii="Times New Roman" w:cs="Times New Roman" w:eastAsia="Times New Roman" w:hAnsi="Times New Roman"/>
          <w:sz w:val="18"/>
          <w:szCs w:val="18"/>
          <w:color w:val="auto"/>
        </w:rPr>
        <w:t>. In the event that the Corporation and the Existing Stockholders Representative are unable to resolve a disagreement with respect to the matters governed by this Agreement (a “</w:t>
      </w:r>
      <w:r>
        <w:rPr>
          <w:rFonts w:ascii="Times New Roman" w:cs="Times New Roman" w:eastAsia="Times New Roman" w:hAnsi="Times New Roman"/>
          <w:sz w:val="18"/>
          <w:szCs w:val="18"/>
          <w:b w:val="1"/>
          <w:bCs w:val="1"/>
          <w:u w:val="single" w:color="auto"/>
          <w:color w:val="auto"/>
        </w:rPr>
        <w:t>Reconciliation Dispute</w:t>
      </w:r>
      <w:r>
        <w:rPr>
          <w:rFonts w:ascii="Times New Roman" w:cs="Times New Roman" w:eastAsia="Times New Roman" w:hAnsi="Times New Roman"/>
          <w:sz w:val="18"/>
          <w:szCs w:val="18"/>
          <w:color w:val="auto"/>
        </w:rPr>
        <w:t>”), the Reconciliation Dispute shall be submitted for determination to a nationally recognized expert in the particular area of disagreement (the “</w:t>
      </w:r>
      <w:r>
        <w:rPr>
          <w:rFonts w:ascii="Times New Roman" w:cs="Times New Roman" w:eastAsia="Times New Roman" w:hAnsi="Times New Roman"/>
          <w:sz w:val="18"/>
          <w:szCs w:val="18"/>
          <w:b w:val="1"/>
          <w:bCs w:val="1"/>
          <w:u w:val="single" w:color="auto"/>
          <w:color w:val="auto"/>
        </w:rPr>
        <w:t>Expert</w:t>
      </w:r>
      <w:r>
        <w:rPr>
          <w:rFonts w:ascii="Times New Roman" w:cs="Times New Roman" w:eastAsia="Times New Roman" w:hAnsi="Times New Roman"/>
          <w:sz w:val="18"/>
          <w:szCs w:val="18"/>
          <w:color w:val="auto"/>
        </w:rPr>
        <w:t>”) mutually acceptable to both parties. The Expert shall be a partner in a nationally recognized accounting firm or a law firm (other than the Advisory Firm), and the Expert shall not, and the firm that employs the Expert shall not, have any material relationship with the Corporation or any of the Existing Stockholders or any other actual or potential conflict of interest. If the Reconciliation Dispute is not resolved before any payment that is the subject of the Reconciliation Dispute is due or any Tax Return reflecting the subject of the Reconciliation Dispute is due, such payment shall be made on the date prescribed by this Agreement and such Tax Return may be filed as prepared by the Corporation, subject to adjustment or amendment upon resolution. The costs and expenses relating to the engagement of such Expert or the amendment of any Tax Return shall be borne by the Corporation, except as provided in the next sentence. Each of the Corporation and the Existing Stockholders shall bear their own costs and expenses of such proceeding. Any dispute as to whether a dispute is a Reconciliation Dispute, within the meaning of this Section 7.09 shall be decided by the Expert. The Expert shall finally determine any Reconciliation Dispute and the determinations of the Expert pursuant to this Section 7.09 shall be binding on the Corporation and the Existing Stockholders and may be entered and enforced in any court having jurisdiction.</w:t>
      </w:r>
    </w:p>
    <w:p>
      <w:pPr>
        <w:spacing w:after="0" w:line="19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Corporation shall be entitled to deduct and withhold from any payment payable pursuant to this Agreement such amounts as the Corporation is required to deduct and withhold with respect to the making of such payment under the Code, or any applicable provision of state, local or foreign Tax law. To the extent that amounts are so withheld and paid over to the appropriate Taxing Authority by the Corporation, such withheld amounts shall be treated for all purposes of this Agreement as having been paid to the Existing Stockholders. The Corporation shall provide evidence of such payments to the Existing Stockholders (through the Existing Stockholders Representative) to the extent that such evidence is available.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Affiliated Corporations; Admission of the Corporation into a Consolidated Group; Transfers of Corporate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21"/>
        <w:spacing w:after="0" w:line="261" w:lineRule="auto"/>
        <w:tabs>
          <w:tab w:leader="none" w:pos="11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is or becomes a member of an affiliated or consolidated group of corporations that files a consolidated income Tax Return pursuant to Sections 1501 et seq. of the Code, or any corresponding provisions of state, local or foreign law, then: (i) the provisions of this Agreement shall be applied with respect to the group as a whole; and (ii) Tax Benefit Payments shall be computed with reference to the consolidated taxable income of the group as a whole.</w:t>
      </w:r>
    </w:p>
    <w:p>
      <w:pPr>
        <w:spacing w:after="0" w:line="180" w:lineRule="exact"/>
        <w:rPr>
          <w:rFonts w:ascii="Times New Roman" w:cs="Times New Roman" w:eastAsia="Times New Roman" w:hAnsi="Times New Roman"/>
          <w:sz w:val="18"/>
          <w:szCs w:val="18"/>
          <w:color w:val="auto"/>
        </w:rPr>
      </w:pPr>
    </w:p>
    <w:p>
      <w:pPr>
        <w:ind w:right="60" w:firstLine="921"/>
        <w:spacing w:after="0" w:line="258" w:lineRule="auto"/>
        <w:tabs>
          <w:tab w:leader="none" w:pos="11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the income of which is included in the income of the Corporation’s affiliated or consolidated group transfers one or more assets to a corporation with which such Person does not file a consolidated Tax Return pursuant to Section 1501 of the Code, for purposes of calculating the amount of any Tax Benefit Payment (e.g., calculating the gross income of the Corporation’s affiliated or consolidated group and determining the Realized Tax Benefit) due hereunder, such Person shall be treated as having disposed of such asset in a fully taxable transaction on the date of such transfer. The consideration deemed to be received by such entity shall be equal to the fair market value of the</w:t>
      </w:r>
    </w:p>
    <w:p>
      <w:pPr>
        <w:sectPr>
          <w:pgSz w:w="11900" w:h="16838" w:orient="portrait"/>
          <w:cols w:equalWidth="0" w:num="1">
            <w:col w:w="11420"/>
          </w:cols>
          <w:pgMar w:left="240" w:top="270" w:right="239" w:bottom="1440" w:gutter="0" w:footer="0" w:header="0"/>
        </w:sectPr>
      </w:pPr>
    </w:p>
    <w:bookmarkStart w:id="92" w:name="page93"/>
    <w:bookmarkEnd w:id="92"/>
    <w:p>
      <w:pPr>
        <w:ind w:right="6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transferred asset, plus (i) the amount of debt to which such asset is subject, in the case of a transfer of an encumbered asset, or (ii) the amount of debt allocated to such asset, in the case of a transfer of a partnership interest.</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(a) Each Existing Stockholder (through the Existing Stockholders Representative) and each of its assignees acknowledges and agrees that the information of the Corporation is confidential and, except in the course of performing any duties as necessary for the Corporation and its Affiliates, as required by law or legal process or to enforce the terms of this Agreement, shall keep and retain in the strictest confidence and not to disclose to any Person all confidential matters, acquired pursuant to this Agreement, of the Corporation or the Existing Stockholders. This Section 7.12 shall not apply to</w:t>
      </w:r>
    </w:p>
    <w:p>
      <w:pPr>
        <w:spacing w:after="0" w:line="3" w:lineRule="exact"/>
        <w:rPr>
          <w:sz w:val="20"/>
          <w:szCs w:val="20"/>
          <w:color w:val="auto"/>
        </w:rPr>
      </w:pPr>
    </w:p>
    <w:p>
      <w:pPr>
        <w:ind w:firstLine="8"/>
        <w:spacing w:after="0" w:line="252" w:lineRule="auto"/>
        <w:tabs>
          <w:tab w:leader="none" w:pos="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that has been made publicly available by the Corporation or any of its Affiliates, becomes public knowledge (except as a result of an act of an Existing Stockholder in violation of this Agreement) or is generally known to the business community or (ii) the disclosure of information to the extent necessary for any Existing Stockholder to prepare and file its Tax Returns, to respond to any inquiries regarding the same from any Taxing Authority or to prosecute or defend any action, proceeding or audit by any Taxing Authority with respect to such returns. Notwithstanding anything to the contrary herein, each Existing Stockholder (and each employee, representative or other agent of such Existing Stockholder) may disclose to any and all Persons, without limitation of any kind, the Tax treatment and Tax structure of (x) the Corporation and (y) any of its transactions, and all materials of any kind (including opinions or other Tax analyses) that are provided to such Existing Stockholder relating to such Tax treatment and Tax structure.</w:t>
      </w:r>
    </w:p>
    <w:p>
      <w:pPr>
        <w:spacing w:after="0" w:line="189" w:lineRule="exact"/>
        <w:rPr>
          <w:rFonts w:ascii="Times New Roman" w:cs="Times New Roman" w:eastAsia="Times New Roman" w:hAnsi="Times New Roman"/>
          <w:sz w:val="18"/>
          <w:szCs w:val="18"/>
          <w:color w:val="auto"/>
        </w:rPr>
      </w:pPr>
    </w:p>
    <w:p>
      <w:pPr>
        <w:ind w:firstLine="921"/>
        <w:spacing w:after="0" w:line="256" w:lineRule="auto"/>
        <w:tabs>
          <w:tab w:leader="none" w:pos="116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Existing Stockholders Representative or any of its assignees commits a breach, or threatens to commit a breach, of any of the provisions of this Section 7.12, the Corporation shall have the right and remedy to have the provisions of this Section 7.12 specifically enforced by injunctive relief or otherwise by any court of competent jurisdiction without the need to post any bond or other security, it being acknowledged and agreed that any such breach or threatened breach shall cause irreparable injury to the Corporation or any of its Subsidiaries and the accounts and funds managed by the Corporation, and that money damages alone shall not provide an adequate remedy to such Persons. Such rights and remedies shall be in addition to, and not in lieu of, any other rights and remedies available at law or in equity.</w:t>
      </w:r>
    </w:p>
    <w:p>
      <w:pPr>
        <w:spacing w:after="0" w:line="188"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Appointment of Existing Stockholders Representative</w:t>
      </w:r>
      <w:r>
        <w:rPr>
          <w:rFonts w:ascii="Times New Roman" w:cs="Times New Roman" w:eastAsia="Times New Roman" w:hAnsi="Times New Roman"/>
          <w:sz w:val="18"/>
          <w:szCs w:val="18"/>
          <w:color w:val="auto"/>
        </w:rPr>
        <w:t>. The Existing Stockholders Representative is hereby appointed to act as the sole representative, agent and attorney-in-fact for the Existing Stockholders and their successors and assigns for all the purposes specified under this Agreement, and the Existing Stockholders Representative, by its signature below, agrees to serve in such capacity.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pages follow]</w:t>
      </w:r>
    </w:p>
    <w:p>
      <w:pPr>
        <w:sectPr>
          <w:pgSz w:w="11900" w:h="16838" w:orient="portrait"/>
          <w:cols w:equalWidth="0" w:num="1">
            <w:col w:w="11420"/>
          </w:cols>
          <w:pgMar w:left="240" w:top="270" w:right="239" w:bottom="1440" w:gutter="0" w:footer="0" w:header="0"/>
        </w:sectPr>
      </w:pPr>
    </w:p>
    <w:bookmarkStart w:id="93" w:name="page94"/>
    <w:bookmarkEnd w:id="93"/>
    <w:p>
      <w:pPr>
        <w:ind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Corporation and the Existing Stockholders Representative have duly executed this Agreement as of the date first written above.</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841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Laurance Roberts</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TRIMARAN POLLO PARTNERS, L.L.C.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as Existing Stockholders Representative</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TRIMARAN CAPITAL, L.L.C.,</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TRIMARAN FUNDS MANAGEMENT, L.L.C.,</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Dean C. Kehler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841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Dean C. Kehler</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Managing Partner</w:t>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 to Tax Receivable Agreement]</w:t>
      </w:r>
    </w:p>
    <w:p>
      <w:pPr>
        <w:sectPr>
          <w:pgSz w:w="11900" w:h="16838" w:orient="portrait"/>
          <w:cols w:equalWidth="0" w:num="1">
            <w:col w:w="11300"/>
          </w:cols>
          <w:pgMar w:left="240" w:top="270" w:right="35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J. Sather, certify that:</w:t>
      </w:r>
    </w:p>
    <w:p>
      <w:pPr>
        <w:spacing w:after="0" w:line="225" w:lineRule="exact"/>
        <w:rPr>
          <w:sz w:val="20"/>
          <w:szCs w:val="20"/>
          <w:color w:val="auto"/>
        </w:rPr>
      </w:pPr>
    </w:p>
    <w:p>
      <w:pPr>
        <w:ind w:left="180" w:hanging="172"/>
        <w:spacing w:after="0"/>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0" w:firstLine="8"/>
        <w:spacing w:after="0" w:line="282"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[reserved] for the registrant and have:</w:t>
      </w:r>
    </w:p>
    <w:p>
      <w:pPr>
        <w:spacing w:after="0" w:line="162" w:lineRule="exact"/>
        <w:rPr>
          <w:sz w:val="20"/>
          <w:szCs w:val="20"/>
          <w:color w:val="auto"/>
        </w:rPr>
      </w:pPr>
    </w:p>
    <w:p>
      <w:pPr>
        <w:jc w:val="both"/>
        <w:ind w:right="120" w:firstLine="8"/>
        <w:spacing w:after="0" w:line="266" w:lineRule="auto"/>
        <w:tabs>
          <w:tab w:leader="none" w:pos="2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40" w:firstLine="8"/>
        <w:spacing w:after="0" w:line="282"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20" w:firstLine="8"/>
        <w:spacing w:after="0" w:line="282" w:lineRule="auto"/>
        <w:tabs>
          <w:tab w:leader="none" w:pos="2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Sather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0" w:firstLine="8"/>
        <w:spacing w:after="0" w:line="282"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[reserved] for the registrant and have:</w:t>
      </w:r>
    </w:p>
    <w:p>
      <w:pPr>
        <w:spacing w:after="0" w:line="162" w:lineRule="exact"/>
        <w:rPr>
          <w:sz w:val="20"/>
          <w:szCs w:val="20"/>
          <w:color w:val="auto"/>
        </w:rPr>
      </w:pPr>
    </w:p>
    <w:p>
      <w:pPr>
        <w:jc w:val="both"/>
        <w:ind w:right="120" w:firstLine="8"/>
        <w:spacing w:after="0" w:line="266" w:lineRule="auto"/>
        <w:tabs>
          <w:tab w:leader="none" w:pos="24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40" w:firstLine="8"/>
        <w:spacing w:after="0" w:line="282"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20" w:firstLine="8"/>
        <w:spacing w:after="0" w:line="282" w:lineRule="auto"/>
        <w:tabs>
          <w:tab w:leader="none" w:pos="2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Sather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1."/>
      <w:numFmt w:val="decimal"/>
      <w:start w:val="7"/>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1)"/>
      <w:numFmt w:val="lowerRoman"/>
      <w:start w:val="2"/>
    </w:lvl>
  </w:abstractNum>
  <w:abstractNum w:abstractNumId="6">
    <w:nsid w:val="1D4ED43B"/>
    <w:multiLevelType w:val="hybridMultilevel"/>
    <w:lvl w:ilvl="0">
      <w:lvlJc w:val="left"/>
      <w:lvlText w:val="(%1)"/>
      <w:numFmt w:val="lowerRoman"/>
      <w:start w:val="2"/>
    </w:lvl>
  </w:abstractNum>
  <w:abstractNum w:abstractNumId="7">
    <w:nsid w:val="725A06FB"/>
    <w:multiLevelType w:val="hybridMultilevel"/>
    <w:lvl w:ilvl="0">
      <w:lvlJc w:val="left"/>
      <w:lvlText w:val="(%1)"/>
      <w:numFmt w:val="lowerRoman"/>
      <w:start w:val="5"/>
    </w:lvl>
  </w:abstractNum>
  <w:abstractNum w:abstractNumId="8">
    <w:nsid w:val="2CD89A32"/>
    <w:multiLevelType w:val="hybridMultilevel"/>
    <w:lvl w:ilvl="0">
      <w:lvlJc w:val="left"/>
      <w:lvlText w:val="(%1)"/>
      <w:numFmt w:val="lowerRoman"/>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1)"/>
      <w:numFmt w:val="decimal"/>
      <w:start w:val="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1)"/>
      <w:numFmt w:val="lowerRoman"/>
      <w:start w:val="2"/>
    </w:lvl>
  </w:abstractNum>
  <w:abstractNum w:abstractNumId="13">
    <w:nsid w:val="6DE91B18"/>
    <w:multiLevelType w:val="hybridMultilevel"/>
    <w:lvl w:ilvl="0">
      <w:lvlJc w:val="left"/>
      <w:lvlText w:val="(%1)"/>
      <w:numFmt w:val="lowerRoman"/>
      <w:start w:val="5"/>
    </w:lvl>
  </w:abstractNum>
  <w:abstractNum w:abstractNumId="14">
    <w:nsid w:val="38437FDB"/>
    <w:multiLevelType w:val="hybridMultilevel"/>
    <w:lvl w:ilvl="0">
      <w:lvlJc w:val="left"/>
      <w:lvlText w:val="(%1)"/>
      <w:numFmt w:val="lowerRoman"/>
      <w:start w:val="2"/>
    </w:lvl>
  </w:abstractNum>
  <w:abstractNum w:abstractNumId="15">
    <w:nsid w:val="7644A45C"/>
    <w:multiLevelType w:val="hybridMultilevel"/>
    <w:lvl w:ilvl="0">
      <w:lvlJc w:val="left"/>
      <w:lvlText w:val="(%1)"/>
      <w:numFmt w:val="lowerRoman"/>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lowerLetter"/>
      <w:start w:val="1"/>
    </w:lvl>
  </w:abstractNum>
  <w:abstractNum w:abstractNumId="19">
    <w:nsid w:val="749ABB43"/>
    <w:multiLevelType w:val="hybridMultilevel"/>
    <w:lvl w:ilvl="0">
      <w:lvlJc w:val="left"/>
      <w:lvlText w:val="(%1)"/>
      <w:numFmt w:val="lowerLetter"/>
      <w:start w:val="3"/>
    </w:lvl>
  </w:abstractNum>
  <w:abstractNum w:abstractNumId="20">
    <w:nsid w:val="3DC240FB"/>
    <w:multiLevelType w:val="hybridMultilevel"/>
    <w:lvl w:ilvl="0">
      <w:lvlJc w:val="left"/>
      <w:lvlText w:val="(%1)"/>
      <w:numFmt w:val="lowerLetter"/>
      <w:start w:val="5"/>
    </w:lvl>
  </w:abstractNum>
  <w:abstractNum w:abstractNumId="21">
    <w:nsid w:val="1BA026FA"/>
    <w:multiLevelType w:val="hybridMultilevel"/>
    <w:lvl w:ilvl="0">
      <w:lvlJc w:val="left"/>
      <w:lvlText w:val="(%1)"/>
      <w:numFmt w:val="lowerLetter"/>
      <w:start w:val="11"/>
    </w:lvl>
  </w:abstractNum>
  <w:abstractNum w:abstractNumId="22">
    <w:nsid w:val="79A1DEAA"/>
    <w:multiLevelType w:val="hybridMultilevel"/>
    <w:lvl w:ilvl="0">
      <w:lvlJc w:val="left"/>
      <w:lvlText w:val="(%1)"/>
      <w:numFmt w:val="lowerLetter"/>
      <w:start w:val="14"/>
    </w:lvl>
  </w:abstractNum>
  <w:abstractNum w:abstractNumId="23">
    <w:nsid w:val="75C6C33A"/>
    <w:multiLevelType w:val="hybridMultilevel"/>
    <w:lvl w:ilvl="0">
      <w:lvlJc w:val="left"/>
      <w:lvlText w:val="(%1)"/>
      <w:numFmt w:val="lowerLetter"/>
      <w:start w:val="18"/>
    </w:lvl>
  </w:abstractNum>
  <w:abstractNum w:abstractNumId="24">
    <w:nsid w:val="12E685FB"/>
    <w:multiLevelType w:val="hybridMultilevel"/>
    <w:lvl w:ilvl="0">
      <w:lvlJc w:val="left"/>
      <w:lvlText w:val="%1"/>
      <w:numFmt w:val="lowerLetter"/>
      <w:start w:val="1"/>
    </w:lvl>
    <w:lvl w:ilvl="1">
      <w:lvlJc w:val="left"/>
      <w:lvlText w:val="(%2)"/>
      <w:numFmt w:val="lowerLetter"/>
      <w:start w:val="21"/>
    </w:lvl>
  </w:abstractNum>
  <w:abstractNum w:abstractNumId="25">
    <w:nsid w:val="70C6A529"/>
    <w:multiLevelType w:val="hybridMultilevel"/>
    <w:lvl w:ilvl="0">
      <w:lvlJc w:val="left"/>
      <w:lvlText w:val="(%1)"/>
      <w:numFmt w:val="lowerLetter"/>
      <w:start w:val="1"/>
    </w:lvl>
    <w:lvl w:ilvl="1">
      <w:lvlJc w:val="left"/>
      <w:lvlText w:val="%2"/>
      <w:numFmt w:val="lowerLetter"/>
      <w:start w:val="1"/>
    </w:lvl>
  </w:abstractNum>
  <w:abstractNum w:abstractNumId="26">
    <w:nsid w:val="520EEDD1"/>
    <w:multiLevelType w:val="hybridMultilevel"/>
    <w:lvl w:ilvl="0">
      <w:lvlJc w:val="left"/>
      <w:lvlText w:val="%1"/>
      <w:numFmt w:val="lowerLetter"/>
      <w:start w:val="1"/>
    </w:lvl>
    <w:lvl w:ilvl="1">
      <w:lvlJc w:val="left"/>
      <w:lvlText w:val="(%2)"/>
      <w:numFmt w:val="lowerLetter"/>
      <w:start w:val="23"/>
    </w:lvl>
  </w:abstractNum>
  <w:abstractNum w:abstractNumId="27">
    <w:nsid w:val="374A3FE6"/>
    <w:multiLevelType w:val="hybridMultilevel"/>
    <w:lvl w:ilvl="0">
      <w:lvlJc w:val="left"/>
      <w:lvlText w:val="(%1)"/>
      <w:numFmt w:val="lowerLetter"/>
      <w:start w:val="35"/>
    </w:lvl>
    <w:lvl w:ilvl="1">
      <w:lvlJc w:val="left"/>
      <w:lvlText w:val="(%2)"/>
      <w:numFmt w:val="lowerLetter"/>
      <w:start w:val="26"/>
    </w:lvl>
  </w:abstractNum>
  <w:abstractNum w:abstractNumId="28">
    <w:nsid w:val="4F4EF005"/>
    <w:multiLevelType w:val="hybridMultilevel"/>
    <w:lvl w:ilvl="0">
      <w:lvlJc w:val="left"/>
      <w:lvlText w:val="(%1)"/>
      <w:numFmt w:val="lowerLetter"/>
      <w:start w:val="27"/>
    </w:lvl>
  </w:abstractNum>
  <w:abstractNum w:abstractNumId="29">
    <w:nsid w:val="23F9C13C"/>
    <w:multiLevelType w:val="hybridMultilevel"/>
    <w:lvl w:ilvl="0">
      <w:lvlJc w:val="left"/>
      <w:lvlText w:val="(%1)"/>
      <w:numFmt w:val="lowerLetter"/>
      <w:start w:val="33"/>
    </w:lvl>
  </w:abstractNum>
  <w:abstractNum w:abstractNumId="30">
    <w:nsid w:val="649BB77C"/>
    <w:multiLevelType w:val="hybridMultilevel"/>
    <w:lvl w:ilvl="0">
      <w:lvlJc w:val="left"/>
      <w:lvlText w:val="(%1)"/>
      <w:numFmt w:val="lowerLetter"/>
      <w:start w:val="38"/>
    </w:lvl>
  </w:abstractNum>
  <w:abstractNum w:abstractNumId="31">
    <w:nsid w:val="275AC794"/>
    <w:multiLevelType w:val="hybridMultilevel"/>
    <w:lvl w:ilvl="0">
      <w:lvlJc w:val="left"/>
      <w:lvlText w:val="(%1)"/>
      <w:numFmt w:val="lowerLetter"/>
      <w:start w:val="41"/>
    </w:lvl>
  </w:abstractNum>
  <w:abstractNum w:abstractNumId="32">
    <w:nsid w:val="39386575"/>
    <w:multiLevelType w:val="hybridMultilevel"/>
    <w:lvl w:ilvl="0">
      <w:lvlJc w:val="left"/>
      <w:lvlText w:val="(%1)"/>
      <w:numFmt w:val="lowerLetter"/>
      <w:start w:val="44"/>
    </w:lvl>
  </w:abstractNum>
  <w:abstractNum w:abstractNumId="33">
    <w:nsid w:val="1CF10FD8"/>
    <w:multiLevelType w:val="hybridMultilevel"/>
    <w:lvl w:ilvl="0">
      <w:lvlJc w:val="left"/>
      <w:lvlText w:val="(%1)"/>
      <w:numFmt w:val="lowerLetter"/>
      <w:start w:val="46"/>
    </w:lvl>
  </w:abstractNum>
  <w:abstractNum w:abstractNumId="34">
    <w:nsid w:val="180115BE"/>
    <w:multiLevelType w:val="hybridMultilevel"/>
    <w:lvl w:ilvl="0">
      <w:lvlJc w:val="left"/>
      <w:lvlText w:val="(%1)"/>
      <w:numFmt w:val="lowerLetter"/>
      <w:start w:val="1"/>
    </w:lvl>
  </w:abstractNum>
  <w:abstractNum w:abstractNumId="35">
    <w:nsid w:val="235BA861"/>
    <w:multiLevelType w:val="hybridMultilevel"/>
    <w:lvl w:ilvl="0">
      <w:lvlJc w:val="left"/>
      <w:lvlText w:val="(%1)"/>
      <w:numFmt w:val="lowerLetter"/>
      <w:start w:val="3"/>
    </w:lvl>
    <w:lvl w:ilvl="1">
      <w:lvlJc w:val="left"/>
      <w:lvlText w:val="(%2)"/>
      <w:numFmt w:val="lowerLetter"/>
      <w:start w:val="35"/>
    </w:lvl>
  </w:abstractNum>
  <w:abstractNum w:abstractNumId="36">
    <w:nsid w:val="47398C89"/>
    <w:multiLevelType w:val="hybridMultilevel"/>
    <w:lvl w:ilvl="0">
      <w:lvlJc w:val="left"/>
      <w:lvlText w:val="(%1)"/>
      <w:numFmt w:val="lowerLetter"/>
      <w:start w:val="1"/>
    </w:lvl>
  </w:abstractNum>
  <w:abstractNum w:abstractNumId="37">
    <w:nsid w:val="354FE9F9"/>
    <w:multiLevelType w:val="hybridMultilevel"/>
    <w:lvl w:ilvl="0">
      <w:lvlJc w:val="left"/>
      <w:lvlText w:val="(%1)"/>
      <w:numFmt w:val="lowerLetter"/>
      <w:start w:val="4"/>
    </w:lvl>
  </w:abstractNum>
  <w:abstractNum w:abstractNumId="38">
    <w:nsid w:val="15B5AF5C"/>
    <w:multiLevelType w:val="hybridMultilevel"/>
    <w:lvl w:ilvl="0">
      <w:lvlJc w:val="left"/>
      <w:lvlText w:val="(%1)"/>
      <w:numFmt w:val="lowerLetter"/>
      <w:start w:val="7"/>
    </w:lvl>
  </w:abstractNum>
  <w:abstractNum w:abstractNumId="39">
    <w:nsid w:val="741226BB"/>
    <w:multiLevelType w:val="hybridMultilevel"/>
    <w:lvl w:ilvl="0">
      <w:lvlJc w:val="left"/>
      <w:lvlText w:val="%1"/>
      <w:numFmt w:val="lowerRoman"/>
      <w:start w:val="1"/>
    </w:lvl>
    <w:lvl w:ilvl="1">
      <w:lvlJc w:val="left"/>
      <w:lvlText w:val="(%2)"/>
      <w:numFmt w:val="lowerLetter"/>
      <w:start w:val="12"/>
    </w:lvl>
  </w:abstractNum>
  <w:abstractNum w:abstractNumId="40">
    <w:nsid w:val="D34B6A8"/>
    <w:multiLevelType w:val="hybridMultilevel"/>
    <w:lvl w:ilvl="0">
      <w:lvlJc w:val="left"/>
      <w:lvlText w:val="(%1)"/>
      <w:numFmt w:val="lowerRoman"/>
      <w:start w:val="8"/>
    </w:lvl>
    <w:lvl w:ilvl="1">
      <w:lvlJc w:val="left"/>
      <w:lvlText w:val="%2"/>
      <w:numFmt w:val="lowerLetter"/>
      <w:start w:val="1"/>
    </w:lvl>
  </w:abstractNum>
  <w:abstractNum w:abstractNumId="41">
    <w:nsid w:val="10233C99"/>
    <w:multiLevelType w:val="hybridMultilevel"/>
    <w:lvl w:ilvl="0">
      <w:lvlJc w:val="left"/>
      <w:lvlText w:val="(%1)"/>
      <w:numFmt w:val="lowerLetter"/>
      <w:start w:val="16"/>
    </w:lvl>
  </w:abstractNum>
  <w:abstractNum w:abstractNumId="42">
    <w:nsid w:val="3F6AB60F"/>
    <w:multiLevelType w:val="hybridMultilevel"/>
    <w:lvl w:ilvl="0">
      <w:lvlJc w:val="left"/>
      <w:lvlText w:val="(%1)"/>
      <w:numFmt w:val="lowerLetter"/>
      <w:start w:val="20"/>
    </w:lvl>
  </w:abstractNum>
  <w:abstractNum w:abstractNumId="43">
    <w:nsid w:val="61574095"/>
    <w:multiLevelType w:val="hybridMultilevel"/>
    <w:lvl w:ilvl="0">
      <w:lvlJc w:val="left"/>
      <w:lvlText w:val="(%1)"/>
      <w:numFmt w:val="lowerLetter"/>
      <w:start w:val="1"/>
    </w:lvl>
    <w:lvl w:ilvl="1">
      <w:lvlJc w:val="left"/>
      <w:lvlText w:val="(%2)"/>
      <w:numFmt w:val="lowerRoman"/>
      <w:start w:val="1"/>
    </w:lvl>
  </w:abstractNum>
  <w:abstractNum w:abstractNumId="44">
    <w:nsid w:val="7E0C57B1"/>
    <w:multiLevelType w:val="hybridMultilevel"/>
    <w:lvl w:ilvl="0">
      <w:lvlJc w:val="left"/>
      <w:lvlText w:val="(%1)"/>
      <w:numFmt w:val="lowerLetter"/>
      <w:start w:val="3"/>
    </w:lvl>
    <w:lvl w:ilvl="1">
      <w:lvlJc w:val="left"/>
      <w:lvlText w:val="(%2)"/>
      <w:numFmt w:val="lowerRoman"/>
      <w:start w:val="1"/>
    </w:lvl>
  </w:abstractNum>
  <w:abstractNum w:abstractNumId="45">
    <w:nsid w:val="77AE35EB"/>
    <w:multiLevelType w:val="hybridMultilevel"/>
    <w:lvl w:ilvl="0">
      <w:lvlJc w:val="left"/>
      <w:lvlText w:val="(%1)"/>
      <w:numFmt w:val="lowerLetter"/>
      <w:start w:val="9"/>
    </w:lvl>
  </w:abstractNum>
  <w:abstractNum w:abstractNumId="46">
    <w:nsid w:val="579BE4F1"/>
    <w:multiLevelType w:val="hybridMultilevel"/>
    <w:lvl w:ilvl="0">
      <w:lvlJc w:val="left"/>
      <w:lvlText w:val="(%1)"/>
      <w:numFmt w:val="lowerLetter"/>
      <w:start w:val="1"/>
    </w:lvl>
  </w:abstractNum>
  <w:abstractNum w:abstractNumId="47">
    <w:nsid w:val="310C50B3"/>
    <w:multiLevelType w:val="hybridMultilevel"/>
    <w:lvl w:ilvl="0">
      <w:lvlJc w:val="left"/>
      <w:lvlText w:val="(%1)"/>
      <w:numFmt w:val="lowerLetter"/>
      <w:start w:val="2"/>
    </w:lvl>
  </w:abstractNum>
  <w:abstractNum w:abstractNumId="48">
    <w:nsid w:val="5FF87E05"/>
    <w:multiLevelType w:val="hybridMultilevel"/>
    <w:lvl w:ilvl="0">
      <w:lvlJc w:val="left"/>
      <w:lvlText w:val="(%1)"/>
      <w:numFmt w:val="lowerLetter"/>
      <w:start w:val="3"/>
    </w:lvl>
  </w:abstractNum>
  <w:abstractNum w:abstractNumId="49">
    <w:nsid w:val="2F305DEF"/>
    <w:multiLevelType w:val="hybridMultilevel"/>
    <w:lvl w:ilvl="0">
      <w:lvlJc w:val="left"/>
      <w:lvlText w:val="(%1)"/>
      <w:numFmt w:val="lowerLetter"/>
      <w:start w:val="4"/>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lowerLetter"/>
      <w:start w:val="2"/>
    </w:lvl>
  </w:abstractNum>
  <w:abstractNum w:abstractNumId="52">
    <w:nsid w:val="4AD084E9"/>
    <w:multiLevelType w:val="hybridMultilevel"/>
    <w:lvl w:ilvl="0">
      <w:lvlJc w:val="left"/>
      <w:lvlText w:val="(%1)"/>
      <w:numFmt w:val="lowerRoman"/>
      <w:start w:val="2"/>
    </w:lvl>
  </w:abstractNum>
  <w:abstractNum w:abstractNumId="53">
    <w:nsid w:val="1F48EAA1"/>
    <w:multiLevelType w:val="hybridMultilevel"/>
    <w:lvl w:ilvl="0">
      <w:lvlJc w:val="left"/>
      <w:lvlText w:val="•"/>
      <w:numFmt w:val="bullet"/>
      <w:start w:val="1"/>
    </w:lvl>
    <w:lvl w:ilvl="1">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1."/>
      <w:numFmt w:val="decimal"/>
      <w:start w:val="1"/>
    </w:lvl>
  </w:abstractNum>
  <w:abstractNum w:abstractNumId="57">
    <w:nsid w:val="6590700B"/>
    <w:multiLevelType w:val="hybridMultilevel"/>
    <w:lvl w:ilvl="0">
      <w:lvlJc w:val="left"/>
      <w:lvlText w:val="(%1)"/>
      <w:numFmt w:val="lowerRoman"/>
      <w:start w:val="1"/>
    </w:lvl>
  </w:abstractNum>
  <w:abstractNum w:abstractNumId="58">
    <w:nsid w:val="15014ACB"/>
    <w:multiLevelType w:val="hybridMultilevel"/>
    <w:lvl w:ilvl="0">
      <w:lvlJc w:val="left"/>
      <w:lvlText w:val="(%1)"/>
      <w:numFmt w:val="lowerLetter"/>
      <w:start w:val="1"/>
    </w:lvl>
  </w:abstractNum>
  <w:abstractNum w:abstractNumId="59">
    <w:nsid w:val="5F5E7FD0"/>
    <w:multiLevelType w:val="hybridMultilevel"/>
    <w:lvl w:ilvl="0">
      <w:lvlJc w:val="left"/>
      <w:lvlText w:val="(%1)"/>
      <w:numFmt w:val="lowerRoman"/>
      <w:start w:val="1"/>
    </w:lvl>
  </w:abstractNum>
  <w:abstractNum w:abstractNumId="60">
    <w:nsid w:val="98A3148"/>
    <w:multiLevelType w:val="hybridMultilevel"/>
    <w:lvl w:ilvl="0">
      <w:lvlJc w:val="left"/>
      <w:lvlText w:val="(%1)"/>
      <w:numFmt w:val="lowerLetter"/>
      <w:start w:val="1"/>
    </w:lvl>
  </w:abstractNum>
  <w:abstractNum w:abstractNumId="61">
    <w:nsid w:val="799D0247"/>
    <w:multiLevelType w:val="hybridMultilevel"/>
    <w:lvl w:ilvl="0">
      <w:lvlJc w:val="left"/>
      <w:lvlText w:val="(%1)"/>
      <w:numFmt w:val="lowerLetter"/>
      <w:start w:val="1"/>
    </w:lvl>
  </w:abstractNum>
  <w:abstractNum w:abstractNumId="62">
    <w:nsid w:val="6B94764"/>
    <w:multiLevelType w:val="hybridMultilevel"/>
    <w:lvl w:ilvl="0">
      <w:lvlJc w:val="left"/>
      <w:lvlText w:val="(%1)"/>
      <w:numFmt w:val="lowerLetter"/>
      <w:start w:val="4"/>
    </w:lvl>
  </w:abstractNum>
  <w:abstractNum w:abstractNumId="63">
    <w:nsid w:val="42C296BD"/>
    <w:multiLevelType w:val="hybridMultilevel"/>
    <w:lvl w:ilvl="0">
      <w:lvlJc w:val="left"/>
      <w:lvlText w:val="(%1)"/>
      <w:numFmt w:val="lowerLetter"/>
      <w:start w:val="2"/>
    </w:lvl>
  </w:abstractNum>
  <w:abstractNum w:abstractNumId="64">
    <w:nsid w:val="168E121F"/>
    <w:multiLevelType w:val="hybridMultilevel"/>
    <w:lvl w:ilvl="0">
      <w:lvlJc w:val="left"/>
      <w:lvlText w:val="(%1)"/>
      <w:numFmt w:val="lowerLetter"/>
      <w:start w:val="2"/>
    </w:lvl>
  </w:abstractNum>
  <w:abstractNum w:abstractNumId="65">
    <w:nsid w:val="1EBA5D23"/>
    <w:multiLevelType w:val="hybridMultilevel"/>
    <w:lvl w:ilvl="0">
      <w:lvlJc w:val="left"/>
      <w:lvlText w:val="(%1)"/>
      <w:numFmt w:val="lowerLetter"/>
      <w:start w:val="3"/>
    </w:lvl>
  </w:abstractNum>
  <w:abstractNum w:abstractNumId="66">
    <w:nsid w:val="661E3F1E"/>
    <w:multiLevelType w:val="hybridMultilevel"/>
    <w:lvl w:ilvl="0">
      <w:lvlJc w:val="left"/>
      <w:lvlText w:val="(%1)"/>
      <w:numFmt w:val="lowerLetter"/>
      <w:start w:val="1"/>
    </w:lvl>
  </w:abstractNum>
  <w:abstractNum w:abstractNumId="67">
    <w:nsid w:val="5DC79EA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68">
    <w:nsid w:val="540A471C"/>
    <w:multiLevelType w:val="hybridMultilevel"/>
    <w:lvl w:ilvl="0">
      <w:lvlJc w:val="left"/>
      <w:lvlText w:val="(%1)"/>
      <w:numFmt w:val="lowerLetter"/>
      <w:start w:val="3"/>
    </w:lvl>
    <w:lvl w:ilvl="1">
      <w:lvlJc w:val="left"/>
      <w:lvlText w:val="(%2)"/>
      <w:numFmt w:val="lowerLetter"/>
      <w:start w:val="8"/>
    </w:lvl>
    <w:lvl w:ilvl="2">
      <w:lvlJc w:val="left"/>
      <w:lvlText w:val="(%3)"/>
      <w:numFmt w:val="lowerLetter"/>
      <w:start w:val="35"/>
    </w:lvl>
  </w:abstractNum>
  <w:abstractNum w:abstractNumId="69">
    <w:nsid w:val="7BD3EE7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70">
    <w:nsid w:val="51D9C564"/>
    <w:multiLevelType w:val="hybridMultilevel"/>
    <w:lvl w:ilvl="0">
      <w:lvlJc w:val="left"/>
      <w:lvlText w:val="(%1)"/>
      <w:numFmt w:val="lowerLetter"/>
      <w:start w:val="1"/>
    </w:lvl>
  </w:abstractNum>
  <w:abstractNum w:abstractNumId="71">
    <w:nsid w:val="613EFDC5"/>
    <w:multiLevelType w:val="hybridMultilevel"/>
    <w:lvl w:ilvl="0">
      <w:lvlJc w:val="left"/>
      <w:lvlText w:val="(%1)"/>
      <w:numFmt w:val="lowerLetter"/>
      <w:start w:val="9"/>
    </w:lvl>
    <w:lvl w:ilvl="1">
      <w:lvlJc w:val="left"/>
      <w:lvlText w:val="(%2)"/>
      <w:numFmt w:val="lowerLetter"/>
      <w:start w:val="2"/>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decimal"/>
      <w:start w:val="5"/>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decimal"/>
      <w:start w:val="5"/>
    </w:lvl>
  </w:abstractNum>
  <w:abstractNum w:abstractNumId="79">
    <w:nsid w:val="68EB2F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2019-12-08T11:05:57Z</dcterms:created>
  <dcterms:modified xsi:type="dcterms:W3CDTF">2019-12-08T11:05:57Z</dcterms:modified>
</cp:coreProperties>
</file>