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154305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197485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63" w:lineRule="exact"/>
        <w:rPr>
          <w:sz w:val="24"/>
          <w:szCs w:val="24"/>
          <w:color w:val="auto"/>
        </w:rPr>
      </w:pPr>
    </w:p>
    <w:p>
      <w:pPr>
        <w:jc w:val="center"/>
        <w:ind w:right="-65"/>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65"/>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50" w:lineRule="exact"/>
        <w:rPr>
          <w:sz w:val="24"/>
          <w:szCs w:val="24"/>
          <w:color w:val="auto"/>
        </w:rPr>
      </w:pPr>
    </w:p>
    <w:p>
      <w:pPr>
        <w:jc w:val="center"/>
        <w:ind w:right="-65"/>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2430145</wp:posOffset>
            </wp:positionH>
            <wp:positionV relativeFrom="paragraph">
              <wp:posOffset>116205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62" w:lineRule="exact"/>
        <w:rPr>
          <w:sz w:val="24"/>
          <w:szCs w:val="24"/>
          <w:color w:val="auto"/>
        </w:rPr>
      </w:pPr>
    </w:p>
    <w:p>
      <w:pPr>
        <w:jc w:val="center"/>
        <w:ind w:right="-65"/>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2430145</wp:posOffset>
            </wp:positionH>
            <wp:positionV relativeFrom="paragraph">
              <wp:posOffset>77470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77" w:lineRule="exact"/>
        <w:rPr>
          <w:sz w:val="24"/>
          <w:szCs w:val="24"/>
          <w:color w:val="auto"/>
        </w:rPr>
      </w:pPr>
    </w:p>
    <w:p>
      <w:pPr>
        <w:ind w:left="6"/>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35" w:lineRule="exact"/>
        <w:rPr>
          <w:sz w:val="24"/>
          <w:szCs w:val="24"/>
          <w:color w:val="auto"/>
        </w:rPr>
      </w:pPr>
    </w:p>
    <w:p>
      <w:pPr>
        <w:ind w:left="346" w:hanging="346"/>
        <w:spacing w:after="0"/>
        <w:tabs>
          <w:tab w:leader="none" w:pos="34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93" w:lineRule="exact"/>
        <w:rPr>
          <w:sz w:val="24"/>
          <w:szCs w:val="24"/>
          <w:color w:val="auto"/>
        </w:rPr>
      </w:pPr>
    </w:p>
    <w:p>
      <w:pPr>
        <w:jc w:val="center"/>
        <w:ind w:right="-65"/>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2025</w:t>
      </w:r>
    </w:p>
    <w:p>
      <w:pPr>
        <w:spacing w:after="0" w:line="40" w:lineRule="exact"/>
        <w:rPr>
          <w:sz w:val="24"/>
          <w:szCs w:val="24"/>
          <w:color w:val="auto"/>
        </w:rPr>
      </w:pPr>
    </w:p>
    <w:p>
      <w:pPr>
        <w:jc w:val="center"/>
        <w:ind w:right="-65"/>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49" w:lineRule="exact"/>
        <w:rPr>
          <w:sz w:val="24"/>
          <w:szCs w:val="24"/>
          <w:color w:val="auto"/>
        </w:rPr>
      </w:pPr>
    </w:p>
    <w:p>
      <w:pPr>
        <w:ind w:left="346" w:hanging="346"/>
        <w:spacing w:after="0"/>
        <w:tabs>
          <w:tab w:leader="none" w:pos="346"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93" w:lineRule="exact"/>
        <w:rPr>
          <w:sz w:val="24"/>
          <w:szCs w:val="24"/>
          <w:color w:val="auto"/>
        </w:rPr>
      </w:pPr>
    </w:p>
    <w:tbl>
      <w:tblPr>
        <w:tblLayout w:type="fixed"/>
        <w:tblInd w:w="6" w:type="dxa"/>
        <w:tblCellMar>
          <w:top w:w="0" w:type="dxa"/>
          <w:left w:w="0" w:type="dxa"/>
          <w:bottom w:w="0" w:type="dxa"/>
          <w:right w:w="0" w:type="dxa"/>
        </w:tblCellMar>
      </w:tblPr>
      <w:tr>
        <w:trPr>
          <w:trHeight w:val="166"/>
        </w:trPr>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338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to</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500" w:type="dxa"/>
            <w:vAlign w:val="bottom"/>
            <w:gridSpan w:val="6"/>
          </w:tcPr>
          <w:p>
            <w:pPr>
              <w:jc w:val="center"/>
              <w:ind w:right="2850"/>
              <w:spacing w:after="0"/>
              <w:rPr>
                <w:sz w:val="20"/>
                <w:szCs w:val="20"/>
                <w:color w:val="auto"/>
              </w:rPr>
            </w:pPr>
            <w:r>
              <w:rPr>
                <w:rFonts w:ascii="Times New Roman" w:cs="Times New Roman" w:eastAsia="Times New Roman" w:hAnsi="Times New Roman"/>
                <w:sz w:val="13"/>
                <w:szCs w:val="13"/>
                <w:b w:val="1"/>
                <w:bCs w:val="1"/>
                <w:color w:val="auto"/>
                <w:w w:val="96"/>
              </w:rPr>
              <w:t>Commission file number 001-36556</w:t>
            </w:r>
          </w:p>
        </w:tc>
        <w:tc>
          <w:tcPr>
            <w:tcW w:w="0" w:type="dxa"/>
            <w:vAlign w:val="bottom"/>
          </w:tcPr>
          <w:p>
            <w:pPr>
              <w:spacing w:after="0"/>
              <w:rPr>
                <w:sz w:val="1"/>
                <w:szCs w:val="1"/>
                <w:color w:val="auto"/>
              </w:rPr>
            </w:pPr>
          </w:p>
        </w:tc>
      </w:tr>
      <w:tr>
        <w:trPr>
          <w:trHeight w:val="137"/>
        </w:trPr>
        <w:tc>
          <w:tcPr>
            <w:tcW w:w="1660" w:type="dxa"/>
            <w:vAlign w:val="bottom"/>
          </w:tcPr>
          <w:p>
            <w:pPr>
              <w:spacing w:after="0"/>
              <w:rPr>
                <w:sz w:val="11"/>
                <w:szCs w:val="11"/>
                <w:color w:val="auto"/>
              </w:rPr>
            </w:pPr>
          </w:p>
        </w:tc>
        <w:tc>
          <w:tcPr>
            <w:tcW w:w="2160" w:type="dxa"/>
            <w:vAlign w:val="bottom"/>
            <w:gridSpan w:val="3"/>
          </w:tcPr>
          <w:p>
            <w:pPr>
              <w:spacing w:after="0"/>
              <w:rPr>
                <w:sz w:val="11"/>
                <w:szCs w:val="11"/>
                <w:color w:val="auto"/>
              </w:rPr>
            </w:pPr>
          </w:p>
        </w:tc>
        <w:tc>
          <w:tcPr>
            <w:tcW w:w="2560" w:type="dxa"/>
            <w:vAlign w:val="bottom"/>
            <w:tcBorders>
              <w:bottom w:val="single" w:sz="8" w:color="auto"/>
            </w:tcBorders>
            <w:gridSpan w:val="4"/>
          </w:tcPr>
          <w:p>
            <w:pPr>
              <w:spacing w:after="0"/>
              <w:rPr>
                <w:sz w:val="11"/>
                <w:szCs w:val="11"/>
                <w:color w:val="auto"/>
              </w:rPr>
            </w:pPr>
          </w:p>
        </w:tc>
        <w:tc>
          <w:tcPr>
            <w:tcW w:w="29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510"/>
        </w:trPr>
        <w:tc>
          <w:tcPr>
            <w:tcW w:w="1660" w:type="dxa"/>
            <w:vAlign w:val="bottom"/>
          </w:tcPr>
          <w:p>
            <w:pPr>
              <w:spacing w:after="0"/>
              <w:rPr>
                <w:sz w:val="24"/>
                <w:szCs w:val="24"/>
                <w:color w:val="auto"/>
              </w:rPr>
            </w:pPr>
          </w:p>
        </w:tc>
        <w:tc>
          <w:tcPr>
            <w:tcW w:w="7660" w:type="dxa"/>
            <w:vAlign w:val="bottom"/>
            <w:gridSpan w:val="9"/>
          </w:tcPr>
          <w:p>
            <w:pPr>
              <w:jc w:val="center"/>
              <w:ind w:right="690"/>
              <w:spacing w:after="0"/>
              <w:rPr>
                <w:sz w:val="20"/>
                <w:szCs w:val="20"/>
                <w:color w:val="auto"/>
              </w:rPr>
            </w:pPr>
            <w:r>
              <w:rPr>
                <w:rFonts w:ascii="Times New Roman" w:cs="Times New Roman" w:eastAsia="Times New Roman" w:hAnsi="Times New Roman"/>
                <w:sz w:val="32"/>
                <w:szCs w:val="32"/>
                <w:b w:val="1"/>
                <w:bCs w:val="1"/>
                <w:color w:val="auto"/>
              </w:rPr>
              <w:t>EL POLLO LOCO HOLDINGS, INC.</w:t>
            </w:r>
          </w:p>
        </w:tc>
        <w:tc>
          <w:tcPr>
            <w:tcW w:w="0" w:type="dxa"/>
            <w:vAlign w:val="bottom"/>
          </w:tcPr>
          <w:p>
            <w:pPr>
              <w:spacing w:after="0"/>
              <w:rPr>
                <w:sz w:val="1"/>
                <w:szCs w:val="1"/>
                <w:color w:val="auto"/>
              </w:rPr>
            </w:pPr>
          </w:p>
        </w:tc>
      </w:tr>
      <w:tr>
        <w:trPr>
          <w:trHeight w:val="169"/>
        </w:trPr>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80" w:type="dxa"/>
            <w:vAlign w:val="bottom"/>
            <w:gridSpan w:val="7"/>
          </w:tcPr>
          <w:p>
            <w:pPr>
              <w:jc w:val="center"/>
              <w:ind w:right="2670"/>
              <w:spacing w:after="0"/>
              <w:rPr>
                <w:sz w:val="20"/>
                <w:szCs w:val="20"/>
                <w:color w:val="auto"/>
              </w:rPr>
            </w:pPr>
            <w:r>
              <w:rPr>
                <w:rFonts w:ascii="Times New Roman" w:cs="Times New Roman" w:eastAsia="Times New Roman" w:hAnsi="Times New Roman"/>
                <w:sz w:val="13"/>
                <w:szCs w:val="13"/>
                <w:b w:val="1"/>
                <w:bCs w:val="1"/>
                <w:color w:val="auto"/>
                <w:w w:val="96"/>
              </w:rPr>
              <w:t>(Exact name of registrant as specified in its charter)</w:t>
            </w:r>
          </w:p>
        </w:tc>
        <w:tc>
          <w:tcPr>
            <w:tcW w:w="0" w:type="dxa"/>
            <w:vAlign w:val="bottom"/>
          </w:tcPr>
          <w:p>
            <w:pPr>
              <w:spacing w:after="0"/>
              <w:rPr>
                <w:sz w:val="1"/>
                <w:szCs w:val="1"/>
                <w:color w:val="auto"/>
              </w:rPr>
            </w:pPr>
          </w:p>
        </w:tc>
      </w:tr>
      <w:tr>
        <w:trPr>
          <w:trHeight w:val="124"/>
        </w:trPr>
        <w:tc>
          <w:tcPr>
            <w:tcW w:w="1660" w:type="dxa"/>
            <w:vAlign w:val="bottom"/>
          </w:tcPr>
          <w:p>
            <w:pPr>
              <w:spacing w:after="0"/>
              <w:rPr>
                <w:sz w:val="10"/>
                <w:szCs w:val="10"/>
                <w:color w:val="auto"/>
              </w:rPr>
            </w:pPr>
          </w:p>
        </w:tc>
        <w:tc>
          <w:tcPr>
            <w:tcW w:w="198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9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1"/>
        </w:trPr>
        <w:tc>
          <w:tcPr>
            <w:tcW w:w="1660" w:type="dxa"/>
            <w:vAlign w:val="bottom"/>
          </w:tcPr>
          <w:p>
            <w:pPr>
              <w:spacing w:after="0"/>
              <w:rPr>
                <w:sz w:val="24"/>
                <w:szCs w:val="24"/>
                <w:color w:val="auto"/>
              </w:rPr>
            </w:pPr>
          </w:p>
        </w:tc>
        <w:tc>
          <w:tcPr>
            <w:tcW w:w="1980" w:type="dxa"/>
            <w:vAlign w:val="bottom"/>
            <w:gridSpan w:val="2"/>
          </w:tcPr>
          <w:p>
            <w:pPr>
              <w:jc w:val="center"/>
              <w:ind w:right="248"/>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w:t>
            </w:r>
          </w:p>
        </w:tc>
        <w:tc>
          <w:tcPr>
            <w:tcW w:w="3380" w:type="dxa"/>
            <w:vAlign w:val="bottom"/>
            <w:gridSpan w:val="3"/>
          </w:tcPr>
          <w:p>
            <w:pPr>
              <w:jc w:val="right"/>
              <w:ind w:right="1150"/>
              <w:spacing w:after="0"/>
              <w:rPr>
                <w:sz w:val="20"/>
                <w:szCs w:val="20"/>
                <w:color w:val="auto"/>
              </w:rPr>
            </w:pPr>
            <w:r>
              <w:rPr>
                <w:rFonts w:ascii="Times New Roman" w:cs="Times New Roman" w:eastAsia="Times New Roman" w:hAnsi="Times New Roman"/>
                <w:sz w:val="16"/>
                <w:szCs w:val="16"/>
                <w:b w:val="1"/>
                <w:bCs w:val="1"/>
                <w:color w:val="auto"/>
              </w:rPr>
              <w:t>20-3563182</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980" w:type="dxa"/>
            <w:vAlign w:val="bottom"/>
            <w:gridSpan w:val="2"/>
          </w:tcPr>
          <w:p>
            <w:pPr>
              <w:jc w:val="center"/>
              <w:ind w:right="248"/>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340" w:type="dxa"/>
            <w:vAlign w:val="bottom"/>
          </w:tcPr>
          <w:p>
            <w:pPr>
              <w:jc w:val="center"/>
              <w:ind w:right="81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1660" w:type="dxa"/>
            <w:vAlign w:val="bottom"/>
          </w:tcPr>
          <w:p>
            <w:pPr>
              <w:spacing w:after="0"/>
              <w:rPr>
                <w:sz w:val="14"/>
                <w:szCs w:val="14"/>
                <w:color w:val="auto"/>
              </w:rPr>
            </w:pPr>
          </w:p>
        </w:tc>
        <w:tc>
          <w:tcPr>
            <w:tcW w:w="1980" w:type="dxa"/>
            <w:vAlign w:val="bottom"/>
            <w:gridSpan w:val="2"/>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40" w:type="dxa"/>
            <w:vAlign w:val="bottom"/>
          </w:tcPr>
          <w:p>
            <w:pPr>
              <w:jc w:val="center"/>
              <w:ind w:right="810"/>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39"/>
        </w:trPr>
        <w:tc>
          <w:tcPr>
            <w:tcW w:w="5940" w:type="dxa"/>
            <w:vAlign w:val="bottom"/>
            <w:gridSpan w:val="7"/>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rPr>
              <w:t>575 Anton Blvd., Suite 1100, Costa Mesa, California</w:t>
            </w:r>
          </w:p>
        </w:tc>
        <w:tc>
          <w:tcPr>
            <w:tcW w:w="3380" w:type="dxa"/>
            <w:vAlign w:val="bottom"/>
            <w:gridSpan w:val="3"/>
          </w:tcPr>
          <w:p>
            <w:pPr>
              <w:jc w:val="right"/>
              <w:ind w:right="1330"/>
              <w:spacing w:after="0"/>
              <w:rPr>
                <w:sz w:val="20"/>
                <w:szCs w:val="20"/>
                <w:color w:val="auto"/>
              </w:rPr>
            </w:pPr>
            <w:r>
              <w:rPr>
                <w:rFonts w:ascii="Times New Roman" w:cs="Times New Roman" w:eastAsia="Times New Roman" w:hAnsi="Times New Roman"/>
                <w:sz w:val="16"/>
                <w:szCs w:val="16"/>
                <w:b w:val="1"/>
                <w:bCs w:val="1"/>
                <w:color w:val="auto"/>
              </w:rPr>
              <w:t>92626</w:t>
            </w:r>
          </w:p>
        </w:tc>
        <w:tc>
          <w:tcPr>
            <w:tcW w:w="0" w:type="dxa"/>
            <w:vAlign w:val="bottom"/>
          </w:tcPr>
          <w:p>
            <w:pPr>
              <w:spacing w:after="0"/>
              <w:rPr>
                <w:sz w:val="1"/>
                <w:szCs w:val="1"/>
                <w:color w:val="auto"/>
              </w:rPr>
            </w:pPr>
          </w:p>
        </w:tc>
      </w:tr>
      <w:tr>
        <w:trPr>
          <w:trHeight w:val="166"/>
        </w:trPr>
        <w:tc>
          <w:tcPr>
            <w:tcW w:w="3640" w:type="dxa"/>
            <w:vAlign w:val="bottom"/>
            <w:gridSpan w:val="3"/>
          </w:tcPr>
          <w:p>
            <w:pPr>
              <w:jc w:val="center"/>
              <w:ind w:left="1285"/>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40" w:type="dxa"/>
            <w:vAlign w:val="bottom"/>
          </w:tcPr>
          <w:p>
            <w:pPr>
              <w:jc w:val="center"/>
              <w:ind w:right="810"/>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371"/>
        </w:trPr>
        <w:tc>
          <w:tcPr>
            <w:tcW w:w="1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60" w:type="dxa"/>
            <w:vAlign w:val="bottom"/>
            <w:gridSpan w:val="3"/>
          </w:tcPr>
          <w:p>
            <w:pPr>
              <w:jc w:val="center"/>
              <w:ind w:left="814"/>
              <w:spacing w:after="0"/>
              <w:rPr>
                <w:sz w:val="20"/>
                <w:szCs w:val="20"/>
                <w:color w:val="auto"/>
              </w:rPr>
            </w:pPr>
            <w:r>
              <w:rPr>
                <w:rFonts w:ascii="Times New Roman" w:cs="Times New Roman" w:eastAsia="Times New Roman" w:hAnsi="Times New Roman"/>
                <w:sz w:val="14"/>
                <w:szCs w:val="14"/>
                <w:b w:val="1"/>
                <w:bCs w:val="1"/>
                <w:color w:val="auto"/>
              </w:rPr>
              <w:t>(714) 599-5000</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80" w:type="dxa"/>
            <w:vAlign w:val="bottom"/>
            <w:gridSpan w:val="7"/>
          </w:tcPr>
          <w:p>
            <w:pPr>
              <w:jc w:val="center"/>
              <w:ind w:right="269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0" w:type="dxa"/>
            <w:vAlign w:val="bottom"/>
          </w:tcPr>
          <w:p>
            <w:pPr>
              <w:spacing w:after="0"/>
              <w:rPr>
                <w:sz w:val="1"/>
                <w:szCs w:val="1"/>
                <w:color w:val="auto"/>
              </w:rPr>
            </w:pPr>
          </w:p>
        </w:tc>
      </w:tr>
      <w:tr>
        <w:trPr>
          <w:trHeight w:val="209"/>
        </w:trPr>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720" w:type="dxa"/>
            <w:vAlign w:val="bottom"/>
            <w:gridSpan w:val="8"/>
          </w:tcPr>
          <w:p>
            <w:pPr>
              <w:jc w:val="center"/>
              <w:ind w:right="165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158"/>
        </w:trPr>
        <w:tc>
          <w:tcPr>
            <w:tcW w:w="1660" w:type="dxa"/>
            <w:vAlign w:val="bottom"/>
          </w:tcPr>
          <w:p>
            <w:pPr>
              <w:spacing w:after="0"/>
              <w:rPr>
                <w:sz w:val="13"/>
                <w:szCs w:val="13"/>
                <w:color w:val="auto"/>
              </w:rPr>
            </w:pPr>
          </w:p>
        </w:tc>
        <w:tc>
          <w:tcPr>
            <w:tcW w:w="1980" w:type="dxa"/>
            <w:vAlign w:val="bottom"/>
            <w:gridSpan w:val="2"/>
          </w:tcPr>
          <w:p>
            <w:pPr>
              <w:jc w:val="center"/>
              <w:ind w:right="968"/>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80" w:type="dxa"/>
            <w:vAlign w:val="bottom"/>
          </w:tcPr>
          <w:p>
            <w:pPr>
              <w:spacing w:after="0"/>
              <w:rPr>
                <w:sz w:val="13"/>
                <w:szCs w:val="13"/>
                <w:color w:val="auto"/>
              </w:rPr>
            </w:pPr>
          </w:p>
        </w:tc>
        <w:tc>
          <w:tcPr>
            <w:tcW w:w="2120" w:type="dxa"/>
            <w:vAlign w:val="bottom"/>
            <w:gridSpan w:val="3"/>
          </w:tcPr>
          <w:p>
            <w:pPr>
              <w:jc w:val="center"/>
              <w:ind w:left="577"/>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440" w:type="dxa"/>
            <w:vAlign w:val="bottom"/>
          </w:tcPr>
          <w:p>
            <w:pPr>
              <w:spacing w:after="0"/>
              <w:rPr>
                <w:sz w:val="13"/>
                <w:szCs w:val="13"/>
                <w:color w:val="auto"/>
              </w:rPr>
            </w:pPr>
          </w:p>
        </w:tc>
        <w:tc>
          <w:tcPr>
            <w:tcW w:w="2940" w:type="dxa"/>
            <w:vAlign w:val="bottom"/>
            <w:gridSpan w:val="2"/>
          </w:tcPr>
          <w:p>
            <w:pPr>
              <w:jc w:val="center"/>
              <w:ind w:left="537"/>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0.01 per share</w:t>
            </w: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600" w:type="dxa"/>
            <w:vAlign w:val="bottom"/>
            <w:gridSpan w:val="2"/>
          </w:tcPr>
          <w:p>
            <w:pPr>
              <w:ind w:left="680"/>
              <w:spacing w:after="0" w:line="181" w:lineRule="exact"/>
              <w:rPr>
                <w:sz w:val="20"/>
                <w:szCs w:val="20"/>
                <w:color w:val="auto"/>
              </w:rPr>
            </w:pPr>
            <w:r>
              <w:rPr>
                <w:rFonts w:ascii="Times New Roman" w:cs="Times New Roman" w:eastAsia="Times New Roman" w:hAnsi="Times New Roman"/>
                <w:sz w:val="16"/>
                <w:szCs w:val="16"/>
                <w:b w:val="1"/>
                <w:bCs w:val="1"/>
                <w:color w:val="auto"/>
              </w:rPr>
              <w:t>Common Stock, par value $</w:t>
            </w:r>
          </w:p>
        </w:tc>
        <w:tc>
          <w:tcPr>
            <w:tcW w:w="10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LOCO</w:t>
            </w: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3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03"/>
        </w:trPr>
        <w:tc>
          <w:tcPr>
            <w:tcW w:w="5940" w:type="dxa"/>
            <w:vAlign w:val="bottom"/>
            <w:gridSpan w:val="7"/>
          </w:tcPr>
          <w:p>
            <w:pPr>
              <w:jc w:val="center"/>
              <w:ind w:right="1680"/>
              <w:spacing w:after="0"/>
              <w:rPr>
                <w:sz w:val="20"/>
                <w:szCs w:val="20"/>
                <w:color w:val="auto"/>
              </w:rPr>
            </w:pPr>
            <w:r>
              <w:rPr>
                <w:rFonts w:ascii="Times New Roman" w:cs="Times New Roman" w:eastAsia="Times New Roman" w:hAnsi="Times New Roman"/>
                <w:sz w:val="16"/>
                <w:szCs w:val="16"/>
                <w:b w:val="1"/>
                <w:bCs w:val="1"/>
                <w:color w:val="auto"/>
              </w:rPr>
              <w:t>Rights to Purchase Series A Preferred Stock, par value</w:t>
            </w: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2"/>
        </w:trPr>
        <w:tc>
          <w:tcPr>
            <w:tcW w:w="3640" w:type="dxa"/>
            <w:vAlign w:val="bottom"/>
            <w:gridSpan w:val="3"/>
          </w:tcPr>
          <w:p>
            <w:pPr>
              <w:jc w:val="center"/>
              <w:ind w:left="545"/>
              <w:spacing w:after="0"/>
              <w:rPr>
                <w:sz w:val="20"/>
                <w:szCs w:val="20"/>
                <w:color w:val="auto"/>
              </w:rPr>
            </w:pPr>
            <w:r>
              <w:rPr>
                <w:rFonts w:ascii="Times New Roman" w:cs="Times New Roman" w:eastAsia="Times New Roman" w:hAnsi="Times New Roman"/>
                <w:sz w:val="16"/>
                <w:szCs w:val="16"/>
                <w:b w:val="1"/>
                <w:bCs w:val="1"/>
                <w:color w:val="auto"/>
              </w:rPr>
              <w:t>$0.01 per share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720" w:type="dxa"/>
            <w:vAlign w:val="bottom"/>
            <w:gridSpan w:val="8"/>
          </w:tcPr>
          <w:p>
            <w:pPr>
              <w:jc w:val="center"/>
              <w:ind w:right="1630"/>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12(g) of the Act:</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6"/>
              </w:rPr>
              <w:t>None</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w w:val="96"/>
              </w:rPr>
              <w:t>(Title of class)</w:t>
            </w: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820" w:type="dxa"/>
            <w:vAlign w:val="bottom"/>
            <w:gridSpan w:val="4"/>
          </w:tcPr>
          <w:p>
            <w:pPr>
              <w:spacing w:after="0"/>
              <w:rPr>
                <w:sz w:val="11"/>
                <w:szCs w:val="11"/>
                <w:color w:val="auto"/>
              </w:rPr>
            </w:pPr>
          </w:p>
        </w:tc>
        <w:tc>
          <w:tcPr>
            <w:tcW w:w="2120" w:type="dxa"/>
            <w:vAlign w:val="bottom"/>
            <w:tcBorders>
              <w:bottom w:val="single" w:sz="8" w:color="auto"/>
            </w:tcBorders>
            <w:gridSpan w:val="3"/>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9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5940" w:type="dxa"/>
            <w:vAlign w:val="bottom"/>
            <w:gridSpan w:val="7"/>
          </w:tcPr>
          <w:p>
            <w:pPr>
              <w:spacing w:after="0"/>
              <w:rPr>
                <w:sz w:val="20"/>
                <w:szCs w:val="20"/>
                <w:color w:val="auto"/>
              </w:rPr>
            </w:pPr>
            <w:r>
              <w:rPr>
                <w:rFonts w:ascii="Times New Roman" w:cs="Times New Roman" w:eastAsia="Times New Roman" w:hAnsi="Times New Roman"/>
                <w:sz w:val="13"/>
                <w:szCs w:val="13"/>
                <w:color w:val="auto"/>
                <w:w w:val="96"/>
              </w:rPr>
              <w:t>Indicate by check mark if the registrant is a well-known seasoned issuer, as defined in Rule 405 of the Securities Act.</w:t>
            </w:r>
          </w:p>
        </w:tc>
        <w:tc>
          <w:tcPr>
            <w:tcW w:w="3380" w:type="dxa"/>
            <w:vAlign w:val="bottom"/>
            <w:gridSpan w:val="3"/>
          </w:tcPr>
          <w:p>
            <w:pPr>
              <w:ind w:left="6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ind w:left="6"/>
        <w:spacing w:after="0" w:line="150" w:lineRule="exact"/>
        <w:tabs>
          <w:tab w:leader="none" w:pos="6565" w:val="left"/>
        </w:tabs>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58" w:lineRule="exact"/>
        <w:rPr>
          <w:sz w:val="24"/>
          <w:szCs w:val="24"/>
          <w:color w:val="auto"/>
        </w:rPr>
      </w:pPr>
    </w:p>
    <w:p>
      <w:pPr>
        <w:ind w:left="6" w:right="24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left="6"/>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left="6"/>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46"/>
          </w:cols>
          <w:pgMar w:left="834" w:top="661" w:right="919" w:bottom="1440" w:gutter="0" w:footer="0" w:header="0"/>
        </w:sectPr>
      </w:pPr>
    </w:p>
    <w:p>
      <w:pPr>
        <w:spacing w:after="0" w:line="52" w:lineRule="exact"/>
        <w:rPr>
          <w:sz w:val="24"/>
          <w:szCs w:val="24"/>
          <w:color w:val="auto"/>
        </w:rPr>
      </w:pPr>
    </w:p>
    <w:p>
      <w:pPr>
        <w:ind w:left="46"/>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Accelerated filer</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6" w:lineRule="exact"/>
        <w:rPr>
          <w:sz w:val="24"/>
          <w:szCs w:val="24"/>
          <w:color w:val="auto"/>
        </w:rPr>
      </w:pPr>
    </w:p>
    <w:p>
      <w:pPr>
        <w:sectPr>
          <w:pgSz w:w="11900" w:h="16838" w:orient="portrait"/>
          <w:cols w:equalWidth="0" w:num="4">
            <w:col w:w="1186" w:space="460"/>
            <w:col w:w="3280" w:space="720"/>
            <w:col w:w="1600" w:space="720"/>
            <w:col w:w="2180"/>
          </w:cols>
          <w:pgMar w:left="834" w:top="661" w:right="919" w:bottom="1440" w:gutter="0" w:footer="0" w:header="0"/>
          <w:type w:val="continuous"/>
        </w:sectPr>
      </w:pPr>
    </w:p>
    <w:p>
      <w:pPr>
        <w:spacing w:after="0" w:line="29" w:lineRule="exact"/>
        <w:rPr>
          <w:sz w:val="24"/>
          <w:szCs w:val="24"/>
          <w:color w:val="auto"/>
        </w:rPr>
      </w:pPr>
    </w:p>
    <w:p>
      <w:pPr>
        <w:ind w:left="46"/>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95" w:lineRule="exact"/>
        <w:rPr>
          <w:sz w:val="24"/>
          <w:szCs w:val="24"/>
          <w:color w:val="auto"/>
        </w:rPr>
      </w:pPr>
    </w:p>
    <w:p>
      <w:pPr>
        <w:sectPr>
          <w:pgSz w:w="11900" w:h="16838" w:orient="portrait"/>
          <w:cols w:equalWidth="0" w:num="4">
            <w:col w:w="1126" w:space="520"/>
            <w:col w:w="3460" w:space="720"/>
            <w:col w:w="1420" w:space="720"/>
            <w:col w:w="2180"/>
          </w:cols>
          <w:pgMar w:left="834" w:top="661" w:right="919" w:bottom="1440" w:gutter="0" w:footer="0" w:header="0"/>
          <w:type w:val="continuous"/>
        </w:sectPr>
      </w:pPr>
    </w:p>
    <w:p>
      <w:pPr>
        <w:spacing w:after="0" w:line="29" w:lineRule="exact"/>
        <w:rPr>
          <w:sz w:val="24"/>
          <w:szCs w:val="24"/>
          <w:color w:val="auto"/>
        </w:rPr>
      </w:pPr>
    </w:p>
    <w:p>
      <w:pPr>
        <w:ind w:left="5826"/>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46" w:lineRule="exact"/>
        <w:rPr>
          <w:sz w:val="24"/>
          <w:szCs w:val="24"/>
          <w:color w:val="auto"/>
        </w:rPr>
      </w:pPr>
    </w:p>
    <w:p>
      <w:pPr>
        <w:sectPr>
          <w:pgSz w:w="11900" w:h="16838" w:orient="portrait"/>
          <w:cols w:equalWidth="0" w:num="2">
            <w:col w:w="7246" w:space="720"/>
            <w:col w:w="2180"/>
          </w:cols>
          <w:pgMar w:left="834" w:top="661" w:right="919" w:bottom="1440" w:gutter="0" w:footer="0" w:header="0"/>
          <w:type w:val="continuous"/>
        </w:sectPr>
      </w:pPr>
    </w:p>
    <w:p>
      <w:pPr>
        <w:spacing w:after="0" w:line="13" w:lineRule="exact"/>
        <w:rPr>
          <w:sz w:val="24"/>
          <w:szCs w:val="24"/>
          <w:color w:val="auto"/>
        </w:rPr>
      </w:pPr>
    </w:p>
    <w:p>
      <w:pPr>
        <w:ind w:left="6" w:right="3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 w:lineRule="exact"/>
        <w:rPr>
          <w:sz w:val="24"/>
          <w:szCs w:val="24"/>
          <w:color w:val="auto"/>
        </w:rPr>
      </w:pPr>
    </w:p>
    <w:p>
      <w:pPr>
        <w:ind w:left="6"/>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5" w:lineRule="exact"/>
        <w:rPr>
          <w:sz w:val="24"/>
          <w:szCs w:val="24"/>
          <w:color w:val="auto"/>
        </w:rPr>
      </w:pPr>
    </w:p>
    <w:p>
      <w:pPr>
        <w:ind w:left="6" w:right="420"/>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5" w:lineRule="exact"/>
        <w:rPr>
          <w:sz w:val="24"/>
          <w:szCs w:val="24"/>
          <w:color w:val="auto"/>
        </w:rPr>
      </w:pPr>
    </w:p>
    <w:p>
      <w:pPr>
        <w:ind w:left="6" w:right="14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ind w:left="6"/>
        <w:spacing w:after="0" w:line="150" w:lineRule="exact"/>
        <w:tabs>
          <w:tab w:leader="none" w:pos="5745"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58" w:lineRule="exact"/>
        <w:rPr>
          <w:sz w:val="24"/>
          <w:szCs w:val="24"/>
          <w:color w:val="auto"/>
        </w:rPr>
      </w:pPr>
    </w:p>
    <w:p>
      <w:pPr>
        <w:ind w:left="6" w:right="300"/>
        <w:spacing w:after="0"/>
        <w:rPr>
          <w:sz w:val="20"/>
          <w:szCs w:val="20"/>
          <w:color w:val="auto"/>
        </w:rPr>
      </w:pPr>
      <w:r>
        <w:rPr>
          <w:rFonts w:ascii="Times New Roman" w:cs="Times New Roman" w:eastAsia="Times New Roman" w:hAnsi="Times New Roman"/>
          <w:sz w:val="13"/>
          <w:szCs w:val="13"/>
          <w:color w:val="auto"/>
        </w:rPr>
        <w:t>As of June 25, 2025, the last business day of the registrant’s most recently completed second fiscal quarter, the aggregate market value of the registrant’s common equity held by non-affiliates was approximately $133.9 million.</w:t>
      </w:r>
    </w:p>
    <w:p>
      <w:pPr>
        <w:spacing w:after="0" w:line="25" w:lineRule="exact"/>
        <w:rPr>
          <w:sz w:val="24"/>
          <w:szCs w:val="24"/>
          <w:color w:val="auto"/>
        </w:rPr>
      </w:pPr>
    </w:p>
    <w:p>
      <w:pPr>
        <w:ind w:left="6"/>
        <w:spacing w:after="0"/>
        <w:rPr>
          <w:sz w:val="20"/>
          <w:szCs w:val="20"/>
          <w:color w:val="auto"/>
        </w:rPr>
      </w:pPr>
      <w:r>
        <w:rPr>
          <w:rFonts w:ascii="Times New Roman" w:cs="Times New Roman" w:eastAsia="Times New Roman" w:hAnsi="Times New Roman"/>
          <w:sz w:val="13"/>
          <w:szCs w:val="13"/>
          <w:color w:val="auto"/>
        </w:rPr>
        <w:t>As of March 6, 2026, there were 29,956,259 shares of the registrant’s common stock outstanding.</w:t>
      </w:r>
    </w:p>
    <w:p>
      <w:pPr>
        <w:spacing w:after="0" w:line="38" w:lineRule="exact"/>
        <w:rPr>
          <w:sz w:val="24"/>
          <w:szCs w:val="24"/>
          <w:color w:val="auto"/>
        </w:rPr>
      </w:pPr>
    </w:p>
    <w:p>
      <w:pPr>
        <w:ind w:left="3666"/>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5" w:lineRule="exact"/>
        <w:rPr>
          <w:sz w:val="24"/>
          <w:szCs w:val="24"/>
          <w:color w:val="auto"/>
        </w:rPr>
      </w:pPr>
    </w:p>
    <w:p>
      <w:pPr>
        <w:ind w:left="6" w:right="120"/>
        <w:spacing w:after="0"/>
        <w:rPr>
          <w:sz w:val="20"/>
          <w:szCs w:val="20"/>
          <w:color w:val="auto"/>
        </w:rPr>
      </w:pPr>
      <w:r>
        <w:rPr>
          <w:rFonts w:ascii="Times New Roman" w:cs="Times New Roman" w:eastAsia="Times New Roman" w:hAnsi="Times New Roman"/>
          <w:sz w:val="13"/>
          <w:szCs w:val="13"/>
          <w:color w:val="auto"/>
        </w:rPr>
        <w:t>Part III hereof incorporates by reference certain portions of the registrant’s definitive proxy statement for its 2026 annual meeting of stockholders to be filed not later than 120 days after the end of the registrant’s 2025 fiscal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507365</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53340</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70485</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46"/>
          </w:cols>
          <w:pgMar w:left="834" w:top="661" w:right="9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20" w:type="dxa"/>
            <w:vAlign w:val="bottom"/>
            <w:gridSpan w:val="18"/>
          </w:tcPr>
          <w:p>
            <w:pPr>
              <w:ind w:left="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0" w:type="dxa"/>
            <w:vAlign w:val="bottom"/>
          </w:tcPr>
          <w:p>
            <w:pPr>
              <w:spacing w:after="0"/>
              <w:rPr>
                <w:sz w:val="20"/>
                <w:szCs w:val="20"/>
                <w:color w:val="auto"/>
              </w:rPr>
            </w:pPr>
          </w:p>
        </w:tc>
      </w:tr>
      <w:tr>
        <w:trPr>
          <w:trHeight w:val="392"/>
        </w:trPr>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gridSpan w:val="15"/>
          </w:tcPr>
          <w:p>
            <w:pPr>
              <w:jc w:val="center"/>
              <w:ind w:right="3760"/>
              <w:spacing w:after="0"/>
              <w:rPr>
                <w:sz w:val="20"/>
                <w:szCs w:val="20"/>
                <w:color w:val="auto"/>
              </w:rPr>
            </w:pPr>
            <w:r>
              <w:rPr>
                <w:rFonts w:ascii="Times New Roman" w:cs="Times New Roman" w:eastAsia="Times New Roman" w:hAnsi="Times New Roman"/>
                <w:sz w:val="18"/>
                <w:szCs w:val="18"/>
                <w:color w:val="0000EE"/>
                <w:w w:val="95"/>
              </w:rPr>
              <w:t>PART I</w:t>
            </w:r>
          </w:p>
        </w:tc>
        <w:tc>
          <w:tcPr>
            <w:tcW w:w="720" w:type="dxa"/>
            <w:vAlign w:val="bottom"/>
          </w:tcPr>
          <w:p>
            <w:pPr>
              <w:spacing w:after="0"/>
              <w:rPr>
                <w:sz w:val="24"/>
                <w:szCs w:val="24"/>
                <w:color w:val="auto"/>
              </w:rPr>
            </w:pPr>
          </w:p>
        </w:tc>
      </w:tr>
      <w:tr>
        <w:trPr>
          <w:trHeight w:val="61"/>
        </w:trPr>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176"/>
        </w:trPr>
        <w:tc>
          <w:tcPr>
            <w:tcW w:w="60" w:type="dxa"/>
            <w:vAlign w:val="bottom"/>
            <w:tcBorders>
              <w:right w:val="single" w:sz="8" w:color="CCEEFF"/>
            </w:tcBorders>
          </w:tcPr>
          <w:p>
            <w:pPr>
              <w:spacing w:after="0"/>
              <w:rPr>
                <w:sz w:val="15"/>
                <w:szCs w:val="15"/>
                <w:color w:val="auto"/>
              </w:rPr>
            </w:pPr>
          </w:p>
        </w:tc>
        <w:tc>
          <w:tcPr>
            <w:tcW w:w="81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Business</w:t>
            </w:r>
          </w:p>
        </w:tc>
        <w:tc>
          <w:tcPr>
            <w:tcW w:w="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61"/>
        </w:trPr>
        <w:tc>
          <w:tcPr>
            <w:tcW w:w="60" w:type="dxa"/>
            <w:vAlign w:val="bottom"/>
            <w:tcBorders>
              <w:right w:val="single" w:sz="8" w:color="CCEEFF"/>
            </w:tcBorders>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176"/>
        </w:trPr>
        <w:tc>
          <w:tcPr>
            <w:tcW w:w="60" w:type="dxa"/>
            <w:vAlign w:val="bottom"/>
          </w:tcPr>
          <w:p>
            <w:pPr>
              <w:spacing w:after="0"/>
              <w:rPr>
                <w:sz w:val="15"/>
                <w:szCs w:val="15"/>
                <w:color w:val="auto"/>
              </w:rPr>
            </w:pPr>
          </w:p>
        </w:tc>
        <w:tc>
          <w:tcPr>
            <w:tcW w:w="81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61"/>
        </w:trPr>
        <w:tc>
          <w:tcPr>
            <w:tcW w:w="60" w:type="dxa"/>
            <w:vAlign w:val="bottom"/>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175"/>
        </w:trPr>
        <w:tc>
          <w:tcPr>
            <w:tcW w:w="60" w:type="dxa"/>
            <w:vAlign w:val="bottom"/>
            <w:tcBorders>
              <w:right w:val="single" w:sz="8" w:color="CCEEFF"/>
            </w:tcBorders>
          </w:tcPr>
          <w:p>
            <w:pPr>
              <w:spacing w:after="0"/>
              <w:rPr>
                <w:sz w:val="15"/>
                <w:szCs w:val="15"/>
                <w:color w:val="auto"/>
              </w:rPr>
            </w:pPr>
          </w:p>
        </w:tc>
        <w:tc>
          <w:tcPr>
            <w:tcW w:w="81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1B. Unresolved Staff Comments</w:t>
            </w:r>
          </w:p>
        </w:tc>
        <w:tc>
          <w:tcPr>
            <w:tcW w:w="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61"/>
        </w:trPr>
        <w:tc>
          <w:tcPr>
            <w:tcW w:w="60" w:type="dxa"/>
            <w:vAlign w:val="bottom"/>
            <w:tcBorders>
              <w:right w:val="single" w:sz="8" w:color="CCEEFF"/>
            </w:tcBorders>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176"/>
        </w:trPr>
        <w:tc>
          <w:tcPr>
            <w:tcW w:w="60" w:type="dxa"/>
            <w:vAlign w:val="bottom"/>
          </w:tcPr>
          <w:p>
            <w:pPr>
              <w:spacing w:after="0"/>
              <w:rPr>
                <w:sz w:val="15"/>
                <w:szCs w:val="15"/>
                <w:color w:val="auto"/>
              </w:rPr>
            </w:pPr>
          </w:p>
        </w:tc>
        <w:tc>
          <w:tcPr>
            <w:tcW w:w="81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Item 1C. Cybersecurity</w:t>
            </w:r>
          </w:p>
        </w:tc>
        <w:tc>
          <w:tcPr>
            <w:tcW w:w="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61"/>
        </w:trPr>
        <w:tc>
          <w:tcPr>
            <w:tcW w:w="60" w:type="dxa"/>
            <w:vAlign w:val="bottom"/>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176"/>
        </w:trPr>
        <w:tc>
          <w:tcPr>
            <w:tcW w:w="60" w:type="dxa"/>
            <w:vAlign w:val="bottom"/>
            <w:tcBorders>
              <w:right w:val="single" w:sz="8" w:color="CCEEFF"/>
            </w:tcBorders>
          </w:tcPr>
          <w:p>
            <w:pPr>
              <w:spacing w:after="0"/>
              <w:rPr>
                <w:sz w:val="15"/>
                <w:szCs w:val="15"/>
                <w:color w:val="auto"/>
              </w:rPr>
            </w:pPr>
          </w:p>
        </w:tc>
        <w:tc>
          <w:tcPr>
            <w:tcW w:w="81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Properties</w:t>
            </w:r>
          </w:p>
        </w:tc>
        <w:tc>
          <w:tcPr>
            <w:tcW w:w="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61"/>
        </w:trPr>
        <w:tc>
          <w:tcPr>
            <w:tcW w:w="60" w:type="dxa"/>
            <w:vAlign w:val="bottom"/>
            <w:tcBorders>
              <w:right w:val="single" w:sz="8" w:color="CCEEFF"/>
            </w:tcBorders>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176"/>
        </w:trPr>
        <w:tc>
          <w:tcPr>
            <w:tcW w:w="60" w:type="dxa"/>
            <w:vAlign w:val="bottom"/>
          </w:tcPr>
          <w:p>
            <w:pPr>
              <w:spacing w:after="0"/>
              <w:rPr>
                <w:sz w:val="15"/>
                <w:szCs w:val="15"/>
                <w:color w:val="auto"/>
              </w:rPr>
            </w:pPr>
          </w:p>
        </w:tc>
        <w:tc>
          <w:tcPr>
            <w:tcW w:w="81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Item 3. Legal Proceedings</w:t>
            </w:r>
          </w:p>
        </w:tc>
        <w:tc>
          <w:tcPr>
            <w:tcW w:w="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61"/>
        </w:trPr>
        <w:tc>
          <w:tcPr>
            <w:tcW w:w="60" w:type="dxa"/>
            <w:vAlign w:val="bottom"/>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175"/>
        </w:trPr>
        <w:tc>
          <w:tcPr>
            <w:tcW w:w="60" w:type="dxa"/>
            <w:vAlign w:val="bottom"/>
            <w:tcBorders>
              <w:right w:val="single" w:sz="8" w:color="CCEEFF"/>
            </w:tcBorders>
          </w:tcPr>
          <w:p>
            <w:pPr>
              <w:spacing w:after="0"/>
              <w:rPr>
                <w:sz w:val="15"/>
                <w:szCs w:val="15"/>
                <w:color w:val="auto"/>
              </w:rPr>
            </w:pPr>
          </w:p>
        </w:tc>
        <w:tc>
          <w:tcPr>
            <w:tcW w:w="81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61"/>
        </w:trPr>
        <w:tc>
          <w:tcPr>
            <w:tcW w:w="60" w:type="dxa"/>
            <w:vAlign w:val="bottom"/>
            <w:tcBorders>
              <w:right w:val="single" w:sz="8" w:color="CCEEFF"/>
            </w:tcBorders>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432"/>
        </w:trPr>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0" w:type="dxa"/>
            <w:vAlign w:val="bottom"/>
            <w:gridSpan w:val="16"/>
          </w:tcPr>
          <w:p>
            <w:pPr>
              <w:jc w:val="center"/>
              <w:ind w:right="3760"/>
              <w:spacing w:after="0"/>
              <w:rPr>
                <w:sz w:val="20"/>
                <w:szCs w:val="20"/>
                <w:color w:val="auto"/>
              </w:rPr>
            </w:pPr>
            <w:r>
              <w:rPr>
                <w:rFonts w:ascii="Times New Roman" w:cs="Times New Roman" w:eastAsia="Times New Roman" w:hAnsi="Times New Roman"/>
                <w:sz w:val="18"/>
                <w:szCs w:val="18"/>
                <w:color w:val="0000EE"/>
                <w:w w:val="95"/>
              </w:rPr>
              <w:t>PART II</w:t>
            </w:r>
          </w:p>
        </w:tc>
        <w:tc>
          <w:tcPr>
            <w:tcW w:w="720" w:type="dxa"/>
            <w:vAlign w:val="bottom"/>
          </w:tcPr>
          <w:p>
            <w:pPr>
              <w:spacing w:after="0"/>
              <w:rPr>
                <w:sz w:val="24"/>
                <w:szCs w:val="24"/>
                <w:color w:val="auto"/>
              </w:rPr>
            </w:pPr>
          </w:p>
        </w:tc>
      </w:tr>
      <w:tr>
        <w:trPr>
          <w:trHeight w:val="61"/>
        </w:trPr>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176"/>
        </w:trPr>
        <w:tc>
          <w:tcPr>
            <w:tcW w:w="60" w:type="dxa"/>
            <w:vAlign w:val="bottom"/>
            <w:tcBorders>
              <w:right w:val="single" w:sz="8" w:color="CCEEFF"/>
            </w:tcBorders>
          </w:tcPr>
          <w:p>
            <w:pPr>
              <w:spacing w:after="0"/>
              <w:rPr>
                <w:sz w:val="15"/>
                <w:szCs w:val="15"/>
                <w:color w:val="auto"/>
              </w:rPr>
            </w:pPr>
          </w:p>
        </w:tc>
        <w:tc>
          <w:tcPr>
            <w:tcW w:w="81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 Market for Registrant’s Common Equity, Related Stockholder Matters and Issuer Purchases of Equity</w:t>
            </w:r>
          </w:p>
        </w:tc>
        <w:tc>
          <w:tcPr>
            <w:tcW w:w="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96"/>
        </w:trPr>
        <w:tc>
          <w:tcPr>
            <w:tcW w:w="60" w:type="dxa"/>
            <w:vAlign w:val="bottom"/>
            <w:tcBorders>
              <w:right w:val="single" w:sz="8" w:color="CCEEFF"/>
            </w:tcBorders>
          </w:tcPr>
          <w:p>
            <w:pPr>
              <w:spacing w:after="0"/>
              <w:rPr>
                <w:sz w:val="17"/>
                <w:szCs w:val="17"/>
                <w:color w:val="auto"/>
              </w:rPr>
            </w:pPr>
          </w:p>
        </w:tc>
        <w:tc>
          <w:tcPr>
            <w:tcW w:w="7880" w:type="dxa"/>
            <w:vAlign w:val="bottom"/>
            <w:tcBorders>
              <w:top w:val="single" w:sz="8" w:color="0000EE"/>
            </w:tcBorders>
            <w:gridSpan w:val="2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Securities</w:t>
            </w:r>
          </w:p>
        </w:tc>
        <w:tc>
          <w:tcPr>
            <w:tcW w:w="260" w:type="dxa"/>
            <w:vAlign w:val="bottom"/>
            <w:tcBorders>
              <w:top w:val="single" w:sz="8" w:color="CCEEFF"/>
            </w:tcBorders>
            <w:gridSpan w:val="2"/>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r>
      <w:tr>
        <w:trPr>
          <w:trHeight w:val="61"/>
        </w:trPr>
        <w:tc>
          <w:tcPr>
            <w:tcW w:w="60" w:type="dxa"/>
            <w:vAlign w:val="bottom"/>
            <w:tcBorders>
              <w:right w:val="single" w:sz="8" w:color="CCEEFF"/>
            </w:tcBorders>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176"/>
        </w:trPr>
        <w:tc>
          <w:tcPr>
            <w:tcW w:w="60" w:type="dxa"/>
            <w:vAlign w:val="bottom"/>
          </w:tcPr>
          <w:p>
            <w:pPr>
              <w:spacing w:after="0"/>
              <w:rPr>
                <w:sz w:val="15"/>
                <w:szCs w:val="15"/>
                <w:color w:val="auto"/>
              </w:rPr>
            </w:pPr>
          </w:p>
        </w:tc>
        <w:tc>
          <w:tcPr>
            <w:tcW w:w="81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Item 6. [Reserved]</w:t>
            </w:r>
          </w:p>
        </w:tc>
        <w:tc>
          <w:tcPr>
            <w:tcW w:w="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61"/>
        </w:trPr>
        <w:tc>
          <w:tcPr>
            <w:tcW w:w="60" w:type="dxa"/>
            <w:vAlign w:val="bottom"/>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175"/>
        </w:trPr>
        <w:tc>
          <w:tcPr>
            <w:tcW w:w="60" w:type="dxa"/>
            <w:vAlign w:val="bottom"/>
            <w:tcBorders>
              <w:right w:val="single" w:sz="8" w:color="CCEEFF"/>
            </w:tcBorders>
          </w:tcPr>
          <w:p>
            <w:pPr>
              <w:spacing w:after="0"/>
              <w:rPr>
                <w:sz w:val="15"/>
                <w:szCs w:val="15"/>
                <w:color w:val="auto"/>
              </w:rPr>
            </w:pPr>
          </w:p>
        </w:tc>
        <w:tc>
          <w:tcPr>
            <w:tcW w:w="81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 of Operations</w:t>
            </w:r>
          </w:p>
        </w:tc>
        <w:tc>
          <w:tcPr>
            <w:tcW w:w="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61"/>
        </w:trPr>
        <w:tc>
          <w:tcPr>
            <w:tcW w:w="60" w:type="dxa"/>
            <w:vAlign w:val="bottom"/>
            <w:tcBorders>
              <w:right w:val="single" w:sz="8" w:color="CCEEFF"/>
            </w:tcBorders>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175"/>
        </w:trPr>
        <w:tc>
          <w:tcPr>
            <w:tcW w:w="60" w:type="dxa"/>
            <w:vAlign w:val="bottom"/>
          </w:tcPr>
          <w:p>
            <w:pPr>
              <w:spacing w:after="0"/>
              <w:rPr>
                <w:sz w:val="15"/>
                <w:szCs w:val="15"/>
                <w:color w:val="auto"/>
              </w:rPr>
            </w:pPr>
          </w:p>
        </w:tc>
        <w:tc>
          <w:tcPr>
            <w:tcW w:w="81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Item 7A. Quantitative and Qualitative Disclosures About Market Risk</w:t>
            </w:r>
          </w:p>
        </w:tc>
        <w:tc>
          <w:tcPr>
            <w:tcW w:w="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61"/>
        </w:trPr>
        <w:tc>
          <w:tcPr>
            <w:tcW w:w="60" w:type="dxa"/>
            <w:vAlign w:val="bottom"/>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176"/>
        </w:trPr>
        <w:tc>
          <w:tcPr>
            <w:tcW w:w="60" w:type="dxa"/>
            <w:vAlign w:val="bottom"/>
            <w:tcBorders>
              <w:right w:val="single" w:sz="8" w:color="CCEEFF"/>
            </w:tcBorders>
          </w:tcPr>
          <w:p>
            <w:pPr>
              <w:spacing w:after="0"/>
              <w:rPr>
                <w:sz w:val="15"/>
                <w:szCs w:val="15"/>
                <w:color w:val="auto"/>
              </w:rPr>
            </w:pPr>
          </w:p>
        </w:tc>
        <w:tc>
          <w:tcPr>
            <w:tcW w:w="81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8. Financial Statements and Supplementary Data</w:t>
            </w:r>
          </w:p>
        </w:tc>
        <w:tc>
          <w:tcPr>
            <w:tcW w:w="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61"/>
        </w:trPr>
        <w:tc>
          <w:tcPr>
            <w:tcW w:w="60" w:type="dxa"/>
            <w:vAlign w:val="bottom"/>
            <w:tcBorders>
              <w:right w:val="single" w:sz="8" w:color="CCEEFF"/>
            </w:tcBorders>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176"/>
        </w:trPr>
        <w:tc>
          <w:tcPr>
            <w:tcW w:w="60" w:type="dxa"/>
            <w:vAlign w:val="bottom"/>
          </w:tcPr>
          <w:p>
            <w:pPr>
              <w:spacing w:after="0"/>
              <w:rPr>
                <w:sz w:val="15"/>
                <w:szCs w:val="15"/>
                <w:color w:val="auto"/>
              </w:rPr>
            </w:pPr>
          </w:p>
        </w:tc>
        <w:tc>
          <w:tcPr>
            <w:tcW w:w="81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Item 9. Changes in and Disagreements with Accountants on Accounting and Financial Disclosure</w:t>
            </w:r>
          </w:p>
        </w:tc>
        <w:tc>
          <w:tcPr>
            <w:tcW w:w="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91</w:t>
            </w:r>
          </w:p>
        </w:tc>
      </w:tr>
      <w:tr>
        <w:trPr>
          <w:trHeight w:val="61"/>
        </w:trPr>
        <w:tc>
          <w:tcPr>
            <w:tcW w:w="60" w:type="dxa"/>
            <w:vAlign w:val="bottom"/>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175"/>
        </w:trPr>
        <w:tc>
          <w:tcPr>
            <w:tcW w:w="60" w:type="dxa"/>
            <w:vAlign w:val="bottom"/>
            <w:tcBorders>
              <w:right w:val="single" w:sz="8" w:color="CCEEFF"/>
            </w:tcBorders>
          </w:tcPr>
          <w:p>
            <w:pPr>
              <w:spacing w:after="0"/>
              <w:rPr>
                <w:sz w:val="15"/>
                <w:szCs w:val="15"/>
                <w:color w:val="auto"/>
              </w:rPr>
            </w:pPr>
          </w:p>
        </w:tc>
        <w:tc>
          <w:tcPr>
            <w:tcW w:w="81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9A. Controls and Procedures</w:t>
            </w:r>
          </w:p>
        </w:tc>
        <w:tc>
          <w:tcPr>
            <w:tcW w:w="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91</w:t>
            </w:r>
          </w:p>
        </w:tc>
      </w:tr>
      <w:tr>
        <w:trPr>
          <w:trHeight w:val="61"/>
        </w:trPr>
        <w:tc>
          <w:tcPr>
            <w:tcW w:w="60" w:type="dxa"/>
            <w:vAlign w:val="bottom"/>
            <w:tcBorders>
              <w:right w:val="single" w:sz="8" w:color="CCEEFF"/>
            </w:tcBorders>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175"/>
        </w:trPr>
        <w:tc>
          <w:tcPr>
            <w:tcW w:w="60" w:type="dxa"/>
            <w:vAlign w:val="bottom"/>
          </w:tcPr>
          <w:p>
            <w:pPr>
              <w:spacing w:after="0"/>
              <w:rPr>
                <w:sz w:val="15"/>
                <w:szCs w:val="15"/>
                <w:color w:val="auto"/>
              </w:rPr>
            </w:pPr>
          </w:p>
        </w:tc>
        <w:tc>
          <w:tcPr>
            <w:tcW w:w="81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Item 9B. Other Information</w:t>
            </w:r>
          </w:p>
        </w:tc>
        <w:tc>
          <w:tcPr>
            <w:tcW w:w="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94</w:t>
            </w:r>
          </w:p>
        </w:tc>
      </w:tr>
      <w:tr>
        <w:trPr>
          <w:trHeight w:val="61"/>
        </w:trPr>
        <w:tc>
          <w:tcPr>
            <w:tcW w:w="60" w:type="dxa"/>
            <w:vAlign w:val="bottom"/>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175"/>
        </w:trPr>
        <w:tc>
          <w:tcPr>
            <w:tcW w:w="60" w:type="dxa"/>
            <w:vAlign w:val="bottom"/>
            <w:tcBorders>
              <w:right w:val="single" w:sz="8" w:color="CCEEFF"/>
            </w:tcBorders>
          </w:tcPr>
          <w:p>
            <w:pPr>
              <w:spacing w:after="0"/>
              <w:rPr>
                <w:sz w:val="15"/>
                <w:szCs w:val="15"/>
                <w:color w:val="auto"/>
              </w:rPr>
            </w:pPr>
          </w:p>
        </w:tc>
        <w:tc>
          <w:tcPr>
            <w:tcW w:w="81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9C. Disclosure Regarding Foreign Jurisdictions that Prevent Inspections</w:t>
            </w:r>
          </w:p>
        </w:tc>
        <w:tc>
          <w:tcPr>
            <w:tcW w:w="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94</w:t>
            </w:r>
          </w:p>
        </w:tc>
      </w:tr>
      <w:tr>
        <w:trPr>
          <w:trHeight w:val="61"/>
        </w:trPr>
        <w:tc>
          <w:tcPr>
            <w:tcW w:w="60" w:type="dxa"/>
            <w:vAlign w:val="bottom"/>
            <w:tcBorders>
              <w:right w:val="single" w:sz="8" w:color="CCEEFF"/>
            </w:tcBorders>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432"/>
        </w:trPr>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0" w:type="dxa"/>
            <w:vAlign w:val="bottom"/>
            <w:gridSpan w:val="16"/>
          </w:tcPr>
          <w:p>
            <w:pPr>
              <w:jc w:val="center"/>
              <w:ind w:right="3740"/>
              <w:spacing w:after="0"/>
              <w:rPr>
                <w:sz w:val="20"/>
                <w:szCs w:val="20"/>
                <w:color w:val="auto"/>
              </w:rPr>
            </w:pPr>
            <w:r>
              <w:rPr>
                <w:rFonts w:ascii="Times New Roman" w:cs="Times New Roman" w:eastAsia="Times New Roman" w:hAnsi="Times New Roman"/>
                <w:sz w:val="18"/>
                <w:szCs w:val="18"/>
                <w:color w:val="0000EE"/>
                <w:w w:val="96"/>
              </w:rPr>
              <w:t>PART III</w:t>
            </w:r>
          </w:p>
        </w:tc>
        <w:tc>
          <w:tcPr>
            <w:tcW w:w="720" w:type="dxa"/>
            <w:vAlign w:val="bottom"/>
          </w:tcPr>
          <w:p>
            <w:pPr>
              <w:spacing w:after="0"/>
              <w:rPr>
                <w:sz w:val="24"/>
                <w:szCs w:val="24"/>
                <w:color w:val="auto"/>
              </w:rPr>
            </w:pPr>
          </w:p>
        </w:tc>
      </w:tr>
      <w:tr>
        <w:trPr>
          <w:trHeight w:val="61"/>
        </w:trPr>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175"/>
        </w:trPr>
        <w:tc>
          <w:tcPr>
            <w:tcW w:w="60" w:type="dxa"/>
            <w:vAlign w:val="bottom"/>
            <w:tcBorders>
              <w:right w:val="single" w:sz="8" w:color="CCEEFF"/>
            </w:tcBorders>
          </w:tcPr>
          <w:p>
            <w:pPr>
              <w:spacing w:after="0"/>
              <w:rPr>
                <w:sz w:val="15"/>
                <w:szCs w:val="15"/>
                <w:color w:val="auto"/>
              </w:rPr>
            </w:pPr>
          </w:p>
        </w:tc>
        <w:tc>
          <w:tcPr>
            <w:tcW w:w="81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61"/>
        </w:trPr>
        <w:tc>
          <w:tcPr>
            <w:tcW w:w="60" w:type="dxa"/>
            <w:vAlign w:val="bottom"/>
            <w:tcBorders>
              <w:right w:val="single" w:sz="8" w:color="CCEEFF"/>
            </w:tcBorders>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175"/>
        </w:trPr>
        <w:tc>
          <w:tcPr>
            <w:tcW w:w="60" w:type="dxa"/>
            <w:vAlign w:val="bottom"/>
          </w:tcPr>
          <w:p>
            <w:pPr>
              <w:spacing w:after="0"/>
              <w:rPr>
                <w:sz w:val="15"/>
                <w:szCs w:val="15"/>
                <w:color w:val="auto"/>
              </w:rPr>
            </w:pPr>
          </w:p>
        </w:tc>
        <w:tc>
          <w:tcPr>
            <w:tcW w:w="81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Item 11. Executive Compensation</w:t>
            </w:r>
          </w:p>
        </w:tc>
        <w:tc>
          <w:tcPr>
            <w:tcW w:w="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61"/>
        </w:trPr>
        <w:tc>
          <w:tcPr>
            <w:tcW w:w="60" w:type="dxa"/>
            <w:vAlign w:val="bottom"/>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175"/>
        </w:trPr>
        <w:tc>
          <w:tcPr>
            <w:tcW w:w="60" w:type="dxa"/>
            <w:vAlign w:val="bottom"/>
            <w:tcBorders>
              <w:right w:val="single" w:sz="8" w:color="CCEEFF"/>
            </w:tcBorders>
          </w:tcPr>
          <w:p>
            <w:pPr>
              <w:spacing w:after="0"/>
              <w:rPr>
                <w:sz w:val="15"/>
                <w:szCs w:val="15"/>
                <w:color w:val="auto"/>
              </w:rPr>
            </w:pPr>
          </w:p>
        </w:tc>
        <w:tc>
          <w:tcPr>
            <w:tcW w:w="81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12. Security Ownership of Certain Beneficial Owners and Management and Related Stockholder Matters</w:t>
            </w:r>
          </w:p>
        </w:tc>
        <w:tc>
          <w:tcPr>
            <w:tcW w:w="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61"/>
        </w:trPr>
        <w:tc>
          <w:tcPr>
            <w:tcW w:w="60" w:type="dxa"/>
            <w:vAlign w:val="bottom"/>
            <w:tcBorders>
              <w:right w:val="single" w:sz="8" w:color="CCEEFF"/>
            </w:tcBorders>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176"/>
        </w:trPr>
        <w:tc>
          <w:tcPr>
            <w:tcW w:w="60" w:type="dxa"/>
            <w:vAlign w:val="bottom"/>
          </w:tcPr>
          <w:p>
            <w:pPr>
              <w:spacing w:after="0"/>
              <w:rPr>
                <w:sz w:val="15"/>
                <w:szCs w:val="15"/>
                <w:color w:val="auto"/>
              </w:rPr>
            </w:pPr>
          </w:p>
        </w:tc>
        <w:tc>
          <w:tcPr>
            <w:tcW w:w="81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61"/>
        </w:trPr>
        <w:tc>
          <w:tcPr>
            <w:tcW w:w="60" w:type="dxa"/>
            <w:vAlign w:val="bottom"/>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175"/>
        </w:trPr>
        <w:tc>
          <w:tcPr>
            <w:tcW w:w="60" w:type="dxa"/>
            <w:vAlign w:val="bottom"/>
            <w:tcBorders>
              <w:right w:val="single" w:sz="8" w:color="CCEEFF"/>
            </w:tcBorders>
          </w:tcPr>
          <w:p>
            <w:pPr>
              <w:spacing w:after="0"/>
              <w:rPr>
                <w:sz w:val="15"/>
                <w:szCs w:val="15"/>
                <w:color w:val="auto"/>
              </w:rPr>
            </w:pPr>
          </w:p>
        </w:tc>
        <w:tc>
          <w:tcPr>
            <w:tcW w:w="81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14. Principal Accountant Fees and Services</w:t>
            </w:r>
          </w:p>
        </w:tc>
        <w:tc>
          <w:tcPr>
            <w:tcW w:w="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61"/>
        </w:trPr>
        <w:tc>
          <w:tcPr>
            <w:tcW w:w="60" w:type="dxa"/>
            <w:vAlign w:val="bottom"/>
            <w:tcBorders>
              <w:right w:val="single" w:sz="8" w:color="CCEEFF"/>
            </w:tcBorders>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432"/>
        </w:trPr>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20" w:type="dxa"/>
            <w:vAlign w:val="bottom"/>
            <w:gridSpan w:val="17"/>
          </w:tcPr>
          <w:p>
            <w:pPr>
              <w:jc w:val="center"/>
              <w:ind w:right="3520"/>
              <w:spacing w:after="0"/>
              <w:rPr>
                <w:sz w:val="20"/>
                <w:szCs w:val="20"/>
                <w:color w:val="auto"/>
              </w:rPr>
            </w:pPr>
            <w:r>
              <w:rPr>
                <w:rFonts w:ascii="Times New Roman" w:cs="Times New Roman" w:eastAsia="Times New Roman" w:hAnsi="Times New Roman"/>
                <w:sz w:val="18"/>
                <w:szCs w:val="18"/>
                <w:color w:val="0000EE"/>
                <w:w w:val="94"/>
              </w:rPr>
              <w:t>PART IV</w:t>
            </w:r>
          </w:p>
        </w:tc>
        <w:tc>
          <w:tcPr>
            <w:tcW w:w="720" w:type="dxa"/>
            <w:vAlign w:val="bottom"/>
          </w:tcPr>
          <w:p>
            <w:pPr>
              <w:spacing w:after="0"/>
              <w:rPr>
                <w:sz w:val="24"/>
                <w:szCs w:val="24"/>
                <w:color w:val="auto"/>
              </w:rPr>
            </w:pPr>
          </w:p>
        </w:tc>
      </w:tr>
      <w:tr>
        <w:trPr>
          <w:trHeight w:val="61"/>
        </w:trPr>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175"/>
        </w:trPr>
        <w:tc>
          <w:tcPr>
            <w:tcW w:w="60" w:type="dxa"/>
            <w:vAlign w:val="bottom"/>
            <w:tcBorders>
              <w:right w:val="single" w:sz="8" w:color="CCEEFF"/>
            </w:tcBorders>
          </w:tcPr>
          <w:p>
            <w:pPr>
              <w:spacing w:after="0"/>
              <w:rPr>
                <w:sz w:val="15"/>
                <w:szCs w:val="15"/>
                <w:color w:val="auto"/>
              </w:rPr>
            </w:pPr>
          </w:p>
        </w:tc>
        <w:tc>
          <w:tcPr>
            <w:tcW w:w="81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15. Exhibits and Financial Statement Schedules</w:t>
            </w:r>
          </w:p>
        </w:tc>
        <w:tc>
          <w:tcPr>
            <w:tcW w:w="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96</w:t>
            </w:r>
          </w:p>
        </w:tc>
      </w:tr>
      <w:tr>
        <w:trPr>
          <w:trHeight w:val="61"/>
        </w:trPr>
        <w:tc>
          <w:tcPr>
            <w:tcW w:w="60" w:type="dxa"/>
            <w:vAlign w:val="bottom"/>
            <w:tcBorders>
              <w:right w:val="single" w:sz="8" w:color="CCEEFF"/>
            </w:tcBorders>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175"/>
        </w:trPr>
        <w:tc>
          <w:tcPr>
            <w:tcW w:w="60" w:type="dxa"/>
            <w:vAlign w:val="bottom"/>
          </w:tcPr>
          <w:p>
            <w:pPr>
              <w:spacing w:after="0"/>
              <w:rPr>
                <w:sz w:val="15"/>
                <w:szCs w:val="15"/>
                <w:color w:val="auto"/>
              </w:rPr>
            </w:pPr>
          </w:p>
        </w:tc>
        <w:tc>
          <w:tcPr>
            <w:tcW w:w="81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Item 16. Form 10-K Summary</w:t>
            </w:r>
          </w:p>
        </w:tc>
        <w:tc>
          <w:tcPr>
            <w:tcW w:w="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100</w:t>
            </w:r>
          </w:p>
        </w:tc>
      </w:tr>
      <w:tr>
        <w:trPr>
          <w:trHeight w:val="61"/>
        </w:trPr>
        <w:tc>
          <w:tcPr>
            <w:tcW w:w="60" w:type="dxa"/>
            <w:vAlign w:val="bottom"/>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175"/>
        </w:trPr>
        <w:tc>
          <w:tcPr>
            <w:tcW w:w="60" w:type="dxa"/>
            <w:vAlign w:val="bottom"/>
            <w:tcBorders>
              <w:right w:val="single" w:sz="8" w:color="CCEEFF"/>
            </w:tcBorders>
          </w:tcPr>
          <w:p>
            <w:pPr>
              <w:spacing w:after="0"/>
              <w:rPr>
                <w:sz w:val="15"/>
                <w:szCs w:val="15"/>
                <w:color w:val="auto"/>
              </w:rPr>
            </w:pPr>
          </w:p>
        </w:tc>
        <w:tc>
          <w:tcPr>
            <w:tcW w:w="81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101</w:t>
            </w:r>
          </w:p>
        </w:tc>
      </w:tr>
      <w:tr>
        <w:trPr>
          <w:trHeight w:val="61"/>
        </w:trPr>
        <w:tc>
          <w:tcPr>
            <w:tcW w:w="60" w:type="dxa"/>
            <w:vAlign w:val="bottom"/>
            <w:tcBorders>
              <w:right w:val="single" w:sz="8" w:color="CCEEFF"/>
            </w:tcBorders>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1208"/>
        </w:trPr>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79"/>
        <w:spacing w:after="0" w:line="269" w:lineRule="auto"/>
        <w:rPr>
          <w:sz w:val="20"/>
          <w:szCs w:val="20"/>
          <w:color w:val="auto"/>
        </w:rPr>
      </w:pPr>
      <w:r>
        <w:rPr>
          <w:rFonts w:ascii="Times New Roman" w:cs="Times New Roman" w:eastAsia="Times New Roman" w:hAnsi="Times New Roman"/>
          <w:sz w:val="17"/>
          <w:szCs w:val="17"/>
          <w:color w:val="auto"/>
        </w:rPr>
        <w:t>This Annual Report on Form 10-K (“Annual Report”) contains “forward-looking statements” within the meaning of federal securities laws that are subject to risks and uncertainties. All statements other than statements of historical fact included in this Annual Report are forward-looking statements. You can identify forward-looking statements because they do not relate strictly to historical or current facts. These statements may include words such as “aim,” “anticipate,” “believe,” “estimate,” “expect,” “forecast,” “outlook,” “potential,” “project,” “projection,” “plan,” “intend,” “seek,” “may,” “could,” “would,” “will,” “should,” “can,” “can have,” “likely,” the negatives thereof and other words and terms of similar meaning used in connection with any discussion of the timing or nature of future operating or financial performance or other events. They appear in a number of places throughout this Annual Report and include statements regarding our intentions, beliefs or current expectations concerning, among other things, our results of operations, financial condition, liquidity, prospects, growth, trends, strategies and the industry in which we operate. All forward-looking statements are subject to risks and uncertainties that could cause actual results to differ materially from those that we expected.</w:t>
      </w:r>
    </w:p>
    <w:p>
      <w:pPr>
        <w:spacing w:after="0" w:line="182"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Annual Report in the context of the factors that could cause outcomes to differ materially from our expectations. These factors include, but are not limited to, those listed under “Summary Risk Factors” below and under “Item 1A. Risk Factors” of this Annual Report, as such risk factors may be amended, supplemented or superseded from time to time by other reports we file with the Securities and Exchange Commission.</w:t>
      </w:r>
    </w:p>
    <w:p>
      <w:pPr>
        <w:spacing w:after="0" w:line="18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We caution you that the important factors included in this Annual Report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ways that we expect. The forward-looking statements included in this Annual Report are made only as of the date hereof. We undertake no obligation to publicly update or revise any forward-looking statement as a result of new information, future events or otherwise, except as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Website References</w:t>
      </w:r>
    </w:p>
    <w:p>
      <w:pPr>
        <w:spacing w:after="0" w:line="229"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In this Annual Report, we make references to our website at elpolloloco.com. References to our website through this Annual Report are provided for convenience only and the content on our website does not constitute a part of, and shall not be deemed incorporated by reference into, this Annual Report.</w:t>
      </w:r>
    </w:p>
    <w:p>
      <w:pPr>
        <w:spacing w:after="0" w:line="176" w:lineRule="exact"/>
        <w:rPr>
          <w:sz w:val="20"/>
          <w:szCs w:val="20"/>
          <w:color w:val="auto"/>
        </w:rPr>
      </w:pPr>
    </w:p>
    <w:p>
      <w:pPr>
        <w:jc w:val="both"/>
        <w:ind w:left="60" w:right="559"/>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key risk factors for investors in our securities. You should read this summary together with the more detailed description of risks and uncertainties discussed under Item 1A. “Risk Factors” in this Annual Report before investing in our securities.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Operations</w:t>
      </w:r>
    </w:p>
    <w:p>
      <w:pPr>
        <w:spacing w:after="0" w:line="31" w:lineRule="exact"/>
        <w:rPr>
          <w:sz w:val="20"/>
          <w:szCs w:val="20"/>
          <w:color w:val="auto"/>
        </w:rPr>
      </w:pPr>
    </w:p>
    <w:p>
      <w:pPr>
        <w:ind w:left="720" w:right="53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opening new company-operated or franchised restaurants or in establishing new markets, which could adversely affect our growth.</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successfully, including with other quick-service and fast casual restaurants.</w:t>
      </w:r>
    </w:p>
    <w:p>
      <w:pPr>
        <w:spacing w:after="0" w:line="9" w:lineRule="exact"/>
        <w:rPr>
          <w:rFonts w:ascii="Times New Roman" w:cs="Times New Roman" w:eastAsia="Times New Roman" w:hAnsi="Times New Roman"/>
          <w:sz w:val="18"/>
          <w:szCs w:val="18"/>
          <w:color w:val="auto"/>
        </w:rPr>
      </w:pPr>
    </w:p>
    <w:p>
      <w:pPr>
        <w:ind w:left="720" w:right="65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vulnerable to changes in political and economic conditions such as trade policies, tariff and import regulations by the United States, as well as consumer preferences.</w:t>
      </w:r>
    </w:p>
    <w:p>
      <w:pPr>
        <w:ind w:left="720" w:right="15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develop, assimilate, and retain employees, we may not be able to grow or successfully operate our business.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negatively affected by regional geographic concentrations.</w:t>
      </w:r>
    </w:p>
    <w:p>
      <w:pPr>
        <w:spacing w:after="0" w:line="9" w:lineRule="exact"/>
        <w:rPr>
          <w:rFonts w:ascii="Times New Roman" w:cs="Times New Roman" w:eastAsia="Times New Roman" w:hAnsi="Times New Roman"/>
          <w:sz w:val="18"/>
          <w:szCs w:val="18"/>
          <w:color w:val="auto"/>
        </w:rPr>
      </w:pPr>
    </w:p>
    <w:p>
      <w:pPr>
        <w:ind w:left="720" w:right="199" w:hanging="319"/>
        <w:spacing w:after="0" w:line="255"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or failure to execute our business continuity and response plan following a major disaster such as a natural disaster, terrorism, social unrest or a cybersecurity incident affecting our corporate facilities could materially adversely affect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7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success depends in part on our ability to effectively identify and secure appropriate sites for new restaurants.</w:t>
      </w:r>
    </w:p>
    <w:p>
      <w:pPr>
        <w:ind w:left="720" w:right="23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may continue to incur, significant impairment of certain of our assets, in particular in our new markets.</w:t>
      </w:r>
    </w:p>
    <w:p>
      <w:pPr>
        <w:ind w:left="720" w:right="25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food costs, supply costs, and other operating expenses, especially for chicken could adversely affect our business, financial condition, and results of operations.</w:t>
      </w:r>
    </w:p>
    <w:p>
      <w:pPr>
        <w:ind w:left="720" w:right="37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have had, and may in the future have, a significant negative impact on our business, sales, results of operations and financial condition.</w:t>
      </w: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social media and other negative publicity could have a material adverse impact on our business.</w:t>
      </w:r>
    </w:p>
    <w:p>
      <w:pPr>
        <w:spacing w:after="0" w:line="9" w:lineRule="exact"/>
        <w:rPr>
          <w:rFonts w:ascii="Times New Roman" w:cs="Times New Roman" w:eastAsia="Times New Roman" w:hAnsi="Times New Roman"/>
          <w:sz w:val="18"/>
          <w:szCs w:val="18"/>
          <w:color w:val="auto"/>
        </w:rPr>
      </w:pPr>
    </w:p>
    <w:p>
      <w:pPr>
        <w:ind w:left="720" w:right="15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ability to continue to expand our digital business, delivery orders and catering, and these business lines are subject to various risks.</w:t>
      </w:r>
    </w:p>
    <w:p>
      <w:pPr>
        <w:ind w:left="720" w:right="91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Food-borne illness and other food safety and quality concerns may negatively impact our business and profitability.</w:t>
      </w:r>
    </w:p>
    <w:p>
      <w:pPr>
        <w:ind w:left="720" w:right="25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timely deliveries of food or other supplies could result in a loss of revenue and materially and adversely impact our operations.</w:t>
      </w:r>
    </w:p>
    <w:p>
      <w:pPr>
        <w:ind w:left="720" w:right="47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restrictions under our credit facility, could materially and adversely affect our business, financial condition, and results of operations.</w:t>
      </w:r>
    </w:p>
    <w:p>
      <w:pPr>
        <w:ind w:left="720" w:right="21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programs may not be successful, and our new menu items, advertising campaigns, and restaurant designs and remodels may not generate increased sales or profits.</w:t>
      </w: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our franchisees’ economic position could have adverse consequences to us.</w:t>
      </w:r>
    </w:p>
    <w:p>
      <w:pPr>
        <w:spacing w:after="0" w:line="9" w:lineRule="exact"/>
        <w:rPr>
          <w:rFonts w:ascii="Times New Roman" w:cs="Times New Roman" w:eastAsia="Times New Roman" w:hAnsi="Times New Roman"/>
          <w:sz w:val="18"/>
          <w:szCs w:val="18"/>
          <w:color w:val="auto"/>
        </w:rPr>
      </w:pPr>
    </w:p>
    <w:p>
      <w:pPr>
        <w:ind w:left="720" w:right="45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success of our franchisees, but have limited control with respect to their operations, which could have a negative impact on our business.</w:t>
      </w:r>
    </w:p>
    <w:p>
      <w:pPr>
        <w:ind w:left="720" w:right="39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relations with existing or potential franchisees deteriorate, restaurant performance and our development pipeline could suffer.</w:t>
      </w: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self-insurance programs may expose us to significant and unexpected costs and losses.</w:t>
      </w:r>
    </w:p>
    <w:p>
      <w:pPr>
        <w:spacing w:after="0" w:line="9" w:lineRule="exact"/>
        <w:rPr>
          <w:rFonts w:ascii="Times New Roman" w:cs="Times New Roman" w:eastAsia="Times New Roman" w:hAnsi="Times New Roman"/>
          <w:sz w:val="18"/>
          <w:szCs w:val="18"/>
          <w:color w:val="auto"/>
        </w:rPr>
      </w:pPr>
    </w:p>
    <w:p>
      <w:pPr>
        <w:ind w:left="720" w:right="29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party to long-term and non-cancelable leases, and we may be unable to renew leases at the ends of their terms.</w:t>
      </w:r>
    </w:p>
    <w:p>
      <w:pPr>
        <w:ind w:left="720" w:right="31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achieve our corporate responsibility goals, our reputation and results of operations could be adversely affected.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Information Technology and Data Security</w:t>
      </w:r>
    </w:p>
    <w:p>
      <w:pPr>
        <w:spacing w:after="0" w:line="9" w:lineRule="exact"/>
        <w:rPr>
          <w:sz w:val="20"/>
          <w:szCs w:val="20"/>
          <w:color w:val="auto"/>
        </w:rPr>
      </w:pPr>
    </w:p>
    <w:p>
      <w:pPr>
        <w:ind w:left="720" w:right="35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system failures or breaches of our network security could interrupt our operations and adversely affect our business.</w:t>
      </w: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customers’ payment method data or personal information, we could be exposed to</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data loss, litigation, liability, and reputational damage.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Intellectual Property</w:t>
      </w:r>
    </w:p>
    <w:p>
      <w:pPr>
        <w:spacing w:after="0" w:line="9" w:lineRule="exact"/>
        <w:rPr>
          <w:sz w:val="20"/>
          <w:szCs w:val="20"/>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enforce and maintain our trademarks and protect our other intellectual property could materially</w:t>
      </w:r>
    </w:p>
    <w:p>
      <w:pPr>
        <w:spacing w:after="0" w:line="9" w:lineRule="exact"/>
        <w:rPr>
          <w:sz w:val="20"/>
          <w:szCs w:val="20"/>
          <w:color w:val="auto"/>
        </w:rPr>
      </w:pPr>
    </w:p>
    <w:p>
      <w:pPr>
        <w:ind w:left="60" w:right="1219" w:firstLine="675"/>
        <w:spacing w:after="0" w:line="250" w:lineRule="auto"/>
        <w:rPr>
          <w:sz w:val="20"/>
          <w:szCs w:val="20"/>
          <w:color w:val="auto"/>
        </w:rPr>
      </w:pPr>
      <w:r>
        <w:rPr>
          <w:rFonts w:ascii="Times New Roman" w:cs="Times New Roman" w:eastAsia="Times New Roman" w:hAnsi="Times New Roman"/>
          <w:sz w:val="18"/>
          <w:szCs w:val="18"/>
          <w:color w:val="auto"/>
        </w:rPr>
        <w:t xml:space="preserve">and adversely affect our business, including our ability to establish and maintain brand awareness. </w:t>
      </w:r>
      <w:r>
        <w:rPr>
          <w:rFonts w:ascii="Times New Roman" w:cs="Times New Roman" w:eastAsia="Times New Roman" w:hAnsi="Times New Roman"/>
          <w:sz w:val="18"/>
          <w:szCs w:val="18"/>
          <w:b w:val="1"/>
          <w:bCs w:val="1"/>
          <w:i w:val="1"/>
          <w:iCs w:val="1"/>
          <w:color w:val="auto"/>
        </w:rPr>
        <w:t>Risks Related to Government Regulation and Litigation</w:t>
      </w:r>
    </w:p>
    <w:p>
      <w:pPr>
        <w:spacing w:after="0" w:line="1"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employment and labor law may adversely affect our business.</w:t>
      </w:r>
    </w:p>
    <w:p>
      <w:pPr>
        <w:spacing w:after="0" w:line="9" w:lineRule="exact"/>
        <w:rPr>
          <w:rFonts w:ascii="Times New Roman" w:cs="Times New Roman" w:eastAsia="Times New Roman" w:hAnsi="Times New Roman"/>
          <w:sz w:val="18"/>
          <w:szCs w:val="18"/>
          <w:color w:val="auto"/>
        </w:rPr>
      </w:pPr>
    </w:p>
    <w:p>
      <w:pPr>
        <w:ind w:left="720" w:right="19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from time to time the target of class action lawsuits and other claims proceedings, which could adversely affect our business and results of operations.</w:t>
      </w:r>
    </w:p>
    <w:p>
      <w:pPr>
        <w:ind w:left="720" w:right="21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franchisees face labor shortages or increased labor costs, our results of operations and growth could be adversely affected.</w:t>
      </w:r>
    </w:p>
    <w:p>
      <w:pPr>
        <w:ind w:left="720" w:right="21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laws, government regulation, and other legal requirements and our failure to comply with existing or new laws and regulations could adversely affect our operational efficiencies and results of operations.</w:t>
      </w:r>
    </w:p>
    <w:p>
      <w:pPr>
        <w:spacing w:after="0" w:line="1" w:lineRule="exact"/>
        <w:rPr>
          <w:rFonts w:ascii="Times New Roman" w:cs="Times New Roman" w:eastAsia="Times New Roman" w:hAnsi="Times New Roman"/>
          <w:sz w:val="18"/>
          <w:szCs w:val="18"/>
          <w:color w:val="auto"/>
        </w:rPr>
      </w:pPr>
    </w:p>
    <w:p>
      <w:pPr>
        <w:ind w:left="720" w:right="19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and regulations regarding certain of our menu offerings, new information or attitudes regarding diet and health, or adverse opinions about the health effects of consuming our menu offerings, could affect consumer preferences and negatively impact our results of operations.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liabilities arising from environmental laws that could increase our operating expenses</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and materially and adversely affect our business and results of operations.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9" w:lineRule="exact"/>
        <w:rPr>
          <w:sz w:val="20"/>
          <w:szCs w:val="20"/>
          <w:color w:val="auto"/>
        </w:rPr>
      </w:pPr>
    </w:p>
    <w:p>
      <w:pPr>
        <w:ind w:left="720" w:right="99" w:hanging="319"/>
        <w:spacing w:after="0" w:line="25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operating results may fluctuate significantly due to seasonality and other factors, some of which are beyond our control, which could adversely affect the market price of our common stock.</w:t>
      </w:r>
    </w:p>
    <w:p>
      <w:pPr>
        <w:ind w:left="720" w:right="219" w:hanging="319"/>
        <w:spacing w:after="0" w:line="26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offerings of debt or equity securities by us may adversely affect the market price of our common stock or dilute the ownership of our existing stockholders.</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57"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law, our organizational documents, our shareholder rights agreement and our existing and future debt agreements may impede or discourage a takeover, depriving our investors of the opportunity to receive a premium for their shares.</w:t>
      </w:r>
    </w:p>
    <w:p>
      <w:pPr>
        <w:spacing w:after="0" w:line="1" w:lineRule="exact"/>
        <w:rPr>
          <w:rFonts w:ascii="Times New Roman" w:cs="Times New Roman" w:eastAsia="Times New Roman" w:hAnsi="Times New Roman"/>
          <w:sz w:val="18"/>
          <w:szCs w:val="18"/>
          <w:color w:val="auto"/>
        </w:rPr>
      </w:pPr>
    </w:p>
    <w:p>
      <w:pPr>
        <w:ind w:left="720" w:right="99" w:hanging="319"/>
        <w:spacing w:after="0" w:line="26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activism could cause us to incur significant expense, disrupt our business, result in a proxy contest or litigation and impact our stock price.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ind w:left="60" w:right="559"/>
        <w:spacing w:after="0" w:line="266" w:lineRule="auto"/>
        <w:rPr>
          <w:sz w:val="20"/>
          <w:szCs w:val="20"/>
          <w:color w:val="auto"/>
        </w:rPr>
      </w:pPr>
      <w:r>
        <w:rPr>
          <w:rFonts w:ascii="Times New Roman" w:cs="Times New Roman" w:eastAsia="Times New Roman" w:hAnsi="Times New Roman"/>
          <w:sz w:val="18"/>
          <w:szCs w:val="18"/>
          <w:color w:val="auto"/>
        </w:rPr>
        <w:t>Unless otherwise specified in this Annual Report, or the context otherwise requires, terms “El Pollo Loco,” “the Company,” “our company,” “we,” “us,” and “our” mean El Pollo Loco Holdings, Inc. (“Holdings”), together with its subsidiaries.</w:t>
      </w:r>
    </w:p>
    <w:p>
      <w:pPr>
        <w:spacing w:after="0" w:line="172"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We opened our first location on Alvarado Street in Los Angeles, California, in 1980, and have grown our restaurant system to 503 domestic restaurants, comprised of 175 company-operated and 328 franchised restaurants as of December 31, 2025. Our restaurants are located principally in California, but also in Arizona, Nevada, Texas, Utah, Colorado, Washington and Louisiana. Additionally, as of December 31, 2025, we had 8 licensed restaurants in the Philippines. Our typical restaurant is a free-standing building with drive-thru service that ranges in size from 2,200 to 3,000 square feet with seating for approximately 50 to 70 people.</w:t>
      </w:r>
    </w:p>
    <w:p>
      <w:pPr>
        <w:spacing w:after="0" w:line="187"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El Pollo Loco is a differentiated and growing restaurant concept that specializes in fire-grilling citrus-marinated chicken and operates in the limited service restaurant (“LSR”) market segment. We believe that our market position to make and serve quality chicken that is fast and easy sets El Pollo Loco apart. Our distinctive menu features our signature product, citrus-marinated fire-grilled chicken, served in a variety of Mexican-inspired entrees, like burritos, tostadas, and salads, as well as bone-in chicken meals available in a variety of sizes to feed individuals and larger groups. Our entrees include favorites such as tostadas, burritos, bowls, and salads, and we offer a variety of fresh salsas and delicious dressings that give our customers the opportunity to customize their meals. Our distinctive menu with high quality chicken entrees appeals to consumers across a wide variety of socio-economic backgrounds and drives our balanced composition of sales throughout the day, including at lunch and dinner.</w:t>
      </w:r>
    </w:p>
    <w:p>
      <w:pPr>
        <w:spacing w:after="0" w:line="188"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The Company operates in one operating segment. All significant revenues relate to retail sales of food and beverages through either company or franchised restaurants. Financial information about our operations, including our revenues and expenses for fiscal 2025, 2024 and 2023, and our total assets as of the end of fiscal 2025 and 2024, is included in our “Audited Consolidated Financial Statements” and accompanying “Notes to Consolidated Financial Statements” in this Annual Report. See “Item 8. Financial Statements and Supplementary Data.”</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229"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The restaurant industry is divided into two market segments: full service and limited service. We operate within the LSR segment, and we strive to offer the food and dining experience of a fast-casual restaurant and the speed, value, and convenience of a quick-service restaurant (“QSR”). We strive to offer menu options that are made with fresh ingredients and provide a quality, “better for you” alternative to typical fast food, all while using Mexican flavors to make our food craveable and delicious.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We believe that the following strengths differentiate us from our competitors and serve as the foundation for our continued growth:</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Unique Menu with Broad Appeal.</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We believe that our food, which is quality fire-grilled chicken served in a variety of freshly prepared meals and entrees and inspired by broadly appealing Mexican flavors and served in contemporary restaurant environments at reasonable prices positions us well to satisfy the needs of a wide customer base by appealing to the broader general market who seek convenient quality meals at reasonable prices. We provide our customers with the opportunity to enjoy citrus-marinated, fire-grilled chicken and entrees containing fresh ingredients, like avocados, tomatoes, and serrano peppers at price points that appeal to a broad consumer base. We believe that our entree prices are typically lower than the fast-casual segment, and a slight premium to the QSR segment. We prepare our entrees to order in approximately four minutes and customers can select from a variety of freshly prepared salsas to complement their meal selection. We also believe that our concept, which integrates the complexity of cooking real food in real kitchens with the speed of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service model and the skill of our trained Grill Masters, provides a layer of competitive insulation around our restaurant model. We believe that our positioning appeals to a broad customer base, and that our brand crosses over traditional age, ethnic, and income demographics, giving consumers the best of both the fast-casual and QSR segments. We seek to position ourselves as a differentiated restaurant concept, which we believe sources traffic from both dining segments and, as a result, we expect it to drive transaction growth in the future. We also frequently test and introduce innovative new products. For example, we are currently testing chicken tenders and sandwiches, products which we expect to launch to our restaurant system during fiscal year 2026.</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Mexican-Inspired, Freshly-Prepared Fire-Grilled Chicken and Entrees.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signature product is our chicken, marinated with a proprietary recipe of citrus juice, pineapple, garlic, and spices, which serves as the foundation of our distinctive menu of flavorful bone-in chicken meals and entrees. With menu items such as our signature Fire-Grilled Chicken Meals and Family Meals, Double Chicken Tostada, the Original Pollo Bowl®, Guacamole Chicken Burrito, and Double Pollo Salads, we believe that we offer our customers a quality alternative to traditional food on-the-go. The majority of our menu items are prepared in-restaurant using fresh ingredients, including our bone-in chicken and chicken breast filets, rice, salsas, and cilantro dressing. Our entrees and meals start with our chicken, which is marinated in our restaurants daily. From there, our Grill Masters fire-grill and hand-chop our chicken to order. Our team members create our salsas and Creamy Cilantro dressing with fresh tomatoes, avocados, serrano peppers, and cilantro, and our rice and beans are seasoned and simmered in our restaurants throughout each day.</w:t>
      </w:r>
    </w:p>
    <w:p>
      <w:pPr>
        <w:spacing w:after="0" w:line="188"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Our individual and family-sized chicken meals appeal to customers looking to dine at the restaurant or take out during dinnertime, while our Mexican-inspired entrees draw traffic from customers at lunchtime or for an afternoon snack, thereby enabling us to generate sales split almost equally between lunch and dinner. We believe that our family-sized chicken meals provide an affordable and more convenient alternative for families looking to solve the “dinnertime dilemma” of providing their families with high-quality meals without investing significant time or money.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Operations Infrastructure that Allows for Real-Time Control, Fast Feedback, and Innovation.</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believe that satisfying our customers’ dining needs is the foundation for our business, and we have an operations platform that allows us to measure our performance in meeting and exceeding those needs. We utilize an operations dashboard that aggregates real-time, restaurant-level information for many aspects of our business. The dashboard provides corporate and field management, as well as restaurant-level operators, with insight into how we are performing from the customer’s perspective. In addition, all company-operated restaurants utilize digital “communication boards,” which communicate sales, cost and consumer data in real time to our restaurant managers.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Developing High Average Unit Volumes (“AUVs”) and Strong Unit Economics One Chicken at a Time.</w:t>
      </w:r>
    </w:p>
    <w:p>
      <w:pPr>
        <w:spacing w:after="0" w:line="229"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We seek to position ourselves as a differentiated LSR business, which we believe drives restaurant operating results that are competitive with other leading restaurant concepts in both the fast-casual and QSR industry segments. We believe that our restaurant model is designed to generate strong cash flow, consistent restaurant-level financial results, and compelling returns on invested capital. In 2025, our company-operated restaurants generated average annual sales per restaurant of approximately $2.3 million and restaurant-level contribution margins of 17.8%.</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Experienced Leadership.</w:t>
      </w:r>
    </w:p>
    <w:p>
      <w:pPr>
        <w:spacing w:after="0" w:line="229" w:lineRule="exact"/>
        <w:rPr>
          <w:sz w:val="20"/>
          <w:szCs w:val="20"/>
          <w:color w:val="auto"/>
        </w:rPr>
      </w:pPr>
    </w:p>
    <w:p>
      <w:pPr>
        <w:ind w:left="60" w:right="179"/>
        <w:spacing w:after="0" w:line="281" w:lineRule="auto"/>
        <w:rPr>
          <w:sz w:val="20"/>
          <w:szCs w:val="20"/>
          <w:color w:val="auto"/>
        </w:rPr>
      </w:pPr>
      <w:r>
        <w:rPr>
          <w:rFonts w:ascii="Times New Roman" w:cs="Times New Roman" w:eastAsia="Times New Roman" w:hAnsi="Times New Roman"/>
          <w:sz w:val="17"/>
          <w:szCs w:val="17"/>
          <w:color w:val="auto"/>
        </w:rPr>
        <w:t>Most of our senior management team has extensive operating experience in the restaurant industry. Members of the senior leadership team include Elizabeth Williams as our Chief Executive Officer, Ira Fils as our Chief Financial Officer, Jason Weintraub as our Chief Legal and People Officer, Tim Welsh as our Chief Development Officer, Jill Adams as our Chief Marketing Officer, Vadim Parizher, Chief Technology Officer, and Clark Matthews as our Chief Information Officer.</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We believe that we are well-positioned for sales growth because of our position in the high growth chicken category, appeal to a broad customer base, quality ingredients and a menu with broadly appealing Mexican flavors, disciplined business model, and strong unit economics. In 2025, 2024 and 2023, our comparable restaurant sales grew 0.3%, 2.8%</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and 0.3%, respectively. We plan to continue to expand our business, drive restaurant sales growth and increase company profits by executing our Strategic Plan, which consists of the following five key strategies: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Brand That Wins</w:t>
      </w:r>
    </w:p>
    <w:p>
      <w:pPr>
        <w:spacing w:after="0" w:line="22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We believe that being the flavorful, affordable, quality chicken leader, reinforced with our marketing and product offering, positions us to deliver on our first strategic pillar, Brand That Wins. Our marketing and advertising focuses on quality and freshly prepared ingredients to reinforce the cooking we do in our restaurants every day. Our chicken is our differentiator. We marinate, grill, chop, and shred chicken every day in our restaurants to deliver delicious fire-grilled chicken to our customers. Our grilled chicken is versatile and is offered in bone-in and boneless options, giving our customers choice and variety. Our chicken will continue to be the focus of our advertising campaigns and consumer messaging, and we believe that we are positioned uniquely to be a healthier alternative in the fast food marketplace.</w:t>
      </w:r>
    </w:p>
    <w:p>
      <w:pPr>
        <w:spacing w:after="0" w:line="18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We believe that we are uniquely positioned within the LSR restaurant space. We will continue to adapt our menu to create individual entrees and group meals that feature our fire-grilled chicken and are inspired by the flavors of Mexico. We believe that we have opportunities for menu innovation around different forms of chicken and portability as we look to increase customer frequency and earn share from the competition.</w:t>
      </w:r>
    </w:p>
    <w:p>
      <w:pPr>
        <w:spacing w:after="0" w:line="18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believe that our seasonal product calendar is an effective way to keep customers engaged with the brand throughout the year, featuring both existing product platforms, like Chicken Quesadillas and Double Chicken Burrito Bowls, and limited-time offers like our Baja Tostadas. Our key points of differentiation are communicated through our advertising campaigns, which highlights our food quality and flavorful entrees. We tailor our message across television and direct mail, which garners broad exposure, to our Loco Rewards loyalty program, as well as through various social media platforms where we engage in more personalized marketing.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Hospitality Mindset</w:t>
      </w:r>
    </w:p>
    <w:p>
      <w:pPr>
        <w:spacing w:after="0" w:line="229" w:lineRule="exact"/>
        <w:rPr>
          <w:sz w:val="20"/>
          <w:szCs w:val="20"/>
          <w:color w:val="auto"/>
        </w:rPr>
      </w:pPr>
    </w:p>
    <w:p>
      <w:pPr>
        <w:ind w:left="60" w:right="219"/>
        <w:spacing w:after="0" w:line="272" w:lineRule="auto"/>
        <w:rPr>
          <w:sz w:val="20"/>
          <w:szCs w:val="20"/>
          <w:color w:val="auto"/>
        </w:rPr>
      </w:pPr>
      <w:r>
        <w:rPr>
          <w:rFonts w:ascii="Times New Roman" w:cs="Times New Roman" w:eastAsia="Times New Roman" w:hAnsi="Times New Roman"/>
          <w:sz w:val="17"/>
          <w:szCs w:val="17"/>
          <w:color w:val="auto"/>
        </w:rPr>
        <w:t>Serving our customers and delivering on exceptional hospitality begins with having an operations and training model that allows for consistent delivery of our products and services. We believe that simplifying our restaurant operations will further enhance our ability to attract and retain the best employees and further improve customer service. In 2025, we continued to implement initiatives to make it easier for our employees to operate our restaurants. These included standardizing product builds and reducing unique ingredients with our bowls and salads, using new equipment such as a chicken holding cabinet, which improves overall quality and chicken availability during off-peak hours, and self-ordering kiosks which make ordering easy for our customers. Our labor and deployment system continue to evolve and allow us to focus our team on serving customers quickly and efficiently, while maintaining our quality and service standards.</w:t>
      </w:r>
    </w:p>
    <w:p>
      <w:pPr>
        <w:spacing w:after="0" w:line="172"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Initiatives currently in test include self-ordering kiosk enhancements which improve the customer ordering experience, and kitchen display screen enhancements which simplify product descriptions. These and other initiatives are intended to enable our restaurant employees to increase their focus on delivering exceptional hospitality and speed of service to our customers. We believe that this continued focus will lead to higher sales over the longer term.</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Digital First</w:t>
      </w:r>
    </w:p>
    <w:p>
      <w:pPr>
        <w:spacing w:after="0" w:line="229"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We believe that investing in consumer-facing technology is critical to further differentiating our brand and reaching customers for whom convenience and value are key decision factors. Our Loco Rewards loyalty program offers rewards that incentivize customers to visit our restaurants more each month. As of December 31, 2025, there were 5.3 million members in the Loco Rewards loyalty program, whom we target with segmented, dynamic campaigns with special offers tailored to each customer segment with the goals of increasing visit frequency and growing overall spend.</w:t>
      </w:r>
    </w:p>
    <w:p>
      <w:pPr>
        <w:spacing w:after="0" w:line="183" w:lineRule="exact"/>
        <w:rPr>
          <w:sz w:val="20"/>
          <w:szCs w:val="20"/>
          <w:color w:val="auto"/>
        </w:rPr>
      </w:pPr>
    </w:p>
    <w:p>
      <w:pPr>
        <w:ind w:left="60" w:right="79"/>
        <w:spacing w:after="0" w:line="285" w:lineRule="auto"/>
        <w:rPr>
          <w:sz w:val="20"/>
          <w:szCs w:val="20"/>
          <w:color w:val="auto"/>
        </w:rPr>
      </w:pPr>
      <w:r>
        <w:rPr>
          <w:rFonts w:ascii="Times New Roman" w:cs="Times New Roman" w:eastAsia="Times New Roman" w:hAnsi="Times New Roman"/>
          <w:sz w:val="17"/>
          <w:szCs w:val="17"/>
          <w:color w:val="auto"/>
        </w:rPr>
        <w:t>We also offer digital ordering through our mobile app, mobile web, and desktop web to provide convenient, easy ordering options for our customers. In addition to offering digital ordering through our website and mobile app, we participate in 3rd party delivery marketplaces. We currently have partnerships with DoorDash, Postmates, Uber Eats, and Grubhub. As of December 31, 2025, DoorDash maintained exclusivity for delivery orders placed directly with our restaurants. For orders placed directly from the restaurant, no fee is charged to the restaurant as the full delivery cost is borne by the customer.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In total, during fiscal 2025, all digital and delivery orders including mobile, web orders, and excluding kiosks constituted 13.8% of our total sales mix. As of December 31, 2025, all company-operated and franchise restaurants offered integrated delivery through a third-party service.</w:t>
      </w:r>
    </w:p>
    <w:p>
      <w:pPr>
        <w:spacing w:after="0" w:line="176"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We plan to continue investing in our loyalty and delivery programs as well as other technology platforms that make it easier for customers to access our food.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Winning Unit Economics</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We believe that creating strong margins is as important as driving topline sales. In 2024 we launched a concerted effort analyzing our product offering, labor, and controllables to determine areas of opportunity. Through this effort, we identified several workstreams to optimize product costs, supplier efficiencies, and labor deployment. While some of the savings were realized in 2024 and 2025, we believe that these initiatives will have a positive impact on overall profitability for future years as well.</w:t>
      </w:r>
    </w:p>
    <w:p>
      <w:pPr>
        <w:spacing w:after="0" w:line="183"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In addition to managing cost of sales and operating expenses, we believe that a cost-improved restaurant prototype is critical to enhancing returns and supporting disciplined growth. Cost optimization efforts related to furniture, fixtures, and equipment (“FF&amp;E”), layout, materials, and design standards were initiated at the end of 2024. Identified savings – particularly within FF&amp;E – have been incorporated into new restaurant builds beginning in 2025. The full next-generation prototype, inclusive of identified cost savings to date, is expected to open in 2026.</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Drive Unit Growth Again Through National Expansion</w:t>
      </w:r>
    </w:p>
    <w:p>
      <w:pPr>
        <w:spacing w:after="0" w:line="229"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We believe that execution of our first four strategies will enable us to grow our restaurant base. Our restaurant model is designed to generate strong cash flow, attractive restaurant-level financial results and high returns on invested capital. During fiscal 2025, we opened nine new stores, of which eight were franchised and one was company-owned.</w:t>
      </w:r>
    </w:p>
    <w:p>
      <w:pPr>
        <w:spacing w:after="0" w:line="1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In addition to unit growth, we believe that remodels and refreshes to our existing fleet will keep El Pollo Loco relevant to our customers and keep them coming back. In 2025, we completed 17 company-operated restaurant remodels, and our franchisees completed 52 remodels. In 2026, we plan to continue our standard practices for remodels, including 25 to 35 company-operated and 30 to 40 franchised restaurants.</w:t>
      </w:r>
    </w:p>
    <w:p>
      <w:pPr>
        <w:spacing w:after="0" w:line="180"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We expect future new unit development to be led by franchisees and complemented by company store growth, through both in-fill in existing markets and expansion into adjacent and contiguous new markets. In order to expand into new markets, we believe that we need to source new franchisees and, therefore, we expect to invest more resources in sourcing and onboarding them in the future, including franchise recruitment, franchise operations, and field marketing.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Site Selection and Expansion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Restaurant Development</w:t>
      </w:r>
    </w:p>
    <w:p>
      <w:pPr>
        <w:spacing w:after="0" w:line="229" w:lineRule="exact"/>
        <w:rPr>
          <w:sz w:val="20"/>
          <w:szCs w:val="20"/>
          <w:color w:val="auto"/>
        </w:rPr>
      </w:pPr>
    </w:p>
    <w:p>
      <w:pPr>
        <w:jc w:val="both"/>
        <w:ind w:left="60" w:right="219"/>
        <w:spacing w:after="0" w:line="256" w:lineRule="auto"/>
        <w:rPr>
          <w:sz w:val="20"/>
          <w:szCs w:val="20"/>
          <w:color w:val="auto"/>
        </w:rPr>
      </w:pPr>
      <w:r>
        <w:rPr>
          <w:rFonts w:ascii="Times New Roman" w:cs="Times New Roman" w:eastAsia="Times New Roman" w:hAnsi="Times New Roman"/>
          <w:sz w:val="18"/>
          <w:szCs w:val="18"/>
          <w:color w:val="auto"/>
        </w:rPr>
        <w:t>We believe that our restaurant model is designed to generate strong cash flow, attractive restaurant-level financial results, and high returns on invested capital, which we believe provide us with a strong foundation for unit growth over the long-term. In 2025, one new company-operated restaurant was opened in California and eight new franchised restaurants were opened, two in California, one in Texas, two in Arizona, one in Colorado, one in New Mexico, and one in Washington. In fiscal 2026, we intend to open three to four new company-operated restaurants in California and Texas and 15 to 16 new franchised restaurants.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Site Selection Process</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consider the location of a restaurant to be a critical variable in its long-term success and as such, we devote significant effort to the investigation and evaluation of potential restaurant locations. Our in-house development team has extensive experience building such brands as Starbucks, QDOBA, Taco Bell, and Coffee Bean &amp; Tea Leaf. We use a combination of our in-house development team and outside real estate consultants to locate, evaluate, and negotiate new sites using various criteria, including demographic characteristics, daytime population thresholds, and traffic patterns, along with the potential visibility of, and accessibility to, the restaurant. The process for selecting locations incorporates management’s experience and expertise and includes extensive data collection and analysis. Additionally, we use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information and intelligence gathered from managers and other restaurant personnel that live in or near the neighborhoods that we are considering.</w:t>
      </w:r>
    </w:p>
    <w:p>
      <w:pPr>
        <w:spacing w:after="0" w:line="162"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Based on our experience and results, we are currently focused on developing freestanding sites with drive-thrus along with select in-line locations. Our restaurants perform well in a variety of neighborhoods, which gives us greater flexibility and lowers operating risk when selecting new restaurant locations.</w:t>
      </w:r>
    </w:p>
    <w:p>
      <w:pPr>
        <w:spacing w:after="0" w:line="1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We approve new restaurants only after formal review by our real estate site approval committee, which includes some of our senior management, and we monitor restaurants’ on-going performances to inform future site selection decisions.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Restaurant Construction</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After identifying a lease site, we commence our restaurant build-out. Our new restaurants are either ground-up prototypes or retail space conversions. On average, it takes approximately 12 to 24 months from specific site identification to restaurant opening. Our restaurants are constructed in approximately 10 to 15 weeks. In order to maintain consistency of food and customer service, as well as our colorful, bright, and contemporary restaurant environment, we have set processes and timelines to follow for all restaurant openings.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Restaurant Management and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Service</w:t>
      </w:r>
    </w:p>
    <w:p>
      <w:pPr>
        <w:spacing w:after="0" w:line="22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We are extremely focused on customer service. We aim to provide fast, friendly service on a solid foundation of dedicated, driven team members and managers. Our cashiers are trained on the menu items that we offer and offer customers thoughtful suggestions to enhance the ordering process. Our team members and managers are responsible for our service and dining room environment with a focus on hospitality. Team members seek to engage in conversation with our customers to ensure satisfaction. In addition, constant monitoring of the dining room occurs to ensure the beverage station is clean and supplied with products.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229"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We utilize systems that are aimed at measuring our ability to deliver a great experience for our customers. These systems include customer surveys, social media ratings and speed-of-service performance trends. These results are then presented on an operations dashboard that displays the measures for corporate and restaurant-level management and franchisees to utilize in developing specific plans for continuous performance improvement. In addition, all company-operated restaurants utilize digital communication boards, which communicate real-time sales and other data to our restaurant managers.</w:t>
      </w:r>
    </w:p>
    <w:p>
      <w:pPr>
        <w:spacing w:after="0" w:line="187" w:lineRule="exact"/>
        <w:rPr>
          <w:sz w:val="20"/>
          <w:szCs w:val="20"/>
          <w:color w:val="auto"/>
        </w:rPr>
      </w:pPr>
    </w:p>
    <w:p>
      <w:pPr>
        <w:ind w:left="60" w:right="239"/>
        <w:spacing w:after="0" w:line="289" w:lineRule="auto"/>
        <w:rPr>
          <w:sz w:val="20"/>
          <w:szCs w:val="20"/>
          <w:color w:val="auto"/>
        </w:rPr>
      </w:pPr>
      <w:r>
        <w:rPr>
          <w:rFonts w:ascii="Times New Roman" w:cs="Times New Roman" w:eastAsia="Times New Roman" w:hAnsi="Times New Roman"/>
          <w:sz w:val="17"/>
          <w:szCs w:val="17"/>
          <w:color w:val="auto"/>
        </w:rPr>
        <w:t>We have food safety and quality assurance programs designed to maintain the highest standards for the food and the food preparation procedures that are used by both company-operated and franchised restaurants. We have a quality assurance team and employ third-party auditors that perform our workplace, brand standards, and food safety restaurant audits.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Managers and Team Members</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Each of our restaurants typically has a general manager and two to three shift leaders and some restaurants have an assistant manager. There are between 15 and 35 team members per restaurant who prepare our food fresh daily and provide customer service. To lead our restaurant management teams, we have structure of area leaders, market leaders, and regional directors that report to our Vice President of Company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Training</w:t>
      </w:r>
    </w:p>
    <w:p>
      <w:pPr>
        <w:spacing w:after="0" w:line="22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Our team members are the heart of El Pollo Loco, and it is our responsibility to equip them with the skills and knowledge necessary to deliver our high standards and commitments to the customer and team member experience. We strive to find ways to simplify our methodology and invest in elevating our team members and leaders. In a rapidly evolving landscape, effective training depends not only on the quality of content but also on delivery methods. We believe in a blended approach to training to capture all audiences by integrating digital technology and traditional hands-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on training activities. To engage our growing base of multi-generational employees, we employ a Learning Management System called Pollo Zone, a tablet-based interactive learning tool. This platform is a central hub for all training efforts and features individual learner profiles to support engagement and accountability on our path toward investing in our people and their growth.</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Franchise Program</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use a franchising strategy to increase new restaurant growth in certain markets, leveraging the ownership of entrepreneurs with specific local market expertise and requiring a relatively minimal capital commitment by us. As of December 31, 2025, we had a total of 328 franchised restaurants. Franchisees range in size from single-restaurant operators to our largest franchisee, which owned 79 restaurants as of December 31, 2025. Our existing franchise base consists of many successful, longstanding, multi-unit restaurant operators. As of December 31, 2025, approximately 83% of franchised restaurants were owned and operated by franchisees that had been with us for over 20 years.</w:t>
      </w:r>
    </w:p>
    <w:p>
      <w:pPr>
        <w:spacing w:after="0" w:line="187"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We believe that the franchise revenue generated from our franchise base has historically served as an important source of stable and recurring cash flows to us, and we accordingly plan to expand our base of franchised restaurants. In existing markets, we encourage growth from current franchisees. In our expansion markets, we seek highly-qualified, well-capitalized and experienced new franchisees for multi-unit development opportunities.</w:t>
      </w:r>
    </w:p>
    <w:p>
      <w:pPr>
        <w:spacing w:after="0" w:line="180"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We believe that creating a foundation of initial and on-going support is important for future success, both for our franchisees and for our brand. Therefore, we have structured our corporate staff, programs, and communication systems to ensure that we are delivering high-quality support to our franchisees.</w:t>
      </w:r>
    </w:p>
    <w:p>
      <w:pPr>
        <w:spacing w:after="0" w:line="1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franchise training program is a key element in ensuring our franchise owners and their managers are equipped with the knowledge and skills necessary for success. The program introduces new franchise members to El Pollo Loco with hands-on training in the operation and management of our restaurants. This foundational training is conducted by a general training manager who has been certified by our operations group. Training must be successfully completed before a trainee can be assigned to a restaurant as a manager.</w:t>
      </w:r>
    </w:p>
    <w:p>
      <w:pPr>
        <w:spacing w:after="0" w:line="183"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Once introductory training has been completed, we offer a path toward constant learning for all crew members by providing instructional materials that span management training, operations, new product introductions, food safety and a number of other essential restaurant functions. Many of these programs are distributed through Pollo Zone that provides our franchise owners with real-time access to the progress of learning in their restaurants.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Marketing and Advertising</w:t>
      </w:r>
    </w:p>
    <w:p>
      <w:pPr>
        <w:spacing w:after="0" w:line="229"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We strive to distinguish the El Pollo Loco brand by building brand equity that we believe not only accentuates our strengths but also deepens the strong emotional connections we have with our customers. We promote our restaurants and products by emphasizing our points of differentiation, which include our Mexican flavors, our fresh ingredients and preparation methods, and the cooking of our citrus-marinated chicken on open fire grills in our kitchens, as well as the convenience and quality we offer for families.</w:t>
      </w:r>
    </w:p>
    <w:p>
      <w:pPr>
        <w:spacing w:after="0" w:line="183"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We use multiple marketing channels, including traditional and digital media, and leverage video, static, and print content to effectively deliver our marketing messages. We target our advertising, using local broadcast and cable television to reach a wide audience, and digital media and streaming to layer on more targeted audience segments.</w:t>
      </w:r>
    </w:p>
    <w:p>
      <w:pPr>
        <w:spacing w:after="0" w:line="17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Through our public relations efforts, we engage notable food editors, influencers and bloggers on a range of topics to help promote our products. In addition, we engage in one-on-one conversations using a portfolio of social media platforms, including Facebook, TikTok, Instagram, Threads, and X (formerly Twitter). We also use social media as a research and customer service tool, and apply insights gained to future marketing efforts.</w:t>
      </w:r>
    </w:p>
    <w:p>
      <w:pPr>
        <w:spacing w:after="0" w:line="180"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Our Loco Rewards™ loyalty program uses points, rewards, and offers to build engagement with our customers. Customers access the program on elpolloloco.com and the El Pollo Loco iOS Apple and Android app. We build segmented, dynamic campaigns with special offers tailored to each customer segment with the goals of increasing visit frequency and growing overall spend. To keep customers engaged with the program, unannounced offers, called “Surprise and Delights” are awarded based on that customer’s transaction history. We communicate offers, loyalty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updates and other Loco Rewards campaigns to customers via in-app messaging, mobile phone push notifications and email.</w:t>
      </w:r>
    </w:p>
    <w:p>
      <w:pPr>
        <w:spacing w:after="0" w:line="237" w:lineRule="exact"/>
        <w:rPr>
          <w:sz w:val="20"/>
          <w:szCs w:val="20"/>
          <w:color w:val="auto"/>
        </w:rPr>
      </w:pPr>
    </w:p>
    <w:p>
      <w:pPr>
        <w:jc w:val="both"/>
        <w:ind w:left="60" w:right="219"/>
        <w:spacing w:after="0" w:line="258" w:lineRule="auto"/>
        <w:rPr>
          <w:sz w:val="20"/>
          <w:szCs w:val="20"/>
          <w:color w:val="auto"/>
        </w:rPr>
      </w:pPr>
      <w:r>
        <w:rPr>
          <w:rFonts w:ascii="Times New Roman" w:cs="Times New Roman" w:eastAsia="Times New Roman" w:hAnsi="Times New Roman"/>
          <w:sz w:val="18"/>
          <w:szCs w:val="18"/>
          <w:color w:val="auto"/>
        </w:rPr>
        <w:t>Our online ordering program makes it easy for customers to skip the line and order ahead. Available at every location and accessible from elpolloloco.com or the El Pollo Loco mobile app, any order can be placed and paid for before arriving at the restaurant. El Pollo Loco has partnered with Postmates, DoorDash, Uber Eats and Grubhub as additional methods for ordering. El Pollo Loco also operates direct delivery via elpolloloco.com or the Loco Rewards App, which is exclusively fulfilled by DoorDash.</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Purchasing and Distribution</w:t>
      </w:r>
    </w:p>
    <w:p>
      <w:pPr>
        <w:spacing w:after="0" w:line="22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Maintaining a high degree of quality in our restaurants depends in part on our ability to acquire fresh ingredients, and other necessary supplies that meet our specifications, from reliable suppliers. We regularly inspect our vendors to ensure that products purchased conform to our standards and that prices offered are competitive. We have a quality assurance team and third-party accredited auditors that perform comprehensive supplier audits on a frequency schedule based on the potential food safety risk for each product. Starting in March 2025, Performance Food Group Customized Distribution (“PFG Customized”) was our new primary distributor for substantially all of our food and supplies, including the poultry that our restaurants receive from suppliers. Our primary distributor delivers supplies to most of our restaurants two to three times per week. Our restaurants in Texas, Louisiana and Colorado utilize regional distributors for produce. Our franchisees are required to use our primary distributor or an approved regional distributor, and franchisees must purchase food and supplies from approved suppliers. Poultry is our largest product cost item and represented approximately 37% of our total food and paper costs for 2025. Fluctuations in supply and in price can significantly impact our restaurant service and profit performance. We actively manage cost volatility for poultry by negotiating with multiple suppliers and entering into what we believe are the most favorable contract terms given existing market conditions. In the past, we have entered into contracts ranging from one to two years depending on current and expected market conditions. During fiscal 2025, we sourced poultry from five suppliers, with three accounting for approximately 97% of our purchases for fiscal 2025. During fiscal 2025, more than 80% of our poultry purchases have been contracted at a fixed price. Moving into fiscal 2026, we have entered into contracts with six suppliers.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have registered El Pollo Loco ® , Let’s Get Loco ®, Pollo Bowl ® , and certain other names used by our restaurants as trademarks or service marks with the U.S. Patent and Trademark Office, and El Pollo Loco ® in approximately 40 foreign countries and the European Union. In addition, the El Pollo Loco logo, website name and address, Facebook, X (formerly Twitter), Instagram, Tik Tok, and YouTube accounts are our intellectual property. Our policy is to pursue and maintain registration of service marks and trademarks in those countries where business strategy requires us to do so, and to oppose vigorously any infringement or dilution of the service marks or trademarks in those countries. We maintain the recipe for our chicken marinade, as well as certain proprietary standards, specifications, and operating procedures, as trade secrets or as confidential proprietary information. Our business relies in significant part on licensing our intellectual property to franchisees who operate restaurants using our brand, trademarks, and system. Our franchise and renewal terms are typically 20 years.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We operate in the restaurant industry, which is highly competitive and fragmented. The number, size, and strength of competitors varies by region. Our competition includes a variety of locally-owned restaurants and national and regional chains that offer dine-in, carry-out, and delivery services.</w:t>
      </w:r>
    </w:p>
    <w:p>
      <w:pPr>
        <w:spacing w:after="0" w:line="176"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We believe that competition within the fast-casual restaurant segment is based primarily on ambience, price, taste, quality, and freshness of menu items, as well as on the convenience of drive-thru service. We also believe that QSR competition is based primarily on quality, taste, speed of service, value, brand recognition, restaurant location, and customer service. In addition, we compete with franchisors of other restaurant concepts for prospective franchisees.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Our operations are subject to federal, state, and local laws and regulations relating to environmental protection, including regulation of discharges into the air and water, storage and disposal of liquid and solid waste, and clean-up of contaminated soil and groundwater. Under various federal, state, and local laws, an owner or operator of real property may be liable for the cost of removal or remediation of hazardous or toxic substances on, in, or emanating from that property. Such liability may be imposed without regard to whether the owner or operator knew of, or was responsible for, the presence of such hazardous or toxic substances.</w:t>
      </w:r>
    </w:p>
    <w:p>
      <w:pPr>
        <w:spacing w:after="0" w:line="187"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Certain of our properties may be located on sites that we know or suspect have been used by prior owners or operators as retail gasoline stations. Such properties previously contained underground storage tanks (“USTs”) for gasoline storage, and while we are not aware of any sites with USTs remaining, it is possible that some of these properties may currently contain abandoned USTs. We are aware of contamination from a release of hazardous materials by a previous owner or operator at two of our owned properties and one of our leased properties. We do not believe that we have contributed to the pre-existing contamination at any of these properties. The appropriate state agencies have been notified, and these issues are being handled without disruption to our business. It is possible that petroleum products and other contaminants may have been released at other properties into the soil or groundwater. Under applicable federal and state environmental laws, we, as the current owner or operator of these sites, may be jointly and severally liable for the costs of investigation and remediation for certain contamination. Although we lease most of our properties, and, when we own, we obtain certain assurances from the prior owner or often obtain indemnity agreements from third parties, we may nonetheless be liable for environmental conditions relating to our prior, current, or future restaurants or restaurant sites. If we were found liable for the cost of remediation of contamination at, or emanating from, any of our properties, our operating expenses would likely increase and our operating results would likely be adversely affected and, in extraordinary circumstances, our operating results could be materially affected.</w:t>
      </w:r>
    </w:p>
    <w:p>
      <w:pPr>
        <w:spacing w:after="0" w:line="19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Since 2000, we have obtained “Phase One” Environmental Site Assessments (assessing whether current or historical property uses have impacted soil or groundwater beneath the property, posing a threat to the environment and/or human health) for new restaurants. Where warranted, we obtain updated reports, and, if necessary, in rare cases, we obtain “Phase Two” Environmental Site Assessments (evaluating the presence or absence of petroleum products or hazardous substances via soil and/or groundwater sampling). We have not conducted a comprehensive subsurface environmental review of all of our properties or operations. No assurance can be given that we have identified all of the potential environmental liabilities at our properties or that such liabilities will not have a material adverse effect on our financial condition.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Regulation and Compliance</w:t>
      </w:r>
    </w:p>
    <w:p>
      <w:pPr>
        <w:spacing w:after="0" w:line="229"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We and our franchisees are subject to various federal, state and local laws and regulations that govern our business operations, including those governing:</w:t>
      </w:r>
    </w:p>
    <w:p>
      <w:pPr>
        <w:spacing w:after="0" w:line="162" w:lineRule="exact"/>
        <w:rPr>
          <w:sz w:val="20"/>
          <w:szCs w:val="20"/>
          <w:color w:val="auto"/>
        </w:rPr>
      </w:pPr>
    </w:p>
    <w:p>
      <w:pPr>
        <w:jc w:val="both"/>
        <w:ind w:left="720" w:right="419" w:hanging="319"/>
        <w:spacing w:after="0" w:line="255"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wage and hour practices, including, but not limited to, minimum wage rates, overtime, meal and rest periods, prevention of discrimination, harassment, and retaliation, employment of minors, paid and family leave, unemployment tax rates, workers’ compensation rates, suitable seating, and citizen, visa, or lawful permanent resident requirements, and other working conditions;</w:t>
      </w:r>
    </w:p>
    <w:p>
      <w:pPr>
        <w:spacing w:after="0" w:line="2" w:lineRule="exact"/>
        <w:rPr>
          <w:rFonts w:ascii="Times New Roman" w:cs="Times New Roman" w:eastAsia="Times New Roman" w:hAnsi="Times New Roman"/>
          <w:sz w:val="18"/>
          <w:szCs w:val="18"/>
          <w:color w:val="auto"/>
        </w:rPr>
      </w:pPr>
    </w:p>
    <w:p>
      <w:pPr>
        <w:ind w:left="720" w:right="43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security, including the collection, maintenance and use of information regarding employees and guests;</w:t>
      </w:r>
    </w:p>
    <w:p>
      <w:pPr>
        <w:ind w:left="720" w:right="41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Americans with Disabilities Act and similar laws affording various protections and accommodations to employees and guests with disabilities;</w:t>
      </w:r>
    </w:p>
    <w:p>
      <w:pPr>
        <w:jc w:val="both"/>
        <w:ind w:left="720" w:right="43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practices, including the discharge, storage, handling, release and disposal of hazardous or toxic substances; regulation of discharges into the air, water and soils, storage and disposal of liquid and solid waste, and clean-up of contaminated soil and groundwater, and regulations restricting the use of straws, utensils and the certain packaging materials;</w:t>
      </w:r>
    </w:p>
    <w:p>
      <w:pPr>
        <w:spacing w:after="0" w:line="1" w:lineRule="exact"/>
        <w:rPr>
          <w:rFonts w:ascii="Times New Roman" w:cs="Times New Roman" w:eastAsia="Times New Roman" w:hAnsi="Times New Roman"/>
          <w:sz w:val="18"/>
          <w:szCs w:val="18"/>
          <w:color w:val="auto"/>
        </w:rPr>
      </w:pPr>
    </w:p>
    <w:p>
      <w:pPr>
        <w:ind w:left="720" w:right="41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Federal Trade Commission and laws that govern the franchisor-franchisee relationship, including the offer and sale of franchises and certain disclosures to franchisees;</w:t>
      </w:r>
    </w:p>
    <w:p>
      <w:pPr>
        <w:jc w:val="both"/>
        <w:ind w:left="720" w:right="419" w:hanging="319"/>
        <w:spacing w:after="0" w:line="255"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sale and labeling of food, including regulations of the Food and Drug Administration, which oversees the safety of the entire food system, including inspections and mandatory food recalls, menu labeling and nutritional content;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39" w:hanging="319"/>
        <w:spacing w:after="0" w:line="261"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hours and working conditions, health, sanitation, safety and fire standards, building and zoning requirements, public accommodations and safety conditions, environmental matters, and data privacy;</w:t>
      </w:r>
    </w:p>
    <w:p>
      <w:pPr>
        <w:ind w:left="720" w:right="419" w:hanging="319"/>
        <w:spacing w:after="0" w:line="25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and zoning requirements, including state and local licensing and regulation governing the design and operation of facilities and land use; and</w:t>
      </w: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sanitation and public safety.</w:t>
      </w:r>
    </w:p>
    <w:p>
      <w:pPr>
        <w:spacing w:after="0" w:line="207"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We require each of our franchise partners to comply with all federal, state and local laws and regulations. We have processes in place to monitor our own compliance with the numerous, complex, applicable laws and regulations governing our operations.</w:t>
      </w:r>
    </w:p>
    <w:p>
      <w:pPr>
        <w:spacing w:after="0" w:line="176" w:lineRule="exact"/>
        <w:rPr>
          <w:sz w:val="20"/>
          <w:szCs w:val="20"/>
          <w:color w:val="auto"/>
        </w:rPr>
      </w:pPr>
    </w:p>
    <w:p>
      <w:pPr>
        <w:jc w:val="both"/>
        <w:ind w:left="60" w:right="379"/>
        <w:spacing w:after="0" w:line="252" w:lineRule="auto"/>
        <w:rPr>
          <w:sz w:val="20"/>
          <w:szCs w:val="20"/>
          <w:color w:val="auto"/>
        </w:rPr>
      </w:pPr>
      <w:r>
        <w:rPr>
          <w:rFonts w:ascii="Times New Roman" w:cs="Times New Roman" w:eastAsia="Times New Roman" w:hAnsi="Times New Roman"/>
          <w:sz w:val="18"/>
          <w:szCs w:val="18"/>
          <w:color w:val="auto"/>
        </w:rPr>
        <w:t>Other than as described herein, the Company’s compliance with federal, state or local laws and regulations, including environmental laws, is not expected to materially affect our earnings or competitive position or result in material capital expenditures. However, we cannot predict what laws will be enacted in the future, or how existing or future laws will be administered, interpreted or enforced. We also cannot predict the amount of future expenditures that we may need to make to comply with, or to satisfy claims and lawsuits relating to, these various laws and regulations. Further, more stringent and varied requirements of local government bodies with respect to zoning, land use and environmental factors could delay construction and increase development costs for new restaurants. Moreover, although we have not experienced, and do not anticipate, any significant problems in obtaining required licenses, permits, or approvals, any difficulties, delays, or failures in obtaining such licenses, permits, registrations, exemptions, or approvals could delay or prevent the opening of, or adversely impact the viability of, a restaurant in a particular area. Additionally, a significant portion of our hourly staff is paid at minimum wage rates consistent with the applicable federal, state, or local laws and, accordingly, increases in the applicable minimum wage will increase our labor costs. We are also subject to the Americans with Disabilities Act, which prohibits discrimination on the basis of disability in public accommodations and employment, and which may require us to design or modify our restaurants to make reasonable accommodations for disabled individuals.</w:t>
      </w:r>
    </w:p>
    <w:p>
      <w:pPr>
        <w:spacing w:after="0" w:line="196" w:lineRule="exact"/>
        <w:rPr>
          <w:sz w:val="20"/>
          <w:szCs w:val="20"/>
          <w:color w:val="auto"/>
        </w:rPr>
      </w:pPr>
    </w:p>
    <w:p>
      <w:pPr>
        <w:jc w:val="both"/>
        <w:ind w:left="60" w:right="379"/>
        <w:spacing w:after="0" w:line="282" w:lineRule="auto"/>
        <w:rPr>
          <w:sz w:val="20"/>
          <w:szCs w:val="20"/>
          <w:color w:val="auto"/>
        </w:rPr>
      </w:pPr>
      <w:r>
        <w:rPr>
          <w:rFonts w:ascii="Times New Roman" w:cs="Times New Roman" w:eastAsia="Times New Roman" w:hAnsi="Times New Roman"/>
          <w:sz w:val="18"/>
          <w:szCs w:val="18"/>
          <w:color w:val="auto"/>
        </w:rPr>
        <w:t>See “Item 1A. Risk Factors” and the subsection titled “Environmental Matters” above in this Annual Report for a discussion of risks relating to federal, state, local and regulation of our business.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Information Systems</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All of our company-operated and franchised restaurants use computerized point-of-sale and back-office systems, which we believe can scale to support our long-term growth plans. Our third-party point-of-sale system provides a touch-screen interface and is integrated with segmented Europay, Mastercard and Visa tokenized high speed credit and gift card processing hardware. Our point-of-sale system is used to collect daily transaction data, which provides daily sales and product mix information that we actively analyze.</w:t>
      </w:r>
    </w:p>
    <w:p>
      <w:pPr>
        <w:spacing w:after="0" w:line="183"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Our in-restaurant back-office computer system is designed to assist in the management of our restaurants and to provide labor and food cost management tools. The system also provides corporate headquarters and restaurant operations management quick access to detailed business data, and reduces the time spent by restaurant managers on administrative needs. The system further provides sales, bank deposit, and variance data to our accounting department on a daily basis. For company-operated restaurants, we use this data to generate weekly consolidated reports regarding sales and other key measures, as well as preliminary weekly profit and loss statements for each location, with final reports following the end of each period.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As of December 31, 2025, we had approximately 4,034 employees, of whom approximately 3,857 were hourly restaurant employees comprised of 3,097 crewmembers, 172 general managers/acting general managers, 74 assistant managers, 483 shift leaders, and 31 employees in limited-time roles as acting managers or as managers in training. The remaining 177 employees were corporate and office personnel. None of our employees are part of a collective bargaining agreement, and we believe that our relationships with our employees are satisfactory.</w:t>
      </w:r>
    </w:p>
    <w:p>
      <w:pPr>
        <w:spacing w:after="0" w:line="183"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We believe our efforts to maintain solid relationships with our employees are effective and are grounded in our “STRONG” company values – Simple, Together, Relentless, Ownership, Nimble, and Growth. Our primary human capital objective is employee engagement, which is dependent upon hiring, retaining, developing and motivating employees. We strive to build a culture centered around these values to drive performance and employee retention. We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believe this mission is predicated on servant-led leadership, employee recognition and community involvement. We offer our employees both online and on-the-job training. Restaurant management trainees participate in comprehensive, multi-week training programs touching on all aspects of the operations, including restaurant leadership. We provide key restaurant leadership roles with a quarterly cash-based performance bonus awards. Our corporate employees are provided an annual performance bonus award. We also have an equity incentive compensation plan to provide certain management-level or other key employees with stock-based awards. We monitor our progress with metrics such as employee performance measures, turnover rates and restaurant customer surveys.</w:t>
      </w:r>
    </w:p>
    <w:p>
      <w:pPr>
        <w:spacing w:after="0" w:line="189"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The health and well-being of our employees and guests have always been and continues to be our top priority. We have maintained enhanced safety measures to help protect the health and well-being of all of our employees.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60" w:right="179"/>
        <w:spacing w:after="0" w:line="281" w:lineRule="auto"/>
        <w:rPr>
          <w:sz w:val="20"/>
          <w:szCs w:val="20"/>
          <w:color w:val="auto"/>
        </w:rPr>
      </w:pPr>
      <w:r>
        <w:rPr>
          <w:rFonts w:ascii="Times New Roman" w:cs="Times New Roman" w:eastAsia="Times New Roman" w:hAnsi="Times New Roman"/>
          <w:sz w:val="17"/>
          <w:szCs w:val="17"/>
          <w:color w:val="auto"/>
        </w:rPr>
        <w:t>Seasonal factors, including weather and the timing of holidays, cause our revenue to fluctuate from quarter to quarter.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company-operated restaurant revenue and comparable restaurant sales may fluctuate.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60" w:right="439"/>
        <w:spacing w:after="0" w:line="256" w:lineRule="auto"/>
        <w:rPr>
          <w:sz w:val="20"/>
          <w:szCs w:val="20"/>
          <w:color w:val="auto"/>
        </w:rPr>
      </w:pPr>
      <w:r>
        <w:rPr>
          <w:rFonts w:ascii="Times New Roman" w:cs="Times New Roman" w:eastAsia="Times New Roman" w:hAnsi="Times New Roman"/>
          <w:sz w:val="18"/>
          <w:szCs w:val="18"/>
          <w:color w:val="auto"/>
        </w:rPr>
        <w:t>We make available free of charge on our Internet website our Annual Reports, quarterly reports on Form 10-Q, current reports on Form 8-K, and amendments to those reports filed or furnished pursuant to Section 13(a) or 15(d) of the Securities Exchange Act of 1934, as amended (the “Exchange Act”), as soon as reasonably practicable after we electronically file such material with, or furnish it to, the Securities and Exchange Commission (“SEC”). Our Internet address is www.elpolloloco.com. The contents of our Internet website are not part of this annual report, and are not incorporated by reference. Our Internet address is provided as an inactive textual reference only.</w:t>
      </w:r>
    </w:p>
    <w:p>
      <w:pPr>
        <w:spacing w:after="0" w:line="187"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 SEC also maintains an Internet site that contains reports, proxy and information statements, and other information regarding issuers, including us, that file electronically with the SEC, at http://www.sec.gov.</w:t>
      </w:r>
    </w:p>
    <w:p>
      <w:pPr>
        <w:spacing w:after="0" w:line="15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ind w:left="60" w:right="279"/>
        <w:spacing w:after="0" w:line="290" w:lineRule="auto"/>
        <w:rPr>
          <w:sz w:val="20"/>
          <w:szCs w:val="20"/>
          <w:color w:val="auto"/>
        </w:rPr>
      </w:pPr>
      <w:r>
        <w:rPr>
          <w:rFonts w:ascii="Times New Roman" w:cs="Times New Roman" w:eastAsia="Times New Roman" w:hAnsi="Times New Roman"/>
          <w:sz w:val="17"/>
          <w:szCs w:val="17"/>
          <w:i w:val="1"/>
          <w:iCs w:val="1"/>
          <w:color w:val="auto"/>
        </w:rPr>
        <w:t>You should carefully consider the following risk factors, as well as other information contained in this Annual Report, including our financial statements and the notes related to those statements. The occurrence of any of the following risks could materially and adversely affect our business, prospects, financial condition, results of operations, and cash flow.</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25"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opening new company-operated or franchised restaurants or in establishing new markets, which could adversely affect our growth.</w:t>
      </w:r>
    </w:p>
    <w:p>
      <w:pPr>
        <w:spacing w:after="0" w:line="159"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One of the key means to achieving our growth strategy is and will be through opening new restaurants and operating those restaurants on a profitable basis. In fiscal 2026, we plan to open three to four company-operated restaurant and our franchisees intend to open 15 to 16 restaurants. The ability to open new restaurants is dependent upon a number of factors, many of which are beyond our control, including our and our franchisees’ abilities to: identify available and suitable restaurant sites; compete for restaurant sites; reach acceptable agreements regarding the lease or purchase of locations; obtain or have available the financing required to acquire and operate a restaurant, including construction and opening costs; respond to unforeseen engineering or environmental problems with leased premises; avoid the impact of inclement weather and natural and man-made disasters; hire, train, and retain the skilled management and other employees necessary to meet staffing needs; obtain, in a timely manner and for an acceptable cost, required licenses, permits, and regulatory approvals; respond effectively to any changes in local, state, and federal law and regulations that adversely affect our and our franchisees’ costs or abilities to open new restaurants; and control construction and equipment cost increases for new restaurants. In addition, we may experience delays in our shop development and expansion plans due to unexpectedly long processing times or delays on the part of governmental agencies who issue necessary licenses, permits, and approvals. Delays in the permitting or licensure processes that may result from government shutdowns, staffing shortages, or similar actions that are out of our control, due to, among other things, loss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59"/>
        <w:spacing w:after="0" w:line="266" w:lineRule="auto"/>
        <w:rPr>
          <w:sz w:val="20"/>
          <w:szCs w:val="20"/>
          <w:color w:val="auto"/>
        </w:rPr>
      </w:pPr>
      <w:r>
        <w:rPr>
          <w:rFonts w:ascii="Times New Roman" w:cs="Times New Roman" w:eastAsia="Times New Roman" w:hAnsi="Times New Roman"/>
          <w:sz w:val="18"/>
          <w:szCs w:val="18"/>
          <w:color w:val="auto"/>
        </w:rPr>
        <w:t>of or uncertainty around federal funding, including the receipt of federal funding by states or state agencies where we operate, could lead to delays in building our shops and affect our shop development and expansion plans, which could harm our results of operations and financial condition.</w:t>
      </w:r>
    </w:p>
    <w:p>
      <w:pPr>
        <w:spacing w:after="0" w:line="176"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manage these risks and open new restaurants or sign new franchisees as anticipated, or if restaurant openings are significantly delayed, we could face increased costs and lower than anticipated sales and earnings in future periods.</w:t>
      </w:r>
    </w:p>
    <w:p>
      <w:pPr>
        <w:spacing w:after="0" w:line="176"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As part of our longer-term growth strategy, we may enter into geographic markets in which we have little or no prior operating or franchising experience, including through company-operated restaurant growth and franchise development agreements. For example, we are pursuing new development agreements covering territories in Texas, Colorado, New Mexico, Idaho and Washington State. We currently have three restaurants in Colorado and opened our first locations in New Mexico, El Paso and Washington State in 2025. We plan on opening our first locations in Idaho in 2026. The challenges of entering new markets include (i) difficulties in hiring and training experienced personnel, (ii) unfamiliarity with local real estate markets and demographics, (iii) consumer unfamiliarity with our brand, and (iv) competitive and economic conditions, consumer tastes, and discretionary spending patterns that are different from and more difficult to predict or satisfy than in our existing markets. Any failure on our part to recognize or respond to these challenges may adversely affect the success of any new restaurants. Expanding our franchise system requires the implementation, expense, and successful management of enhanced business support systems, management information systems, and financial controls, as well as additional staffing, franchise support, and capital expenditures and working capital.</w:t>
      </w:r>
    </w:p>
    <w:p>
      <w:pPr>
        <w:spacing w:after="0" w:line="190"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Due to brand recognition and logistical synergies, as part of our growth strategy, we, at times, need to open new restaurants in areas where we have existing restaurants. The operating results and comparable restaurant sales for our restaurants could be adversely affected due to increasing proximity among our restaurants and due to market saturation.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compete successfully, including with other quick-service and fast casual restaurants.</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food service industry, and particularly its QSR and fast casual segments, is intensely competitive. Competition in our industry is primarily based on price, convenience, quality of service, brand recognition, ambience, restaurant location, type and quality of food, food safety, and our market position is based on balancing price and quality. These competitive factors are particularly applicable in markets in which we have expanded relatively rapidly or have recently expanded and continue to expand.</w:t>
      </w:r>
    </w:p>
    <w:p>
      <w:pPr>
        <w:spacing w:after="0" w:line="183" w:lineRule="exact"/>
        <w:rPr>
          <w:sz w:val="20"/>
          <w:szCs w:val="20"/>
          <w:color w:val="auto"/>
        </w:rPr>
      </w:pPr>
    </w:p>
    <w:p>
      <w:pPr>
        <w:ind w:left="60" w:right="99"/>
        <w:spacing w:after="0" w:line="269" w:lineRule="auto"/>
        <w:rPr>
          <w:sz w:val="20"/>
          <w:szCs w:val="20"/>
          <w:color w:val="auto"/>
        </w:rPr>
      </w:pPr>
      <w:r>
        <w:rPr>
          <w:rFonts w:ascii="Times New Roman" w:cs="Times New Roman" w:eastAsia="Times New Roman" w:hAnsi="Times New Roman"/>
          <w:sz w:val="17"/>
          <w:szCs w:val="17"/>
          <w:color w:val="auto"/>
        </w:rPr>
        <w:t>We compete with national, regional and locally owned limited-service restaurants, fast casual restaurants, and full-service restaurants. In addition, many of our competitors have greater name recognition nationally or in some of the local markets in which we have shops. Particularly, the greater Los Angeles area, the primary market in which we compete, consists of what we believe to be the most competitive Mexican-inspired QSR and fast casual market in the United States. We expect competition in this market and in each of our other markets to continue to be intense, because consumer trends are favoring LSRs that offer healthier menu items made with better-quality products, and many LSRs are responding to these trends. Moreover, we may also compete with companies outside the QSR and fast casual segment of the restaurant industry. For example, competitive pressures can come from deli sections and in-store cafés of several major grocery store chains, including those targeted at consumers who want higher-quality food, as well as from convenience stores, cafeterias and other dining outlets. Meal kit delivery companies and other eat-at-home options also present some degree of competition for our restaurants. If our company-operated and franchised restaurants cannot compete successfully, especially with other QSR and fast casual restaurants, in new and existing markets, we could lose customers and our revenue could decline, which may materially and adversely affect our business, financial condition, and results of operations.</w:t>
      </w:r>
    </w:p>
    <w:p>
      <w:pPr>
        <w:spacing w:after="0" w:line="1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Some of our competitors have substantially greater financial and other resources to devote to innovation in products, technology, and market and consumer data analytics, including integration, use, or offering of new technologies, including artificial intelligence. We may be unable to offer new or innovative products and technologies to our customers that are offered by our competitors, or there may be a delay in our ability to innovate or implement new technologies. Any of these competitive factors may harm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vulnerable to changes in political and economic conditions such as trade policies, tariff and import regulations by the United States, as well as consumer preferences.</w:t>
      </w:r>
    </w:p>
    <w:p>
      <w:pPr>
        <w:spacing w:after="0" w:line="159"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The restaurant industry is dependent upon consumer discretionary spending, which may be affected by general global economic conditions or other business conditions that may affect the desire or ability of our customers to purchase our products, including economic recessions or inflationary pressures. These conditions have also caused, and may continue to cause, increased labor, energy, commodity and other restaurant operating costs. In addition, we may be affected by higher consumer debt and interest rates, adverse conditions in the mortgage housing markets, high unemployment levels, increases in gas prices, declines in median income growth, lower consumer confidence, lower consumer discretionary spending and uncertainties due to geopolitical turmoil and potential national or international security concerns, including the recent outbreak of war in Iran. If the economy experiences a significant decline, our business, results of operations, our ability to access the capital markets and our ability to comply with the terms of our secured revolving credit facility could be materially and adversely affected, and we and our franchisees might decelerate the number and timing of new restaurant openings and/or the number of planned restaurant remodels. An actual or feared outbreak of disease, epidemic or pandemic, changes to regional or local economic conditions affecting consumer spending, or increased food or energy costs could also reduce consumer transactions or impose practical limits on pricing that could harm our business, financial condition, results of operations, and cash flow. In addition, political developments regarding U.S. relations with Mexico may harm our business. For example, increases in tariffs, restrictions on trade, or deterioration in American political or economic relations with Mexico could harm our brand and profitability. United States’ immigration laws are currently a topic of considerable political focus, and U.S. Immigration and Customs Enforcement (ICE) recently intensified certain of its immigration enforcement efforts. Changes in immigration or work authorization laws or additional enforcement activities of existing immigration or work authorization laws by federal or state authorities could increase labor costs for us or our suppliers and potentially impact consumer demand. More generally, changes in trade, labor, immigration policy, or work authorization laws, or additional enforcement activities of existing immigration or work authorization laws by federal or state authorities could raise our input prices, or reduce the supply of immigrants, who are in many cases our customers or employees, diminishing our sales and increasing our labor costs. In addition, factors that decrease consumer spending or increase security costs, such as social unrest, terrorist attacks or military action, including wars, may adversely affect our business.</w:t>
      </w:r>
    </w:p>
    <w:p>
      <w:pPr>
        <w:spacing w:after="0" w:line="204"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Additionally, the U.S. government has recently made statements and taken certain actions that have created significant uncertainty about the future relationship between the U.S. and various other countries, including Mexico, with respect to trade policies, treaties, government regulations and tariffs. For example, on February 1, 2025, the U.S. government proposed tariffs up to 25% on imports from certain countries, including Mexico and Canada, and implemented other tariffs on countries including China, largely doing so under the International Emergency Economic Powers Act (“IEEPA”). However, on February 20, 2026, the U.S. Supreme Court struck down the international tariffs imposed by President Trump that relied on the IEEPA as the basis. President Trump has subsequently expressed his intent to reinstate the tariffs through other means, and he has imposed temporary 15% tariffs on all countries under Section 122 of the Trade Act of 1974. Some of our produce, packaging and other items are procured from outside of the U.S. (including from Mexico, Canada and China), and any new or increased import duties, tariffs, trade sanctions or taxes, or other changes in U.S. trade or tax policy could result in higher food and supply costs that would adversely impact our financial results. While we are still evaluating the potential impacts of potential tariffs, as well as our ability to mitigate their related impacts, we anticipate it might adversely impact our revenue and cost of goods sold in the United States.</w:t>
      </w:r>
    </w:p>
    <w:p>
      <w:pPr>
        <w:spacing w:after="0" w:line="187"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If the provisions of these tariffs are maintained as proposed, we may need to take measures including increasing our menu prices in response. Higher menu prices or the perceived value of our meals relative to competitors may lead consumers to reduce their spending in our restaurants or switch to competitors’ value or lower-priced meals. If competitive or other factors prevent us from offsetting these higher costs through menu price increases, our profitability may decline, which could negatively impact our restaurant transactions, business, and comparable restaurant sales. The ultimate impact of any tariffs will depend on various factors, including if any tariffs are ultimately implemented, the timing of implementation, and the amount, scope and nature of the tariffs.</w:t>
      </w:r>
    </w:p>
    <w:p>
      <w:pPr>
        <w:spacing w:after="0" w:line="18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Additionally, changes in consumer health perceptions or trends in eating habits may also adversely affect our business if we are unable to effectively adapt our menu offerings. Our success is dependent upon continued customer acceptance of our Mexican-inspired food and customer health perceptions regarding our products. A decrease in American consumers’ interest in Mexican-inspired food or chicken-based food, or changes in customer health perceptions of our food, could harm our brand and profitability. We cannot make any assurances regarding our ability to effectively respond to changes in consumer preferences or our ability to develop new products that appeal to consumer preferences.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develop, assimilate, and retain employees, we may not be able to grow or successfully operate our business.</w:t>
      </w:r>
    </w:p>
    <w:p>
      <w:pPr>
        <w:spacing w:after="0" w:line="159" w:lineRule="exact"/>
        <w:rPr>
          <w:sz w:val="20"/>
          <w:szCs w:val="20"/>
          <w:color w:val="auto"/>
        </w:rPr>
      </w:pPr>
    </w:p>
    <w:p>
      <w:pPr>
        <w:ind w:left="60" w:right="199"/>
        <w:spacing w:after="0" w:line="273" w:lineRule="auto"/>
        <w:rPr>
          <w:sz w:val="20"/>
          <w:szCs w:val="20"/>
          <w:color w:val="auto"/>
        </w:rPr>
      </w:pPr>
      <w:r>
        <w:rPr>
          <w:rFonts w:ascii="Times New Roman" w:cs="Times New Roman" w:eastAsia="Times New Roman" w:hAnsi="Times New Roman"/>
          <w:sz w:val="17"/>
          <w:szCs w:val="17"/>
          <w:color w:val="auto"/>
        </w:rPr>
        <w:t>Our success depends in part upon our ability to attract, train, assimilate, and retain a sufficient number of employees, including crewmembers, managers and shift leaders, who understand and appreciate our culture, are able to represent our brand effectively and establish credibility with our customers. If we are unable to hire and retain restaurant employees capable of consistently providing a high level of customer service, understanding of our customers, and knowledge of our offerings, our ability to open new restaurants may be impaired, the performance of our existing and new restaurants could be adversely affected, and our brand image may be negatively impacted. Our growth strategy will require us to attract, train, and assimilate even more restaurant employees. Our ability to do so may be adversely affected by labor shortages.</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by regional geographic concentrations.</w:t>
      </w:r>
    </w:p>
    <w:p>
      <w:pPr>
        <w:spacing w:after="0" w:line="229" w:lineRule="exact"/>
        <w:rPr>
          <w:sz w:val="20"/>
          <w:szCs w:val="20"/>
          <w:color w:val="auto"/>
        </w:rPr>
      </w:pPr>
    </w:p>
    <w:p>
      <w:pPr>
        <w:ind w:left="60" w:right="659"/>
        <w:spacing w:after="0" w:line="258" w:lineRule="auto"/>
        <w:rPr>
          <w:sz w:val="20"/>
          <w:szCs w:val="20"/>
          <w:color w:val="auto"/>
        </w:rPr>
      </w:pPr>
      <w:r>
        <w:rPr>
          <w:rFonts w:ascii="Times New Roman" w:cs="Times New Roman" w:eastAsia="Times New Roman" w:hAnsi="Times New Roman"/>
          <w:sz w:val="18"/>
          <w:szCs w:val="18"/>
          <w:color w:val="auto"/>
        </w:rPr>
        <w:t>Our company-operated and franchised restaurants in the greater Los Angeles area generated, in the aggregate, approximately 71.9% of our revenue in fiscal 2025 and approximately 72% in fiscal 2024. Adverse changes in demographic, unemployment, economic, or regulatory conditions in the greater Los Angeles area or in the State of California, including, enforcement policies for and changes in immigration law, have had and may continue to have material adverse effects on our business.</w:t>
      </w:r>
    </w:p>
    <w:p>
      <w:pPr>
        <w:spacing w:after="0" w:line="183"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We also may be negatively affected by weather conditions specific to the Los Angeles region, including fires, earthquakes, or other natural disasters. Additionally, outside of Los Angeles, many of our restaurants are clustered around major cities in Northern California, Texas, Arizona, Nevada, Colorado and elsewhere, and prolonged or severe inclement weather could affect our sales at restaurants in locations that experience such conditions. Localized disasters, especially exacerbated by climate change, including wildfires, hurricanes, and flooding, could impair our assets and operations in those areas. Any other events disrupting businesses, consumer discretionary spending or our employee population in the greater Los Angeles area could also have an outsized negative impact on our business or results of operations.</w:t>
      </w:r>
    </w:p>
    <w:p>
      <w:pPr>
        <w:spacing w:after="0" w:line="185" w:lineRule="exact"/>
        <w:rPr>
          <w:sz w:val="20"/>
          <w:szCs w:val="20"/>
          <w:color w:val="auto"/>
        </w:rPr>
      </w:pPr>
    </w:p>
    <w:p>
      <w:pPr>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inability or failure to execute our business continuity and response plan following a major disaster such as a natural disaster, terrorism, social unrest or a cybersecurity incident affecting our corporate facilities could materially adversely affect our business.</w:t>
      </w:r>
    </w:p>
    <w:p>
      <w:pPr>
        <w:spacing w:after="0" w:line="175" w:lineRule="exact"/>
        <w:rPr>
          <w:sz w:val="20"/>
          <w:szCs w:val="20"/>
          <w:color w:val="auto"/>
        </w:rPr>
      </w:pPr>
    </w:p>
    <w:p>
      <w:pPr>
        <w:ind w:left="60" w:right="299"/>
        <w:spacing w:after="0" w:line="254" w:lineRule="auto"/>
        <w:rPr>
          <w:sz w:val="20"/>
          <w:szCs w:val="20"/>
          <w:color w:val="auto"/>
        </w:rPr>
      </w:pPr>
      <w:r>
        <w:rPr>
          <w:rFonts w:ascii="Times New Roman" w:cs="Times New Roman" w:eastAsia="Times New Roman" w:hAnsi="Times New Roman"/>
          <w:sz w:val="18"/>
          <w:szCs w:val="18"/>
          <w:color w:val="auto"/>
        </w:rPr>
        <w:t>Our corporate systems and support for our restaurant operations are handled primarily at our corporate headquarters. We have business continuity and response plans in place to address major disasters, including natural disasters such as earthquakes, hurricanes, flooding and wildfires, as well as man-made disasters such as terrorism, social unrest and cybersecurity incidents. However, if we are unable or fail to fully implement such plans, we may be unable to carry out essential corporate functions or we may be delayed in our recovery of data or required reporting and compliance, which could have a material adverse effect on our business or expose us to legal liabilities. In addition, threats from major disasters are constantly evolving, which may make it difficult for us to predict, plan for and protect against such threats, and our business continuity and response plan may not adequately address or protect against all threats we face.</w:t>
      </w:r>
    </w:p>
    <w:p>
      <w:pPr>
        <w:spacing w:after="0" w:line="188" w:lineRule="exact"/>
        <w:rPr>
          <w:sz w:val="20"/>
          <w:szCs w:val="20"/>
          <w:color w:val="auto"/>
        </w:rPr>
      </w:pPr>
    </w:p>
    <w:p>
      <w:pPr>
        <w:ind w:left="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success depends in part on our ability to effectively identify and secure appropriate sites for new restaurants.</w:t>
      </w:r>
    </w:p>
    <w:p>
      <w:pPr>
        <w:spacing w:after="0" w:line="15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In order to build new restaurants, we must first identify markets where we can enter or expand our footprint, taking into account numerous factors, including the location of our current restaurants, local economic trends, population density, area demographics, cost of construction and real estate and geography. Then we must secure appropriate restaurant sites, which is one of our biggest challenges. There are numerous factors involved in identifying and securing an appropriate restaurant site, including: evaluating size of the site, traffic patterns, local retail, residential and business attractions and infrastructure that will drive high levels of customer traffic and sales; competition in new markets, including competition for restaurant sites; financial conditions affecting developers and potential landlords, such as the effects of macro-economic conditions and the credit market (including the potential for rising interest rates), which could lead to these parties delaying or canceling development projects (or renovations of existing projects), in turn reducing the number of appropriate restaurant sites available; developers and potential landlords obtaining licenses or permits for development projects on a timely basis; proximity of potential restaurant sites to existing restaurants; anticipated commercial,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residential and infrastructure development near the potential restaurant site; and availability of acceptable lease terms and arrangements, including construction costs.</w:t>
      </w:r>
    </w:p>
    <w:p>
      <w:pPr>
        <w:spacing w:after="0" w:line="16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 addition, competition for restaurant sites in our target markets can be intense, and development and leasing costs are increasing. Given the numerous factors involved, we may not be able to successfully identify and secure attractive restaurant sites in existing, adjacent or new markets, or we may fail to develop, profitably operate or meet our projections for new restaurants at such sites, which could have a material adverse effect on our business, financial condition and results of operations.</w:t>
      </w:r>
    </w:p>
    <w:p>
      <w:pPr>
        <w:spacing w:after="0" w:line="179"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may continue to incur, significant impairment of certain of our assets, particularly in our new markets.</w:t>
      </w:r>
    </w:p>
    <w:p>
      <w:pPr>
        <w:spacing w:after="0" w:line="15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recognition of impairment charges may adversely affect our future operations and results. In assessing the recoverability of our property and equipment assets, we consider changes in economic conditions and make assumptions regarding estimated future cash flows and other factors. There is uncertainty in the projected undiscounted future cash flows used in our impairment review analysis, which requires the use of estimates and assumptions. If actual performance does not achieve the projections, or if the assumptions used change in the future, we may be required to recognize impairment charges in future periods, and such charges could be material. Given the difficulty in projecting results for newer restaurants in newer markets, as well as the impact of the current macroeconomic environment, we monitor the recoverability of the carrying value of the assets of several restaurants on an ongoing basis. Asset impairments to new units or future capital expenditures could present additional exposure. Closures could also require additional expenditures. Furthermore, franchised unit closings could result in the loss of franchise revenue and have other adverse effects on us.</w:t>
      </w:r>
    </w:p>
    <w:p>
      <w:pPr>
        <w:spacing w:after="0" w:line="190"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food costs, supply costs, and other operating expenses, especially for chicken could adversely affect our business, financial condition, and results of operations.</w:t>
      </w:r>
    </w:p>
    <w:p>
      <w:pPr>
        <w:spacing w:after="0" w:line="159"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Our profitability depends in part on our ability to anticipate and react to changes in the cost of food, supplies, labor, construction and utilities. In 2025, the costs of certain commodities, labor, and other inputs necessary to operate our restaurants have increased. For example, our labor and regulatory compliance have been adversely impacted as a result of AB 1228 which increased the minimum wage at fast food restaurants such as ours to $20 an hour on April 1, 2024. As a result of AB 1228, our labor and regulatory compliance costs increased significantly. See the risk titled “</w:t>
      </w:r>
      <w:r>
        <w:rPr>
          <w:rFonts w:ascii="Times New Roman" w:cs="Times New Roman" w:eastAsia="Times New Roman" w:hAnsi="Times New Roman"/>
          <w:sz w:val="18"/>
          <w:szCs w:val="18"/>
          <w:b w:val="1"/>
          <w:bCs w:val="1"/>
          <w:i w:val="1"/>
          <w:iCs w:val="1"/>
          <w:color w:val="auto"/>
        </w:rPr>
        <w:t>Matters relating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to employment and labor law may adversely affect our business</w:t>
      </w:r>
      <w:r>
        <w:rPr>
          <w:rFonts w:ascii="Times New Roman" w:cs="Times New Roman" w:eastAsia="Times New Roman" w:hAnsi="Times New Roman"/>
          <w:sz w:val="18"/>
          <w:szCs w:val="18"/>
          <w:color w:val="auto"/>
        </w:rPr>
        <w:t>” below for more information. In addition, we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susceptible to increases in food costs as a result of factors beyond our control, such as general economic conditions, seasonal economic fluctuations, weather conditions including wildfires and flooding, global demand, food shortages, food safety concerns, infectious diseases, fluctuations in the U.S. dollar, cyber-attacks, transportation issues, product recalls, and government regulations, including tariffs and other import restrictions on foreign produce and other goods. For example, we experienced inflationary pressures in recent years due to supply chain disruptions and commodity pricing volatility that adversely impacted and may continue to adversely impact our business and results of operations. Environmental and weather-related issues, which have been exacerbated by climate change, such as freezes, drought, wildfires, hurricanes and flooding, may also lead to increases, temporary or permanent, or spikes in the prices of some ingredients, such as produce and meat. Any increase in the prices of the ingredients most critical to our menu, in particular chicken, as well as corn, cheese, avocados, beans, rice, and tomatoes, could adversely compress our margins, or cause us to raise our prices, reducing customer demand. Alternatively, in the event of cost increases with respect to one or more of our raw ingredients, we might choose to temporarily suspend serving menu items, such as guacamole or one or more of our salsas, rather than pay the increased cost.</w:t>
      </w:r>
    </w:p>
    <w:p>
      <w:pPr>
        <w:spacing w:after="0" w:line="191" w:lineRule="exact"/>
        <w:rPr>
          <w:sz w:val="20"/>
          <w:szCs w:val="20"/>
          <w:color w:val="auto"/>
        </w:rPr>
      </w:pPr>
    </w:p>
    <w:p>
      <w:pPr>
        <w:jc w:val="both"/>
        <w:ind w:left="60" w:right="99"/>
        <w:spacing w:after="0" w:line="272" w:lineRule="auto"/>
        <w:rPr>
          <w:sz w:val="20"/>
          <w:szCs w:val="20"/>
          <w:color w:val="auto"/>
        </w:rPr>
      </w:pPr>
      <w:r>
        <w:rPr>
          <w:rFonts w:ascii="Times New Roman" w:cs="Times New Roman" w:eastAsia="Times New Roman" w:hAnsi="Times New Roman"/>
          <w:sz w:val="17"/>
          <w:szCs w:val="17"/>
          <w:color w:val="auto"/>
        </w:rPr>
        <w:t>Our principal food product is chicken. In fiscal 2025, 2024, and 2023, the cost of chicken included in our product cost was approximately 9.0%, 9.3%, and 10.0%, respectively, of our revenue from company-operated restaurants. Material increases in the cost of chicken could materially and adversely affect our business, operating results, and financial condition.</w:t>
      </w:r>
    </w:p>
    <w:p>
      <w:pPr>
        <w:spacing w:after="0" w:line="2"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Changes in the cost of chicken are impacted by a number of factors, including seasonality, increases in the cost of grain, disease, and other factors that affect domestic and international supply of and demand for chicken products. Additionally, environmental and animal rights regulations or voluntary programs have in the past led to increases, and could lead to future increases in, the cost or supply of chicken and other foods. We often ask our suppliers to use fixed price contracts or other financial risk management strategies to reduce potential price fluctuations in the cost of chicken and other commodities. We have implemented menu price increases in the past to significantly offset increased chicken prices, due to competitive pressures and compressed profit margins. We may not be able to offset all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or any portion of increased food and supply costs, or labor, construction and utility costs through higher menu prices in the future. If we implement further menu price increases in the future to protect our margins, average check size and restaurant transactions could be materially and adversely affected, at both company-operated and franchised restaurants.</w:t>
      </w:r>
    </w:p>
    <w:p>
      <w:pPr>
        <w:spacing w:after="0" w:line="199" w:lineRule="exact"/>
        <w:rPr>
          <w:sz w:val="20"/>
          <w:szCs w:val="20"/>
          <w:color w:val="auto"/>
        </w:rPr>
      </w:pPr>
    </w:p>
    <w:p>
      <w:pPr>
        <w:ind w:left="60" w:right="219"/>
        <w:spacing w:after="0" w:line="349" w:lineRule="auto"/>
        <w:rPr>
          <w:sz w:val="20"/>
          <w:szCs w:val="20"/>
          <w:color w:val="auto"/>
        </w:rPr>
      </w:pPr>
      <w:r>
        <w:rPr>
          <w:rFonts w:ascii="Times New Roman" w:cs="Times New Roman" w:eastAsia="Times New Roman" w:hAnsi="Times New Roman"/>
          <w:sz w:val="18"/>
          <w:szCs w:val="18"/>
          <w:b w:val="1"/>
          <w:bCs w:val="1"/>
          <w:i w:val="1"/>
          <w:iCs w:val="1"/>
          <w:color w:val="212529"/>
        </w:rPr>
        <w:t>Public health crises have had, and may in the future have, a significant negative impact on our business, sales, results of operations and financial condition.</w:t>
      </w:r>
    </w:p>
    <w:p>
      <w:pPr>
        <w:spacing w:after="0" w:line="37"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212529"/>
        </w:rPr>
        <w:t>Pandemics, epidemics or other public health crises, including avian flu outbreaks, have previously disrupted, and may in the future disrupt, our restaurant operations, including by causing temporary closures of some restaurants, closures of dining rooms, limited capacity restrictions, product supply shortages, and/or decreased operating hours for some restaurants due to government mandates and/or staffing shortages.</w:t>
      </w:r>
    </w:p>
    <w:p>
      <w:pPr>
        <w:spacing w:after="0" w:line="112"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212529"/>
        </w:rPr>
        <w:t>If future public health emergencies require us to temporarily close locations or result in a large number of our employees becoming unable to work, as has occurred in the past, our business and results of operations could be further adversely affected, which may also impact our financial condition. Such public health crises may also adversely affect our ability to implement our growth plans, including delays in the opening or construction of new restaurants or the remodel of existing restaurants, as they have done in the past.</w:t>
      </w:r>
    </w:p>
    <w:p>
      <w:pPr>
        <w:spacing w:after="0" w:line="116"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212529"/>
        </w:rPr>
        <w:t xml:space="preserve">Such crises have materially adversely affected, and may in the future so affect, our sales and operating costs, which could </w:t>
      </w:r>
      <w:r>
        <w:rPr>
          <w:rFonts w:ascii="Times New Roman" w:cs="Times New Roman" w:eastAsia="Times New Roman" w:hAnsi="Times New Roman"/>
          <w:sz w:val="18"/>
          <w:szCs w:val="18"/>
          <w:color w:val="424242"/>
        </w:rPr>
        <w:t xml:space="preserve">impact our asset values, including goodwill, derivative instruments and property and equipment assets, as well as our ability to meet certain covenant provisions in our debt arrangements in future periods, </w:t>
      </w:r>
      <w:r>
        <w:rPr>
          <w:rFonts w:ascii="Times New Roman" w:cs="Times New Roman" w:eastAsia="Times New Roman" w:hAnsi="Times New Roman"/>
          <w:sz w:val="18"/>
          <w:szCs w:val="18"/>
          <w:color w:val="212529"/>
        </w:rPr>
        <w:t>and have a material adverse effect on</w:t>
      </w:r>
      <w:r>
        <w:rPr>
          <w:rFonts w:ascii="Times New Roman" w:cs="Times New Roman" w:eastAsia="Times New Roman" w:hAnsi="Times New Roman"/>
          <w:sz w:val="18"/>
          <w:szCs w:val="18"/>
          <w:color w:val="424242"/>
        </w:rPr>
        <w:t xml:space="preserve"> </w:t>
      </w:r>
      <w:r>
        <w:rPr>
          <w:rFonts w:ascii="Times New Roman" w:cs="Times New Roman" w:eastAsia="Times New Roman" w:hAnsi="Times New Roman"/>
          <w:sz w:val="18"/>
          <w:szCs w:val="18"/>
          <w:color w:val="212529"/>
        </w:rPr>
        <w:t>our financial results, future operations and liquidity.</w:t>
      </w:r>
    </w:p>
    <w:p>
      <w:pPr>
        <w:spacing w:after="0" w:line="9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212529"/>
        </w:rPr>
        <w:t xml:space="preserve">Even after a new public health crisis has subsided, we may continue to experience negative impacts to our financial results due to the public health’s crisis impact on the economy in general, globally, nationally and in the local markets in which we operate, including the availability of credit generally, adverse impacts on our liquidity, and/or decreases in consumer discretionary spending that depress demand for our products. </w:t>
      </w:r>
      <w:r>
        <w:rPr>
          <w:rFonts w:ascii="Times New Roman" w:cs="Times New Roman" w:eastAsia="Times New Roman" w:hAnsi="Times New Roman"/>
          <w:sz w:val="18"/>
          <w:szCs w:val="18"/>
          <w:color w:val="000000"/>
        </w:rPr>
        <w:t>In addition, the perceived risk of infection or a resurgence of</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disease may adversely affect traffic to our restaurants and, in turn, may have a material adverse effect on our business, liquidity, financial condition and results of operations. Diseases associated with the products we sell, including the avian flu, may also adversely impact our business, even if our products are not directly impacted.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Negative social media and other negative publicity could have a material adverse impact on our business.</w:t>
      </w:r>
    </w:p>
    <w:p>
      <w:pPr>
        <w:spacing w:after="0" w:line="229"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Negative publicity, including information posted on social media platforms, at one or more of our restaurants relating to food safety, sanitation, employee relationships or other matters can adversely affect us, regardless of whether an allegation is valid or whether we are held to be responsible. Adverse information posted on social media platforms can quickly reach a wide audience and resulting harm to our reputation may be immediate, without affording us an opportunity to correct or otherwise respond to the information. It is challenging to monitor and anticipate developments on social media in order to respond in an effective and timely manner. As a result, social media may exacerbate the risks we face related to negative publicity. In addition, the negative impact of any adverse publicity relating to one restaurant may extend far beyond the restaurant involved to affect some or all of our other restaurants, including our franchised restaurants. The risk of negative publicity is particularly great with respect to our franchised restaurants, because we are limited in the manner in which we can regulate them, especially on a real-time basis. A similar risk exists with respect to food service businesses unrelated to us, if customers mistakenly associate those unrelated businesses with our operations.</w:t>
      </w:r>
    </w:p>
    <w:p>
      <w:pPr>
        <w:spacing w:after="0" w:line="19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 variety of additional risks associated with our use of social media include the possibility of improper disclosure of proprietary information, exposure of personally identifiable information of our employees or guests, fraud, or the publication of out-of-date information, any of which may result in material liabilities or reputational damage. Furthermore, any inappropriate use of social media platforms by our employees could also result in negative publicity that could damage our reputation, or lead to litigation that increases our costs.</w:t>
      </w:r>
    </w:p>
    <w:p>
      <w:pPr>
        <w:spacing w:after="0" w:line="179"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ability to continue to expand our digital business, delivery orders and catering, and these business lines are subject to various risks.</w:t>
      </w:r>
    </w:p>
    <w:p>
      <w:pPr>
        <w:spacing w:after="0" w:line="15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If we are not able to maintain the growth of our digital business, it may be difficult for us to achieve our planned sales growth. We rely on third-party providers to fulfill delivery orders, and the ordering and payment platforms used by these third parties, or our mobile app or online ordering system, could be damaged or interrupted by technological failures, user errors, cybersecurity incidents or other factors, which may adversely impact our sales through these channels 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could negatively impact our brand. Additionally, our delivery partners may make errors or fail to make timely deliveries, leading to customer disappointment that may negatively impact our brand. We also incur additional costs associated with using third-party service providers to fulfil these digital orders. Additionally, our delivery partners own the customer data for orders placed on their platform and may use such customer data to encourage customers to order from other restaurants or delivery platforms. The third-party restaurant delivery business is intensely competitive, with a number of players competing for market share, online traffic, capital, and delivery drivers and other people resources. The third-party delivery services with which we work may struggle to compete effectively, and if they were to cease or curtail operations or fail to provide timely delivery services in a cost-effective manner, or if they give greater priority on their platforms to our competitors, our delivery business may be negatively impacted.</w:t>
      </w:r>
    </w:p>
    <w:p>
      <w:pPr>
        <w:spacing w:after="0" w:line="188"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We have also introduced catering offerings on both a pick-up and delivery basis, and customers may choose our competitors’ catering offerings over ours, be disappointed with their experience with our catering, or experience food safety problems if they do not serve our food in a safe manner, which may negatively impact us. Such delivery and catering offerings also increase the risk of illnesses associated with our food because the food is transported and/or served by third parties in conditions we cannot control.</w:t>
      </w:r>
    </w:p>
    <w:p>
      <w:pPr>
        <w:spacing w:after="0" w:line="183" w:lineRule="exact"/>
        <w:rPr>
          <w:sz w:val="20"/>
          <w:szCs w:val="20"/>
          <w:color w:val="auto"/>
        </w:rPr>
      </w:pPr>
    </w:p>
    <w:p>
      <w:pPr>
        <w:ind w:left="60" w:right="299"/>
        <w:spacing w:after="0" w:line="256" w:lineRule="auto"/>
        <w:rPr>
          <w:sz w:val="20"/>
          <w:szCs w:val="20"/>
          <w:color w:val="auto"/>
        </w:rPr>
      </w:pPr>
      <w:r>
        <w:rPr>
          <w:rFonts w:ascii="Times New Roman" w:cs="Times New Roman" w:eastAsia="Times New Roman" w:hAnsi="Times New Roman"/>
          <w:sz w:val="18"/>
          <w:szCs w:val="18"/>
          <w:color w:val="auto"/>
        </w:rPr>
        <w:t>We do not have a long history with our catering offering and it is difficult for us to anticipate the level of sales they may generate. In addition, using third-party providers to fulfill delivery orders may result in operational challenges, both in fulfilling orders made through these channels and in operating our restaurants as we balance fulfillment of these orders with service of our traditional in-restaurant guests. Any such operational challenges may negatively impact the customer experience associated with our digital, delivery or catering orders, the guest experience for our traditional in-restaurant business, or both. These factors may adversely impact our sales and our brand reputation.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Food-borne illness and other food safety and quality concerns may negatively impact our business and profitability.</w:t>
      </w:r>
    </w:p>
    <w:p>
      <w:pPr>
        <w:spacing w:after="0" w:line="22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Incidents or reports of food- or water-borne illness or other food safety issues, food contamination or tampering, employee hygiene or cleanliness failures, or improper employee conduct at our restaurants could lead to product liability or other claims. Such incidents or reports, have in the past, and could in the future, negatively affect our brand and reputation as well as our business, revenues, and profits.</w:t>
      </w:r>
    </w:p>
    <w:p>
      <w:pPr>
        <w:spacing w:after="0" w:line="180"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Furthermore, our reliance on third-party food processors makes it difficult to monitor food safety compliance, and may increase the risk that a food-borne illness would affect multiple locations rather than a single restaurant. Some food-borne illness incidents could be caused by third-party food suppliers and transporters outside of our control. New illnesses resistant to our current precautions may develop in the future, or diseases with long incubation periods could arise that could cause claims or allegations on a retroactive basis. One or more instances of food-borne illness in one of our company-operated or franchised restaurants has in the past and could in the future negatively affect sales at all of our restaurants if highly publicized. This risk would exist even if it were later determined that an illness had been wrongly attributed to one of our restaurants.</w:t>
      </w:r>
    </w:p>
    <w:p>
      <w:pPr>
        <w:spacing w:after="0" w:line="19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Additionally, even if food or water-borne illnesses or other food safety issues or incidents were not identified at El Pollo Loco restaurants, our restaurant sales could be adversely affected, both financially and otherwise, if instances of similar incidents or reports at other QSRs or restaurant chains were highly publicized. In addition, our restaurant sales could be adversely affected by publicity regarding other high-profile illnesses, such as avian flu, that customers may associate with our food products.</w:t>
      </w:r>
    </w:p>
    <w:p>
      <w:pPr>
        <w:spacing w:after="0" w:line="179" w:lineRule="exact"/>
        <w:rPr>
          <w:sz w:val="20"/>
          <w:szCs w:val="20"/>
          <w:color w:val="auto"/>
        </w:rPr>
      </w:pPr>
    </w:p>
    <w:p>
      <w:pPr>
        <w:ind w:left="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receive timely deliveries of food or other supplies could result in a loss of revenue and materially and adversely impact our operations.</w:t>
      </w:r>
    </w:p>
    <w:p>
      <w:pPr>
        <w:spacing w:after="0" w:line="15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and our franchisees’ ability to maintain consistent quality menu items and prices significantly depends upon our ability to acquire fresh food products, including the highest-quality chicken and related items, from reliable sources, in accordance with our specifications and on a timely basis. Shortages or interruptions in the supply of fresh food products, caused by unanticipated demand, problems in production, distribution or otherwise in the supply chain, contamination of food products, an outbreak of poultry disease, inclement weather, or other conditions, could materially and adversely affect the availability, quality, and cost of ingredients, which would adversely affect our business, financial condition, results of operations, and cash flows. We have contracts with a limited number of suppliers for the chicken and other food and supplies for our restaurants. Further, increases in fuel prices could result in increased distribution costs. In addition, one company distributes substantially all of the products that we receive from suppliers to company-operated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and franchised restaurants. If that distributor or any supplier fails to perform as anticipated or seeks to terminate agreements with us, or if there is any disruption in any of our supply or distribution relationships for any reason, including our ability to replace any lost distributor or supplier, our business, financial condition, results of operations, and cash flows could be materially and adversely affected. If we or our franchisees temporarily close a restaurant or remove popular items from a restaurant’s menu as a result of such a disruption, that restaurant may experience a significant reduction in revenue if our customers change their dining habits as a result.</w:t>
      </w:r>
    </w:p>
    <w:p>
      <w:pPr>
        <w:spacing w:after="0" w:line="183"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restrictions under our credit facility, could materially and adversely affect our business, financial condition, and results of operations.</w:t>
      </w:r>
    </w:p>
    <w:p>
      <w:pPr>
        <w:spacing w:after="0" w:line="15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level of indebtedness could have significant effects on our business, such as: limiting our ability to borrow additional amounts to fund working capital, capital expenditures, acquisitions, debt service requirements, execution of our growth strategy, and other purposes; requiring us to dedicate a portion of our cash flow from operations to pay interest on our debt, which could reduce availability of our cash flow to fund working capital, capital expenditures, acquisitions, execution of our growth strategy, and other general corporate purposes; making us more vulnerable to adverse changes in general economic, industry, government regulatory, and competitive conditions in our business by limiting our ability to plan for and react to changing conditions; placing us at a competitive disadvantage compared with our competitors with less debt; and exposing us to risks inherent in interest rate fluctuations, because our borrowings are at variable rates of interest, which could result in higher interest expense in the event of increases in interest rates.</w:t>
      </w:r>
    </w:p>
    <w:p>
      <w:pPr>
        <w:spacing w:after="0" w:line="188"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In addition, we may not be able to generate sufficient cash flow from our operations to repay our indebtedness when it becomes due and to meet our other cash needs. If we are not able to pay our debts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have to sell our assets, that sale may negatively affect our ability to generate revenue.</w:t>
      </w:r>
    </w:p>
    <w:p>
      <w:pPr>
        <w:spacing w:after="0" w:line="187" w:lineRule="exact"/>
        <w:rPr>
          <w:sz w:val="20"/>
          <w:szCs w:val="20"/>
          <w:color w:val="auto"/>
        </w:rPr>
      </w:pPr>
    </w:p>
    <w:p>
      <w:pPr>
        <w:ind w:left="60" w:right="159"/>
        <w:spacing w:after="0" w:line="272" w:lineRule="auto"/>
        <w:rPr>
          <w:sz w:val="20"/>
          <w:szCs w:val="20"/>
          <w:color w:val="auto"/>
        </w:rPr>
      </w:pPr>
      <w:r>
        <w:rPr>
          <w:rFonts w:ascii="Times New Roman" w:cs="Times New Roman" w:eastAsia="Times New Roman" w:hAnsi="Times New Roman"/>
          <w:sz w:val="17"/>
          <w:szCs w:val="17"/>
          <w:color w:val="auto"/>
        </w:rPr>
        <w:t>Our secured revolving credit facility contains a number of covenants that, among other things, restrict, subject to certain exceptions, our ability to (i) incur additional indebtedness, (ii) issue preferred stock, (iii) create liens on assets, (iv) engage in mergers or consolidations, (v) sell assets, (vi) make investments, loans, or advances, (vii) make certain acquisitions,</w:t>
      </w:r>
    </w:p>
    <w:p>
      <w:pPr>
        <w:spacing w:after="0" w:line="2" w:lineRule="exact"/>
        <w:rPr>
          <w:sz w:val="20"/>
          <w:szCs w:val="20"/>
          <w:color w:val="auto"/>
        </w:rPr>
      </w:pPr>
    </w:p>
    <w:p>
      <w:pPr>
        <w:ind w:left="60" w:right="79" w:hanging="10"/>
        <w:spacing w:after="0" w:line="252" w:lineRule="auto"/>
        <w:tabs>
          <w:tab w:leader="none" w:pos="4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(ix) authorize or pay dividends, and (x) change our lines of business or fiscal year. In addition, our secured revolving credit facility requires us (i) to maintain, on a consolidated basis, a minimum consolidated fixed charge coverage ratio and (ii) not to exceed a maximum lease adjusted consolidated leverage ratio. Our ability to borrow under our secured revolving credit facility depends on our compliance with these tests. Events beyond our control, including changes in general economic and business conditions, may affect our ability to meet these tests. We cannot guarantee that we will meet these tests in the future, or that our lenders will waive any failure to meet these tests.</w:t>
      </w:r>
    </w:p>
    <w:p>
      <w:pPr>
        <w:spacing w:after="0" w:line="190"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Further, we are a holding company with no material direct operations. Our principal assets are the equity interests that we indirectly hold in our operating subsidiary, El Pollo Loco, Inc. (“EPL”), which owns our operating assets. As a result, we are dependent on loans, dividends, and other payments from EPL, our operating company and indirect wholly owned subsidiary, and from EPL Intermediate, Inc. (“Intermediate”), our direct wholly owned subsidiary, to generate the funds necessary to meet our financial obligations and to pay dividends on our common stock. Our subsidiaries are legally distinct from us and may be prohibited or restricted from paying dividends or otherwise making funds available to us under certain conditions.</w:t>
      </w:r>
    </w:p>
    <w:p>
      <w:pPr>
        <w:spacing w:after="0" w:line="185" w:lineRule="exact"/>
        <w:rPr>
          <w:sz w:val="20"/>
          <w:szCs w:val="20"/>
          <w:color w:val="auto"/>
        </w:rPr>
      </w:pPr>
    </w:p>
    <w:p>
      <w:pPr>
        <w:ind w:left="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marketing programs may not be successful, and our new menu items, advertising campaigns, and restaurant designs and remodels may not generate increased sales or profits.</w:t>
      </w:r>
    </w:p>
    <w:p>
      <w:pPr>
        <w:spacing w:after="0" w:line="159"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We incur costs and expend other resources in our marketing efforts on new menu items, advertising campaigns, and restaurant designs and remodels, to raise brand awareness and to attract and retain customers. Our initiatives may not be successful, resulting in expenses incurred without the benefit of higher revenues. Further, if our marketing and advertising strategies are not successful, we may be forced to engage in additional promotional activities to attract and retain customers, including offers for free or discounted food, and any such additional promotional activities could adversely impact our profitability. Additionally, some of our competitors have greater financial resources than we do, enabling them to spend significantly more on marketing, advertising, and other initiatives. Should our competitors increase spending on marketing, advertising, and other initiatives, or our marketing funds decrease for any reason,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should our advertising, promotions, new menu items, and restaurant designs and remodels be less effective than those of our competitors or not resonate with our customers, there could be a material adverse effect on our results of operations and financial condition.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Adverse changes in our franchisees’ economic position could have adverse consequences to us.</w:t>
      </w:r>
    </w:p>
    <w:p>
      <w:pPr>
        <w:spacing w:after="0" w:line="229" w:lineRule="exact"/>
        <w:rPr>
          <w:sz w:val="20"/>
          <w:szCs w:val="20"/>
          <w:color w:val="auto"/>
        </w:rPr>
      </w:pPr>
    </w:p>
    <w:p>
      <w:pPr>
        <w:ind w:left="60" w:right="99"/>
        <w:spacing w:after="0" w:line="270" w:lineRule="auto"/>
        <w:rPr>
          <w:sz w:val="20"/>
          <w:szCs w:val="20"/>
          <w:color w:val="auto"/>
        </w:rPr>
      </w:pPr>
      <w:r>
        <w:rPr>
          <w:rFonts w:ascii="Times New Roman" w:cs="Times New Roman" w:eastAsia="Times New Roman" w:hAnsi="Times New Roman"/>
          <w:sz w:val="17"/>
          <w:szCs w:val="17"/>
          <w:color w:val="auto"/>
        </w:rPr>
        <w:t>Adverse changes in the economic position of our franchisees, whether due to macroeconomic factors, such as inflation and increased labor and supply costs, or otherwise, could result in our franchisees filing for bankruptcy or becoming delinquent in their payments to us, which could have significant adverse impacts on our business, due to loss or delay in payments of (i) royalties, (ii) information technology (“IT”) support service fees, (iii) contributions to our advertising funds, and</w:t>
      </w:r>
    </w:p>
    <w:p>
      <w:pPr>
        <w:spacing w:after="0" w:line="3" w:lineRule="exact"/>
        <w:rPr>
          <w:sz w:val="20"/>
          <w:szCs w:val="20"/>
          <w:color w:val="auto"/>
        </w:rPr>
      </w:pPr>
    </w:p>
    <w:p>
      <w:pPr>
        <w:ind w:left="60" w:right="79" w:hanging="10"/>
        <w:spacing w:after="0" w:line="255" w:lineRule="auto"/>
        <w:tabs>
          <w:tab w:leader="none" w:pos="3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fees. Bankruptcies by our franchisees could (i) prevent us from terminating their franchise agreements, so that we could offer their territories to other franchisees, (ii) negatively impact our market share and operating results, as we might have fewer well-performing restaurants, and (iii) adversely impact our ability to attract new franchisees.</w:t>
      </w:r>
    </w:p>
    <w:p>
      <w:pPr>
        <w:spacing w:after="0" w:line="186"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Franchisees may not have access to the financial or management resources that they need to open the restaurants contemplated by their agreements with us, or be able to find suitable sites on which to develop those restaurants. Franchisees may not be able to negotiate acceptable lease or purchase terms for restaurant sites, obtain necessary permits and government approvals, or meet construction schedules. Any of these problems could slow our growth and reduce our franchise revenue. Additionally, our franchisees typically depend on financing from banks and other financial institutions, which may not always be available to them, in order to construct and open new restaurants. For these reasons, franchisees operating under development agreements may not be able to meet the new restaurant opening dates required under those agreements. Also, we sublease certain restaurants to some existing California franchisees. If any such franchisees cannot meet their financial obligations under their subleases, or otherwise fail to honor or default under the terms of their subleases, especially where state franchise laws may limit our ability to terminate or modify these franchise arrangements, we will be financially obligated under a master lease and could be materially and adversely affected. In the past, franchisees have entered bankruptcy or receivership, which have in the past and can in the future lead to sale or closure of franchises, cause underperformance or underinvestment in capital expenditures, or lead to nonpayment of us or other creditors, and these circumstances could recur in the future.</w:t>
      </w:r>
    </w:p>
    <w:p>
      <w:pPr>
        <w:spacing w:after="0" w:line="193"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success of our franchisees, but have limited control with respect to their operations, which could have a negative impact on our business.</w:t>
      </w:r>
    </w:p>
    <w:p>
      <w:pPr>
        <w:spacing w:after="0" w:line="15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As of December 31, 2025, approximately 65% of our restaurants were franchised restaurants; therefore, our success relies on the financial success and cooperation of our franchisees. Because our franchisees are independent business operators and not our employees, we do not exercise control over the day-to-day operations of their restaurants. While we provide training and support to franchisees, and set and monitor operational standards, we have limited influence over how our franchisees’ businesses are run, and the quality of franchised restaurants may be diminished by any number of factors beyond our control. Consequently, franchisees may fail to operate their restaurants in fashions consistent with our standards and requirements, or to hire and train qualified managers and other restaurant personnel. If franchisees do not operate to our expectations, our image and reputation, and the images and reputations of other franchisees, may suffer materially, and system-wide sales could decline significantly.</w:t>
      </w:r>
    </w:p>
    <w:p>
      <w:pPr>
        <w:spacing w:after="0" w:line="184"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relations with existing or potential franchisees deteriorate, restaurant performance and our development pipeline could suffer.</w:t>
      </w:r>
    </w:p>
    <w:p>
      <w:pPr>
        <w:spacing w:after="0" w:line="15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Our growth depends on maintaining amicable relations with our franchisees, including their participation in and adherence to our restaurant operating guidelines. Because our ability to control our franchisees is limited, disagreement may lead to inaction by our franchisees with respect to our initiatives, or even disputes with our franchisees, in court, arbitration or otherwise, including disputes related to an actual or alleged violation of contractual, statutory or common law obligations. Such disputes occur from time to time as we continue to offer franchises due to our size and the general nature of the franchisor-franchisee relationship. Unfavorable judgments, awards or settlements relating to franchisee disputes could result in monetary or injunctive relief against us, including the voiding of non-compete, territorial exclusivity, or other development-related provisions upon which we rely to protect our brand, which could have a material adverse effect on our business and results of operations. Disputes with franchisees also divert the attention, time, and financial resources of our management and our franchisees from our restaurants, which could have a material adverse effect on our (and our franchisees’) business, financial condition, results of operations, and cash flows, as well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as our ability to attract new franchisees. Even our success in franchisee disputes could damage our (or our franchisees’) finances or operations, as well as our relationships with our franchisees and our ability to attract new franchisees given the negative connotations of any franchisor-franchisee disputes.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self-insurance programs may expose us to significant and unexpected costs and losses.</w:t>
      </w:r>
    </w:p>
    <w:p>
      <w:pPr>
        <w:spacing w:after="0" w:line="229"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We currently maintain employee health insurance coverage on a self-insured basis, and we carry large deductibles or self-insure portions of other insurance programs, such as workers’ compensation insurance. We do maintain stop loss coverage for health insurance, which sets a limit on our liability for both individual and aggregate claim costs.</w:t>
      </w:r>
    </w:p>
    <w:p>
      <w:pPr>
        <w:spacing w:after="0" w:line="176"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We currently record a liability for our estimated cost of claims incurred and unpaid as of each balance sheet date. Our estimated liability is recorded on an undiscounted basis and includes a number of significant assumptions and factors, including historical trends, expected costs per claim, actuarial assumptions, and current economic conditions. Our history of claims activity for all lines of coverage is closely monitored, and liabilities are adjusted as warranted based on changing circumstances. It is possible, however, that our actual liabilities may exceed our estimates of loss. We may also experience an unexpectedly large number of claims that result in costs or liabilities in excess of our projections, and therefore we may be required to record additional expenses. For these and other reasons, our self-insurance reserves could prove to be inadequate, resulting in liabilities in excess of our available insurance and self-insurance. If a successful claim is made against us and is not covered by our insurance or exceeds our policy limits, our business may be negatively and materially impacted.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party to long-term and non-cancelable leases, and may be unable to renew leases at the ends of their terms.</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Many of our restaurant leases are non-cancelable and typically have initial terms of up to 20 years with up to four renewal terms of five years that we may exercise at our option. Even if we close a restaurant, we may remain committed to perform our obligations under the applicable lease, which could include, among other things, payment of the base rent for the balance of the lease term. In addition, in connection with leases for restaurants that we will continue to operate, we may, at the end of the lease term and any renewal period for a restaurant, be unable to renew the lease without substantial additional cost, if at all. As a result, we may close or relocate the restaurant, which could subject us to construction and other costs and risks. Additionally, the revenue and profit, if any, generated at a relocated restaurant might not equal the revenue and profit generated at its prior location.</w:t>
      </w:r>
    </w:p>
    <w:p>
      <w:pPr>
        <w:spacing w:after="0" w:line="188" w:lineRule="exact"/>
        <w:rPr>
          <w:sz w:val="20"/>
          <w:szCs w:val="20"/>
          <w:color w:val="auto"/>
        </w:rPr>
      </w:pPr>
    </w:p>
    <w:p>
      <w:pPr>
        <w:ind w:left="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achieve our corporate responsibility goals, our reputation and results of operations could be adversely affected.</w:t>
      </w:r>
    </w:p>
    <w:p>
      <w:pPr>
        <w:spacing w:after="0" w:line="199"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7"/>
          <w:szCs w:val="17"/>
          <w:color w:val="auto"/>
        </w:rPr>
        <w:t>In addition to financial performance, companies increasingly are being judged by their performance on a variety of corporate responsibility factors. Investors, governmental agencies and self-regulatory organizations, including the Securities and Exchange Commission (“SEC”), the NYSE and the Financial Accounting Standards Board (the “FASB”), have increasingly focused on social and environmental sustainability achievements and disclosures, including with respect to climate change, energy use, packaging and waste, human rights, sustainable supply chain practices, animal health and welfare and water use. Achievement of our goals are subject to risks and uncertainties, many of which are outside of our control and may prove to be more difficult and costly than we anticipate. These risks and uncertainties include, but are not limited to, our ability to achieve our corporate responsibility goals within currently projected costs and expected timeframes; unforeseen operational and technological difficulties; the success of our collaboration with our suppliers and other third parties; and competitive pressures. Failure to achieve our goals could damage our reputation and relationships with our guests, investors and other stakeholders, which could have an adverse effect on our business, results of operations and stock price</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 xml:space="preserve"> Further, different stakeholder groups have divergent views on corporate responsibility matters, which increases the risk that any action or lack thereof with respect to corporate responsibility matters will be perceived negatively by at least some stakeholders and adversely impact our reputation and business. Some contrary sentiment about certain corporate responsibility matters has gained some momentum across the United States. If we do not successfully manage corporate responsibility-related expectations across these varied stakeholder interests, we may face scrutiny, reputational risk, lawsuits, or market access restrictions from these parties regarding our corporate responsibility initiatives.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and Data Security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Information technology system failures or breaches of our network security could interrupt our operations and adversely affect our business.</w:t>
      </w:r>
    </w:p>
    <w:p>
      <w:pPr>
        <w:spacing w:after="0" w:line="15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From time to time, we experience cybersecurity incidents within our information systems. These cybersecurity incidents have included, and, may in the future include, those caused by physical or electronic break-ins, computer viruses, malware, worms, attacks by hackers or foreign governments, ransomware, use of artificial intelligence, unauthorized access through the use of compromised credentials and tampering, including through social engineering such as phishing attacks, coordinated denial-of-service attacks, exploitation of design flaws, bugs or security vulnerabilities and similar breaches, or intentional or unintentional acts by employees or other insiders with access privileges. In the past, these cybersecurity incidents have resulted in, and in the future could result in, among other things, temporary system disruptions or shutdowns or unauthorized access to confidential information. These events have in the past resulted in, and could in the future also result in misappropriation of our or our customers’ personal information or other proprietary or confidential information, breach of our legal, regulatory or contractual obligations, delays in our operations, or inability to access or rely upon critical business records or systems. In some cases, it may be difficult to anticipate or immediately detect such incidents and the damage they cause. The rapid evolution and increased adoption of artificial intelligence technologies may intensify these risks. We may be required to expend significant financial resources to protect against or to remediate such security breaches, including enhancing our systems, hiring and training personnel, and the cost of providing notification to affected individuals and governmental authorities. In addition, our operations depend upon our ability to protect our information systems against damage from physical theft, fire, power loss, telecommunications failure, and other disruptive events. Any outage of our technology systems, unauthorized access of our systems or the information stored on such systems, damage or failure of our computer systems or network infrastructure that causes an interruption in our operations could damage our reputation, subject us to litigation or to actions by regulatory authorities, harm our business relations or increase our security and insurance costs, which could have a material adverse effect on our business, financial condition and results of operations.</w:t>
      </w:r>
    </w:p>
    <w:p>
      <w:pPr>
        <w:spacing w:after="0" w:line="18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Additionally, we rely on third-party service providers and technologies to operate certain critical business systems to process sensitive information in a variety of contexts, including, without limitation, our point-of-sale devices, cloud-based infrastructure, encryption and authentication technology, employee email, and other similar functions. While we endeavor to review and monitor these third parties’ information security practices and technologies, we cannot always ensure these third parties may not have adequate information security measures in place, or they will not suffer unexpected power losses or computer system or data network failures that negatively impacts the information technology systems or solutions on which we rely. If our third-party service providers experience a cybersecurity incident or other type of interruption or if an unexpected flaw or failed software update related to third-party software used in our information systems occurs, even if inadvertent, our information systems may become disabled or inaccessible and access to our data and other business information may be limited, which could materially disrupt our operations.</w:t>
      </w:r>
    </w:p>
    <w:p>
      <w:pPr>
        <w:spacing w:after="0" w:line="190"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customers’ payment method data or personal information, we could be exposed to data loss, litigation, liability, and reputational damage.</w:t>
      </w:r>
    </w:p>
    <w:p>
      <w:pPr>
        <w:spacing w:after="0" w:line="15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We collect and retain internal and customer data, including personally identifiable information of our employees and customers. In connection with the collection and retention of this information, we are subject to legal and compliance risks and associated liability related to privacy and data protection requirements. Due to enhanced scrutiny from the general public, data privacy regulations as well as their interpretations and criteria for enforcement, continue to be subject to frequent change, and there are likely to be other jurisdictions that propose or enact new or emerging data privacy requirements in the future. The complexity of these privacy and data protection laws may result in significant costs arising from compliance and from any non-compliance, whether or not due to our negligence, and could affect our brand reputation and our results of operations. It is possible that measures we have taken to prevent the occurrence of security breaches and other cybersecurity incidents may not be adequate and we may in the future become subject to claims or proceedings for purportedly fraudulent transactions arising out of the actual or alleged theft of credit/debit card information. Any such claims or proceedings could distract our management team members from running our business, adversely affect our reputation, and cause us to incur significant unplanned losses and expenses.</w:t>
      </w:r>
    </w:p>
    <w:p>
      <w:pPr>
        <w:spacing w:after="0" w:line="19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For example, we are also subject to federal and state laws regulating the collection and use of personal information of our employees and customers, including the California Consumer Privacy Act (“CCPA”) and the California Privacy Rights Act (“CPRA”), which imposed additional data protection obligations on companies doing business in California, including rights of access, correction, deletion and opt-outs from sale of personal information or sharing of personal information for cross-context behavioral advertising. We may also be subject to data privacy laws in other jurisdictions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that we have expanded or are planning to expand into, such as Colorado and Texas. Such data privacy laws impose similar requirements as the CCPA and CPRA. In addition, while we have implemented cookies notices and settings, there is the risk of class action claims arising from the use of cookies and other tracking technologies under the California Invasion of Privacy Act given the evolving nature of court decisions interpreting that law.</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addition, our ability to accept credit/debit cards as payment in our restaurants and online depends on us maintaining our compliance status with standards set by the PCI Security Standards Council, which require certain levels of system security and procedures to protect our customers’ credit/debit card information as well as other personal information.</w:t>
      </w:r>
    </w:p>
    <w:p>
      <w:pPr>
        <w:spacing w:after="0" w:line="1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Compliance with these standards and regulations may impose significant costs on us. Further, while we have implemented policies and procedures designed to ensure compliance with the CCPA and other applicable state data privacy, the manner in which the California Attorney General and the CPPA may interpret and enforce the CCPA and other state attorneys general may enforce their data privacy laws is uncertain. The potential effects of the CCPA and CRPA and other applicable state privacy laws are far-reaching and may require us to modify our data processing practices and policies and incur substantial costs and expenses in an effort to comply with these regulations. There is also the potential for increased regulatory enforcement by the state agencies empowered to enforce these laws, including the recently formed California Privacy Protection Agency. Noncompliance with the CCPA, CRPA and other privacy laws could result in injunctions, fines and/or proceedings against us by governmental agencies or others.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enforce and maintain our trademarks and protect our other intellectual property could materially and adversely affect our business, including our ability to establish and maintain brand awareness.</w:t>
      </w:r>
    </w:p>
    <w:p>
      <w:pPr>
        <w:spacing w:after="0" w:line="15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The success of our business strategy depends on our ability to use our existing trademarks and service marks in order to increase brand awareness and further develop our branded products. If our efforts to protect our intellectual property are inadequate, or if any third-party misappropriates or infringes upon our intellectual property, whether in print, on the Internet, or through other media, our brands and branded products could fail to maintain or achieve market acceptance and the value of our brands could be harmed, materially and adversely affecting our business. In addition, the laws of some foreign countries do not protect intellectual property rights to the same extent as do the laws of the United States. Any litigation to enforce our intellectual property rights will likely be costly and may not be successful.</w:t>
      </w:r>
    </w:p>
    <w:p>
      <w:pPr>
        <w:spacing w:after="0" w:line="189" w:lineRule="exact"/>
        <w:rPr>
          <w:sz w:val="20"/>
          <w:szCs w:val="20"/>
          <w:color w:val="auto"/>
        </w:rPr>
      </w:pPr>
    </w:p>
    <w:p>
      <w:pPr>
        <w:ind w:left="60" w:right="279"/>
        <w:spacing w:after="0" w:line="254" w:lineRule="auto"/>
        <w:rPr>
          <w:sz w:val="20"/>
          <w:szCs w:val="20"/>
          <w:color w:val="auto"/>
        </w:rPr>
      </w:pPr>
      <w:r>
        <w:rPr>
          <w:rFonts w:ascii="Times New Roman" w:cs="Times New Roman" w:eastAsia="Times New Roman" w:hAnsi="Times New Roman"/>
          <w:sz w:val="18"/>
          <w:szCs w:val="18"/>
          <w:color w:val="auto"/>
        </w:rPr>
        <w:t>We maintain the recipe for our chicken marinade, as well as certain proprietary standards, specifications, and operating procedures, as trade secrets or confidential proprietary information. We may not be able to prevent the unauthorized disclosure or use of our trade secrets or proprietary information, despite the existence of confidentiality agreements and other measures. While we try to ensure that the quality of our brands and branded products is maintained by all of our franchisees, we cannot be certain that these franchisees will not take actions that adversely affect the value of our intellectual property or reputation. If any of our trade secrets or proprietary information were to be disclosed to or independently developed by a competitor, our business, financial condition, and results of operations could be materially and adversely affected.</w:t>
      </w:r>
    </w:p>
    <w:p>
      <w:pPr>
        <w:spacing w:after="0" w:line="192"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we may face claims of infringement that could interfere with our ability to market our restaurants and promote our brand. Any such litigation may be costly and could divert resources from our business. Moreover, if we are unable to successfully defend against such claims, we may be prevented from using our trademarks or service marks in the future and may be liable for damages, which in turn could have a material adverse effect on our business, financial condition and results of operations.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and Litigation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Matters relating to employment and labor law may adversely affect our business.</w:t>
      </w:r>
    </w:p>
    <w:p>
      <w:pPr>
        <w:spacing w:after="0" w:line="22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Various federal, state and local labor laws govern our relationships with our employees and affect operating costs. These laws include employee classifications as exempt or non-exempt, minimum wage requirements, unemployment tax rates, workers’ compensation rates, citizenship requirements, and other wage and benefit requirements for employees classified as non-exempt. Significant additional government regulations and new laws mandating increases in minimum wages or benefits such as health insurance could materially affect our business, financial condition, operating results, and cash flow. In particular, our labor and regulatory compliance have been adversely impacted as a result of AB 1228,</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signed into law by Governor Newsom on September 28, 2023, which repealed and replaced the FAST Act on January 1, 2024. Pursuant to AB 1228, the minimum wage at fast food restaurants that are part of brands which have more than 60 establishments nationwide was increased to $20 an hour on April 1, 2024, and a Fast Food Council created by AB 1228 will have limited power to approve annual wage increases until 2029. Under the law, the Fast Food Council also has the power to develop and propose minimum standards for fast food workers, including standards for working hours, working conditions, and health and safety. As a result of AB 1228, we have experienced an increase in our labor and regulatory compliance costs and these costs may continue in 2026. Further, this law could prompt similar legislation in other states. In addition, the unionization of our employees and of the employees of our franchisees could materially affect our business, financial condition, operating results, and cash flow.</w:t>
      </w:r>
    </w:p>
    <w:p>
      <w:pPr>
        <w:spacing w:after="0" w:line="188"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Employee claims against us or our franchisees based on, among other things, wage and hour violations, discrimination, harassment, or wrongful termination may also create not only legal and financial liability but negative publicity that could adversely affect us and divert our financial and management resources that could otherwise be used to benefit the future performance of our operations. These types of employee claims could also be asserted against us, on a co-employer theory, by employees of our franchisees. A significant increase in the number of these claims, or an increase in the number of successful claims, could materially and adversely affect our business, brand image, employee recruitment, financial condition, results of operations, or cash flows.</w:t>
      </w:r>
    </w:p>
    <w:p>
      <w:pPr>
        <w:spacing w:after="0" w:line="185"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from time to time the target of class action lawsuits and other claims proceedings, which could adversely affect our business and results of operations.</w:t>
      </w:r>
    </w:p>
    <w:p>
      <w:pPr>
        <w:spacing w:after="0" w:line="15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Our business is subject to the risk of litigation by employees, customers, suppliers, stockholders, and others through private actions, class actions, administrative proceedings, regulatory actions, and other litigation, including actions regarding workplace and employment conditions, discrimination, and similar matters, and we are currently a party to wage and hour class action lawsuits. See additional information presented in Note 14 “Commitments and Contingencies—Legal Matters” in the accompanying “Notes to Consolidated Financial Statements” in this Annual Report. Occasionally, our customers file complaints or lawsuits against us alleging that we are responsible for some illnesses or injuries that they suffered at or after a visit to one of our restaurants, including actions seeking damages resulting from food-borne illnesses or accidents in our restaurants. We are also subject to a variety of other claims from third parties arising in the ordinary course of our business, including contract claims. The restaurant industry has also been subject to a growing number of claims that the menus and actions of restaurant chains have led to the obesity of certain of their customers. We may also be subject to lawsuits from our employees, the U.S. Equal Employment Opportunity Commission, or others alleging violations of federal or state laws regarding workplace and employment conditions, discrimination, and similar matters.</w:t>
      </w:r>
    </w:p>
    <w:p>
      <w:pPr>
        <w:spacing w:after="0" w:line="19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Regardless of whether any claims against us are valid and whether we are liable, claims may be expensive to defend against and divert time and money away from operations. In addition, claims may generate negative publicity, which could reduce customer traffic and sales. Insurance may not be available at all or in sufficient amounts to cover any liabilities with respect to these or other matters. A judgment or other liability in excess of our insurance coverage for any claims, or any adverse publicity resulting from claims, could adversely affect our business and results of operations.</w:t>
      </w:r>
    </w:p>
    <w:p>
      <w:pPr>
        <w:spacing w:after="0" w:line="179"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franchisees face labor shortages or increased labor costs, our results of operations and growth could be adversely affected.</w:t>
      </w:r>
    </w:p>
    <w:p>
      <w:pPr>
        <w:spacing w:after="0" w:line="15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Labor is a primary component in the cost of operating our company-operated and franchised restaurants. Labor shortages and increased labor costs are subject to numerous internal and external factors, including higher employee-turnover rates, changes in immigration policy including barriers to immigrants entering, working in, or remaining in the United States, regulatory changes, prevailing wage rates, including increases in federal, state, or local minimum wages or in other employee benefit costs (including costs associated with health insurance coverage or workers’ compensation insurance), and increased competition we face from other companies for qualified employees. In recent years, we have experienced a competitive and tight labor market. A sustained labor shortage could lead to increased costs, such as increased overtime incurred to meet the demands of our customers and increased wage rates to attract and retain employees. Any failure to meet our staffing needs or any material increases in employee turnover rates could adversely affect our business and results of operations, including our ability to grow our restaurant base. See also our risk factor titled “</w:t>
      </w:r>
      <w:r>
        <w:rPr>
          <w:rFonts w:ascii="Times New Roman" w:cs="Times New Roman" w:eastAsia="Times New Roman" w:hAnsi="Times New Roman"/>
          <w:sz w:val="18"/>
          <w:szCs w:val="18"/>
          <w:b w:val="1"/>
          <w:bCs w:val="1"/>
          <w:i w:val="1"/>
          <w:iCs w:val="1"/>
          <w:color w:val="212529"/>
        </w:rPr>
        <w:t>Public health crises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212529"/>
        </w:rPr>
        <w:t>had, and may in the future have, a significant negative impact on our business, sales, results of operations and financial condition</w:t>
      </w:r>
      <w:r>
        <w:rPr>
          <w:rFonts w:ascii="Times New Roman" w:cs="Times New Roman" w:eastAsia="Times New Roman" w:hAnsi="Times New Roman"/>
          <w:sz w:val="18"/>
          <w:szCs w:val="18"/>
          <w:color w:val="000000"/>
        </w:rPr>
        <w:t>” above for labor shortage risks we may face in connection with pandemics, epidemics and other public health</w:t>
      </w:r>
      <w:r>
        <w:rPr>
          <w:rFonts w:ascii="Times New Roman" w:cs="Times New Roman" w:eastAsia="Times New Roman" w:hAnsi="Times New Roman"/>
          <w:sz w:val="18"/>
          <w:szCs w:val="18"/>
          <w:b w:val="1"/>
          <w:bCs w:val="1"/>
          <w:i w:val="1"/>
          <w:iCs w:val="1"/>
          <w:color w:val="212529"/>
        </w:rPr>
        <w:t xml:space="preserve"> </w:t>
      </w:r>
      <w:r>
        <w:rPr>
          <w:rFonts w:ascii="Times New Roman" w:cs="Times New Roman" w:eastAsia="Times New Roman" w:hAnsi="Times New Roman"/>
          <w:sz w:val="18"/>
          <w:szCs w:val="18"/>
          <w:color w:val="000000"/>
        </w:rPr>
        <w:t>emergencies, such as COVID-19.</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Federally-mandated, state-mandated, or locally-mandated minimum wages have recently increased in several jurisdictions, including state and county mandates in California, and could be further raised in the future, including as a result of the AB 1228 in California. Although we have been able to substantially offset these cost pressures through various actions, such as increasing menu prices, managing menu mix, and productivity improvements, we expect these cost pressures to continue into 2026 and we may not be able to offset cost increases in the future. In addition, increases in menu prices by us and our franchisees to cover increased labor costs could have the effect of lowering sales, which would thereby reduce our margins and the royalties that we receive from franchisees. Also, reduced margins of franchisees could make it more difficult to sell franchises.</w:t>
      </w:r>
    </w:p>
    <w:p>
      <w:pPr>
        <w:spacing w:after="0" w:line="188" w:lineRule="exact"/>
        <w:rPr>
          <w:sz w:val="20"/>
          <w:szCs w:val="20"/>
          <w:color w:val="auto"/>
        </w:rPr>
      </w:pPr>
    </w:p>
    <w:p>
      <w:pPr>
        <w:ind w:left="60" w:right="299"/>
        <w:spacing w:after="0" w:line="33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extensive laws, government regulation, and other legal requirements and our failure to comply with existing or new laws and regulations could adversely affect our operational efficiencies and results of operations.</w:t>
      </w:r>
    </w:p>
    <w:p>
      <w:pPr>
        <w:spacing w:after="0" w:line="135" w:lineRule="exact"/>
        <w:rPr>
          <w:sz w:val="20"/>
          <w:szCs w:val="20"/>
          <w:color w:val="auto"/>
        </w:rPr>
      </w:pPr>
    </w:p>
    <w:p>
      <w:pPr>
        <w:ind w:left="60" w:right="59"/>
        <w:spacing w:after="0" w:line="283" w:lineRule="auto"/>
        <w:rPr>
          <w:sz w:val="20"/>
          <w:szCs w:val="20"/>
          <w:color w:val="auto"/>
        </w:rPr>
      </w:pPr>
      <w:r>
        <w:rPr>
          <w:rFonts w:ascii="Times New Roman" w:cs="Times New Roman" w:eastAsia="Times New Roman" w:hAnsi="Times New Roman"/>
          <w:sz w:val="17"/>
          <w:szCs w:val="17"/>
          <w:color w:val="auto"/>
        </w:rPr>
        <w:t>Our business is subject to extensive federal, state and local laws and regulations, including those relating to the preparation, sale and labeling of food and beverages, labor and employment practices and working conditions, health, sanitation, safety and fire standards, building and zoning requirements, registration, offer, sale, termination and renewal of franchises, public accommodations and safety conditions, environmental matters, and consumer protection and privacy obligations. See “Item</w:t>
      </w:r>
    </w:p>
    <w:p>
      <w:pPr>
        <w:spacing w:after="0" w:line="1" w:lineRule="exact"/>
        <w:rPr>
          <w:sz w:val="20"/>
          <w:szCs w:val="20"/>
          <w:color w:val="auto"/>
        </w:rPr>
      </w:pPr>
    </w:p>
    <w:p>
      <w:pPr>
        <w:ind w:left="60" w:right="259" w:hanging="10"/>
        <w:spacing w:after="0" w:line="279" w:lineRule="auto"/>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Business—Regulation and Compliance” in this Annual Report for further information. We are also subject to laws and regulations concerning our compliance as a public company, including disclosure and governance matters, including accounting and tax regulations, SEC and The Nasdaq Stock Market LLC (“Nasdaq”) disclosure requirements.</w:t>
      </w:r>
    </w:p>
    <w:p>
      <w:pPr>
        <w:spacing w:after="0" w:line="137" w:lineRule="exact"/>
        <w:rPr>
          <w:sz w:val="20"/>
          <w:szCs w:val="20"/>
          <w:color w:val="auto"/>
        </w:rPr>
      </w:pPr>
    </w:p>
    <w:p>
      <w:pPr>
        <w:ind w:left="60" w:right="479"/>
        <w:spacing w:after="0" w:line="261" w:lineRule="auto"/>
        <w:rPr>
          <w:sz w:val="20"/>
          <w:szCs w:val="20"/>
          <w:color w:val="auto"/>
        </w:rPr>
      </w:pPr>
      <w:r>
        <w:rPr>
          <w:rFonts w:ascii="Times New Roman" w:cs="Times New Roman" w:eastAsia="Times New Roman" w:hAnsi="Times New Roman"/>
          <w:sz w:val="18"/>
          <w:szCs w:val="18"/>
          <w:color w:val="auto"/>
        </w:rPr>
        <w:t>Compliance with these laws and regulations, and future new laws or changes in these laws or regulations that impose additional requirements, can be costly. Any failure or perceived failure to comply with these laws or regulations could result in, among other things, revocation of required licenses, administrative enforcement actions, fines and civil and criminal liability.</w:t>
      </w:r>
    </w:p>
    <w:p>
      <w:pPr>
        <w:spacing w:after="0" w:line="180"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Changes in health, safety, construction, labor, environmental, or other laws or regulations, including changes to or repeal of the Patient Protection and Affordable Care Act (“PPACA”), could impose costs upon us, including transition costs. Such transition costs could include uncertainties about how the new laws or regulations might be interpreted, enforced, or litigated by either regulators or private parties. Such changes could also have economic implications for our customers. For example, changes to health insurance law could diminish our customers’ disposable incomes and thus reduce their frequency of eating or ordering out, even from QSR or fast casual restaurants, including 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Legislation and regulations regarding certain of our menu offerings, new information, attitudes, or regulations regarding diet and health, or adverse opinions about the health effects of consuming our menu offerings, could affect consumer preferences and negatively impact our results of operations.</w:t>
      </w:r>
    </w:p>
    <w:p>
      <w:pPr>
        <w:spacing w:after="0" w:line="175"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Government regulation and changes in consumer eating habits resulting from shifting attitudes regarding diet and health or new information regarding changes in the health effects of consuming our menu offerings may impact our business. These changes have resulted in, and may continue to result in, the enactment of laws and regulations that impact the ingredients and nutritional content of our menu offerings, or laws and regulations requiring us to disclose the nutritional content of our food offerings. Certain government authorities have adopted or may adopt laws and regulations regarding trans-fats, sodium, sodas or other ingredients or products used or sold by our restaurants. While only a small number of our ingredients contain trans-fats in trace amounts, these regulations may require us to limit or remove ingredients from our products, which could affect product tastes, customer satisfaction levels, and sales volumes. Transitioning to higher-cost ingredients may also hinder our ability to operate in certain markets and proposed tax increases on certain products, such as sodas, may affect sales volumes of those products. In addition, a number of states, counties, and cities have enacted menu labeling laws requiring multi-unit restaurant operators to disclose certain nutritional information to customers.</w:t>
      </w:r>
    </w:p>
    <w:p>
      <w:pPr>
        <w:spacing w:after="0" w:line="192"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For example, federal and state regulations, such as the federal PPACA, establishes uniform requirements for certain restaurants to post certain nutritional information on their menus. Specifically, the PPACA requires certain chain restaurants to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among other requirements. In addition, a number of states, counties, and cities have enacted menu labeling laws imposing requirements for additional menu disclosure, such as sodium content. An unfavorable report on, or reaction to, our menu ingredients, the size of our portions or the nutritional content of our menu items could negatively influence the demand for our offerings. These and other requirements may increase our expenses, slow customers’ ordering process, or negatively influence the demand for our offerings; all of which can have an adverse effect on our results of operations and financial position, as well as on the restaurant industry in general.</w:t>
      </w:r>
    </w:p>
    <w:p>
      <w:pPr>
        <w:spacing w:after="0" w:line="192"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More recently, U.S. regulatory authorities, including the Food and Drug Administration, have indicated their intent to restrict or prohibit the use of certain food dyes currently permitted for lawful use in the food supply by the end of 2026. The Food and Drug Administration continues to develop a revised post-market food chemical review program. In addition, the Food and Drug Administration is developing a proposed rule to increase oversight of food ingredients deemed Generally Recognized as Safe (GRAS), which, if finalized, would require mandatory submission of GRAS notices for food ingredients. GRAS reform legislation has also been introduced in Congress. Furthermore, an increasing number of states have proposed or enacted laws prohibiting or limiting the use of certain food and color additives and state enforcement actions and investigations into their use are underway. For example, in 2025, the Texas Attorney General’s Office initiated multiple investigations into major food companies regarding the marketing of products containing artificial dyes, resulting in public commitments to remove such additives in the near term and, in one case, a legally binding agreement by other brands are underway. Should such regulatory change affect the ingredients currently used in our products and if we are unable to identify or secure comparable and cost-effective alternative ingredients, such change could have an adverse effect on our results of operations and financial position. An unfavorable report on, or reaction to, our current or future menu ingredients, the size of our portions, or the nutritional content of our menu items could negatively influence the demand for our offerings.</w:t>
      </w:r>
    </w:p>
    <w:p>
      <w:pPr>
        <w:spacing w:after="0" w:line="192"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liabilities arising from environmental laws that could increase our operating expenses and materially and adversely affect our business and results of operations.</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are subject to federal, state, and local laws, regulations, and ordinances that:</w:t>
      </w:r>
    </w:p>
    <w:p>
      <w:pPr>
        <w:spacing w:after="0" w:line="225" w:lineRule="exact"/>
        <w:rPr>
          <w:sz w:val="20"/>
          <w:szCs w:val="20"/>
          <w:color w:val="auto"/>
        </w:rPr>
      </w:pPr>
    </w:p>
    <w:p>
      <w:pPr>
        <w:ind w:left="720" w:right="139" w:hanging="319"/>
        <w:spacing w:after="0" w:line="312" w:lineRule="auto"/>
        <w:tabs>
          <w:tab w:leader="none" w:pos="7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 activities or operations that may have adverse environmental effects, such as discharges into the air, water and soils, as well as waste handling and disposal practices for solid and hazardous wastes and wastewater; and</w:t>
      </w:r>
    </w:p>
    <w:p>
      <w:pPr>
        <w:spacing w:after="0" w:line="139" w:lineRule="exact"/>
        <w:rPr>
          <w:rFonts w:ascii="Times New Roman" w:cs="Times New Roman" w:eastAsia="Times New Roman" w:hAnsi="Times New Roman"/>
          <w:sz w:val="17"/>
          <w:szCs w:val="17"/>
          <w:color w:val="auto"/>
        </w:rPr>
      </w:pPr>
    </w:p>
    <w:p>
      <w:pPr>
        <w:ind w:left="720" w:right="63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liability for the costs of remediating, and the damage resulting from, past spills, disposals, or other releases of petroleum products and hazardous materials.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In particular, under applicable environmental laws, we may be responsible for remediation of environmental conditions and subject to associated liabilities, including liabilities for cleanup costs, personal injury, or property damage, relating to our restaurants and the land on which our restaurants are located, regardless of whether we lease or own the restaurants or land in question and regardless of whether such environmental conditions were created by us or by a prior owner or tenant. If we are found liable for the costs of remediation of contamination at any of our properties, our operating expenses would likely increase and our results of operations could be materially and adversely affected. See above under “Item 1. Business —Environmental Matters.”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due to seasonality and other factors, some of which are beyond our control, which could adversely affect the market price of our common stock.</w:t>
      </w:r>
    </w:p>
    <w:p>
      <w:pPr>
        <w:spacing w:after="0" w:line="15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Our quarterly operating results may fluctuate significantly because of several factors, including but not limited to: increases and decreases in sales; profitability of our restaurants; labor availability and costs for personnel; changes in interest rates; macroeconomic conditions, both nationally and locally; negative publicity relating to the consumption of products we serve; changes in consumer preferences and competitive conditions; impairment of property and equipment assets and any loss on and exit costs associated with restaurant closures; expansion to new markets; the timing of new restaurant openings and related expense; restaurant operating costs for our newly-opened restaurants; increases in infrastructure costs; and fluctuations in commodity prices.</w:t>
      </w:r>
    </w:p>
    <w:p>
      <w:pPr>
        <w:spacing w:after="0" w:line="18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Seasonal factors, including weather disruptions and the timing of holidays, also cause our revenue to fluctuate from quarter to quarter. Our revenue per restaurant is typically lower in the first and fourth quarters due to reduced January and December transactions and higher in the second and third quarters due to higher transactions, reflecting the seasonality trends in our operating markets. As a result of seasonality, our quarterly and annual results of operations and key performance indicators such as company restaurant revenue and comparable restaurant sales may fluctuate. Accordingly, results for any one quarter are not necessarily indicative of results to be expected for any other quarter or for any year and comparable restaurant sales for any particular future period may decrease. In the future, operating results may fall below the expectations of securities analysts and investors. In that event, the price of our common stock would likely decrease.</w:t>
      </w:r>
    </w:p>
    <w:p>
      <w:pPr>
        <w:spacing w:after="0" w:line="188"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may adversely affect the market price of our common stock or dilute the ownership of our existing stockholders.</w:t>
      </w:r>
    </w:p>
    <w:p>
      <w:pPr>
        <w:spacing w:after="0" w:line="159"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common stock or by offering other equity securities, or debt, including senior or subordinated notes, debt securities convertible into equity, or shares of preferred stock. Opening new company-operated restaurants in existing and new markets could require substantial additional capital in excess of cash from operations. We would expect to finance the capital required for new company-operated restaurants through a combination of additional issuances of equity, corporate indebtedness, and cash from operations.</w:t>
      </w:r>
    </w:p>
    <w:p>
      <w:pPr>
        <w:spacing w:after="0" w:line="18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Issuing additional shares of our common stock or other equity securities or securities convertible into equity may dilute the economic and voting rights of our existing stockholders, reduce the market price of our common stock, or both. In a liquidation, holders of any such debt securities or preferred stock, and lenders with respect to other borrowings, could receive distributions of our available assets prior to the holders of our common stock. Debt securities convertible into equity could be subject to adjustments in their conversion ratios under certain circumstances, increasing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that may adversely affect the amount, timing, or nature of our future offerings. Thus, holders of our common stock bear the risk that our future offerings may reduce the market price of our common stock and dilute their stockholdings in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Delaware law, our organizational documents, our shareholder rights agreement and our existing and future debt agreements may impede or discourage a takeover, depriving our investors of the opportunity to receive a premium for their shares.</w:t>
      </w:r>
    </w:p>
    <w:p>
      <w:pPr>
        <w:spacing w:after="0" w:line="175"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Delaware law impose various impediments to the ability of a third-party to acquire control of us, even if a change of control would be beneficial to our existing stockholders. In addition, provisions of our amended and restated certificate of incorporation and by-laws may make it difficult for, or prevent, a third-party from acquiring control of us without the approval of our Board of Directors. Among other things, these provisions: provide for a classified board of directors with staggered three-year terms; do not permit cumulative voting in the election of directors, which would allow a minority of stockholders to elect director candidates; delegate the sole power to a majority of the board of directors to fix the number of directors; provide the power to our Board of Directors to fill any vacancy on our Board of Directors, whether such vacancy occurs as a result of an increase in the number of directors or otherwise; authorize the issuance of “blank check” preferred stock without any need for action by stockholders; eliminate the ability of stockholders to call special meetings of stockholders; establish advance notice requirements for nominations for election to our Board of Directors or for proposing matters that can be acted on by stockholders at stockholder meetings; and provide that, on or after the date that Trimaran Pollo Partners, L.L.C. ceases to beneficially own at least 40% of the total votes eligible to be cast in the election of directors, a 75% supermajority vote will be required to amend or repeal provisions relating to, among other things, the classification of the board of directors, the filling of vacancies on the board of directors, and the advance notice requirements for stockholder proposals and director nominations.</w:t>
      </w:r>
    </w:p>
    <w:p>
      <w:pPr>
        <w:spacing w:after="0" w:line="195"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In addition, in certain circumstances, the shareholder rights plan adopted by our Board of Directors in August 2023 would cause dilution to a person or group that acquires a large block of our common stock and thereby make it more difficult for such person or group to acquire the Company. See “</w:t>
      </w:r>
      <w:r>
        <w:rPr>
          <w:rFonts w:ascii="Times New Roman" w:cs="Times New Roman" w:eastAsia="Times New Roman" w:hAnsi="Times New Roman"/>
          <w:sz w:val="18"/>
          <w:szCs w:val="18"/>
          <w:b w:val="1"/>
          <w:bCs w:val="1"/>
          <w:i w:val="1"/>
          <w:iCs w:val="1"/>
          <w:color w:val="auto"/>
        </w:rPr>
        <w:t>Shareholder activism could cause us to incur significant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disrupt our business, result in a proxy contest or litigation and impact our stock price</w:t>
      </w:r>
      <w:r>
        <w:rPr>
          <w:rFonts w:ascii="Times New Roman" w:cs="Times New Roman" w:eastAsia="Times New Roman" w:hAnsi="Times New Roman"/>
          <w:sz w:val="18"/>
          <w:szCs w:val="18"/>
          <w:color w:val="auto"/>
        </w:rPr>
        <w:t>” below for additional information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regarding our shareholder rights plan.</w:t>
      </w:r>
    </w:p>
    <w:p>
      <w:pPr>
        <w:spacing w:after="0" w:line="183" w:lineRule="exact"/>
        <w:rPr>
          <w:sz w:val="20"/>
          <w:szCs w:val="20"/>
          <w:color w:val="auto"/>
        </w:rPr>
      </w:pPr>
    </w:p>
    <w:p>
      <w:pPr>
        <w:ind w:left="60" w:right="279"/>
        <w:spacing w:after="0" w:line="274" w:lineRule="auto"/>
        <w:rPr>
          <w:sz w:val="20"/>
          <w:szCs w:val="20"/>
          <w:color w:val="auto"/>
        </w:rPr>
      </w:pPr>
      <w:r>
        <w:rPr>
          <w:rFonts w:ascii="Times New Roman" w:cs="Times New Roman" w:eastAsia="Times New Roman" w:hAnsi="Times New Roman"/>
          <w:sz w:val="17"/>
          <w:szCs w:val="17"/>
          <w:color w:val="auto"/>
        </w:rPr>
        <w:t>Furthermore, our secured revolving credit facility imposes, and we anticipate that documents governing our future indebtedness may impose, limitations on our ability to enter into change of control transactions. Under our secured revolving credit facility, the occurrence of a change of control transaction can constitute an event of default permitting acceleration of the debt, thereby impeding our ability to enter into change of control transactions. The foregoing factors could impede a merger, takeover, or other business combination, or discourage a potential investor from making a tender offer for our common stock, which, under certain circumstances, could reduce the market value of our common stock.</w:t>
      </w:r>
    </w:p>
    <w:p>
      <w:pPr>
        <w:spacing w:after="0" w:line="173"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These provisions, either alone or in combination with each other, give our current directors and executive officers a substantial ability to influence the outcome of a proposed acquisition of the Company. These provisions would apply even if an acquisition or other significant corporate transaction was considered beneficial by some of our shareholders. If a change in control or change in management is delayed or prevented by these provisions, the market price of our securities could decline.</w:t>
      </w:r>
    </w:p>
    <w:p>
      <w:pPr>
        <w:spacing w:after="0" w:line="179"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 activism could cause us to incur significant expense, disrupt our business, result in a proxy contest or litigation and impact our stock price.</w:t>
      </w:r>
    </w:p>
    <w:p>
      <w:pPr>
        <w:spacing w:after="0" w:line="15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From time to time, we are subject to proposals by stockholders urging us to take certain corporate actions. If activist stockholder activities ensue, we may be subject to substantial costs and the diversion of management’s and our Board of Directors’ attention and resources from our business. Such shareholder activism could give rise to perceived uncertainties as to our future, adversely affect our relationships with our employees, customers, or suppliers and make it more difficult to attract and retain qualified personnel. We may be required to incur significant fees and other expenses related to activist shareholder matters, including for third party advisors. We may be subjected to a proxy contest or to litigation by activist investors. Our stock price has been and could be subject to significant fluctuation or otherwise be adversely affected by the events, risks and uncertainties of any shareholder activism.</w:t>
      </w:r>
    </w:p>
    <w:p>
      <w:pPr>
        <w:spacing w:after="0" w:line="18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359"/>
        <w:spacing w:after="0" w:line="312" w:lineRule="auto"/>
        <w:rPr>
          <w:sz w:val="20"/>
          <w:szCs w:val="20"/>
          <w:color w:val="auto"/>
        </w:rPr>
      </w:pPr>
      <w:r>
        <w:rPr>
          <w:rFonts w:ascii="Times New Roman" w:cs="Times New Roman" w:eastAsia="Times New Roman" w:hAnsi="Times New Roman"/>
          <w:sz w:val="17"/>
          <w:szCs w:val="17"/>
          <w:color w:val="auto"/>
        </w:rPr>
        <w:t>The Company has multi-layer processes to assess, identify and manage material risks from cybersecurity threats. These processes are integrated into the Company’s enterprise risk management as part of its overall risk management strategy.</w:t>
      </w:r>
    </w:p>
    <w:p>
      <w:pPr>
        <w:spacing w:after="0" w:line="140"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A cross-functional team of senior leadership assesses potential material risks to the business and the Company’s ability to meet strategic priorities, including risks from cybersecurity threats. The Company’s senior leadership receives updates from relevant functional heads or other subject matter specialists on these potential material risks as well as the processes or other steps being taken to manage or mitigate the risks. The team includes senior leaders in areas of importance to Company priorities, including the Company’s Chief Privacy Officer, who is also our Senior Vice President of Information Technology and the Chief Legal Officer. The Company’s senior leadership assesses and prioritizes risk based on impact to shareholders, operations, and strategic priorities, among other factors.</w:t>
      </w:r>
    </w:p>
    <w:p>
      <w:pPr>
        <w:spacing w:after="0" w:line="189" w:lineRule="exact"/>
        <w:rPr>
          <w:sz w:val="20"/>
          <w:szCs w:val="20"/>
          <w:color w:val="auto"/>
        </w:rPr>
      </w:pPr>
    </w:p>
    <w:p>
      <w:pPr>
        <w:ind w:left="60" w:right="379"/>
        <w:spacing w:after="0" w:line="277" w:lineRule="auto"/>
        <w:rPr>
          <w:sz w:val="20"/>
          <w:szCs w:val="20"/>
          <w:color w:val="auto"/>
        </w:rPr>
      </w:pPr>
      <w:r>
        <w:rPr>
          <w:rFonts w:ascii="Times New Roman" w:cs="Times New Roman" w:eastAsia="Times New Roman" w:hAnsi="Times New Roman"/>
          <w:sz w:val="17"/>
          <w:szCs w:val="17"/>
          <w:color w:val="auto"/>
        </w:rPr>
        <w:t>The Chief Privacy Officer oversees the Company’s information security program and is responsible for the day-to-day information risk management activities through the internal information security team, and outside resources. The SVP, Chief Information Officer, who has over 30 years of IT and IT security experience, 22 of which are at the Company, employs a team of information technology experts, including a dedicated Cyber Security Analyst. The SVP, Chief Information Officer and the Cyber Security Analyst are further supported by other members of the IT department.</w:t>
      </w:r>
    </w:p>
    <w:p>
      <w:pPr>
        <w:spacing w:after="0" w:line="168"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 Company’s processes to assess, identify and manage material risks from cybersecurity threats include, but are not limited to, the following:</w:t>
      </w:r>
    </w:p>
    <w:p>
      <w:pPr>
        <w:spacing w:after="0" w:line="162" w:lineRule="exact"/>
        <w:rPr>
          <w:sz w:val="20"/>
          <w:szCs w:val="20"/>
          <w:color w:val="auto"/>
        </w:rPr>
      </w:pPr>
    </w:p>
    <w:p>
      <w:pPr>
        <w:ind w:left="720" w:right="79" w:hanging="319"/>
        <w:spacing w:after="0" w:line="254"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SVP, Chief Information Officer, dedicated Cyber Security Analyst, and other key members of the information technology team actively monitor threats to the information technology environment. They work with a third party to provide additional 24/7 monitoring of cyber threats. These internal and external cybersecurity teams are empowered to contain network access through various application controls. Structural protections are also in place to mitigate risks of end point failures, and provide for continuity of operations.</w:t>
      </w:r>
    </w:p>
    <w:p>
      <w:pPr>
        <w:spacing w:after="0" w:line="3" w:lineRule="exact"/>
        <w:rPr>
          <w:rFonts w:ascii="Times New Roman" w:cs="Times New Roman" w:eastAsia="Times New Roman" w:hAnsi="Times New Roman"/>
          <w:sz w:val="18"/>
          <w:szCs w:val="18"/>
          <w:color w:val="auto"/>
        </w:rPr>
      </w:pPr>
    </w:p>
    <w:p>
      <w:pPr>
        <w:ind w:left="720" w:right="299" w:hanging="319"/>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various systems to manage threats, for example, firewall protections, anti-virus protections, vulnerability scans, among others. Such systems are regularly reviewed for adequacy and potential enhancements.</w:t>
      </w:r>
    </w:p>
    <w:p>
      <w:pPr>
        <w:spacing w:after="0" w:line="1" w:lineRule="exact"/>
        <w:rPr>
          <w:rFonts w:ascii="Times New Roman" w:cs="Times New Roman" w:eastAsia="Times New Roman" w:hAnsi="Times New Roman"/>
          <w:sz w:val="18"/>
          <w:szCs w:val="18"/>
          <w:color w:val="auto"/>
        </w:rPr>
      </w:pPr>
    </w:p>
    <w:p>
      <w:pPr>
        <w:ind w:left="720" w:right="299" w:hanging="319"/>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employs an information security and training program for our employees, including annual mandatory computer-based training, regular internal communications, and ongoing end-user testing throughout the year to measure the effectiveness of our information security program.</w:t>
      </w:r>
    </w:p>
    <w:p>
      <w:pPr>
        <w:spacing w:after="0" w:line="1" w:lineRule="exact"/>
        <w:rPr>
          <w:rFonts w:ascii="Times New Roman" w:cs="Times New Roman" w:eastAsia="Times New Roman" w:hAnsi="Times New Roman"/>
          <w:sz w:val="18"/>
          <w:szCs w:val="18"/>
          <w:color w:val="auto"/>
        </w:rPr>
      </w:pPr>
    </w:p>
    <w:p>
      <w:pPr>
        <w:ind w:left="720" w:right="499" w:hanging="319"/>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engages external third parties to advise on emerging threats to stay current and strengthen our security capabilities.</w:t>
      </w:r>
    </w:p>
    <w:p>
      <w:pPr>
        <w:ind w:left="720" w:right="119" w:hanging="319"/>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performs penetration testing and other exercises within internal and external networks for potential vulnerabilities.</w:t>
      </w:r>
    </w:p>
    <w:p>
      <w:pPr>
        <w:ind w:left="720" w:right="99" w:hanging="319"/>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additionally performs annual tabletop exercises with the information technology team pertaining to infrastructure and cyber security related events, to test the Company’s incident response and business continuity plans in the event of a cybersecurity incident.</w:t>
      </w:r>
    </w:p>
    <w:p>
      <w:pPr>
        <w:spacing w:after="0" w:line="1" w:lineRule="exact"/>
        <w:rPr>
          <w:rFonts w:ascii="Times New Roman" w:cs="Times New Roman" w:eastAsia="Times New Roman" w:hAnsi="Times New Roman"/>
          <w:sz w:val="18"/>
          <w:szCs w:val="18"/>
          <w:color w:val="auto"/>
        </w:rPr>
      </w:pPr>
    </w:p>
    <w:p>
      <w:pPr>
        <w:ind w:left="720" w:right="219" w:hanging="319"/>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Bi-annually the Company engages a third party to conduct an audit of the Company's cybersecurity systems and processes to test their adequacy and efficacy. The results are shared with senior leadership and the Audit Committee of the Board, and incorporated into strategic security plans.</w:t>
      </w:r>
    </w:p>
    <w:p>
      <w:pPr>
        <w:spacing w:after="0" w:line="1" w:lineRule="exact"/>
        <w:rPr>
          <w:rFonts w:ascii="Times New Roman" w:cs="Times New Roman" w:eastAsia="Times New Roman" w:hAnsi="Times New Roman"/>
          <w:sz w:val="18"/>
          <w:szCs w:val="18"/>
          <w:color w:val="auto"/>
        </w:rPr>
      </w:pPr>
    </w:p>
    <w:p>
      <w:pPr>
        <w:ind w:left="720" w:right="179" w:hanging="319"/>
        <w:spacing w:after="0" w:line="26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cybersecurity insurance, which is assessed annually for the appropriateness of coverage levels and emerging trends.</w:t>
      </w:r>
    </w:p>
    <w:p>
      <w:pPr>
        <w:spacing w:after="0" w:line="181"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Company also has in place an Incident Response Plan that enables it to quickly categorize, respond, and escalate to senior leadership and the Audit Committee of the Board, real or potential cybersecurity incidents in a manner designed to mitigate overall business impact.</w:t>
      </w:r>
    </w:p>
    <w:p>
      <w:pPr>
        <w:spacing w:after="0" w:line="176"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In connection with the Company’s review and approval for potential new vendors, the Company assesses the data types or Personally Identifiable Information that the vendor may maintain, store or access and reviews the adequacy of their cybersecurity procedures and legal protections. Legal counsel and the SVP, Chief Privacy Officer review the cyber and contractual protections and consider the overall risk profile considering the type of agreement, data involved, vendor, and jurisdiction, among other factors. Vendors deemed to have insufficient controls balancing the relevant criteria will not be approved.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The Board of Directors is kept apprised of material risks from cybersecurity threats through the Audit Committee. The Audit Committee is responsible for overseeing threats to the Company, including those involving cyber threats, and reviewing the Company’s protocols and procedures to mitigate those threats. On a quarterly basis, the SVP, Chief Privacy Officer, presents to the Audit Committee on the Company’s cybersecurity compliance and risk management practices. These presentations address, among other things, the results of audits and reviews of our security information systems and other cybersecurity measures, the current threat environment and cybersecurity trends and best practices. As applicable, these quarterly presentations also include reports of cybersecurity incidents affecting our information systems along with updates on the status of prior cybersecurity incidents and applicable remediation efforts. The Audit Committee discusses the adequacy and efficacy of the controls and shares the information with the Board as part of its risk oversight function. Outside of quarterly presentations, the Audit Committee is informed of incidents that in senior leadership’s discretion require more immediate Audit Committee attention.</w:t>
      </w:r>
    </w:p>
    <w:p>
      <w:pPr>
        <w:spacing w:after="0" w:line="192"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To date, the Company has not, to its knowledge, experienced any cybersecurity threats or previous cybersecurity incidents, that have materially affected or are reasonably likely to materially affect the Company, including its business strategy, results of operations, or financial condition. In the last three years, the Company has not experienced any material cybersecurity incidents and we have not incurred material expenses from cybersecurity incidents (including penalties and settlements, of which there were none). However, we can give no assurance that we have detected or protected against all cybersecurity incidents or cybersecurity threats. Please refer to “Item 1A, Risk Factors— Risks Related to Information Technology and Data Security” in this Annual Report for additional information about risks related to cybersecurity matters.</w:t>
      </w:r>
    </w:p>
    <w:p>
      <w:pPr>
        <w:spacing w:after="0" w:line="18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As of December 31, 2025, our restaurant system consisted of 503 restaurants, comprised of 175 company-operated restaurants and 328 franchised restaurants, located in California, Nevada, Arizona, Texas, Utah, Louisiana, New Mexico, Washington, and Colorado. In addition, as of December 31, 2025, we licensed our brand to 8 restaurants in the Philippines. We have not included these licensed restaurants as part of our unit count as presented in this annual report. The table below sets forth the locations (by state) for all restaurants in operation as of December 31, 2025.</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6120" w:type="dxa"/>
            <w:vAlign w:val="bottom"/>
            <w:vMerge w:val="continue"/>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Operated</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​​​Franchised</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Total</w:t>
            </w:r>
          </w:p>
        </w:tc>
        <w:tc>
          <w:tcPr>
            <w:tcW w:w="0" w:type="dxa"/>
            <w:vAlign w:val="bottom"/>
          </w:tcPr>
          <w:p>
            <w:pPr>
              <w:spacing w:after="0"/>
              <w:rPr>
                <w:sz w:val="1"/>
                <w:szCs w:val="1"/>
                <w:color w:val="auto"/>
              </w:rPr>
            </w:pPr>
          </w:p>
        </w:tc>
      </w:tr>
      <w:tr>
        <w:trPr>
          <w:trHeight w:val="210"/>
        </w:trPr>
        <w:tc>
          <w:tcPr>
            <w:tcW w:w="6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Louisiana</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Washington</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Mexico</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419"/>
        <w:spacing w:after="0" w:line="261" w:lineRule="auto"/>
        <w:rPr>
          <w:sz w:val="20"/>
          <w:szCs w:val="20"/>
          <w:color w:val="auto"/>
        </w:rPr>
      </w:pPr>
      <w:r>
        <w:rPr>
          <w:rFonts w:ascii="Times New Roman" w:cs="Times New Roman" w:eastAsia="Times New Roman" w:hAnsi="Times New Roman"/>
          <w:sz w:val="18"/>
          <w:szCs w:val="18"/>
          <w:color w:val="auto"/>
        </w:rPr>
        <w:t>Our restaurants are either free-standing facilities, typically with drive-thru capability, or in-line. A typical restaurant generally ranges from 2,200 to 3,000 square feet, with seating for approximately 50 to 70 people. For a majority of our company-operated restaurants, we lease land on which our restaurants are built. Our leases generally have terms of 20 years, with up to four renewal terms of five years.</w:t>
      </w:r>
    </w:p>
    <w:p>
      <w:pPr>
        <w:spacing w:after="0" w:line="180"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Restaurant leases provide for a specified annual rent, and some leases call for additional or contingent rent based on revenue above specified levels. Generally, our leases are “net” leases that require us to pay a pro rata share of taxes, insurance, and maintenance costs. We own 15 properties, of which we currently operate 12 and license three to franchisees. In addition, we operate 163 company-operated restaurants on leased real estate, we own one operating unit with additional parking on leased real estate, and we have another 45 leased sites that are subleased or assigned to franchisees who operate El Pollo Loco restaurants. We also have two closed units, both of which are subleased for uses other than El Pollo Loco. We also sublease a surplus property of an operating location to a third party.</w:t>
      </w:r>
    </w:p>
    <w:p>
      <w:pPr>
        <w:spacing w:after="0" w:line="18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We lease our headquarters, consisting of approximately 24,011 square feet in Costa Mesa, California, for a term expiring in 2033, plus a five-year extension option.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For information regarding our material legal proceedings, see Note 14 “Commitments and Contingencies—Legal Matters” in the accompanying “Notes to Consolidated Financial Statements” in this Annual Report, which information is incorporated herein by reference.</w:t>
      </w:r>
    </w:p>
    <w:p>
      <w:pPr>
        <w:spacing w:after="0" w:line="172"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common stock has been listed on The Nasdaq Stock Market LLC under the symbol “LOCO” since July 25, 2014.</w:t>
      </w:r>
    </w:p>
    <w:p>
      <w:pPr>
        <w:spacing w:after="0" w:line="225"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As of March 6, 2026, there were approximately 61 holders of record of our common stock. The number of holders of record is based upon the actual number of holders registered at such date and does not include holders of shares in “street name” or persons, partnerships, associates, corporations, or other entities in security position listings maintained by depositories.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Dividend payments are subject to the discretion and approval of our Board of Directors and our compliance with applicable law, and depends upon, among other things, our results of operations, financial condition, level of indebtedness, capital requirements, contractual restrictions, and other factors that our Board of Directors may deem relevant. We do not anticipate paying any such dividends for the foreseeable future. Any determination to pay dividends in the future will be at the discretion of our Board of Directors and will depend upon our results of operations, financial condition, restrictions imposed by applicable law and our financing agreements and other factors that our Board of Directors deems relevant.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sets forth information with respect to the shares of our common stock we acquired during the fourth quarter ended December 31, 2025 </w:t>
      </w:r>
      <w:r>
        <w:rPr>
          <w:rFonts w:ascii="Times New Roman" w:cs="Times New Roman" w:eastAsia="Times New Roman" w:hAnsi="Times New Roman"/>
          <w:sz w:val="18"/>
          <w:szCs w:val="18"/>
          <w:color w:val="212529"/>
        </w:rPr>
        <w:t>(in thousands, except number of shares and per share amounts)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3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3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3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3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That</w:t>
            </w:r>
          </w:p>
        </w:tc>
      </w:tr>
      <w:tr>
        <w:trPr>
          <w:trHeight w:val="216"/>
        </w:trPr>
        <w:tc>
          <w:tcPr>
            <w:tcW w:w="3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center"/>
              <w:ind w:right="153"/>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3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May Be</w:t>
            </w:r>
          </w:p>
        </w:tc>
      </w:tr>
      <w:tr>
        <w:trPr>
          <w:trHeight w:val="216"/>
        </w:trPr>
        <w:tc>
          <w:tcPr>
            <w:tcW w:w="3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center"/>
              <w:ind w:right="153"/>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3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r>
      <w:tr>
        <w:trPr>
          <w:trHeight w:val="216"/>
        </w:trPr>
        <w:tc>
          <w:tcPr>
            <w:tcW w:w="3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center"/>
              <w:ind w:right="153"/>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5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38"/>
        </w:trPr>
        <w:tc>
          <w:tcPr>
            <w:tcW w:w="3480" w:type="dxa"/>
            <w:vAlign w:val="bottom"/>
          </w:tcPr>
          <w:p>
            <w:pPr>
              <w:spacing w:after="0"/>
              <w:rPr>
                <w:sz w:val="20"/>
                <w:szCs w:val="20"/>
                <w:color w:val="auto"/>
              </w:rPr>
            </w:pPr>
          </w:p>
        </w:tc>
        <w:tc>
          <w:tcPr>
            <w:tcW w:w="1620" w:type="dxa"/>
            <w:vAlign w:val="bottom"/>
            <w:gridSpan w:val="3"/>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 Purchased</w:t>
            </w: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Per Share</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Programs</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r>
      <w:tr>
        <w:trPr>
          <w:trHeight w:val="209"/>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25, 2025 to October 22, 2025</w:t>
            </w:r>
          </w:p>
        </w:tc>
        <w:tc>
          <w:tcPr>
            <w:tcW w:w="4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23, 2025 to November 19, 2025</w:t>
            </w:r>
          </w:p>
        </w:tc>
        <w:tc>
          <w:tcPr>
            <w:tcW w:w="480" w:type="dxa"/>
            <w:vAlign w:val="bottom"/>
          </w:tcPr>
          <w:p>
            <w:pPr>
              <w:spacing w:after="0"/>
              <w:rPr>
                <w:sz w:val="18"/>
                <w:szCs w:val="18"/>
                <w:color w:val="auto"/>
              </w:rPr>
            </w:pPr>
          </w:p>
        </w:tc>
        <w:tc>
          <w:tcPr>
            <w:tcW w:w="1140" w:type="dxa"/>
            <w:vAlign w:val="bottom"/>
            <w:gridSpan w:val="2"/>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 2025 to December 31, 2025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22,424</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
        </w:trPr>
        <w:tc>
          <w:tcPr>
            <w:tcW w:w="3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20" w:right="239" w:hanging="319"/>
        <w:spacing w:after="0" w:line="282" w:lineRule="auto"/>
        <w:tabs>
          <w:tab w:leader="none" w:pos="7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Consists of 22,424 shares acquired by us to satisfy employee tax withholding obligations in connection with the vesting of previously issued restricted stock.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following graph and table illustrate the total cumulative shareholder return for (i) our common stock, (ii) the Nasdaq Composite Index and (iii) the Standard and Poor’s Composite 1500 Restaurants Index, for the five years ended December 31, 2025. The graph assumes the investment of $100 at the beginning of the period (at the closing price of our common stock on December 30, 2020) and the reinvestment of all dividends. Specifically, the graph assumes that the $1.50 per share special cash dividend paid to shareholders was reinvested in 2022. Stockholder returns over the indicated period should not be considered indicative of future stockholder returns.</w:t>
      </w:r>
    </w:p>
    <w:p>
      <w:pPr>
        <w:spacing w:after="0" w:line="185"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i w:val="1"/>
          <w:iCs w:val="1"/>
          <w:color w:val="auto"/>
        </w:rPr>
        <w:t>The stock performance graph shall not be deemed soliciting material or to be filed with the SEC or subject to Regulation 14A or 14C under the Exchange Act or to the liabilities of Section 18 of the Exchange Act, nor shall it be incorporated by reference into any past or future filing under the Securities Act of 1933, as amended (the “Securities Act”) or the Exchange Act, except to the extent we specifically request that it be treated as soliciting material or specifically incorporate it by reference into a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266700</wp:posOffset>
            </wp:positionV>
            <wp:extent cx="5417820" cy="23399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1782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Nasdaq</w:t>
            </w: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S&amp;P Composite</w:t>
            </w:r>
          </w:p>
        </w:tc>
        <w:tc>
          <w:tcPr>
            <w:tcW w:w="0" w:type="dxa"/>
            <w:vAlign w:val="bottom"/>
          </w:tcPr>
          <w:p>
            <w:pPr>
              <w:spacing w:after="0"/>
              <w:rPr>
                <w:sz w:val="1"/>
                <w:szCs w:val="1"/>
                <w:color w:val="auto"/>
              </w:rPr>
            </w:pPr>
          </w:p>
        </w:tc>
      </w:tr>
      <w:tr>
        <w:trPr>
          <w:trHeight w:val="107"/>
        </w:trPr>
        <w:tc>
          <w:tcPr>
            <w:tcW w:w="4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96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LOCO</w:t>
            </w:r>
          </w:p>
        </w:tc>
        <w:tc>
          <w:tcPr>
            <w:tcW w:w="420" w:type="dxa"/>
            <w:vAlign w:val="bottom"/>
            <w:gridSpan w:val="2"/>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Composite</w:t>
            </w:r>
          </w:p>
        </w:tc>
        <w:tc>
          <w:tcPr>
            <w:tcW w:w="340" w:type="dxa"/>
            <w:vAlign w:val="bottom"/>
            <w:gridSpan w:val="2"/>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w w:val="99"/>
              </w:rPr>
              <w:t>1500</w:t>
            </w:r>
          </w:p>
        </w:tc>
        <w:tc>
          <w:tcPr>
            <w:tcW w:w="0" w:type="dxa"/>
            <w:vAlign w:val="bottom"/>
          </w:tcPr>
          <w:p>
            <w:pPr>
              <w:spacing w:after="0"/>
              <w:rPr>
                <w:sz w:val="1"/>
                <w:szCs w:val="1"/>
                <w:color w:val="auto"/>
              </w:rPr>
            </w:pPr>
          </w:p>
        </w:tc>
      </w:tr>
      <w:tr>
        <w:trPr>
          <w:trHeight w:val="173"/>
        </w:trPr>
        <w:tc>
          <w:tcPr>
            <w:tcW w:w="456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340" w:type="dxa"/>
            <w:vAlign w:val="bottom"/>
            <w:gridSpan w:val="2"/>
            <w:vMerge w:val="continue"/>
          </w:tcPr>
          <w:p>
            <w:pPr>
              <w:spacing w:after="0"/>
              <w:rPr>
                <w:sz w:val="15"/>
                <w:szCs w:val="15"/>
                <w:color w:val="auto"/>
              </w:rPr>
            </w:pPr>
          </w:p>
        </w:tc>
        <w:tc>
          <w:tcPr>
            <w:tcW w:w="11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Restaurants</w:t>
            </w:r>
          </w:p>
        </w:tc>
        <w:tc>
          <w:tcPr>
            <w:tcW w:w="0" w:type="dxa"/>
            <w:vAlign w:val="bottom"/>
          </w:tcPr>
          <w:p>
            <w:pPr>
              <w:spacing w:after="0"/>
              <w:rPr>
                <w:sz w:val="1"/>
                <w:szCs w:val="1"/>
                <w:color w:val="auto"/>
              </w:rPr>
            </w:pPr>
          </w:p>
        </w:tc>
      </w:tr>
      <w:tr>
        <w:trPr>
          <w:trHeight w:val="210"/>
        </w:trPr>
        <w:tc>
          <w:tcPr>
            <w:tcW w:w="4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30, 2020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December 29, 2021</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4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122.05</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28, 2022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4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111.26</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December 27, 2023</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4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128.75</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December 25, 2024</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4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137.23</w:t>
            </w:r>
          </w:p>
        </w:tc>
        <w:tc>
          <w:tcPr>
            <w:tcW w:w="0" w:type="dxa"/>
            <w:vAlign w:val="bottom"/>
          </w:tcPr>
          <w:p>
            <w:pPr>
              <w:spacing w:after="0"/>
              <w:rPr>
                <w:sz w:val="1"/>
                <w:szCs w:val="1"/>
                <w:color w:val="auto"/>
              </w:rPr>
            </w:pPr>
          </w:p>
        </w:tc>
      </w:tr>
      <w:tr>
        <w:trPr>
          <w:trHeight w:val="231"/>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4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173.38</w:t>
            </w:r>
          </w:p>
        </w:tc>
        <w:tc>
          <w:tcPr>
            <w:tcW w:w="0" w:type="dxa"/>
            <w:vAlign w:val="bottom"/>
          </w:tcPr>
          <w:p>
            <w:pPr>
              <w:spacing w:after="0"/>
              <w:rPr>
                <w:sz w:val="1"/>
                <w:szCs w:val="1"/>
                <w:color w:val="auto"/>
              </w:rPr>
            </w:pPr>
          </w:p>
        </w:tc>
      </w:tr>
    </w:tbl>
    <w:p>
      <w:pPr>
        <w:ind w:left="60" w:right="259" w:hanging="10"/>
        <w:spacing w:after="0" w:line="206" w:lineRule="auto"/>
        <w:tabs>
          <w:tab w:leader="none" w:pos="262"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Since December 25, 2024 was a market holiday, the price quoted in this column is based on our closing share price on December 24, 2024.</w:t>
      </w:r>
    </w:p>
    <w:p>
      <w:pPr>
        <w:spacing w:after="0" w:line="194"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25" w:lineRule="exact"/>
        <w:rPr>
          <w:sz w:val="20"/>
          <w:szCs w:val="20"/>
          <w:color w:val="auto"/>
        </w:rPr>
      </w:pPr>
    </w:p>
    <w:p>
      <w:pPr>
        <w:ind w:left="60" w:right="739"/>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7" w:lineRule="exact"/>
        <w:rPr>
          <w:sz w:val="20"/>
          <w:szCs w:val="20"/>
          <w:color w:val="auto"/>
        </w:rPr>
      </w:pPr>
    </w:p>
    <w:p>
      <w:pPr>
        <w:ind w:left="60" w:right="41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our “Audited Consolidated Financial Statements” and accompanying “Notes to Consolidated Financial Statements” included elsewhere in this Annual Report. In addition to historical information, this discussion contains forward-looking statements that involve risks, uncertainties, and assumptions that could cause actual results to differ materially from management’s expectations. See “Forward-</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39"/>
        <w:spacing w:after="0" w:line="284" w:lineRule="auto"/>
        <w:rPr>
          <w:sz w:val="20"/>
          <w:szCs w:val="20"/>
          <w:color w:val="auto"/>
        </w:rPr>
      </w:pPr>
      <w:r>
        <w:rPr>
          <w:rFonts w:ascii="Times New Roman" w:cs="Times New Roman" w:eastAsia="Times New Roman" w:hAnsi="Times New Roman"/>
          <w:sz w:val="18"/>
          <w:szCs w:val="18"/>
          <w:i w:val="1"/>
          <w:iCs w:val="1"/>
          <w:color w:val="auto"/>
        </w:rPr>
        <w:t>Looking Statements” and “Item 1A. Risk Factors” included elsewhere in this Annual Report. We assume no obligation to update any of these forward-looking statements.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use a 52- or 53-week fiscal year ending on the last Wednesday of each calendar year. Fiscal 2025, 2024, and 2023 ended on December 31, 2025, December 25, 2024 and December 27, 2023, respectively. In a 52-week fiscal year, each quarter includes 13 weeks of operations. In a 53-week fiscal year, the first, second and third quarters each include 13 weeks of operations, and the fourth quarter includes 14 weeks of operations. Approximately every five or six years a 53-week fiscal year occurs. Fiscal 2025 was a 53-week fiscal year, and fiscal 2024 and 2023 were 52-week fiscal years. 53-</w:t>
      </w:r>
    </w:p>
    <w:p>
      <w:pPr>
        <w:spacing w:after="0" w:line="3" w:lineRule="exact"/>
        <w:rPr>
          <w:sz w:val="20"/>
          <w:szCs w:val="20"/>
          <w:color w:val="auto"/>
        </w:rPr>
      </w:pPr>
    </w:p>
    <w:p>
      <w:pPr>
        <w:jc w:val="both"/>
        <w:ind w:left="60" w:right="559"/>
        <w:spacing w:after="0" w:line="255" w:lineRule="auto"/>
        <w:rPr>
          <w:sz w:val="20"/>
          <w:szCs w:val="20"/>
          <w:color w:val="auto"/>
        </w:rPr>
      </w:pPr>
      <w:r>
        <w:rPr>
          <w:rFonts w:ascii="Times New Roman" w:cs="Times New Roman" w:eastAsia="Times New Roman" w:hAnsi="Times New Roman"/>
          <w:sz w:val="18"/>
          <w:szCs w:val="18"/>
          <w:color w:val="auto"/>
        </w:rPr>
        <w:t>week years may cause revenues, expenses, and other results of operations to be higher due to the additional week of operations. Fiscal years are identified in this Annual Report according to the calendar years in which they ended. For example, references to fiscal 2025 refer to the fiscal year ended December 31, 2025.</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El Pollo Loco is a differentiated and growing restaurant concept that specializes in fire-grilling citrus-marinated chicken and operates in the limited-service restaurant segment. We strive to offer quality chicken served fast and easy. Our distinctive menu features our signature product--citrus-marinated fire-grilled chicken--and a variety of Mexican and LA-inspired entrees that we create from our chicken. We serve individual and family-sized chicken meals, including a variety of entrees like our Double Chicken Tostada, Guacamole Chicken Burrito, and Salsa Verde Chicken Quesadilla. Our famous Creamy Cilantro dressings and salsas are prepared fresh daily, allowing our customers to create their favorite flavor profiles to enhance their culinary experience. We believe that our distinctive menu that features quality chicken is a flavorful and affordable option that appeals to consumers across a wide variety of socio-economic backgrounds and drives our balanced composition of sales throughout the day, including at lunch and dinner.</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8"/>
          <w:szCs w:val="18"/>
          <w:b w:val="1"/>
          <w:bCs w:val="1"/>
          <w:color w:val="auto"/>
        </w:rPr>
        <w:t>arket Trends and Uncertainties</w:t>
      </w:r>
    </w:p>
    <w:p>
      <w:pPr>
        <w:spacing w:after="0" w:line="22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As a result of recent California legislation increasing wages of fast food workers, we experienced an increase in our labor and regulatory compliance costs in fiscal 2024 and fiscal 2025. Although we have been able to substantially offset these cost pressures through various actions, such as increasing menu prices, managing menu mix, and productivity improvements, we expect these cost pressures to continue in 2026.</w:t>
      </w:r>
    </w:p>
    <w:p>
      <w:pPr>
        <w:spacing w:after="0" w:line="180"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Additionally, we are impacted by macroeconomic challenges, such as inflationary pressures and changes in trade policies, that have in the past affected, and may continue in the future, to affect our operations in certain areas such as food cost, labor costs, construction costs and other restaurant operating costs. We have been able to substantially offset these inflationary and other cost pressures through various actions, such as increasing menu prices, managing menu mix, and productivity improvements. However, we expect these inflationary and other cost pressures to continue in 2026 and we may not be able to offset cost increases in the future. Global events, such as the recent outbreak of war in Iran, may also impact our business costs, including the costs of transportation and energy.</w:t>
      </w:r>
    </w:p>
    <w:p>
      <w:pPr>
        <w:spacing w:after="0" w:line="189"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 xml:space="preserve">There is ongoing uncertainty regarding increased tariff duties on goods imported into the United States, which if imposed, may have an adverse effect on our Company. On February 20, 2026, the U.S. Supreme Court struck down the international tariffs imposed by President Trump that relied on the IEEPA as the basis. President Trump has subsequently expressed his intent to reinstate the tariffs through other means, and he has imposed temporary 15% tariffs on all countries under Section 122 of the Trade Act of 1974. Certain of the produce, packaging materials, and other items procured by our Company are sourced from outside the United States, including from Canada, Mexico and Asia. Current and proposed tariff rates range widely, depending on the country of origin. Certain goods from Canada and Mexico that are compliant with the United States-Mexico-Canada Agreement (USMCA) are, and may continue to be, exempt from new tariffs. While we continue to evaluate the potential impacts of increased tariff rates, as well as our ability to mitigate any such related impacts, we anticipate that the imposition of tariffs on goods we import into the United States will adversely impact our revenue and cost of goods sold in the United States. Any new or increased import duties, tariffs, or taxes, or other changes in U.S. trade or tax policy could result in further increases to our food and supplies costs that would adversely impact our financial results. For additional information, see “Item 1A. Risk Factors,” including the risk factor titled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We are vulnerable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changes in political and economic conditions, such as trade policies, tariff and import regulations by the United States, as well as consumer preferences.”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Growth Strategies and Outlook</w:t>
      </w:r>
    </w:p>
    <w:p>
      <w:pPr>
        <w:spacing w:after="0" w:line="229"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We plan to continue to expand our business, drive restaurant sales growth, and enhance our competitive positioning, by executing the following five key strategies:</w:t>
      </w:r>
    </w:p>
    <w:p>
      <w:pPr>
        <w:spacing w:after="0" w:line="162"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Brand That Wins;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Mindset;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First;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Winning Unit Economics;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Unit Growth Again with National Expansion.</w:t>
      </w:r>
    </w:p>
    <w:p>
      <w:pPr>
        <w:spacing w:after="0" w:line="225"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See subsection titled “Our Growth Strategy” in Item 1. Business in this Annual Report for a detailed description of the five key pillars of our growth strategy.</w:t>
      </w:r>
    </w:p>
    <w:p>
      <w:pPr>
        <w:spacing w:after="0" w:line="162"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As of December 31, 2025, we had 503 locations in nine states. In fiscal 2025, we opened one new company-operated restaurant in California and our franchisees opened 8 new restaurants, two in California, two in Arizona, and one in each of the following states: Colorado, Texas, New Mexico and Washington. In fiscal 2024, we opened two new company-operated restaurants in California and our franchisees opened two new restaurants, one in California, and one in Texas.</w:t>
      </w:r>
    </w:p>
    <w:p>
      <w:pPr>
        <w:spacing w:after="0" w:line="180"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In 2026, we intend to open three to four new company-operated restaurants in California and Texas, and our franchisees intend to open 15 to 16 new restaurants. To increase comparable restaurant sales, we plan to increase customer frequency, attract new customers, and improve per-person spend.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Highlights and Trends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Comparable Restaurant Sales</w:t>
      </w:r>
    </w:p>
    <w:p>
      <w:pPr>
        <w:spacing w:after="0" w:line="229"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A restaurant enters our comparable restaurant base the first full week after its 15-month anniversary. System-wide comparable restaurant sales include restaurant sales at all comparable company-operated restaurants and at all comparable franchised restaurants, as reported by franchisees. Refer to “Comparable Restaurant Sales” definition in the subsection titled “Key Performance Indicators” below for further information.</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change in year-over-year sales for our comparable restaurant base are as follows: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16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53 Weeks Ended</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52 Weeks Ended</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52 Weeks Ended</w:t>
            </w:r>
          </w:p>
        </w:tc>
        <w:tc>
          <w:tcPr>
            <w:tcW w:w="0" w:type="dxa"/>
            <w:vAlign w:val="bottom"/>
          </w:tcPr>
          <w:p>
            <w:pPr>
              <w:spacing w:after="0"/>
              <w:rPr>
                <w:sz w:val="1"/>
                <w:szCs w:val="1"/>
                <w:color w:val="auto"/>
              </w:rPr>
            </w:pPr>
          </w:p>
        </w:tc>
      </w:tr>
      <w:tr>
        <w:trPr>
          <w:trHeight w:val="142"/>
        </w:trPr>
        <w:tc>
          <w:tcPr>
            <w:tcW w:w="366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vMerge w:val="continue"/>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Borders>
              <w:bottom w:val="single" w:sz="8" w:color="CCEEFF"/>
            </w:tcBorders>
            <w:vMerge w:val="continue"/>
          </w:tcPr>
          <w:p>
            <w:pPr>
              <w:spacing w:after="0"/>
              <w:rPr>
                <w:sz w:val="12"/>
                <w:szCs w:val="12"/>
                <w:color w:val="auto"/>
              </w:rPr>
            </w:pPr>
          </w:p>
        </w:tc>
        <w:tc>
          <w:tcPr>
            <w:tcW w:w="12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December 25, 2024</w:t>
            </w:r>
          </w:p>
        </w:tc>
        <w:tc>
          <w:tcPr>
            <w:tcW w:w="160" w:type="dxa"/>
            <w:vAlign w:val="bottom"/>
            <w:tcBorders>
              <w:bottom w:val="single" w:sz="8" w:color="CCEEFF"/>
            </w:tcBorders>
            <w:vMerge w:val="continue"/>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December 27, 2023</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Company-operated same store sales</w:t>
            </w:r>
          </w:p>
        </w:tc>
        <w:tc>
          <w:tcPr>
            <w:tcW w:w="1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0.3 %</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Franchise-operated same store sales</w:t>
            </w:r>
          </w:p>
        </w:tc>
        <w:tc>
          <w:tcPr>
            <w:tcW w:w="116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System-wide same store sales</w:t>
            </w:r>
          </w:p>
        </w:tc>
        <w:tc>
          <w:tcPr>
            <w:tcW w:w="24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0.1 %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399"/>
        <w:spacing w:after="0" w:line="312" w:lineRule="auto"/>
        <w:rPr>
          <w:sz w:val="20"/>
          <w:szCs w:val="20"/>
          <w:color w:val="auto"/>
        </w:rPr>
      </w:pPr>
      <w:r>
        <w:rPr>
          <w:rFonts w:ascii="Times New Roman" w:cs="Times New Roman" w:eastAsia="Times New Roman" w:hAnsi="Times New Roman"/>
          <w:sz w:val="17"/>
          <w:szCs w:val="17"/>
          <w:color w:val="auto"/>
        </w:rPr>
        <w:t>In fiscal 2025, comparable restaurant sales at system-wide comparable restaurants increased 0.1% which consisted of a 0.7% increase in average check size due to increase in menu prices partially offset by a 0.6% decrease in transactions.</w:t>
      </w:r>
    </w:p>
    <w:p>
      <w:pPr>
        <w:spacing w:after="0" w:line="140"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For company-operated restaurants in 2025, the change in comparable restaurant sales consisted of a 2.1% increase in average check size due to increases in menu prices partially offset by a 1.8% decrease in transactions.</w:t>
      </w:r>
    </w:p>
    <w:p>
      <w:pPr>
        <w:spacing w:after="0" w:line="162"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In fiscal 2025, comparable restaurant sales at franchised restaurants was flat as compared to the prior year driven by an increase in transactions of 0.1% offset by a decrease in average check size of 0.1%.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Restaurant Development</w:t>
      </w:r>
    </w:p>
    <w:p>
      <w:pPr>
        <w:spacing w:after="0" w:line="22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In fiscal 2025, we opened one company-operated restaurant, and our franchisees opened eight new restaurants. From time to time, we and our franchisees close restaurants. In fiscal 2025, we did not close any company-operated restaurants, and our franchisees closed four restaurants. In fiscal 2025, the Company acquired one franchise-operated restaurant. Our restaurant counts at the beginning and end of each of the last three years were as follows: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40" w:type="dxa"/>
            <w:vAlign w:val="bottom"/>
            <w:gridSpan w:val="2"/>
          </w:tcPr>
          <w:p>
            <w:pPr>
              <w:ind w:left="60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40" w:type="dxa"/>
            <w:vAlign w:val="bottom"/>
            <w:gridSpan w:val="2"/>
          </w:tcPr>
          <w:p>
            <w:pPr>
              <w:ind w:left="60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92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3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12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Company-operated restaurant activity</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7"/>
                <w:szCs w:val="17"/>
                <w:b w:val="1"/>
                <w:bCs w:val="1"/>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Restaurant sale to Company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 sale to franchisee</w:t>
            </w:r>
          </w:p>
        </w:tc>
        <w:tc>
          <w:tcPr>
            <w:tcW w:w="8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Closures</w:t>
            </w:r>
          </w:p>
        </w:tc>
        <w:tc>
          <w:tcPr>
            <w:tcW w:w="8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Franchised restaurant activity:</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Openings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 sale to Company</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Restaurant sale to franchisee</w:t>
            </w:r>
          </w:p>
        </w:tc>
        <w:tc>
          <w:tcPr>
            <w:tcW w:w="8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Closures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System-wide restaurant activity:</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720" w:hanging="319"/>
        <w:spacing w:after="0"/>
        <w:tabs>
          <w:tab w:leader="none" w:pos="7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restaurant count above includes 503 domestic restaurants and excludes 8 licensed restaurants in the Philippines.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-100330</wp:posOffset>
            </wp:positionV>
            <wp:extent cx="17659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Restaurant Remodeling</w:t>
      </w:r>
    </w:p>
    <w:p>
      <w:pPr>
        <w:spacing w:after="0" w:line="22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we completed 17 company-operated restaurant remodels and 52 franchise remodels. In fiscal 2026, we plan to continue our standard practices for remodels, which includes completing a total of 25 to 35 company and 30 to 40 franchise remodels. Remodeling is a use of cash and has implications for our net property and depreciation line items on our consolidated balance sheets and statements of income, among others. The cost of our restaurant remodels varies depending on the scope of work required, but on average the investment is approximately $0.4 million per restaurant.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Loco Rewards™</w:t>
      </w:r>
    </w:p>
    <w:p>
      <w:pPr>
        <w:spacing w:after="0" w:line="229" w:lineRule="exact"/>
        <w:rPr>
          <w:sz w:val="20"/>
          <w:szCs w:val="20"/>
          <w:color w:val="auto"/>
        </w:rPr>
      </w:pPr>
    </w:p>
    <w:p>
      <w:pPr>
        <w:ind w:left="60" w:right="499"/>
        <w:spacing w:after="0" w:line="257" w:lineRule="auto"/>
        <w:rPr>
          <w:sz w:val="20"/>
          <w:szCs w:val="20"/>
          <w:color w:val="auto"/>
        </w:rPr>
      </w:pPr>
      <w:r>
        <w:rPr>
          <w:rFonts w:ascii="Times New Roman" w:cs="Times New Roman" w:eastAsia="Times New Roman" w:hAnsi="Times New Roman"/>
          <w:sz w:val="18"/>
          <w:szCs w:val="18"/>
          <w:color w:val="auto"/>
        </w:rPr>
        <w:t>Our Loco Rewards™ loyalty program offers rewards that incentivize customers to visit our restaurants more often each month. Customers earn points for each dollar spent and points can be redeemed for multiple redemption options. Points expire 365 days after a customer completes an eligible transaction to earn them.</w:t>
      </w:r>
    </w:p>
    <w:p>
      <w:pPr>
        <w:spacing w:after="0" w:line="1" w:lineRule="exact"/>
        <w:rPr>
          <w:sz w:val="20"/>
          <w:szCs w:val="20"/>
          <w:color w:val="auto"/>
        </w:rPr>
      </w:pPr>
    </w:p>
    <w:p>
      <w:pPr>
        <w:ind w:left="60" w:right="139"/>
        <w:spacing w:after="0" w:line="250" w:lineRule="auto"/>
        <w:rPr>
          <w:sz w:val="20"/>
          <w:szCs w:val="20"/>
          <w:color w:val="auto"/>
        </w:rPr>
      </w:pPr>
      <w:r>
        <w:rPr>
          <w:rFonts w:ascii="Times New Roman" w:cs="Times New Roman" w:eastAsia="Times New Roman" w:hAnsi="Times New Roman"/>
          <w:sz w:val="18"/>
          <w:szCs w:val="18"/>
          <w:color w:val="auto"/>
        </w:rPr>
        <w:t>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on a pro-rata basis, based on stand-alone selling price, as determined by menu pricing and loyalty point’s terms.</w:t>
      </w:r>
    </w:p>
    <w:p>
      <w:pPr>
        <w:spacing w:after="0" w:line="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In addition, customers can earn additional points and free entrées for a variety of engagement activities. As points are available for redemption past the quarter earned, a portion of the revenue associated with the earned points will be deferred until redemption or expiration. As of December 31, 2025, the revenue allocated to loyalty points that had not been redeemed was $1.1 million. We had over 5.3 million loyalty program members as of December 31,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Our revenue is derived from three primary sources: company-operated restaurant revenue, franchise revenue, which is comprised primarily of franchise royalties and, to a lesser extent, franchise fees and sublease rental income, and franchise advertising fee revenue. See Note 15 “Revenue from Contracts with Customers” in the accompanying “Notes to Consolidated Financial Statements” in this Annual Report for further details regarding our revenue recognition policy.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Food and Paper Costs</w:t>
      </w:r>
    </w:p>
    <w:p>
      <w:pPr>
        <w:spacing w:after="0" w:line="229"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Labor and Related Expenses</w:t>
      </w:r>
    </w:p>
    <w:p>
      <w:pPr>
        <w:spacing w:after="0" w:line="229"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state labor laws (which, in California, includes AB 1228), overtime, wage inflation, the frequency and severity of workers’ compensation claims, health care costs, and the performance of our restaurants.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Occupancy Costs and Other Operating Expenses</w:t>
      </w:r>
    </w:p>
    <w:p>
      <w:pPr>
        <w:spacing w:after="0" w:line="229"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Occupancy costs include rent, common area maintenance (“CAM”), and real estate taxes. Other restaurant operating expenses include the costs of utilities, advertising, credit card processing fees, delivery service provider fees, restaurant supplies, repairs and maintenance, and other restaurant operating costs.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Gain on Recovery of Insurance Proceeds, Net</w:t>
      </w:r>
    </w:p>
    <w:p>
      <w:pPr>
        <w:spacing w:after="0" w:line="229"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Gain on recovery of insurance proceeds includes insurance reimbursements related to the property and equipment damage, expenses incurred, and lost profits.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Franchise Expenses</w:t>
      </w:r>
    </w:p>
    <w:p>
      <w:pPr>
        <w:spacing w:after="0" w:line="229"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Franchise expenses are primarily comprised of rent expenses incurred on properties leased by us and then sublet to franchisees, expenses incurred in support of franchisee information technology systems, and the franchisee’s portion of advertising expenses.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Depreciation and amortization primarily consists of the depreciation of property and equipment, including leasehold improvements and equipment.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Loss on Disposal of Assets</w:t>
      </w:r>
    </w:p>
    <w:p>
      <w:pPr>
        <w:spacing w:after="0" w:line="229"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Loss on disposal of assets includes the loss on disposal of assets related to retirements and replacement or write-off of leasehold improvements or equipment.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Closed-Store Reserves</w:t>
      </w:r>
    </w:p>
    <w:p>
      <w:pPr>
        <w:spacing w:after="0" w:line="229" w:lineRule="exact"/>
        <w:rPr>
          <w:sz w:val="20"/>
          <w:szCs w:val="20"/>
          <w:color w:val="auto"/>
        </w:rPr>
      </w:pPr>
    </w:p>
    <w:p>
      <w:pPr>
        <w:ind w:left="60" w:right="79"/>
        <w:spacing w:after="0" w:line="270" w:lineRule="auto"/>
        <w:rPr>
          <w:sz w:val="20"/>
          <w:szCs w:val="20"/>
          <w:color w:val="auto"/>
        </w:rPr>
      </w:pPr>
      <w:r>
        <w:rPr>
          <w:rFonts w:ascii="Times New Roman" w:cs="Times New Roman" w:eastAsia="Times New Roman" w:hAnsi="Times New Roman"/>
          <w:sz w:val="17"/>
          <w:szCs w:val="17"/>
          <w:color w:val="auto"/>
        </w:rPr>
        <w:t>We review long-lived assets such as property, equipment, and intangibles on a unit-by-unit basis for impairment when events or circumstances indicate the carrying value of the assets may not be recoverable. We determine if there is impairment at the 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asset’s carrying amount exceeds its fair value. This process of assessing fair 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w:t>
      </w:r>
    </w:p>
    <w:p>
      <w:pPr>
        <w:spacing w:after="0" w:line="177"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When we close a restaurant, we will evaluate the right-of-use (“ROU”) asset for impairment, based on anticipated sublease recoveries. The remaining value of the ROU asset is amortized on a straight-line basis, with the expense recognized in closed-store reserve expense, in addition to property tax and CAM charges for closed restaurants.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Loss (gain) on Disposition of Restaurants</w:t>
      </w:r>
    </w:p>
    <w:p>
      <w:pPr>
        <w:spacing w:after="0" w:line="229"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Loss (gain) on disposition of restaurants includes the loss (gain) on the sale of restaurants to franchisees, or other third parties, and includes the difference between carrying value and sales price of leasehold improvements, equipment and other assets included in the sale.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Interest expense, net, consists primarily of interest on our outstanding debt. Debt issuance costs are amortized at cost over the life of the related debt.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Provision for income taxes consists of federal and state taxes on our income.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Year 2025 Compared to Fiscal Year 2024</w:t>
      </w:r>
    </w:p>
    <w:p>
      <w:pPr>
        <w:spacing w:after="0" w:line="229" w:lineRule="exact"/>
        <w:rPr>
          <w:sz w:val="20"/>
          <w:szCs w:val="20"/>
          <w:color w:val="auto"/>
        </w:rPr>
      </w:pPr>
    </w:p>
    <w:p>
      <w:pPr>
        <w:jc w:val="both"/>
        <w:ind w:left="60" w:right="479"/>
        <w:spacing w:after="0" w:line="289" w:lineRule="auto"/>
        <w:rPr>
          <w:sz w:val="20"/>
          <w:szCs w:val="20"/>
          <w:color w:val="auto"/>
        </w:rPr>
      </w:pPr>
      <w:r>
        <w:rPr>
          <w:rFonts w:ascii="Times New Roman" w:cs="Times New Roman" w:eastAsia="Times New Roman" w:hAnsi="Times New Roman"/>
          <w:sz w:val="17"/>
          <w:szCs w:val="17"/>
          <w:color w:val="auto"/>
        </w:rPr>
        <w:t>Our operating results for the fiscal years ended December 31, 2025 and December 25, 2024, are in absolute terms and expressed as a percentage of total revenue, with the exception of cost of operations and company restaurant expenses, which are expressed as a percentage of company-operated restaurant revenue, are compared in the table below:</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5"/>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4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(53-Weeks)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(52-Weeks)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vMerge w:val="continue"/>
          </w:tcPr>
          <w:p>
            <w:pPr>
              <w:spacing w:after="0"/>
              <w:rPr>
                <w:sz w:val="15"/>
                <w:szCs w:val="15"/>
                <w:color w:val="auto"/>
              </w:rPr>
            </w:pPr>
          </w:p>
        </w:tc>
        <w:tc>
          <w:tcPr>
            <w:tcW w:w="4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8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($,000)    ​​​</w:t>
            </w:r>
          </w:p>
        </w:tc>
        <w:tc>
          <w:tcPr>
            <w:tcW w:w="480" w:type="dxa"/>
            <w:vAlign w:val="bottom"/>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80" w:type="dxa"/>
            <w:vAlign w:val="bottom"/>
          </w:tcPr>
          <w:p>
            <w:pPr>
              <w:spacing w:after="0"/>
              <w:rPr>
                <w:sz w:val="12"/>
                <w:szCs w:val="12"/>
                <w:color w:val="auto"/>
              </w:rPr>
            </w:pPr>
          </w:p>
        </w:tc>
        <w:tc>
          <w:tcPr>
            <w:tcW w:w="58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2"/>
                <w:szCs w:val="12"/>
                <w:color w:val="auto"/>
              </w:rPr>
            </w:pP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60" w:type="dxa"/>
            <w:vAlign w:val="bottom"/>
          </w:tcPr>
          <w:p>
            <w:pPr>
              <w:spacing w:after="0"/>
              <w:rPr>
                <w:sz w:val="12"/>
                <w:szCs w:val="12"/>
                <w:color w:val="auto"/>
              </w:rPr>
            </w:pPr>
          </w:p>
        </w:tc>
        <w:tc>
          <w:tcPr>
            <w:tcW w:w="700" w:type="dxa"/>
            <w:vAlign w:val="bottom"/>
            <w:gridSpan w:val="3"/>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 Data:</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$ 405,817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$ 396,260</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45,561</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31,187</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490,046</w:t>
            </w:r>
          </w:p>
        </w:tc>
        <w:tc>
          <w:tcPr>
            <w:tcW w:w="1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473,008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17,038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operations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Food and paper costs</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100,083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100,725</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Labor and related expenses</w:t>
            </w:r>
            <w:r>
              <w:rPr>
                <w:rFonts w:ascii="Times New Roman" w:cs="Times New Roman" w:eastAsia="Times New Roman" w:hAnsi="Times New Roman"/>
                <w:sz w:val="25"/>
                <w:szCs w:val="25"/>
                <w:color w:val="auto"/>
                <w:vertAlign w:val="superscript"/>
              </w:rPr>
              <w:t>(1)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127,258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127,179</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Occupancy and other operating expenses</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106,386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99,280</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b w:val="1"/>
                <w:bCs w:val="1"/>
                <w:color w:val="auto"/>
              </w:rPr>
              <w:t>Company restaurant expenses</w:t>
            </w:r>
            <w:r>
              <w:rPr>
                <w:rFonts w:ascii="Times New Roman" w:cs="Times New Roman" w:eastAsia="Times New Roman" w:hAnsi="Times New Roman"/>
                <w:sz w:val="25"/>
                <w:szCs w:val="25"/>
                <w:b w:val="1"/>
                <w:bCs w:val="1"/>
                <w:color w:val="auto"/>
                <w:vertAlign w:val="superscript"/>
              </w:rPr>
              <w:t>(1)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333,727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327,184</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6,543</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46,270</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expenses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42,307</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15,717</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Gain on recovery of insurance proceeds, property,</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equipment and expenses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disposition of restaurants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and closed-store reserves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448,001</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431,840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91.3</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16,161</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42,045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41,168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receivable agreement (income) expenses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37,575</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35,289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9,605</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25,684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819" w:hanging="330"/>
        <w:spacing w:after="0" w:line="282"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Company-Operated Restaurant Revenue</w:t>
      </w:r>
    </w:p>
    <w:p>
      <w:pPr>
        <w:spacing w:after="0" w:line="227"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In fiscal 2025, company-operated restaurant revenue increased $9.6 million, or 2.4%, from the prior year. The increase in company-operated restaurant sales was mainly due to a $5.3 million increase for the additional week of operations in a 53-week fiscal year, a $2.9 million increase from additional sales related to the opening of two restaurants during or after the first quarter of 2024, as well as an increase in company-operated comparable revenue. For the full year company-operated comparable sales increased 0.3% consisting of an approximately 2.1% increase in average check size due to increases in menu prices, partially offset by a 1.8% decrease in transactions.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Franchise Revenue</w:t>
      </w:r>
    </w:p>
    <w:p>
      <w:pPr>
        <w:spacing w:after="0" w:line="22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In fiscal 2025, franchise revenue increased $6.8 million, or 15.0% from the prior year. This increase was primarily due to $4.1 million in franchisee IT pass-through revenue related to the franchisee rollout of the new POS system, which was offset by a corresponding increase in franchise expenses. In addition, the increase in franchise revenue includes $0.5 in revenue recognized for the additional week of operations in a 53 week fiscal year. In addition, the increase in franchise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312" w:lineRule="auto"/>
        <w:rPr>
          <w:sz w:val="20"/>
          <w:szCs w:val="20"/>
          <w:color w:val="auto"/>
        </w:rPr>
      </w:pPr>
      <w:r>
        <w:rPr>
          <w:rFonts w:ascii="Times New Roman" w:cs="Times New Roman" w:eastAsia="Times New Roman" w:hAnsi="Times New Roman"/>
          <w:sz w:val="17"/>
          <w:szCs w:val="17"/>
          <w:color w:val="auto"/>
        </w:rPr>
        <w:t>revenue was also driven by a royalty rate true up, increased franchisee fees related to terminated franchise development agreements, and the nine franchise-operated locations opened during or subsequent to the fourth quarter of 2024.</w:t>
      </w:r>
    </w:p>
    <w:p>
      <w:pPr>
        <w:spacing w:after="0" w:line="1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Franchise Advertising Fee Revenue</w:t>
      </w:r>
    </w:p>
    <w:p>
      <w:pPr>
        <w:spacing w:after="0" w:line="22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Franchise advertising fee revenue increased $0.7 million, or 2.1% from the prior year. $0.4 million of the increase was due from an additional week of operations in a 53-week fiscal year, combined with higher franchise revenue. As advertising fee revenue is a percentage of franchisees’ revenue, the year-to-date fluctuation was due to the increases noted in franchise revenue above.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Food and Paper Costs</w:t>
      </w:r>
    </w:p>
    <w:p>
      <w:pPr>
        <w:spacing w:after="0" w:line="227"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Food and paper costs decreased $0.6 million, or 0.6%, in fiscal 2025 from the prior year. The decrease in food and paper costs was primarily due to a decrease in transactions, as well as cost management initiatives and slight commodity deflation. This decrease was partially offset by increased discounts and $1.3 million in expenses from the additional week of operations in a 53-week fiscal year. Food and paper costs as a percentage of company-operated restaurant revenue were 24.7% in fiscal 2025, down from 25.4% in fiscal 2024, primarily due to an increase in menu pricing, cost management initiatives, and slight commodity deflation, partially offset by increased discounting.</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Labor and Related Expenses</w:t>
      </w:r>
    </w:p>
    <w:p>
      <w:pPr>
        <w:spacing w:after="0" w:line="227"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Labor and related expenses increased $0.1 million, or 0.1%, in fiscal 2025 as compared to 2024. The increase was mainly due to $3.4 million in higher wage rates during fiscal 2025 as a result of legislative increases in the California minimum wage, which became effective April 1, 2024, as well as $1.7 million from the additional week of operations in a 53-week fiscal year. This increase was partially offset by a $5.0 million reduction in costs related to improved labor efficiencies as part of our cost management initiatives.</w:t>
      </w:r>
    </w:p>
    <w:p>
      <w:pPr>
        <w:spacing w:after="0" w:line="183"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 xml:space="preserve">Labor and related expenses as a percentage of Company-operated restaurant revenue were 31.4% in fiscal 2025, down from 32.1% in fiscal 2024 primarily due to </w:t>
      </w:r>
      <w:r>
        <w:rPr>
          <w:rFonts w:ascii="Times New Roman" w:cs="Times New Roman" w:eastAsia="Times New Roman" w:hAnsi="Times New Roman"/>
          <w:sz w:val="18"/>
          <w:szCs w:val="18"/>
          <w:color w:val="212529"/>
        </w:rPr>
        <w:t>an increase in menu pricing and improved labor efficiencies being greater than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the increase in wage rates.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Occupancy and Other Operating Expenses</w:t>
      </w:r>
    </w:p>
    <w:p>
      <w:pPr>
        <w:spacing w:after="0" w:line="22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 xml:space="preserve">Occupancy and other operating expenses increased $7.1 million, or 7.2%, in fiscal 2025. </w:t>
      </w:r>
      <w:r>
        <w:rPr>
          <w:rFonts w:ascii="Times New Roman" w:cs="Times New Roman" w:eastAsia="Times New Roman" w:hAnsi="Times New Roman"/>
          <w:sz w:val="18"/>
          <w:szCs w:val="18"/>
          <w:color w:val="212529"/>
        </w:rPr>
        <w:t>The increase was primarily due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 $1.4 million increase in occupancy and other operating expenses for the additional week of operations in a 53-week fiscal year, a $1.4 million increase in utilities, a $1.3 million increase in occupancy expenses, a $1.0 million increase in marketplace delivery fees, a $0.9 million increase in software maintenance, and a $1.1 million increase in other operating expenses.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Gain on Recovery of Insurance Proceeds Property, Equipment and Expenses</w:t>
      </w:r>
    </w:p>
    <w:p>
      <w:pPr>
        <w:spacing w:after="0" w:line="227"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During fiscal 2023 and fiscal 2022, two of our restaurants incurred damage resulting from a fire. In fiscal 2024, we recognized gains of less than $0.1 million related to the reimbursement of property and equipment and expenses. We had no gain or loss on recovery of insurance proceeds in 2025.</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$4.0 million, or 8.6%, in fiscal 2025. The increase was due primarily to a $1.7 million increase in legal and professional fees related to shareholder activism and related matters, a $1.5 million increase in stock-based compensation expense, a $1.0 million increase in salaries and wages largely related to the impact of an additional week of operations in a 53-week fiscal year, and a $0.5 million increase in restructuring and executive transition cost. These increases were partially offset by a $0.6 million decrease in incentive compensation.</w:t>
      </w:r>
    </w:p>
    <w:p>
      <w:pPr>
        <w:spacing w:after="0" w:line="183"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as a percentage of total revenue were 10.3% in fiscal 2025, up from 9.8% in fiscal 2024. This increase is primarily due to the cost increases described above.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Franchise Expenses</w:t>
      </w:r>
    </w:p>
    <w:p>
      <w:pPr>
        <w:spacing w:after="0" w:line="22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Franchise expenses increased $5.5 million, or 12.9%, in fiscal 2025 from the prior year. The increase was primarily due to $4.1 million in one-time IT pass-through expense related primarily to the new POS system rollout and $0.4 million related to the additional week of operations in a 53- week fiscal year, as well as higher franchise services expense and higher occupancy expense for locations sub-leased to franchisees and higher franchise advertising expenses.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 and Closed-Store Reserves</w:t>
      </w:r>
    </w:p>
    <w:p>
      <w:pPr>
        <w:spacing w:after="0" w:line="227" w:lineRule="exact"/>
        <w:rPr>
          <w:sz w:val="20"/>
          <w:szCs w:val="20"/>
          <w:color w:val="auto"/>
        </w:rPr>
      </w:pPr>
    </w:p>
    <w:p>
      <w:pPr>
        <w:ind w:left="60" w:right="339"/>
        <w:spacing w:after="0" w:line="312" w:lineRule="auto"/>
        <w:rPr>
          <w:sz w:val="20"/>
          <w:szCs w:val="20"/>
          <w:color w:val="auto"/>
        </w:rPr>
      </w:pPr>
      <w:r>
        <w:rPr>
          <w:rFonts w:ascii="Times New Roman" w:cs="Times New Roman" w:eastAsia="Times New Roman" w:hAnsi="Times New Roman"/>
          <w:sz w:val="17"/>
          <w:szCs w:val="17"/>
          <w:color w:val="auto"/>
        </w:rPr>
        <w:t>During fiscal 2025, we did not record any non-cash impairment charges. During fiscal 2024, we recorded a $0.1 million non-cash impairment charge primarily related to the property and equipment assets of two restaurants in Nevada.</w:t>
      </w:r>
    </w:p>
    <w:p>
      <w:pPr>
        <w:spacing w:after="0" w:line="140" w:lineRule="exact"/>
        <w:rPr>
          <w:sz w:val="20"/>
          <w:szCs w:val="20"/>
          <w:color w:val="auto"/>
        </w:rPr>
      </w:pPr>
    </w:p>
    <w:p>
      <w:pPr>
        <w:jc w:val="both"/>
        <w:ind w:left="60" w:right="459"/>
        <w:spacing w:after="0" w:line="312" w:lineRule="auto"/>
        <w:rPr>
          <w:sz w:val="20"/>
          <w:szCs w:val="20"/>
          <w:color w:val="auto"/>
        </w:rPr>
      </w:pPr>
      <w:r>
        <w:rPr>
          <w:rFonts w:ascii="Times New Roman" w:cs="Times New Roman" w:eastAsia="Times New Roman" w:hAnsi="Times New Roman"/>
          <w:sz w:val="17"/>
          <w:szCs w:val="17"/>
          <w:color w:val="auto"/>
        </w:rPr>
        <w:t>During fiscal 2025, we recognized less than $0.1 million of closed-store reserve expense related to the amortization of ROU assets, property taxes and CAM payments for our closed locations compared to $0.1 million during fiscal 2024.</w:t>
      </w:r>
    </w:p>
    <w:p>
      <w:pPr>
        <w:spacing w:after="0" w:line="1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For fiscal 2025, net interest expense decreased by $1.4 million or 24.2%, primarily related to lower outstanding balances on our 2022 Revolver (as defined below) as well as the lower interest rates during fiscal 2025 versus the comparable period during the prior year.</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Receivable Agreement</w:t>
      </w:r>
    </w:p>
    <w:p>
      <w:pPr>
        <w:spacing w:after="0" w:line="227"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 xml:space="preserve">On July 30, 2014, we entered into the income tax receivable agreement (the “TRA”). The TRA calls for us to pay to our pre-IPO stockholders 85% of the savings in cash that we realize in our taxes as a result of utilizing our net operating losses and other tax attributes attributable to preceding periods. In fiscal 2025 we did not record any income tax receivable agreement income. In fiscal 2024, we recorded less than $0.1 million in income tax receivable agreement income. </w:t>
      </w:r>
      <w:r>
        <w:rPr>
          <w:rFonts w:ascii="Times New Roman" w:cs="Times New Roman" w:eastAsia="Times New Roman" w:hAnsi="Times New Roman"/>
          <w:sz w:val="18"/>
          <w:szCs w:val="18"/>
          <w:color w:val="212529"/>
        </w:rPr>
        <w:t>On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29, 2024, we terminated most of the obligations under the TRA, with respect to any payments or obligations owed to the FS Equity Partners V, L.P. and FS Affiliates V, L.P. (together, the “Sellers”) thereunder in exchange for a payment to the Sellers of $0.4 million. As of December 31, 2025 and December 25, 2024, there were no remaining obligations owed on our consolidated balance sheets.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left="60" w:right="99"/>
        <w:spacing w:after="0" w:line="274" w:lineRule="auto"/>
        <w:rPr>
          <w:sz w:val="20"/>
          <w:szCs w:val="20"/>
          <w:color w:val="auto"/>
        </w:rPr>
      </w:pPr>
      <w:r>
        <w:rPr>
          <w:rFonts w:ascii="Times New Roman" w:cs="Times New Roman" w:eastAsia="Times New Roman" w:hAnsi="Times New Roman"/>
          <w:sz w:val="17"/>
          <w:szCs w:val="17"/>
          <w:color w:val="auto"/>
        </w:rPr>
        <w:t xml:space="preserve">In fiscal 2025, we recorded an income tax expense of $11.1 million, compared to income tax expense of $9.6 million in fiscal 2024, reflecting an estimated effective tax rate of 29.5% and 27.2%, respectively. The difference between the 21.0% statutory rate and our effective tax rate of 29.5% for the year ended December 31, 2025 is primarily </w:t>
      </w:r>
      <w:r>
        <w:rPr>
          <w:rFonts w:ascii="Times New Roman" w:cs="Times New Roman" w:eastAsia="Times New Roman" w:hAnsi="Times New Roman"/>
          <w:sz w:val="17"/>
          <w:szCs w:val="17"/>
          <w:color w:val="212529"/>
        </w:rPr>
        <w:t>a result of state taxes,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the impact of non-tax deductible executive compensation expense, a tax shortfall related to equity compensation deductible for tax as compared to the cumulative amount recorded as stock-based compensation expense, and $0.1 million related to the additional week of operations in a 53-week fiscal year, partially offset by a Work Opportunity Tax Credit benefit</w:t>
      </w:r>
      <w:r>
        <w:rPr>
          <w:rFonts w:ascii="Times New Roman" w:cs="Times New Roman" w:eastAsia="Times New Roman" w:hAnsi="Times New Roman"/>
          <w:sz w:val="17"/>
          <w:szCs w:val="17"/>
          <w:color w:val="000000"/>
        </w:rPr>
        <w:t>.</w:t>
      </w:r>
    </w:p>
    <w:p>
      <w:pPr>
        <w:spacing w:after="0" w:line="173"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 xml:space="preserve">The difference between the 21.0% statutory rate and our effective tax rate of 27.2% for the year ended December 25, 2024 is primarily </w:t>
      </w:r>
      <w:r>
        <w:rPr>
          <w:rFonts w:ascii="Times New Roman" w:cs="Times New Roman" w:eastAsia="Times New Roman" w:hAnsi="Times New Roman"/>
          <w:sz w:val="18"/>
          <w:szCs w:val="18"/>
          <w:color w:val="212529"/>
        </w:rPr>
        <w:t>a result of state taxes, the impact of non-tax deductible executive compensation expense, a tax shortfall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to equity compensation deductible for tax as compared to the cumulative amount recorded as stock-based compensation expense, partially offset by a Work Opportunity Tax Credit benefit</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Year 2024 Compared to Fiscal Year 2023</w:t>
      </w:r>
    </w:p>
    <w:p>
      <w:pPr>
        <w:spacing w:after="0" w:line="229" w:lineRule="exact"/>
        <w:rPr>
          <w:sz w:val="20"/>
          <w:szCs w:val="20"/>
          <w:color w:val="auto"/>
        </w:rPr>
      </w:pPr>
    </w:p>
    <w:p>
      <w:pPr>
        <w:ind w:left="60" w:right="419"/>
        <w:spacing w:after="0" w:line="289" w:lineRule="auto"/>
        <w:rPr>
          <w:sz w:val="20"/>
          <w:szCs w:val="20"/>
          <w:color w:val="auto"/>
        </w:rPr>
      </w:pPr>
      <w:r>
        <w:rPr>
          <w:rFonts w:ascii="Times New Roman" w:cs="Times New Roman" w:eastAsia="Times New Roman" w:hAnsi="Times New Roman"/>
          <w:sz w:val="17"/>
          <w:szCs w:val="17"/>
          <w:color w:val="auto"/>
        </w:rPr>
        <w:t>Year-to-year comparisons of fiscal 2024 and fiscal 2023 that are not included in this Form 10-K can be found in “Management’s Discussion and Analysis of Financial Condition and Results of Operations” in Part II, Item 7 on our Annual Report on Form 10-K for the year ended December 25, 2024, which was filed with the SEC on March 7, 2025.</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229" w:lineRule="exact"/>
        <w:rPr>
          <w:sz w:val="20"/>
          <w:szCs w:val="20"/>
          <w:color w:val="auto"/>
        </w:rPr>
      </w:pPr>
    </w:p>
    <w:p>
      <w:pPr>
        <w:ind w:left="60" w:right="659"/>
        <w:spacing w:after="0" w:line="312" w:lineRule="auto"/>
        <w:rPr>
          <w:sz w:val="20"/>
          <w:szCs w:val="20"/>
          <w:color w:val="auto"/>
        </w:rPr>
      </w:pPr>
      <w:r>
        <w:rPr>
          <w:rFonts w:ascii="Times New Roman" w:cs="Times New Roman" w:eastAsia="Times New Roman" w:hAnsi="Times New Roman"/>
          <w:sz w:val="17"/>
          <w:szCs w:val="17"/>
          <w:color w:val="auto"/>
        </w:rPr>
        <w:t>To evaluate the performance of our business, we utilize a variety of financial and performance measures. These key measures include company-operated restaurant revenue, system-wide sales, comparable restaurant sales, company-</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operated average unit volumes (“AUV”), restaurant contribution, restaurant contribution margin, new restaurant openings, EBITDA, and Adjusted EBITDA. In fiscal 2025, our restaurants generated company-operated restaurant revenue of $405.8 million and system-wide sales of $1,125.4 million, and system-wide comparable restaurant sales growth of 0.1%, consisting of company-operated restaurant comparable restaurant sales growth of 0.3% and franchised comparable restaurant sales growth stayed flat. The company-operated comparable restaurant sales increase consisted of a 2.1% increase in average check size due to increases in menu prices and partially offset by a 1.8% decrease in the number of transactions. In fiscal 2025, for company-operated restaurants, our annual AUV was $2.3 million, restaurant contribution margin was 17.8%, and Adjusted EBITDA was $66.7 million.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Company-Operated Restaurant Revenue</w:t>
      </w:r>
    </w:p>
    <w:p>
      <w:pPr>
        <w:spacing w:after="0" w:line="227" w:lineRule="exact"/>
        <w:rPr>
          <w:sz w:val="20"/>
          <w:szCs w:val="20"/>
          <w:color w:val="auto"/>
        </w:rPr>
      </w:pPr>
    </w:p>
    <w:p>
      <w:pPr>
        <w:jc w:val="both"/>
        <w:ind w:left="60" w:right="499"/>
        <w:spacing w:after="0" w:line="261" w:lineRule="auto"/>
        <w:rPr>
          <w:sz w:val="20"/>
          <w:szCs w:val="20"/>
          <w:color w:val="auto"/>
        </w:rPr>
      </w:pPr>
      <w:r>
        <w:rPr>
          <w:rFonts w:ascii="Times New Roman" w:cs="Times New Roman" w:eastAsia="Times New Roman" w:hAnsi="Times New Roman"/>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80"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Seasonal factors and the timing of holidays cause our revenue to fluctuate from period to period.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company-operated restaurant revenue and comparable restaurant sales, may fluctuate.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System-Wide Sales</w:t>
      </w:r>
    </w:p>
    <w:p>
      <w:pPr>
        <w:spacing w:after="0" w:line="22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System-wide sales are neither required by, nor presented in accordance with, accounting principles generally accepted in the United States of America (“GAAP”). System-wide sales are the sum of company-operated restaurant revenue and sales from franchised restaurants. Our total revenue in our consolidated statements of income is limited to company-operated restaurant revenue and franchise revenue from our franchisees. Accordingly, system-wide sales should not be considered in isolation or as a substitute for our results as reported under GAAP. Management believes that system-wide sales is an important figure for investors, because it is widely used in the restaurant industry, including by our management, to evaluate brand scale and market penetration.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System-wide sales does not include the 8 licensed stores in the Philippines.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reconciles system-wide sales to company-operated restaurant revenue and total revenue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300" w:type="dxa"/>
            <w:vAlign w:val="bottom"/>
          </w:tcPr>
          <w:p>
            <w:pPr>
              <w:spacing w:after="0"/>
              <w:rPr>
                <w:sz w:val="10"/>
                <w:szCs w:val="10"/>
                <w:color w:val="auto"/>
              </w:rPr>
            </w:pP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0"/>
                <w:szCs w:val="1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ind w:right="10"/>
              <w:spacing w:after="0" w:line="11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0"/>
                <w:szCs w:val="10"/>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0"/>
                <w:szCs w:val="10"/>
                <w:color w:val="auto"/>
              </w:rPr>
            </w:pPr>
          </w:p>
        </w:tc>
        <w:tc>
          <w:tcPr>
            <w:tcW w:w="100" w:type="dxa"/>
            <w:vAlign w:val="bottom"/>
          </w:tcPr>
          <w:p>
            <w:pPr>
              <w:ind w:left="40"/>
              <w:spacing w:after="0" w:line="11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3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(53-Weeks)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(52-Weeks)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(52-Weeks)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Company-operated restaurant revenue</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405,817</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396,260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398,437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1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490,046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473,008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(52,389)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(45,561)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(41,002)</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(31,840)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from franchised restaurants</w:t>
            </w:r>
          </w:p>
        </w:tc>
        <w:tc>
          <w:tcPr>
            <w:tcW w:w="1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719,588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699,456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System-wide sales</w:t>
            </w:r>
          </w:p>
        </w:tc>
        <w:tc>
          <w:tcPr>
            <w:tcW w:w="1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1,125,405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1,095,716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1,050,214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Comparable Restaurant Sales</w:t>
      </w:r>
    </w:p>
    <w:p>
      <w:pPr>
        <w:spacing w:after="0" w:line="227" w:lineRule="exact"/>
        <w:rPr>
          <w:sz w:val="20"/>
          <w:szCs w:val="20"/>
          <w:color w:val="auto"/>
        </w:rPr>
      </w:pPr>
    </w:p>
    <w:p>
      <w:pPr>
        <w:ind w:left="60" w:right="459"/>
        <w:spacing w:after="0" w:line="257" w:lineRule="auto"/>
        <w:rPr>
          <w:sz w:val="20"/>
          <w:szCs w:val="20"/>
          <w:color w:val="auto"/>
        </w:rPr>
      </w:pPr>
      <w:r>
        <w:rPr>
          <w:rFonts w:ascii="Times New Roman" w:cs="Times New Roman" w:eastAsia="Times New Roman" w:hAnsi="Times New Roman"/>
          <w:sz w:val="18"/>
          <w:szCs w:val="18"/>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w:t>
      </w:r>
    </w:p>
    <w:p>
      <w:pPr>
        <w:spacing w:after="0" w:line="1" w:lineRule="exact"/>
        <w:rPr>
          <w:sz w:val="20"/>
          <w:szCs w:val="20"/>
          <w:color w:val="auto"/>
        </w:rPr>
      </w:pPr>
    </w:p>
    <w:p>
      <w:pPr>
        <w:ind w:left="60" w:right="259"/>
        <w:spacing w:after="0" w:line="273" w:lineRule="auto"/>
        <w:rPr>
          <w:sz w:val="20"/>
          <w:szCs w:val="20"/>
          <w:color w:val="auto"/>
        </w:rPr>
      </w:pPr>
      <w:r>
        <w:rPr>
          <w:rFonts w:ascii="Times New Roman" w:cs="Times New Roman" w:eastAsia="Times New Roman" w:hAnsi="Times New Roman"/>
          <w:sz w:val="17"/>
          <w:szCs w:val="17"/>
          <w:color w:val="auto"/>
        </w:rPr>
        <w:t>December 31, 2025, December 25, 2024 and December 27, 2023, there were 482, 479 and 470 comparable restaurants, 170, 168 and 178 company-operated and 312, 311 and 292 franchised, respectively. Comparable restaurant sales indicate the performance of existing restaurants, since new restaurants are excluded. Comparable restaurant sales growth can be generated by an increase in the number of meals sold and/or by increases in the average check size, resulting from a shift</w:t>
      </w:r>
    </w:p>
    <w:p>
      <w:pPr>
        <w:sectPr>
          <w:pgSz w:w="11900" w:h="16838" w:orient="portrait"/>
          <w:cols w:equalWidth="0" w:num="1">
            <w:col w:w="9019"/>
          </w:cols>
          <w:pgMar w:left="1440" w:top="513" w:right="1440"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in menu mix and/or higher prices resulting from new products or price increases. Because other companies may calculate this measure differently than we do, comparable restaurant sales as presented herein may not be comparable to similarly titled measures reported by other companies. Management believes that comparable restaurant sales is a valuable metric for investors to evaluate the performance of our store base, excluding the impact of new stores and closed stores.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Company-Operated Average Unit Volumes</w:t>
      </w:r>
    </w:p>
    <w:p>
      <w:pPr>
        <w:spacing w:after="0" w:line="22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measure company-operated AUVs on both a weekly and an annual basis. Weekly AUVs consist of comparable restaurant sales over a seven-day period from Thursday to Wednesday. Annual AUVs are calculated using a two-step process. First, we divide our total net sales for all company-operated restaurants for the fiscal year by the total number of restaurant operating weeks during the same period. Second, we annualize that average weekly per-restaurant sales figure by multiplying it by 53 for a 53-week year or 52 for a 52-week year. An operating week is defined as a restaurant open for business over a seven-day period from Thursday to Wednesday. This measurement allows management to assess changes in consumer spending patterns at our restaurants and the overall performance of our restaurant base.</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Restaurant Contribution and Restaurant Contribution Margin</w:t>
      </w:r>
    </w:p>
    <w:p>
      <w:pPr>
        <w:spacing w:after="0" w:line="227"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Restaurant contribution and restaurant contribution margin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therefore excludes franchise revenue, franchise advertising fee revenue and franchise expenses as well as certain other costs, such as general and administrative expenses, franchise expenses, depreciation and amortization, impairment and closed-store reserves, loss on disposal of assets and other costs that are considered corporate-level expenses and are not considered normal operating costs of our restaurants. Accordingly, restaurant contribution is not indicative of overall Company results and does not accrue directly to the benefit of stockholders because of the exclusion of certain corporate-level expenses. Restaurant contribution margin is defined as restaurant contribution as a percentage of net company-operated restaurant revenue.</w:t>
      </w:r>
    </w:p>
    <w:p>
      <w:pPr>
        <w:spacing w:after="0" w:line="194"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superior to, or as substitutes for the analysis of our results as reported under GAAP.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 Management believes that restaurant contribution and restaurant contribution margin are important tools for investors, because they are widely-used metrics within the restaurant industry to evaluate restaurant-level productivity, efficiency, and performance. Management further believes restaurant level operating margin is useful to investors to highlight trends in our core business that may not otherwise be apparent to investors when relying solely on GAAP financial measures.</w:t>
      </w:r>
    </w:p>
    <w:p>
      <w:pPr>
        <w:spacing w:after="0" w:line="124"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A reconciliation of restaurant contribution and restaurant contribution margin to company-operated restaurant revenue is provided below:</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8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40" w:type="dxa"/>
            <w:vAlign w:val="bottom"/>
          </w:tcPr>
          <w:p>
            <w:pPr>
              <w:spacing w:after="0"/>
              <w:rPr>
                <w:sz w:val="10"/>
                <w:szCs w:val="10"/>
                <w:color w:val="auto"/>
              </w:rPr>
            </w:pPr>
          </w:p>
        </w:tc>
        <w:tc>
          <w:tcPr>
            <w:tcW w:w="800" w:type="dxa"/>
            <w:vAlign w:val="bottom"/>
            <w:tcBorders>
              <w:top w:val="single" w:sz="8" w:color="auto"/>
            </w:tcBorders>
          </w:tcPr>
          <w:p>
            <w:pPr>
              <w:jc w:val="right"/>
              <w:ind w:right="162"/>
              <w:spacing w:after="0" w:line="118" w:lineRule="exact"/>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152"/>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720" w:type="dxa"/>
            <w:vAlign w:val="bottom"/>
            <w:vMerge w:val="continue"/>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(53-Weeks)</w:t>
            </w:r>
          </w:p>
        </w:tc>
        <w:tc>
          <w:tcPr>
            <w:tcW w:w="112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 (52-Weeks)</w:t>
            </w:r>
          </w:p>
        </w:tc>
        <w:tc>
          <w:tcPr>
            <w:tcW w:w="11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(52-Weeks)</w:t>
            </w:r>
          </w:p>
        </w:tc>
        <w:tc>
          <w:tcPr>
            <w:tcW w:w="0" w:type="dxa"/>
            <w:vAlign w:val="bottom"/>
          </w:tcPr>
          <w:p>
            <w:pPr>
              <w:spacing w:after="0"/>
              <w:rPr>
                <w:sz w:val="1"/>
                <w:szCs w:val="1"/>
                <w:color w:val="auto"/>
              </w:rPr>
            </w:pPr>
          </w:p>
        </w:tc>
      </w:tr>
      <w:tr>
        <w:trPr>
          <w:trHeight w:val="210"/>
        </w:trPr>
        <w:tc>
          <w:tcPr>
            <w:tcW w:w="5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Restaurant contribution:</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42,045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41,168</w:t>
            </w: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39,792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(less):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50,258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46,270</w:t>
            </w: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42,025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expenses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42,307</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38,404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15,966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15,717</w:t>
            </w: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recovery of insurance proceeds, property, equipment and expenses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revenue</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(45,561)</w:t>
            </w:r>
          </w:p>
        </w:tc>
        <w:tc>
          <w:tcPr>
            <w:tcW w:w="11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(41,002)</w:t>
            </w:r>
          </w:p>
        </w:tc>
        <w:tc>
          <w:tcPr>
            <w:tcW w:w="0" w:type="dxa"/>
            <w:vAlign w:val="bottom"/>
          </w:tcPr>
          <w:p>
            <w:pPr>
              <w:spacing w:after="0"/>
              <w:rPr>
                <w:sz w:val="1"/>
                <w:szCs w:val="1"/>
                <w:color w:val="auto"/>
              </w:rPr>
            </w:pPr>
          </w:p>
        </w:tc>
      </w:tr>
      <w:tr>
        <w:trPr>
          <w:trHeight w:val="216"/>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(31,840)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(31,187)</w:t>
            </w:r>
          </w:p>
        </w:tc>
        <w:tc>
          <w:tcPr>
            <w:tcW w:w="11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(29,225)</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and closed-store reserves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(gain) on disposition of restaurants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Restaurant contribution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Company-operated restaurant revenue: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490,046</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473,008</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468,664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Franchise revenue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Company-operated restaurant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405,817</w:t>
            </w:r>
          </w:p>
        </w:tc>
        <w:tc>
          <w:tcPr>
            <w:tcW w:w="2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396,260</w:t>
            </w:r>
          </w:p>
        </w:tc>
        <w:tc>
          <w:tcPr>
            <w:tcW w:w="2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398,437</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Restaurant contribution margin (%)</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New Restaurant Openings</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EBITDA and Adjusted EBITDA</w:t>
      </w:r>
    </w:p>
    <w:p>
      <w:pPr>
        <w:spacing w:after="0" w:line="22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EBITDA represents net income (loss) before interest expense, provision (benefit) for income taxes, depreciation, and amortization. Adjusted EBITDA represents net income (loss) before interest expense, provision (benefit) for income taxes, depreciation, amortization, and other items that we do not consider representative of on-going operating performance, as identified in the reconciliation table below.</w:t>
      </w:r>
    </w:p>
    <w:p>
      <w:pPr>
        <w:spacing w:after="0" w:line="18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EBITDA and Adjusted EBITDA as presented in this Annual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92"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94"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management believes that investors will find these measures useful in assessing our ability to service or incur indebtedness, and (iii) we use EBITDA and Adjusted EBITDA internally for a number of benchmarks, including to compare our performance to that of our competitors.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reconciliations of our net income to EBITDA and Adjusted EBITDA: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71"/>
              <w:spacing w:after="0" w:line="118"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71"/>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71"/>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73"/>
        </w:trPr>
        <w:tc>
          <w:tcPr>
            <w:tcW w:w="5940" w:type="dxa"/>
            <w:vAlign w:val="bottom"/>
            <w:gridSpan w:val="2"/>
            <w:vMerge w:val="continue"/>
          </w:tcPr>
          <w:p>
            <w:pPr>
              <w:spacing w:after="0"/>
              <w:rPr>
                <w:sz w:val="15"/>
                <w:szCs w:val="15"/>
                <w:color w:val="auto"/>
              </w:rPr>
            </w:pPr>
          </w:p>
        </w:tc>
        <w:tc>
          <w:tcPr>
            <w:tcW w:w="10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 (53-Weeks)</w:t>
            </w:r>
          </w:p>
        </w:tc>
        <w:tc>
          <w:tcPr>
            <w:tcW w:w="9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(52-Weeks)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(52-Weeks)</w:t>
            </w:r>
          </w:p>
        </w:tc>
        <w:tc>
          <w:tcPr>
            <w:tcW w:w="0" w:type="dxa"/>
            <w:vAlign w:val="bottom"/>
          </w:tcPr>
          <w:p>
            <w:pPr>
              <w:spacing w:after="0"/>
              <w:rPr>
                <w:sz w:val="1"/>
                <w:szCs w:val="1"/>
                <w:color w:val="auto"/>
              </w:rPr>
            </w:pPr>
          </w:p>
        </w:tc>
      </w:tr>
      <w:tr>
        <w:trPr>
          <w:trHeight w:val="209"/>
        </w:trPr>
        <w:tc>
          <w:tcPr>
            <w:tcW w:w="59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26,486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25,684</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25,554</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Non-GAAP adjustments: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15,235</w:t>
            </w:r>
          </w:p>
        </w:tc>
        <w:tc>
          <w:tcPr>
            <w:tcW w:w="0" w:type="dxa"/>
            <w:vAlign w:val="bottom"/>
          </w:tcPr>
          <w:p>
            <w:pPr>
              <w:spacing w:after="0"/>
              <w:rPr>
                <w:sz w:val="1"/>
                <w:szCs w:val="1"/>
                <w:color w:val="auto"/>
              </w:rPr>
            </w:pPr>
          </w:p>
        </w:tc>
      </w:tr>
      <w:tr>
        <w:trPr>
          <w:trHeight w:val="209"/>
        </w:trPr>
        <w:tc>
          <w:tcPr>
            <w:tcW w:w="5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58,011</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56,905</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54,924</w:t>
            </w:r>
          </w:p>
        </w:tc>
        <w:tc>
          <w:tcPr>
            <w:tcW w:w="0" w:type="dxa"/>
            <w:vAlign w:val="bottom"/>
          </w:tcPr>
          <w:p>
            <w:pPr>
              <w:spacing w:after="0"/>
              <w:rPr>
                <w:sz w:val="1"/>
                <w:szCs w:val="1"/>
                <w:color w:val="auto"/>
              </w:rPr>
            </w:pPr>
          </w:p>
        </w:tc>
      </w:tr>
      <w:tr>
        <w:trPr>
          <w:trHeight w:val="21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disposal of assets (b)</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and closed-store reserves (c)</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(gain) on disposition of restaurants (d)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settlements (e)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receivable agreement (income) expenses (f)</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legal and professional fees expense (g)</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Special other expenses (h)</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 advisory fees (i)</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Duplicate rent expense for corporate office relocation (j)</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ERP software implementation costs (k)</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recovery of insurance proceeds (l)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executive transition costs (m)</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Pre-opening costs (n)</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66,713</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62,708</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hanging="330"/>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stock-based compensation.</w:t>
      </w:r>
    </w:p>
    <w:p>
      <w:pPr>
        <w:spacing w:after="0" w:line="225" w:lineRule="exact"/>
        <w:rPr>
          <w:rFonts w:ascii="Times New Roman" w:cs="Times New Roman" w:eastAsia="Times New Roman" w:hAnsi="Times New Roman"/>
          <w:sz w:val="18"/>
          <w:szCs w:val="18"/>
          <w:color w:val="auto"/>
        </w:rPr>
      </w:pPr>
    </w:p>
    <w:p>
      <w:pPr>
        <w:ind w:left="380" w:right="159" w:hanging="330"/>
        <w:spacing w:after="0" w:line="28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disposal of assets includes the loss on disposal of assets related to retirements and replacement or write-off of leasehold improvements or equipment.</w:t>
      </w:r>
    </w:p>
    <w:p>
      <w:pPr>
        <w:spacing w:after="0" w:line="161" w:lineRule="exact"/>
        <w:rPr>
          <w:rFonts w:ascii="Times New Roman" w:cs="Times New Roman" w:eastAsia="Times New Roman" w:hAnsi="Times New Roman"/>
          <w:sz w:val="18"/>
          <w:szCs w:val="18"/>
          <w:color w:val="auto"/>
        </w:rPr>
      </w:pPr>
    </w:p>
    <w:p>
      <w:pPr>
        <w:ind w:left="380" w:right="99" w:hanging="330"/>
        <w:spacing w:after="0" w:line="261"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related to impairment of property and equipment and ROU assets and closed restaurants. During fiscal 2025, we did not record any non-cash impairment charges. During fiscal 2025, we recognized less than $0.1 million of closed-store reserve expense, primarily related to the amortization of ROU assets, property taxes and CAM payments for our closed locations.</w:t>
      </w:r>
    </w:p>
    <w:p>
      <w:pPr>
        <w:spacing w:after="0" w:line="179" w:lineRule="exact"/>
        <w:rPr>
          <w:rFonts w:ascii="Times New Roman" w:cs="Times New Roman" w:eastAsia="Times New Roman" w:hAnsi="Times New Roman"/>
          <w:sz w:val="18"/>
          <w:szCs w:val="18"/>
          <w:color w:val="auto"/>
        </w:rPr>
      </w:pPr>
    </w:p>
    <w:p>
      <w:pPr>
        <w:ind w:left="380" w:right="13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2024, we recorded non-cash impairment charges of $0.1 million, primarily related to the property and equipment assets of two restaurants in Nevada. During fiscal 2024, we recognized $0.1 million of closed-store reserve expense, primarily related to the amortization of ROU assets, property taxes and CAM payments for our closed locations.</w:t>
      </w:r>
    </w:p>
    <w:p>
      <w:pPr>
        <w:spacing w:after="0" w:line="179" w:lineRule="exact"/>
        <w:rPr>
          <w:rFonts w:ascii="Times New Roman" w:cs="Times New Roman" w:eastAsia="Times New Roman" w:hAnsi="Times New Roman"/>
          <w:sz w:val="18"/>
          <w:szCs w:val="18"/>
          <w:color w:val="auto"/>
        </w:rPr>
      </w:pPr>
    </w:p>
    <w:p>
      <w:pPr>
        <w:ind w:left="380" w:right="13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2023, we recorded non-cash impairment charges of $1.5 million, primarily related to the property and equipment assets of one restaurant in Nevada and the carrying value of the ROU assets of one restaurant in California. During fiscal 2023, we recognized $0.2 million of closed-store reserve expense, primarily related to the amortization of ROU assets, property taxes and CAM payments for our closed locations.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79" w:hanging="330"/>
        <w:spacing w:after="0" w:line="256"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2024, we completed the sale of one restaurant within California to an existing franchisee due to an expiring lease term on April 30, 2024. This sale resulted in cash proceeds of $0.1 million and a net loss on sale of restaurant of less than $0.1 million for the year-ended December 25, 2024. During fiscal 2023, we completed the sale of 18 company-operated restaurants within California, Utah and Texas to existing franchisees. These sales during 2023 resulted in cash proceeds of $7.7 million and a net gain on sale of restaurants of $5.0 million for the year ended December 27, 2023.</w:t>
      </w:r>
    </w:p>
    <w:p>
      <w:pPr>
        <w:spacing w:after="0" w:line="18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$0.9 million received from legal settlements, net of legal expenses.</w:t>
      </w:r>
    </w:p>
    <w:p>
      <w:pPr>
        <w:spacing w:after="0" w:line="225" w:lineRule="exact"/>
        <w:rPr>
          <w:rFonts w:ascii="Times New Roman" w:cs="Times New Roman" w:eastAsia="Times New Roman" w:hAnsi="Times New Roman"/>
          <w:sz w:val="18"/>
          <w:szCs w:val="18"/>
          <w:color w:val="auto"/>
        </w:rPr>
      </w:pPr>
    </w:p>
    <w:p>
      <w:pPr>
        <w:ind w:left="380" w:right="99" w:hanging="330"/>
        <w:spacing w:after="0" w:line="254"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July 30, 2014, we entered into the income tax receivable agreement (“TRA”). This agreement calls for us to pay to our pre-IPO stockholders 85% of the savings in cash that we realize in our taxes as a result of utilizing our net operating losses and other tax attributes attributable to preceding periods. For the years ended December 25, 2024, and December 27, 2023, income tax receivable agreement (income) expense consisted of the amortization of interest expense and changes in estimates for actual tax returns filed, related to our total expected TRA payments. </w:t>
      </w:r>
      <w:r>
        <w:rPr>
          <w:rFonts w:ascii="Times New Roman" w:cs="Times New Roman" w:eastAsia="Times New Roman" w:hAnsi="Times New Roman"/>
          <w:sz w:val="18"/>
          <w:szCs w:val="18"/>
          <w:color w:val="212529"/>
        </w:rPr>
        <w:t>On May 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2024, we terminated most of the obligations under the TRA, with respect to any payments or obligations owed to the Sellers thereunder in exchange for a payment to the Sellers of $0.4 million. As of December 31, 2025 and December 25, 2024, there was no remaining obligations owed on our consolidated balance sheets.</w:t>
      </w:r>
    </w:p>
    <w:p>
      <w:pPr>
        <w:spacing w:after="0" w:line="19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legal and professional costs related to shareholder activism and related matters.</w:t>
      </w:r>
    </w:p>
    <w:p>
      <w:pPr>
        <w:spacing w:after="0" w:line="225" w:lineRule="exact"/>
        <w:rPr>
          <w:rFonts w:ascii="Times New Roman" w:cs="Times New Roman" w:eastAsia="Times New Roman" w:hAnsi="Times New Roman"/>
          <w:sz w:val="18"/>
          <w:szCs w:val="18"/>
          <w:color w:val="auto"/>
        </w:rPr>
      </w:pPr>
    </w:p>
    <w:p>
      <w:pPr>
        <w:ind w:left="380" w:right="139" w:hanging="330"/>
        <w:spacing w:after="0" w:line="266"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Consists of $0.3 million in legal costs related to the share distribution by Trimaran Group of substantially all shares of our common stock held by Trimaran Group to its investors, members and limited partners, which occurred on March 28, 2023.</w:t>
      </w:r>
    </w:p>
    <w:p>
      <w:pPr>
        <w:spacing w:after="0" w:line="175" w:lineRule="exact"/>
        <w:rPr>
          <w:rFonts w:ascii="Times New Roman" w:cs="Times New Roman" w:eastAsia="Times New Roman" w:hAnsi="Times New Roman"/>
          <w:sz w:val="18"/>
          <w:szCs w:val="18"/>
          <w:color w:val="auto"/>
        </w:rPr>
      </w:pPr>
    </w:p>
    <w:p>
      <w:pPr>
        <w:ind w:left="380" w:right="479" w:hanging="330"/>
        <w:spacing w:after="0" w:line="266"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advisory fees pertaining to a shareholder rights agreement adopted in connection with a shareholder’s accumulation of a significant amount of shares of our common stock. Refer to Note 16, “Shareholder Rights Agreement” for further details on the Shareholder Rights Agreement.</w:t>
      </w:r>
    </w:p>
    <w:p>
      <w:pPr>
        <w:spacing w:after="0" w:line="175" w:lineRule="exact"/>
        <w:rPr>
          <w:rFonts w:ascii="Times New Roman" w:cs="Times New Roman" w:eastAsia="Times New Roman" w:hAnsi="Times New Roman"/>
          <w:sz w:val="18"/>
          <w:szCs w:val="18"/>
          <w:color w:val="auto"/>
        </w:rPr>
      </w:pPr>
    </w:p>
    <w:p>
      <w:pPr>
        <w:ind w:left="380" w:right="199" w:hanging="330"/>
        <w:spacing w:after="0" w:line="266"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duplicate rent expense for the corporate headquarter relocation. The Company moved headquarter locations during Q4 of fiscal year 2025. During the transition period the Company was still contractually obligated to pay rent expense for both the new location and old location at the same time.</w:t>
      </w:r>
    </w:p>
    <w:p>
      <w:pPr>
        <w:spacing w:after="0" w:line="175" w:lineRule="exact"/>
        <w:rPr>
          <w:rFonts w:ascii="Times New Roman" w:cs="Times New Roman" w:eastAsia="Times New Roman" w:hAnsi="Times New Roman"/>
          <w:sz w:val="18"/>
          <w:szCs w:val="18"/>
          <w:color w:val="auto"/>
        </w:rPr>
      </w:pPr>
    </w:p>
    <w:p>
      <w:pPr>
        <w:ind w:left="380" w:right="639" w:hanging="330"/>
        <w:spacing w:after="0" w:line="282"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incurred in connection with the implementation of a new “ERP” system which are included in general and administrative expenses.</w:t>
      </w:r>
    </w:p>
    <w:p>
      <w:pPr>
        <w:spacing w:after="0" w:line="161" w:lineRule="exact"/>
        <w:rPr>
          <w:rFonts w:ascii="Times New Roman" w:cs="Times New Roman" w:eastAsia="Times New Roman" w:hAnsi="Times New Roman"/>
          <w:sz w:val="18"/>
          <w:szCs w:val="18"/>
          <w:color w:val="auto"/>
        </w:rPr>
      </w:pPr>
    </w:p>
    <w:p>
      <w:pPr>
        <w:ind w:left="380" w:right="119" w:hanging="330"/>
        <w:spacing w:after="0" w:line="254"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During fiscal 2022, one of our restaurants incurred damage resulting from a fire. In fiscal 2023, we incurred costs directly related to the fire of less than $0.1 million. We received $0.5 million in cash, net of the insurance deductible, from the insurance company during fiscal 2023, for which we recognized gains of $0.2 million, related to the reimbursement of property and equipment and expenses incurred and $0.3 million related to the reimbursement of lost profits. In fiscal 2024, the Company recognized gains of less than $0.1 million related to the reimbursement of property and equipment and expenses. The gain on recovery of insurance proceeds for the reimbursement of property and equipment and expenses and the reimbursement of lost profits, net of the related costs is included in the accompanying consolidated statements of income, for the year ended December 27, 2023, as a reduction of company restaurant expenses.</w:t>
      </w:r>
    </w:p>
    <w:p>
      <w:pPr>
        <w:spacing w:after="0" w:line="188" w:lineRule="exact"/>
        <w:rPr>
          <w:rFonts w:ascii="Times New Roman" w:cs="Times New Roman" w:eastAsia="Times New Roman" w:hAnsi="Times New Roman"/>
          <w:sz w:val="18"/>
          <w:szCs w:val="18"/>
          <w:color w:val="auto"/>
        </w:rPr>
      </w:pPr>
    </w:p>
    <w:p>
      <w:pPr>
        <w:ind w:left="380" w:right="679" w:hanging="330"/>
        <w:spacing w:after="0" w:line="282"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Consists of costs associated with the transition of certain executive officers, such as severance and stock-based compensations costs and costs associated with restructuring certain positions in the organization.</w:t>
      </w:r>
    </w:p>
    <w:p>
      <w:pPr>
        <w:spacing w:after="0" w:line="161" w:lineRule="exact"/>
        <w:rPr>
          <w:rFonts w:ascii="Times New Roman" w:cs="Times New Roman" w:eastAsia="Times New Roman" w:hAnsi="Times New Roman"/>
          <w:sz w:val="18"/>
          <w:szCs w:val="18"/>
          <w:color w:val="auto"/>
        </w:rPr>
      </w:pPr>
    </w:p>
    <w:p>
      <w:pPr>
        <w:ind w:left="380" w:right="99" w:hanging="330"/>
        <w:spacing w:after="0" w:line="258"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and capital resources have been cash provided from operations, cash and cash equivalents, and the 2022 Revolver (as defined below). Our primary requirements for liquidity and capital are new restaurants, existing restaurant capital investments (remodels and maintenance),lease obligations, interest payments on our debt,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Our restaurants do not require significant inventories or receivables. We believe that these sources of liquidity and capital are sufficient to finance our continued operations, including planned capital expenditures, for at least the next 12 months and beyond from the issuance of the consolidated financial statements.</w:t>
      </w:r>
    </w:p>
    <w:p>
      <w:pPr>
        <w:spacing w:after="0" w:line="192"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 xml:space="preserve">However, </w:t>
      </w:r>
      <w:r>
        <w:rPr>
          <w:rFonts w:ascii="Times New Roman" w:cs="Times New Roman" w:eastAsia="Times New Roman" w:hAnsi="Times New Roman"/>
          <w:sz w:val="18"/>
          <w:szCs w:val="18"/>
          <w:color w:val="212529"/>
        </w:rPr>
        <w:t>depending on macroeconomic conditions, our</w:t>
      </w:r>
      <w:r>
        <w:rPr>
          <w:rFonts w:ascii="Times New Roman" w:cs="Times New Roman" w:eastAsia="Times New Roman" w:hAnsi="Times New Roman"/>
          <w:sz w:val="18"/>
          <w:szCs w:val="18"/>
          <w:color w:val="auto"/>
        </w:rPr>
        <w:t xml:space="preserve"> financial performance and liquidity could be further impacted and could impact our ability to meet certain financial covenants required in our 2022 Credit Agreement (as defined in Note 7 “Long-Term Debt”), specifically the lease-adjusted coverage ratio and fixed-charge coverage ratio.</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summary cash flow information for the years indicated:</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spacing w:after="0"/>
              <w:rPr>
                <w:sz w:val="15"/>
                <w:szCs w:val="15"/>
                <w:color w:val="auto"/>
              </w:rPr>
            </w:pP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5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57"/>
              <w:spacing w:after="0" w:line="118" w:lineRule="exact"/>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2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(53-Weeks)</w:t>
            </w: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​​​(52-Weeks)</w:t>
            </w: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 (52-Weeks)</w:t>
            </w:r>
          </w:p>
        </w:tc>
        <w:tc>
          <w:tcPr>
            <w:tcW w:w="0" w:type="dxa"/>
            <w:vAlign w:val="bottom"/>
          </w:tcPr>
          <w:p>
            <w:pPr>
              <w:spacing w:after="0"/>
              <w:rPr>
                <w:sz w:val="1"/>
                <w:szCs w:val="1"/>
                <w:color w:val="auto"/>
              </w:rPr>
            </w:pPr>
          </w:p>
        </w:tc>
      </w:tr>
      <w:tr>
        <w:trPr>
          <w:trHeight w:val="210"/>
        </w:trPr>
        <w:tc>
          <w:tcPr>
            <w:tcW w:w="5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46,781</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(32,645)</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increase/(decrease) in cash</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left="60" w:right="219"/>
        <w:spacing w:after="0" w:line="254" w:lineRule="auto"/>
        <w:rPr>
          <w:sz w:val="20"/>
          <w:szCs w:val="20"/>
          <w:color w:val="auto"/>
        </w:rPr>
      </w:pPr>
      <w:r>
        <w:rPr>
          <w:rFonts w:ascii="Times New Roman" w:cs="Times New Roman" w:eastAsia="Times New Roman" w:hAnsi="Times New Roman"/>
          <w:sz w:val="18"/>
          <w:szCs w:val="18"/>
          <w:color w:val="auto"/>
        </w:rPr>
        <w:t>In fiscal 2025, net cash provided by operating activities increased by $1.3 million compared to fiscal 2024. This increase was primarily due to a $6.8 million increase in net income excluding non-cash and reconciling items disclosed within our consolidated statement of cash flows, partially offset by a $5.5 million unfavorable change in operating assets and liabilities. The $6.8 million increase in net income excluding non-cash and reconciling items was primarily driven by favorable changes in non-cash and reconciling items including deferred income taxes and stock-based compensation expense. The $5.5 million of unfavorable changes in operating assets and liabilities was primarily driven by unfavorable changes in accrued salaries and vacation, accounts and other receivables, and income taxes receivable (payable), partially offset by favorable changes in accounts payable.</w:t>
      </w:r>
    </w:p>
    <w:p>
      <w:pPr>
        <w:spacing w:after="0" w:line="192"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In fiscal 2024, net cash provided by operating activities increased by $6.1 million compared to fiscal 2023. This increase was due primarily to an increase in profitability and favorable working capital fluctuations during fiscal 2024.</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 xml:space="preserve">In fiscal 2025, net cash used in investing activities increased by $3.7 million compared to fiscal 2024. </w:t>
      </w:r>
      <w:r>
        <w:rPr>
          <w:rFonts w:ascii="Times New Roman" w:cs="Times New Roman" w:eastAsia="Times New Roman" w:hAnsi="Times New Roman"/>
          <w:sz w:val="18"/>
          <w:szCs w:val="18"/>
          <w:color w:val="212529"/>
        </w:rPr>
        <w:t>This change was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primarily due to the increase purchases of property and equipment</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 xml:space="preserve">In fiscal 2024, net cash used in investing activities increased by $5.5 million compared to fiscal 2023. This increase was primarily due to cash proceeds of $7.7 million received during fiscal 2023 related to the sale of </w:t>
      </w:r>
      <w:r>
        <w:rPr>
          <w:rFonts w:ascii="Times New Roman" w:cs="Times New Roman" w:eastAsia="Times New Roman" w:hAnsi="Times New Roman"/>
          <w:sz w:val="18"/>
          <w:szCs w:val="18"/>
          <w:color w:val="212529"/>
        </w:rPr>
        <w:t>18 company-operated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restaurants to existing franchisees</w:t>
      </w:r>
      <w:r>
        <w:rPr>
          <w:rFonts w:ascii="Times New Roman" w:cs="Times New Roman" w:eastAsia="Times New Roman" w:hAnsi="Times New Roman"/>
          <w:sz w:val="18"/>
          <w:szCs w:val="18"/>
          <w:color w:val="000000"/>
        </w:rPr>
        <w:t>.</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 xml:space="preserve">In fiscal 2025, net cash used in financing activities decreased by $10.9 million compared to fiscal 2024. The decrease was </w:t>
      </w:r>
      <w:r>
        <w:rPr>
          <w:rFonts w:ascii="Times New Roman" w:cs="Times New Roman" w:eastAsia="Times New Roman" w:hAnsi="Times New Roman"/>
          <w:sz w:val="18"/>
          <w:szCs w:val="18"/>
          <w:color w:val="212529"/>
        </w:rPr>
        <w:t>primarily due to repurchases of shares of our common stock of $20.6 million during the year ended December 25, 2024 compared to repurchases of shares of our common stock of $1.8 million during the year ended December 31, 2025.</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212529"/>
        </w:rPr>
        <w:t>The change was partially offset by $20.0 million in net paydowns on the 2022 Revolver during the year ended December 31, 2025 compared to $13.0 million in net paydowns during the year ended December 25, 2024.</w:t>
      </w:r>
    </w:p>
    <w:p>
      <w:pPr>
        <w:spacing w:after="0" w:line="162"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 xml:space="preserve">In fiscal 2024, net cash used in financing activities decreased by $7.8 million compared to fiscal 2023. The decrease was </w:t>
      </w:r>
      <w:r>
        <w:rPr>
          <w:rFonts w:ascii="Times New Roman" w:cs="Times New Roman" w:eastAsia="Times New Roman" w:hAnsi="Times New Roman"/>
          <w:sz w:val="18"/>
          <w:szCs w:val="18"/>
          <w:color w:val="212529"/>
        </w:rPr>
        <w:t>primarily due to repurchases of shares of our common stock of $20.6 million during the year ended December 25, 2024 compared to repurchases of shares of our common stock of $59.2 million during the year ended December 27, 2023. The change was offset by $13.0 million in net pay downs on the 2022 Revolver during the year ended December 25, 2024 compared to $18.0 million in net borrowings during the year ended December 27, 2023.</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and Other Obligations</w:t>
      </w:r>
    </w:p>
    <w:p>
      <w:pPr>
        <w:spacing w:after="0" w:line="22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We, as a guarantor, are a party to a credit agreement (the “2022 Credit Agreement”) among our wholly-owned subsidiary, El Pollo Loco, Inc. (“EPL”), as borrower, and our direct subsidiary. EPL Intermediate, Inc. (“Intermediate”), as a guarantor, Bank of America, N.A., as administrative agent, swingline lender, and letter of credit issuer, the lenders party thereto, and the other parties thereto, which provides for a $150.0 million five-year senior secured revolving credit facility (the “2022 Revolver”). The 2022 Revolver, which is available pursuant to the 2022 Credit Agreement, includes a sub limit of $15.0 million for letters of credit and a sub limit of $15.0 million for swingline loans. The 2022 Revolver and 2022 Credit Agreement will mature on July 27, 2027. The obligations under the 2022 Credit Agreement and related loan documents are guaranteed by us. The obligations of our company, EPL and Intermediate under the 2022 Credit Agreement and related loan documents are secured by a first priority lien on substantially all of their respective assets.</w:t>
      </w:r>
    </w:p>
    <w:p>
      <w:pPr>
        <w:spacing w:after="0" w:line="188"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Under the 2022 Revolver, we are restricted from making certain payments such as cash dividends or share repurchases, except that we may, inter alia, (i) pay up to $1.0 million per year to repurchase or redeem our qualified equity interests held by our past or present officers, directors, or employees (or their estates) upon death, disability, or termination of employment, (ii) pay under the TRA, and (iii) so long as no default or event of default has occurred and is continuing,</w:t>
      </w:r>
    </w:p>
    <w:p>
      <w:pPr>
        <w:spacing w:after="0" w:line="3" w:lineRule="exact"/>
        <w:rPr>
          <w:sz w:val="20"/>
          <w:szCs w:val="20"/>
          <w:color w:val="auto"/>
        </w:rPr>
      </w:pPr>
    </w:p>
    <w:p>
      <w:pPr>
        <w:ind w:left="60" w:right="99" w:hanging="10"/>
        <w:spacing w:after="0" w:line="250" w:lineRule="auto"/>
        <w:tabs>
          <w:tab w:leader="none" w:pos="30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w:t>
      </w:r>
    </w:p>
    <w:p>
      <w:pPr>
        <w:spacing w:after="0" w:line="1" w:lineRule="exact"/>
        <w:rPr>
          <w:rFonts w:ascii="Times New Roman" w:cs="Times New Roman" w:eastAsia="Times New Roman" w:hAnsi="Times New Roman"/>
          <w:sz w:val="18"/>
          <w:szCs w:val="18"/>
          <w:color w:val="auto"/>
        </w:rPr>
      </w:pPr>
    </w:p>
    <w:p>
      <w:pPr>
        <w:ind w:left="60" w:right="119" w:hanging="10"/>
        <w:spacing w:after="0" w:line="255" w:lineRule="auto"/>
        <w:tabs>
          <w:tab w:leader="none" w:pos="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up to $5.0 million in other restricted payments per year, and (e) make other restricted payments, subject to our compliance, on a pro forma basis, with (x) a lease-adjusted consolidated leverage ratio not to exceed 4.25 times and (y) the financial covenants applicable to the 2022 Revolver.</w:t>
      </w:r>
    </w:p>
    <w:p>
      <w:pPr>
        <w:spacing w:after="0" w:line="186"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Borrowings under the 2022 Credit Agreement (other than any swingline loans) bear interest, at the borrower’s option, at rates based upon either the secured overnight financing rate (“SOFR”) or a base rate, plus, for each rate, a margin determined in accordance with a lease-adjusted consolidated leverage ratio-based pricing grid. The base rate is calculated as the highest of (a) the federal funds rate plus 0.50%, (b) the published Bank of America prime rate, or (c) Term SOFR with a term of one-month SOFR plus 1.00%. For Term SOFR loans, the margin is in the range of 1.25% to 2.25%, and for base rate loans the margin is in a range of 0.25% to 1.25%. Borrowings under the 2022 Revolver may be repaid and reborrowed. For borrowings under the 2022 Revolver during fiscal 2025, the interest rate range was 5.3% to 7.75%. For borrowings under the 2022 Revolver during fiscal 2024, the interest rate range was 5.7% to 7.0%. The interest rate under the 2022 Revolver was 5.3% at December 31, 2025 and 5.7% under the 2022 Revolver at December 25, 2024.</w:t>
      </w:r>
    </w:p>
    <w:p>
      <w:pPr>
        <w:spacing w:after="0" w:line="188"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2022 Credit Agreement contains certain financial covenants. We were in compliance with the financial covenants as of December 31, 2025.</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December 31, 2025, $10.3 million of letters of credit and $51.0 million of the revolving line of credit were outstanding.</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amount available under the revolving line of credit was $88.7 million at December 31, 2025.</w:t>
      </w:r>
    </w:p>
    <w:p>
      <w:pPr>
        <w:spacing w:after="0" w:line="207"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See Note 7, “Long-Term Debt” in the accompanying “Notes to Consolidated Financial Statements” in this Annual Report for additional information.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Our total capital expenditures for 2025 were $26.9 million. In 2025, we spent approximately $3.1 million on the development and construction of our new restaurants, $10.4 million on remodels of existing restaurants, and $3.5 million on our new corporate office location. The remaining $9.9 million of capital expenditures during 2025 were related to investments in existing restaurants, including new equipment and hardware, technology to optimize efficiencies, and similar improvements. In 2026, we expect to incur between $37 million and $40 million in total capital expenditures, of which we expect approximately $8 million to $9 million will be related to our construction of new restaurants, $14 million to $15 million will be related to remodeling of existing restaurants, including new equipment and hardware, technology to optimize efficiencies, minor remodeling and similar improvements, and $6 million to $7 million related to sales driving and cost savings initiatives. Finally, we expect a portion of our incurred capital expenditures in 2026 to be for additional corporate initiatives, including investments in technology for support centers to boost innovation, enhancing the customer experience, and improving operations. We expect to fund these capital expenditures primarily with operating cash flows.</w:t>
      </w:r>
    </w:p>
    <w:p>
      <w:pPr>
        <w:spacing w:after="0" w:line="192"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other current and long-term material cash requirements as of December 31, 2025, which we expect to fund primarily with operating cash flows: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940" w:type="dxa"/>
            <w:vAlign w:val="bottom"/>
            <w:gridSpan w:val="2"/>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2500" w:type="dxa"/>
            <w:vAlign w:val="bottom"/>
            <w:gridSpan w:val="6"/>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940" w:type="dxa"/>
            <w:vAlign w:val="bottom"/>
            <w:gridSpan w:val="2"/>
          </w:tcPr>
          <w:p>
            <w:pPr>
              <w:jc w:val="right"/>
              <w:ind w:right="67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tcPr>
          <w:p>
            <w:pPr>
              <w:jc w:val="right"/>
              <w:ind w:right="59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2027 -</w:t>
            </w:r>
          </w:p>
        </w:tc>
        <w:tc>
          <w:tcPr>
            <w:tcW w:w="840" w:type="dxa"/>
            <w:vAlign w:val="bottom"/>
            <w:gridSpan w:val="2"/>
          </w:tcPr>
          <w:p>
            <w:pPr>
              <w:jc w:val="right"/>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  2029 -</w:t>
            </w:r>
          </w:p>
        </w:tc>
        <w:tc>
          <w:tcPr>
            <w:tcW w:w="960" w:type="dxa"/>
            <w:vAlign w:val="bottom"/>
            <w:gridSpan w:val="2"/>
          </w:tcPr>
          <w:p>
            <w:pPr>
              <w:jc w:val="right"/>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 2031 and</w:t>
            </w:r>
          </w:p>
        </w:tc>
        <w:tc>
          <w:tcPr>
            <w:tcW w:w="0" w:type="dxa"/>
            <w:vAlign w:val="bottom"/>
          </w:tcPr>
          <w:p>
            <w:pPr>
              <w:spacing w:after="0"/>
              <w:rPr>
                <w:sz w:val="1"/>
                <w:szCs w:val="1"/>
                <w:color w:val="auto"/>
              </w:rPr>
            </w:pPr>
          </w:p>
        </w:tc>
      </w:tr>
      <w:tr>
        <w:trPr>
          <w:trHeight w:val="173"/>
        </w:trPr>
        <w:tc>
          <w:tcPr>
            <w:tcW w:w="43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2028</w:t>
            </w:r>
          </w:p>
        </w:tc>
        <w:tc>
          <w:tcPr>
            <w:tcW w:w="8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2030</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Operating leases </w:t>
            </w:r>
            <w:r>
              <w:rPr>
                <w:rFonts w:ascii="Times New Roman" w:cs="Times New Roman" w:eastAsia="Times New Roman" w:hAnsi="Times New Roman"/>
                <w:sz w:val="24"/>
                <w:szCs w:val="24"/>
                <w:color w:val="auto"/>
                <w:vertAlign w:val="superscript"/>
              </w:rPr>
              <w:t>(1)</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$ 225,488</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$ 28,905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52,962</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$ 41,051</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$ 102,570</w:t>
            </w:r>
          </w:p>
        </w:tc>
        <w:tc>
          <w:tcPr>
            <w:tcW w:w="0" w:type="dxa"/>
            <w:vAlign w:val="bottom"/>
          </w:tcPr>
          <w:p>
            <w:pPr>
              <w:spacing w:after="0"/>
              <w:rPr>
                <w:sz w:val="1"/>
                <w:szCs w:val="1"/>
                <w:color w:val="auto"/>
              </w:rPr>
            </w:pPr>
          </w:p>
        </w:tc>
      </w:tr>
      <w:tr>
        <w:trPr>
          <w:trHeight w:val="216"/>
        </w:trPr>
        <w:tc>
          <w:tcPr>
            <w:tcW w:w="43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Finance leases </w:t>
            </w:r>
            <w:r>
              <w:rPr>
                <w:rFonts w:ascii="Times New Roman" w:cs="Times New Roman" w:eastAsia="Times New Roman" w:hAnsi="Times New Roman"/>
                <w:sz w:val="25"/>
                <w:szCs w:val="25"/>
                <w:color w:val="auto"/>
                <w:vertAlign w:val="superscript"/>
              </w:rPr>
              <w:t>(1)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Long-term debt </w:t>
            </w:r>
            <w:r>
              <w:rPr>
                <w:rFonts w:ascii="Times New Roman" w:cs="Times New Roman" w:eastAsia="Times New Roman" w:hAnsi="Times New Roman"/>
                <w:sz w:val="25"/>
                <w:szCs w:val="25"/>
                <w:color w:val="auto"/>
                <w:vertAlign w:val="superscript"/>
              </w:rPr>
              <w:t>(2)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52,567</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Purchasing commitments—chicken</w:t>
            </w:r>
            <w:r>
              <w:rPr>
                <w:rFonts w:ascii="Times New Roman" w:cs="Times New Roman" w:eastAsia="Times New Roman" w:hAnsi="Times New Roman"/>
                <w:sz w:val="25"/>
                <w:szCs w:val="25"/>
                <w:color w:val="auto"/>
                <w:vertAlign w:val="superscript"/>
              </w:rPr>
              <w:t>(3)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26,232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$ 308,772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$ 58,199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105,803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$ 41,243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$ 103,527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224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720" w:right="179" w:hanging="319"/>
        <w:spacing w:after="0" w:line="26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Operating and Finance Leases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Represents future minimum lease payments for our restaurants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principal payments during the lease terms, respectively. Refer to Note 6 “Leases” in the accompanying “Notes to Consolidated Financial Statements” in this Annual Report for further details regarding our obligations and the timing of expected payments.</w:t>
      </w:r>
    </w:p>
    <w:p>
      <w:pPr>
        <w:spacing w:after="0" w:line="176" w:lineRule="exact"/>
        <w:rPr>
          <w:rFonts w:ascii="Times New Roman" w:cs="Times New Roman" w:eastAsia="Times New Roman" w:hAnsi="Times New Roman"/>
          <w:sz w:val="18"/>
          <w:szCs w:val="18"/>
          <w:color w:val="auto"/>
        </w:rPr>
      </w:pPr>
    </w:p>
    <w:p>
      <w:pPr>
        <w:ind w:left="720" w:right="119" w:hanging="319"/>
        <w:spacing w:after="0" w:line="26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Long-Term Debt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Represents our contractual debt obligations. Includes expected interest expenses, calculated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applicable interest rates at December 31, 2025. Refer to Note 7 “Long-Term Debt” in the accompanying “Notes to Consolidated Financial Statements” in this Annual Report for further details regarding our obligations and the timing of expected payments.</w:t>
      </w:r>
    </w:p>
    <w:p>
      <w:pPr>
        <w:spacing w:after="0" w:line="176" w:lineRule="exact"/>
        <w:rPr>
          <w:rFonts w:ascii="Times New Roman" w:cs="Times New Roman" w:eastAsia="Times New Roman" w:hAnsi="Times New Roman"/>
          <w:sz w:val="18"/>
          <w:szCs w:val="18"/>
          <w:color w:val="auto"/>
        </w:rPr>
      </w:pPr>
    </w:p>
    <w:p>
      <w:pPr>
        <w:ind w:left="720" w:right="619" w:hanging="319"/>
        <w:spacing w:after="0" w:line="268"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Purchasing Commitments (Chicken)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Reflects contractual purchase commitments for goods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restaurant operations. Refer to Note 14 “Commitments and Contingencies” in the accompanying “Notes to Consolidated Financial Statements” in this Annual Report for further details regarding our obligations.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212529"/>
        </w:rPr>
        <w:t>On November 2, 2023, we announced that the Board approved a share repurchase program (“Share Repurchase Program”) under which we were authorized to repurchase up to $20,000,000 of shares of our common stock. Under the Share Repurchase Program, we were permitted to repurchase our common stock from time to time, in amounts and at prices that we deemed appropriate, subject to market conditions and other considerations. Pursuant to the Share Repurchase Program, we were authorized to effect repurchases using open market purchases, including pursuant to Rule 10b5-1 trading plans, and/or through privately negotiated transactions. The repurchase program did not obligate us to acquire any particular number of shares.</w:t>
      </w:r>
    </w:p>
    <w:p>
      <w:pPr>
        <w:spacing w:after="0" w:line="18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On December 4, 2023, we repurchased 1.5 million shares of our common stock for a total purchase price of $12.6 million under the Stock Repurchase Program. Following completion of this repurchase, approximately $7.4 million of</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 xml:space="preserve">our common stock remained available for repurchase under the Share Repurchase Program at December 27, 2023. </w:t>
      </w:r>
      <w:r>
        <w:rPr>
          <w:rFonts w:ascii="Times New Roman" w:cs="Times New Roman" w:eastAsia="Times New Roman" w:hAnsi="Times New Roman"/>
          <w:sz w:val="18"/>
          <w:szCs w:val="18"/>
          <w:color w:val="212529"/>
        </w:rPr>
        <w:t>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year ended December 25, 2024, we repurchased 535,628 shares of common stock under the Share Repurchase Program, using open market purchases, for total consideration of approximately $5.6 million. Following completion of these repurchases, approximately $1.8 million of our common stock remained available for repurchase under the Share Repurchase Program at December 25, 2024.</w:t>
      </w:r>
    </w:p>
    <w:p>
      <w:pPr>
        <w:spacing w:after="0" w:line="183"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 xml:space="preserve">For the year ended December 31, 2025, we repurchased 163,229 shares of our common stock for a total purchase price of $1.8 million under the Stock Repurchase Program. </w:t>
      </w:r>
      <w:r>
        <w:rPr>
          <w:rFonts w:ascii="Times New Roman" w:cs="Times New Roman" w:eastAsia="Times New Roman" w:hAnsi="Times New Roman"/>
          <w:sz w:val="18"/>
          <w:szCs w:val="18"/>
          <w:color w:val="212529"/>
        </w:rPr>
        <w:t>The repurchase program was terminated on March 31,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accordance with GAAP requires us to make estimates and judgments that affect our reported amounts of assets, liabilities, revenue, and expenses, and related disclosure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87"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Accounting policies are an integral part of our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Our significant accounting policies are described in Note 2 “Summary of Significant Accounting Policies” in the accompanying “Notes to Consolidated Financial Statements” in this Annual Report.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We record revenue from company-operated restaurants as food and beverage products are delivered to customers and payment is tendered at the time of sale. We present sales net of sales-related taxes and promotional allowances. In the case of gift card sales, we record revenue when the gift card is redeemed by the customer. We record royalties from franchised restaurant sales based on a percentage of restaurant revenues in the period that the related franchised restaurants’ revenues are earned. The initial franchise services, or exclusivity of the development agreements, are not distinct from the continuing rights or services offered during the term of the franchise agreement and are, therefore, treated as a single performance obligation. As such, initial franchise and development fees received, and subsequent renewal fees, are recognized over the franchise, or renewal, term, which is typically 20 years.</w:t>
      </w:r>
    </w:p>
    <w:p>
      <w:pPr>
        <w:spacing w:after="0" w:line="192"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Company offers a loyalty rewards program, which awards a customer points for dollars spent. Customers earn points for each dollar spent and points can be redeemed for multiple redemption options. If a customer does not earn or use points within a one-year period, their account is deactivated and all points expire.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if necessary, on a pro-rata basis, based on stand-alone selling price, as determined by menu pricing and loyalty points terms.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 Net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Intangible assets consist primarily of goodwill and trademarks.</w:t>
      </w:r>
    </w:p>
    <w:p>
      <w:pPr>
        <w:spacing w:after="0" w:line="225"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We do not amortize our goodwill and indefinite-lived intangible assets. We perform an annual impairment test for goodwill during the fourth fiscal quarter of each year, or more frequently if impairment indicators arise.</w:t>
      </w:r>
    </w:p>
    <w:p>
      <w:pPr>
        <w:spacing w:after="0" w:line="162"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We perform an annual impairment test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its impairment loss.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These assumptions used in our estimates of fair value are generally consistent with past performance and are also consistent with the projections and assumptions that we use in our forward-looking operating plans. These assumptions are subject to change as a result of changing economic and competitive conditions. Changes in these estimates and assumptions could materially affect our determinations of fair value and impairment.</w:t>
      </w:r>
    </w:p>
    <w:p>
      <w:pPr>
        <w:spacing w:after="0" w:line="180"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Upon the sale or refranchising of a restaurant, we evaluate whether there is a decrement of goodwill. The amount of goodwill included in the cost basis of the asset sold is determined based on the relative fair value of the portion of the reporting unit disposed of compared to the fair value of the reporting unit retained. The fair value of the portion of the reporting unit disposed of in a refranchising is determined by reference to the discounted value of the future cash flows expected to be generated by the restaurant and retained by the franchisee, which includes a deduction for the anticipated, future royalties the franchisee will pay us associated with the franchise agreement entered into simultaneously with the refranchising transition. The fair value of the reporting unit retained is based on the price a willing buyer would pay for the reporting unit and includes the value of franchise agreements. As such, the fair value of the reporting unit retained can include expected cash flows from future royalties from those restaurants currently being refranchised, future royalties from existing franchise businesses and company restaurant operations. During fiscal 2025 and fiscal 2024, we determined that there were no indicators of potential impairment of our goodwill and indefinite-lived intangible assets. Accordingly, we did not record any impairment to our goodwill or indefinite-lived intangible assets in fiscal 2025 and fiscal 2024. During fiscal 2023, we determined that, in connection with the sale of 18 units, there were indicators of potential impairment of our goodwill and indefinite lived intangible assets. After completing the impairment analysis, we did not record any decrement to goodwill related to the disposition of restaurants in fiscal 2023.</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and ROU Assets</w:t>
      </w:r>
    </w:p>
    <w:p>
      <w:pPr>
        <w:spacing w:after="0" w:line="22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We state the value of our property and equipment, including primarily leasehold improvements and restaurant equipment, furniture, and fixtures, at cost, minus accumulated depreciation and amortization.</w:t>
      </w:r>
    </w:p>
    <w:p>
      <w:pPr>
        <w:spacing w:after="0" w:line="16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review our property and equipment and ROU assets for impairment on a restaurant-by-restaurant basis whenever events or changes in circumstances indicate that the carrying value of certain assets may not be recoverable. We consider a triggering event to have occurred related to a specific restaurant if the restaurant’s AUV for the last twelve months are less than a minimum threshold or if consistent levels of undiscounted cash flows for the remaining lease period are less than the carrying value of the restaurant’s assets. If we conclude that the carrying value of certain assets will not be recovered based on expected undiscounted future cash flows, an impairment write-down is recorded to reduce the assets to their estimated fair value. The fair value is measured on a nonrecurring basis using unobservable (Level 3) inputs. There is uncertainty in the projected undiscounted future cash flows used in our impairment review analysis. Further, the projected undiscounted future cash flows require management to develop estimates and assumptions about future revenue transaction growth rates, menu pricing changes, and restaurant operating margins, which are made more uncertain by the impact of the current inflationary pressures on our business. If actual performance does not achieve the projections, we may recognize impairment charges in future periods, and such charges could be material.</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Insurance Reserves</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We are responsible for workers’ compensation, general, and health insurance claims up to a specified amount. We maintain a reserve for estimated claims both reported and incurred but not reported, based on historical claims experience and other assumptions. In estimating our insurance accruals, we utilize independent actuarial estimates of expected losses, which are based on statistical analyses of historical data. The Company utilizes an actuary to estimate its workers’ compensation reserves and significant assumptions in the estimate included loss development factors, expected loss rates, and weighting of methods. Our actuarial assumptions are closely monitored and adjusted when warranted by changing circumstances. Should claims occur or medical costs increase in greater amounts than we have expected, accruals may not be sufficient, and we may record additional expenses.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Lease Obligations</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We lease a substantial number of our restaurant properties. At the inception of each lease, we evaluate the property and the lease to determine whether the lease is an operating lease or a finance lease. This lease accounting evaluation may require significant judgment in determining the fair value and useful life of the leased property and the appropriate lease term. The lease term used for the evaluation includes renewal option periods only in instances in which the exercise of the renewal option can be reasonably assured because failure to exercise such an option would result in an economic</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penalty. Such an economic penalty would typically result from our having to abandon a building or fixture with remaining economic value upon vacating a property.</w:t>
      </w:r>
    </w:p>
    <w:p>
      <w:pPr>
        <w:spacing w:after="0" w:line="16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make significant assumptions and judgments related to determination of whether a contract contains a lease and the discount rate used for the lease. In determining if any of our contracts contain a lease, we make assumptions and judgments related to our ability to direct the use of any assets stated in the contract and the likelihood of renewing any short-term contracts for a period extending past twelve months. We also make significant assumptions and judgments in determining an appropriate discount rate for property leases. These include using a consistent discount rate for a portfolio of leases entered into at varying dates, using the full 20-year term of the lease, excluding any options, and using the total minimum lease payments. We utilize a third-party valuation firm to assist in determining the discount rate, based on the above assumptions. For all other leases, we use the discount rate implicit in the lease, or the Company’s incremental borrowing rate.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419"/>
        <w:spacing w:after="0" w:line="272" w:lineRule="auto"/>
        <w:rPr>
          <w:sz w:val="20"/>
          <w:szCs w:val="20"/>
          <w:color w:val="auto"/>
        </w:rPr>
      </w:pPr>
      <w:r>
        <w:rPr>
          <w:rFonts w:ascii="Times New Roman" w:cs="Times New Roman" w:eastAsia="Times New Roman" w:hAnsi="Times New Roman"/>
          <w:sz w:val="17"/>
          <w:szCs w:val="17"/>
          <w:color w:val="auto"/>
        </w:rPr>
        <w:t>We use the asset and liability method of accounting for income taxes. Deferred tax assets and liabilities are determined based on temporary differences between the financial carrying amounts and the tax basis of assets and liabilities using enacted tax rates in effect in the years in which the temporary differences are expected to reverse. As of</w:t>
      </w:r>
    </w:p>
    <w:p>
      <w:pPr>
        <w:spacing w:after="0" w:line="1" w:lineRule="exact"/>
        <w:rPr>
          <w:sz w:val="20"/>
          <w:szCs w:val="20"/>
          <w:color w:val="auto"/>
        </w:rPr>
      </w:pPr>
    </w:p>
    <w:p>
      <w:pPr>
        <w:ind w:left="60" w:right="359"/>
        <w:spacing w:after="0" w:line="260" w:lineRule="auto"/>
        <w:rPr>
          <w:sz w:val="20"/>
          <w:szCs w:val="20"/>
          <w:color w:val="auto"/>
        </w:rPr>
      </w:pPr>
      <w:r>
        <w:rPr>
          <w:rFonts w:ascii="Times New Roman" w:cs="Times New Roman" w:eastAsia="Times New Roman" w:hAnsi="Times New Roman"/>
          <w:sz w:val="18"/>
          <w:szCs w:val="18"/>
          <w:color w:val="auto"/>
        </w:rPr>
        <w:t>December 31, 2025, we had no federal and less than $0.1 million state net operating loss (</w:t>
      </w:r>
      <w:r>
        <w:rPr>
          <w:rFonts w:ascii="Arial" w:cs="Arial" w:eastAsia="Arial" w:hAnsi="Arial"/>
          <w:sz w:val="18"/>
          <w:szCs w:val="18"/>
          <w:color w:val="auto"/>
        </w:rPr>
        <w:t>“</w:t>
      </w:r>
      <w:r>
        <w:rPr>
          <w:rFonts w:ascii="Times New Roman" w:cs="Times New Roman" w:eastAsia="Times New Roman" w:hAnsi="Times New Roman"/>
          <w:sz w:val="18"/>
          <w:szCs w:val="18"/>
          <w:color w:val="auto"/>
        </w:rPr>
        <w:t>NOL</w:t>
      </w:r>
      <w:r>
        <w:rPr>
          <w:rFonts w:ascii="Arial" w:cs="Arial" w:eastAsia="Arial" w:hAnsi="Arial"/>
          <w:sz w:val="18"/>
          <w:szCs w:val="18"/>
          <w:color w:val="auto"/>
        </w:rPr>
        <w:t>”</w:t>
      </w:r>
      <w:r>
        <w:rPr>
          <w:rFonts w:ascii="Times New Roman" w:cs="Times New Roman" w:eastAsia="Times New Roman" w:hAnsi="Times New Roman"/>
          <w:sz w:val="18"/>
          <w:szCs w:val="18"/>
          <w:color w:val="auto"/>
        </w:rPr>
        <w:t>) carryforwards. These State NOLs expire beginning 2029.</w:t>
      </w:r>
    </w:p>
    <w:p>
      <w:pPr>
        <w:spacing w:after="0" w:line="181"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A valuation allowance is required when there is significant uncertainty as to whether certain deferred tax assets can be realized. The ability to realize deferred tax assets is dependent upon our ability to generate sufficient taxable income within the carryforward periods provided for in the tax law for each tax jurisdiction. We have considered the following possible sources of taxable income when assessing the realization of our deferred tax assets:</w:t>
      </w:r>
    </w:p>
    <w:p>
      <w:pPr>
        <w:spacing w:after="0" w:line="72" w:lineRule="exact"/>
        <w:rPr>
          <w:sz w:val="20"/>
          <w:szCs w:val="20"/>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reversals of existing taxable temporary differences;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taxable income or loss, exclusive of reversing temporary differences and carryforwards;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tax-planning strategies;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income in prior carryback years.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will continue to reevaluate the continued need for a valuation allowance. Relevant factors include:</w:t>
      </w:r>
    </w:p>
    <w:p>
      <w:pPr>
        <w:spacing w:after="0" w:line="117" w:lineRule="exact"/>
        <w:rPr>
          <w:sz w:val="20"/>
          <w:szCs w:val="20"/>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financial performance;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short-term and long-term financial and taxable income projections;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market environment;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and trends in the industry in which we operate.</w:t>
      </w:r>
    </w:p>
    <w:p>
      <w:pPr>
        <w:spacing w:after="0" w:line="11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All of the factors that we consider in evaluating treatment of a deferred tax asset valuation allowance involve significant judgment. For example, there are many different interpretations of “cumulative losses in recent years” that can be used. Also, significant judgment is involved in making projections of future financial and taxable income, especially because our financial results are significantly dependent upon industry trends. Any change in our valuation allowance will significantly impact our financial results in the period of that change.</w:t>
      </w:r>
    </w:p>
    <w:p>
      <w:pPr>
        <w:spacing w:after="0" w:line="183"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When there are uncertainties related to potential income tax benefits, in order to qualify for recognition, the position we take has to have at least a “more likely than not” chance of being sustained (based on the position’s technical merits) upon challenge by the responsible authorities. The term “more likely than not” means a likelihood of more than 50%. Otherwise, we may not recognize any of the potential tax benefits associated with that position. We recognize a benefit for a tax position that meets the “more likely than not” criterion as the largest amount of tax benefit that is greater than 50% likely to be realized upon its effective resolution. Unrecognized tax benefits involve our judgment regarding the likelihood of a benefit being sustained. The final resolutions of uncertain tax positions could result in adjustments to recorded amounts and affect our results of operations, financial position, and cash flows. However, we anticipate that any such adjustments would not materially impact our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On July 27, 2022, we refinanced and entered into the 2022 Credit Agreement, which provides for a $150 million five-year senior secured revolving facility. We are exposed to market risk from changes in interest rates on our debt, which bears interest at SOFR plus a margin between 1.25% and 2.25%. As of December 31, 2025, we had outstanding borrowings of $51.0 million under our 2022 Revolver, $10.3 million of letters of credit in support of our insurance programs, and the applicable margin on outstanding borrowings under 2022 Revolver was 1.5%. A 1.0% increase in the effective interest rate applied to our 2022 Revolver borrowings would result in a pre-tax interest expense increase of $0.5 million on an annualized basis.</w:t>
      </w:r>
    </w:p>
    <w:p>
      <w:pPr>
        <w:spacing w:after="0" w:line="18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2025, we borrowed $9.0 million and paid down $29.0 million on our 2022 Revolver and the outstanding balance as of December 31, 2025 was $51.0 million. Borrowings under the 2022 Credit Agreement (other than any swingline loans) bear interest, at the borrowers’ option, at rates based upon either SOFR or a base rate, plus, for each rate, a margin determined in accordance with a lease-adjusted consolidated leverage ratio-based pricing grid. If future rates based upon SOFR are higher than SOFR rates as currently determined, we may experience potential increases in interest rates on our variable rate debt, which could adversely impact our interest expense, results of operations and cash flows.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Inflation has an impact on food, paper, construction, utility, labor and benefits and general and administrative costs, as well as other costs, all of which can materially impact our operations. In general, we have been able to substantially offset cost increases thus far resulting from inflation by increasing menu prices, managing menu mix, improving productivity, or making other adjustments. We may not be able to offset cost increases in the future. In addition, we have a substantial number of hourly employees who are paid wage rates at or based on the applicable federal, state, or local minimum wage, and increases in the minimum wage will increase our labor costs.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ind w:left="60" w:right="159"/>
        <w:spacing w:after="0" w:line="271" w:lineRule="auto"/>
        <w:rPr>
          <w:sz w:val="20"/>
          <w:szCs w:val="20"/>
          <w:color w:val="auto"/>
        </w:rPr>
      </w:pPr>
      <w:r>
        <w:rPr>
          <w:rFonts w:ascii="Times New Roman" w:cs="Times New Roman" w:eastAsia="Times New Roman" w:hAnsi="Times New Roman"/>
          <w:sz w:val="17"/>
          <w:szCs w:val="17"/>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diseases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due to trade tariffs, natural disasters and other world events. Therefore, to the extent that we do not pass along cost increases to our customers, our results of operations may be adversely affected. At this time, we do not use financial instruments to hedge our commodity risk.</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7420" w:type="dxa"/>
            <w:vAlign w:val="bottom"/>
            <w:gridSpan w:val="11"/>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52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920" w:type="dxa"/>
            <w:vAlign w:val="bottom"/>
            <w:gridSpan w:val="10"/>
          </w:tcPr>
          <w:p>
            <w:pPr>
              <w:ind w:left="620"/>
              <w:spacing w:after="0"/>
              <w:rPr>
                <w:sz w:val="20"/>
                <w:szCs w:val="20"/>
                <w:color w:val="auto"/>
              </w:rPr>
            </w:pPr>
            <w:r>
              <w:rPr>
                <w:rFonts w:ascii="Times New Roman" w:cs="Times New Roman" w:eastAsia="Times New Roman" w:hAnsi="Times New Roman"/>
                <w:sz w:val="18"/>
                <w:szCs w:val="18"/>
                <w:b w:val="1"/>
                <w:bCs w:val="1"/>
                <w:color w:val="auto"/>
              </w:rPr>
              <w:t>EL POLLO LOCO HOLDINGS, INC. AND SUBSIDIARIES</w:t>
            </w:r>
          </w:p>
        </w:tc>
        <w:tc>
          <w:tcPr>
            <w:tcW w:w="520" w:type="dxa"/>
            <w:vAlign w:val="bottom"/>
          </w:tcPr>
          <w:p>
            <w:pPr>
              <w:spacing w:after="0"/>
              <w:rPr>
                <w:sz w:val="24"/>
                <w:szCs w:val="24"/>
                <w:color w:val="auto"/>
              </w:rPr>
            </w:pPr>
          </w:p>
        </w:tc>
      </w:tr>
      <w:tr>
        <w:trPr>
          <w:trHeight w:val="432"/>
        </w:trPr>
        <w:tc>
          <w:tcPr>
            <w:tcW w:w="83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INDEX TO THE CONSOLIDATED FINANCIAL STATEMENTS</w:t>
            </w:r>
          </w:p>
        </w:tc>
        <w:tc>
          <w:tcPr>
            <w:tcW w:w="52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83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520" w:type="dxa"/>
            <w:vAlign w:val="bottom"/>
          </w:tcPr>
          <w:p>
            <w:pPr>
              <w:spacing w:after="0"/>
              <w:rPr>
                <w:sz w:val="24"/>
                <w:szCs w:val="24"/>
                <w:color w:val="auto"/>
              </w:rPr>
            </w:pPr>
          </w:p>
        </w:tc>
      </w:tr>
      <w:tr>
        <w:trPr>
          <w:trHeight w:val="175"/>
        </w:trPr>
        <w:tc>
          <w:tcPr>
            <w:tcW w:w="40" w:type="dxa"/>
            <w:vAlign w:val="bottom"/>
            <w:shd w:val="clear" w:color="auto" w:fill="CCEEFF"/>
          </w:tcPr>
          <w:p>
            <w:pPr>
              <w:spacing w:after="0"/>
              <w:rPr>
                <w:sz w:val="15"/>
                <w:szCs w:val="15"/>
                <w:color w:val="auto"/>
              </w:rPr>
            </w:pPr>
          </w:p>
        </w:tc>
        <w:tc>
          <w:tcPr>
            <w:tcW w:w="83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(BDO USA, P.C.; Costa Mesa, California; PCAOB ID</w:t>
            </w:r>
          </w:p>
        </w:tc>
        <w:tc>
          <w:tcPr>
            <w:tcW w:w="520" w:type="dxa"/>
            <w:vAlign w:val="bottom"/>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57</w:t>
            </w:r>
          </w:p>
        </w:tc>
      </w:tr>
      <w:tr>
        <w:trPr>
          <w:trHeight w:val="237"/>
        </w:trPr>
        <w:tc>
          <w:tcPr>
            <w:tcW w:w="4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0000EE"/>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#243)</w:t>
            </w:r>
          </w:p>
        </w:tc>
        <w:tc>
          <w:tcPr>
            <w:tcW w:w="500" w:type="dxa"/>
            <w:vAlign w:val="bottom"/>
            <w:tcBorders>
              <w:top w:val="single" w:sz="8" w:color="0000EE"/>
            </w:tcBorders>
            <w:shd w:val="clear" w:color="auto" w:fill="CCEEFF"/>
          </w:tcPr>
          <w:p>
            <w:pPr>
              <w:spacing w:after="0"/>
              <w:rPr>
                <w:sz w:val="20"/>
                <w:szCs w:val="20"/>
                <w:color w:val="auto"/>
              </w:rPr>
            </w:pPr>
          </w:p>
        </w:tc>
        <w:tc>
          <w:tcPr>
            <w:tcW w:w="760" w:type="dxa"/>
            <w:vAlign w:val="bottom"/>
            <w:tcBorders>
              <w:top w:val="single" w:sz="8" w:color="0000EE"/>
            </w:tcBorders>
            <w:shd w:val="clear" w:color="auto" w:fill="CCEEFF"/>
          </w:tcPr>
          <w:p>
            <w:pPr>
              <w:spacing w:after="0"/>
              <w:rPr>
                <w:sz w:val="20"/>
                <w:szCs w:val="20"/>
                <w:color w:val="auto"/>
              </w:rPr>
            </w:pPr>
          </w:p>
        </w:tc>
        <w:tc>
          <w:tcPr>
            <w:tcW w:w="980" w:type="dxa"/>
            <w:vAlign w:val="bottom"/>
            <w:tcBorders>
              <w:top w:val="single" w:sz="8" w:color="0000EE"/>
            </w:tcBorders>
            <w:shd w:val="clear" w:color="auto" w:fill="CCEEFF"/>
          </w:tcPr>
          <w:p>
            <w:pPr>
              <w:spacing w:after="0"/>
              <w:rPr>
                <w:sz w:val="20"/>
                <w:szCs w:val="20"/>
                <w:color w:val="auto"/>
              </w:rPr>
            </w:pPr>
          </w:p>
        </w:tc>
        <w:tc>
          <w:tcPr>
            <w:tcW w:w="520" w:type="dxa"/>
            <w:vAlign w:val="bottom"/>
            <w:tcBorders>
              <w:top w:val="single" w:sz="8" w:color="0000EE"/>
            </w:tcBorders>
            <w:shd w:val="clear" w:color="auto" w:fill="CCEEFF"/>
          </w:tcPr>
          <w:p>
            <w:pPr>
              <w:spacing w:after="0"/>
              <w:rPr>
                <w:sz w:val="20"/>
                <w:szCs w:val="20"/>
                <w:color w:val="auto"/>
              </w:rPr>
            </w:pPr>
          </w:p>
        </w:tc>
        <w:tc>
          <w:tcPr>
            <w:tcW w:w="540" w:type="dxa"/>
            <w:vAlign w:val="bottom"/>
            <w:tcBorders>
              <w:top w:val="single" w:sz="8" w:color="0000EE"/>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16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r>
      <w:tr>
        <w:trPr>
          <w:trHeight w:val="176"/>
        </w:trPr>
        <w:tc>
          <w:tcPr>
            <w:tcW w:w="40" w:type="dxa"/>
            <w:vAlign w:val="bottom"/>
          </w:tcPr>
          <w:p>
            <w:pPr>
              <w:spacing w:after="0"/>
              <w:rPr>
                <w:sz w:val="15"/>
                <w:szCs w:val="15"/>
                <w:color w:val="auto"/>
              </w:rPr>
            </w:pPr>
          </w:p>
        </w:tc>
        <w:tc>
          <w:tcPr>
            <w:tcW w:w="83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 December 31, 2025 and December 25, 2024</w:t>
            </w:r>
          </w:p>
        </w:tc>
        <w:tc>
          <w:tcPr>
            <w:tcW w:w="52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59</w:t>
            </w:r>
          </w:p>
        </w:tc>
      </w:tr>
      <w:tr>
        <w:trPr>
          <w:trHeight w:val="20"/>
        </w:trPr>
        <w:tc>
          <w:tcPr>
            <w:tcW w:w="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76"/>
        </w:trPr>
        <w:tc>
          <w:tcPr>
            <w:tcW w:w="40" w:type="dxa"/>
            <w:vAlign w:val="bottom"/>
            <w:tcBorders>
              <w:bottom w:val="single" w:sz="8" w:color="CCEEFF"/>
            </w:tcBorders>
            <w:shd w:val="clear" w:color="auto" w:fill="CCEEFF"/>
          </w:tcPr>
          <w:p>
            <w:pPr>
              <w:spacing w:after="0"/>
              <w:rPr>
                <w:sz w:val="15"/>
                <w:szCs w:val="15"/>
                <w:color w:val="auto"/>
              </w:rPr>
            </w:pPr>
          </w:p>
        </w:tc>
        <w:tc>
          <w:tcPr>
            <w:tcW w:w="74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Income—For the years ended December 31, 2025, December 25, 2024, and</w:t>
            </w:r>
          </w:p>
        </w:tc>
        <w:tc>
          <w:tcPr>
            <w:tcW w:w="860" w:type="dxa"/>
            <w:vAlign w:val="bottom"/>
            <w:tcBorders>
              <w:bottom w:val="single" w:sz="8" w:color="CCEEFF"/>
            </w:tcBorders>
            <w:gridSpan w:val="3"/>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40" w:type="dxa"/>
            <w:vAlign w:val="bottom"/>
            <w:shd w:val="clear" w:color="auto" w:fill="CCEEFF"/>
          </w:tcPr>
          <w:p>
            <w:pPr>
              <w:spacing w:after="0"/>
              <w:rPr>
                <w:sz w:val="17"/>
                <w:szCs w:val="17"/>
                <w:color w:val="auto"/>
              </w:rPr>
            </w:pPr>
          </w:p>
        </w:tc>
        <w:tc>
          <w:tcPr>
            <w:tcW w:w="8340" w:type="dxa"/>
            <w:vAlign w:val="bottom"/>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December 27, 2023</w:t>
            </w:r>
          </w:p>
        </w:tc>
        <w:tc>
          <w:tcPr>
            <w:tcW w:w="520" w:type="dxa"/>
            <w:vAlign w:val="bottom"/>
            <w:shd w:val="clear" w:color="auto" w:fill="CCEEFF"/>
          </w:tcPr>
          <w:p>
            <w:pPr>
              <w:spacing w:after="0"/>
              <w:rPr>
                <w:sz w:val="17"/>
                <w:szCs w:val="17"/>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7900" w:type="dxa"/>
            <w:vAlign w:val="bottom"/>
            <w:tcBorders>
              <w:bottom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Income—For the years ended December 31, 2025, December 25,</w:t>
            </w:r>
          </w:p>
        </w:tc>
        <w:tc>
          <w:tcPr>
            <w:tcW w:w="440" w:type="dxa"/>
            <w:vAlign w:val="bottom"/>
          </w:tcPr>
          <w:p>
            <w:pPr>
              <w:spacing w:after="0"/>
              <w:rPr>
                <w:sz w:val="15"/>
                <w:szCs w:val="15"/>
                <w:color w:val="auto"/>
              </w:rPr>
            </w:pPr>
          </w:p>
        </w:tc>
        <w:tc>
          <w:tcPr>
            <w:tcW w:w="52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40" w:type="dxa"/>
            <w:vAlign w:val="bottom"/>
          </w:tcPr>
          <w:p>
            <w:pPr>
              <w:spacing w:after="0"/>
              <w:rPr>
                <w:sz w:val="17"/>
                <w:szCs w:val="17"/>
                <w:color w:val="auto"/>
              </w:rPr>
            </w:pPr>
          </w:p>
        </w:tc>
        <w:tc>
          <w:tcPr>
            <w:tcW w:w="83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2024, and December 27, 2023</w:t>
            </w:r>
          </w:p>
        </w:tc>
        <w:tc>
          <w:tcPr>
            <w:tcW w:w="520" w:type="dxa"/>
            <w:vAlign w:val="bottom"/>
          </w:tcPr>
          <w:p>
            <w:pPr>
              <w:spacing w:after="0"/>
              <w:rPr>
                <w:sz w:val="17"/>
                <w:szCs w:val="17"/>
                <w:color w:val="auto"/>
              </w:rPr>
            </w:pPr>
          </w:p>
        </w:tc>
      </w:tr>
      <w:tr>
        <w:trPr>
          <w:trHeight w:val="21"/>
        </w:trPr>
        <w:tc>
          <w:tcPr>
            <w:tcW w:w="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75"/>
        </w:trPr>
        <w:tc>
          <w:tcPr>
            <w:tcW w:w="40" w:type="dxa"/>
            <w:vAlign w:val="bottom"/>
            <w:tcBorders>
              <w:bottom w:val="single" w:sz="8" w:color="CCEEFF"/>
            </w:tcBorders>
            <w:shd w:val="clear" w:color="auto" w:fill="CCEEFF"/>
          </w:tcPr>
          <w:p>
            <w:pPr>
              <w:spacing w:after="0"/>
              <w:rPr>
                <w:sz w:val="15"/>
                <w:szCs w:val="15"/>
                <w:color w:val="auto"/>
              </w:rPr>
            </w:pPr>
          </w:p>
        </w:tc>
        <w:tc>
          <w:tcPr>
            <w:tcW w:w="70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Changes in Stockholders’ Equity—For the years ended December 31,</w:t>
            </w:r>
          </w:p>
        </w:tc>
        <w:tc>
          <w:tcPr>
            <w:tcW w:w="1280" w:type="dxa"/>
            <w:vAlign w:val="bottom"/>
            <w:tcBorders>
              <w:bottom w:val="single" w:sz="8" w:color="CCEEFF"/>
            </w:tcBorders>
            <w:gridSpan w:val="4"/>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40" w:type="dxa"/>
            <w:vAlign w:val="bottom"/>
            <w:shd w:val="clear" w:color="auto" w:fill="CCEEFF"/>
          </w:tcPr>
          <w:p>
            <w:pPr>
              <w:spacing w:after="0"/>
              <w:rPr>
                <w:sz w:val="17"/>
                <w:szCs w:val="17"/>
                <w:color w:val="auto"/>
              </w:rPr>
            </w:pPr>
          </w:p>
        </w:tc>
        <w:tc>
          <w:tcPr>
            <w:tcW w:w="8340" w:type="dxa"/>
            <w:vAlign w:val="bottom"/>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2025, December 25, 2024, and December 27, 2023</w:t>
            </w:r>
          </w:p>
        </w:tc>
        <w:tc>
          <w:tcPr>
            <w:tcW w:w="520" w:type="dxa"/>
            <w:vAlign w:val="bottom"/>
            <w:shd w:val="clear" w:color="auto" w:fill="CCEEFF"/>
          </w:tcPr>
          <w:p>
            <w:pPr>
              <w:spacing w:after="0"/>
              <w:rPr>
                <w:sz w:val="17"/>
                <w:szCs w:val="17"/>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83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Flows—For the years ended December 31, 2025, December 25, 2024, and</w:t>
            </w:r>
          </w:p>
        </w:tc>
        <w:tc>
          <w:tcPr>
            <w:tcW w:w="52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40" w:type="dxa"/>
            <w:vAlign w:val="bottom"/>
          </w:tcPr>
          <w:p>
            <w:pPr>
              <w:spacing w:after="0"/>
              <w:rPr>
                <w:sz w:val="17"/>
                <w:szCs w:val="17"/>
                <w:color w:val="auto"/>
              </w:rPr>
            </w:pPr>
          </w:p>
        </w:tc>
        <w:tc>
          <w:tcPr>
            <w:tcW w:w="77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December 27, 2023</w:t>
            </w:r>
          </w:p>
        </w:tc>
        <w:tc>
          <w:tcPr>
            <w:tcW w:w="5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r>
      <w:tr>
        <w:trPr>
          <w:trHeight w:val="21"/>
        </w:trPr>
        <w:tc>
          <w:tcPr>
            <w:tcW w:w="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83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520" w:type="dxa"/>
            <w:vAlign w:val="bottom"/>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64</w:t>
            </w: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El Pollo Loco Holdings, Inc.</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El Pollo Loco Holdings, Inc. (the “Company”) as of December 31, 2025 and December 25, 2024, the related consolidated statements of income, comprehensive income, changes in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December 25, 2024, and the results of its operations and its cash flows for each of the three years in the period ended December 31, 2025, in conformity with accounting principles generally accepted in the United States of America.</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March 13, 2026 expressed an unqualified opinion thereon.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Estimation of workers’ compensation liabilities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accrued $10.3 million of workers’ compensation reserves in accrued insurance as of December 31, 2025. The Company maintains a reserve for estimated claims both reported and incurred but not reported. Significant assumptions in the estimate included loss development factors, expected loss rates, and weighting of methods.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identified the evaluation of certain methods and assumptions used in the estimation of the underlying workers’ compensation reserves as a critical audit matter. Specifically, the estimation was subject to inherent uncertainty and required especially subjective auditor judgment, including the involvement of actuarial professionals with specialized skills and knowledge to evaluate certain methods and assumptions including loss development factors, and expected loss rates.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225" w:lineRule="exact"/>
        <w:rPr>
          <w:sz w:val="20"/>
          <w:szCs w:val="20"/>
          <w:color w:val="auto"/>
        </w:rPr>
      </w:pPr>
    </w:p>
    <w:p>
      <w:pPr>
        <w:ind w:left="720" w:right="7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design and operating effectiveness of internal controls over the Company’s workers’ compensation reserves.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actuarial professionals with specialized skills and knowledge to assist with assessing the reasonableness of certain methods and assumptions used, including loss development factors and expected loss rates by:</w:t>
      </w:r>
    </w:p>
    <w:p>
      <w:pPr>
        <w:spacing w:after="0" w:line="162" w:lineRule="exact"/>
        <w:rPr>
          <w:sz w:val="20"/>
          <w:szCs w:val="20"/>
          <w:color w:val="auto"/>
        </w:rPr>
      </w:pPr>
    </w:p>
    <w:p>
      <w:pPr>
        <w:ind w:left="1380" w:right="79" w:hanging="331"/>
        <w:spacing w:after="0" w:line="264" w:lineRule="auto"/>
        <w:tabs>
          <w:tab w:leader="none" w:pos="1380" w:val="left"/>
        </w:tabs>
        <w:numPr>
          <w:ilvl w:val="0"/>
          <w:numId w:val="3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Developing an independent reasonable range for the workers’ compensation reserves using an alternative combination of methods and assumptions based on the Company’s historical data.</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13,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60" w:type="dxa"/>
            <w:vAlign w:val="bottom"/>
          </w:tcPr>
          <w:p>
            <w:pPr>
              <w:ind w:left="62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0" w:type="dxa"/>
            <w:vAlign w:val="bottom"/>
          </w:tcPr>
          <w:p>
            <w:pPr>
              <w:spacing w:after="0"/>
              <w:rPr>
                <w:sz w:val="1"/>
                <w:szCs w:val="1"/>
                <w:color w:val="auto"/>
              </w:rPr>
            </w:pPr>
          </w:p>
        </w:tc>
      </w:tr>
      <w:tr>
        <w:trPr>
          <w:trHeight w:val="173"/>
        </w:trPr>
        <w:tc>
          <w:tcPr>
            <w:tcW w:w="6360" w:type="dxa"/>
            <w:vAlign w:val="bottom"/>
          </w:tcPr>
          <w:p>
            <w:pPr>
              <w:ind w:left="62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10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6,228</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and other receivables, net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receivable</w:t>
            </w: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97,043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held under finance lease, net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held under operating leases, net ("ROU asset")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167,972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248,674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61,888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3,964</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606,648</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592,014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3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obligations under finance leases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obligations under operating leases</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salaries and vacation</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insurance</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income taxes payable</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accrued expenses and current liabilities</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20,985</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79,079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Revolver loan</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under finance leases, net of current portion</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Obligations under operating leases, net of current portion</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170,812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5,633</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315,571</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331,345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14)</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100,000,000 shares authorized; 100,000 shares designated as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Series A Preferred Stock; none issued or outstanding</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$0.01 par value, 200,000,000 shares authorized; 29,957,385 and 29,839,721</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and outstanding as of December 31, 2025 and December 25, 2024, respectively</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247,224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241,462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43,554</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291,077</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260,669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606,648</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592,014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7"/>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For the Fiscal Years Ended</w:t>
            </w:r>
          </w:p>
        </w:tc>
        <w:tc>
          <w:tcPr>
            <w:tcW w:w="9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440" w:type="dxa"/>
            <w:vAlign w:val="bottom"/>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 December 25, 2024</w:t>
            </w:r>
          </w:p>
        </w:tc>
        <w:tc>
          <w:tcPr>
            <w:tcW w:w="13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December 27, 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4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405,817</w:t>
            </w:r>
          </w:p>
        </w:tc>
        <w:tc>
          <w:tcPr>
            <w:tcW w:w="4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396,260</w:t>
            </w:r>
          </w:p>
        </w:tc>
        <w:tc>
          <w:tcPr>
            <w:tcW w:w="20" w:type="dxa"/>
            <w:vAlign w:val="bottom"/>
          </w:tcPr>
          <w:p>
            <w:pPr>
              <w:spacing w:after="0"/>
              <w:rPr>
                <w:sz w:val="18"/>
                <w:szCs w:val="18"/>
                <w:color w:val="auto"/>
              </w:rPr>
            </w:pP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31,840</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31,187</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490,046</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473,008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468,664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operations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paper cost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100,083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100,725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 and related expenses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127,258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127,179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other operating expenses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recovery of insurance proceeds, lost profits, net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 restaurant expenses</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333,727</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327,184</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expenses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Gain on recovery of insurance proceeds, property, equipment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expenses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disposition of restaurants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 and closed-store reserves</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448,001</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431,840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receivable agreement (income) expense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37,575</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11,089</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9,605</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25,684</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4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4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4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20" w:type="dxa"/>
            <w:vAlign w:val="bottom"/>
          </w:tcPr>
          <w:p>
            <w:pPr>
              <w:spacing w:after="0"/>
              <w:rPr>
                <w:sz w:val="18"/>
                <w:szCs w:val="18"/>
                <w:color w:val="auto"/>
              </w:rPr>
            </w:pP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66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shares used in computing net income per</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29,178,940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29,850,256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34,253,542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29,396,890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30,034,978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34,374,706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1720"/>
        <w:spacing w:after="0" w:line="378" w:lineRule="auto"/>
        <w:rPr>
          <w:sz w:val="20"/>
          <w:szCs w:val="20"/>
          <w:color w:val="auto"/>
        </w:rPr>
      </w:pPr>
      <w:r>
        <w:rPr>
          <w:rFonts w:ascii="Times New Roman" w:cs="Times New Roman" w:eastAsia="Times New Roman" w:hAnsi="Times New Roman"/>
          <w:sz w:val="18"/>
          <w:szCs w:val="18"/>
          <w:b w:val="1"/>
          <w:bCs w:val="1"/>
          <w:color w:val="auto"/>
        </w:rPr>
        <w:t>EL POLLO LOCO HOLDINGS, INC. CONSOLIDATED STATEMENTS OF COMPREHENSIVE INCOME (Amounts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36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Fiscal Years Ended</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9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0" w:type="dxa"/>
            <w:vAlign w:val="bottom"/>
            <w:gridSpan w:val="4"/>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 December 25,</w:t>
            </w:r>
          </w:p>
        </w:tc>
        <w:tc>
          <w:tcPr>
            <w:tcW w:w="106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December 27,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2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derivative instruments</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Reclassifications of loss into net income</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benefit</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3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3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25,428</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 Accumulated</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 Additional</w:t>
            </w:r>
          </w:p>
        </w:tc>
        <w:tc>
          <w:tcPr>
            <w:tcW w:w="2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3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5"/>
                <w:szCs w:val="15"/>
                <w:color w:val="auto"/>
              </w:rPr>
            </w:pP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Shares</w:t>
            </w:r>
          </w:p>
        </w:tc>
        <w:tc>
          <w:tcPr>
            <w:tcW w:w="2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Capital</w:t>
            </w:r>
          </w:p>
        </w:tc>
        <w:tc>
          <w:tcPr>
            <w:tcW w:w="2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29, 2022</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37,008,061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$ 292,244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related to restricted</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net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454,081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 net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219,960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repurchased for employee tax</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(6,030,850)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 - excise tax</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Forfeiture of common stock related to</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(271,685)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income tax</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27, 2023</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31,353,223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236,421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related to restricted</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net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513,723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 net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163,696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repurchased for employee tax</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(2,069,931)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 - excise tax</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Forfeiture of common stock related to</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(84,301)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net of income</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25, 2024</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29,839,721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241,462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related to restricted</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net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410,740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 net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113,307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repurchased for employee tax</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(71,917)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(163,229)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Forfeiture of common stock related to</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(171,237)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29,957,385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$ 247,224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9440"/>
          </w:cols>
          <w:pgMar w:left="1220" w:top="513"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2720" w:type="dxa"/>
            <w:vAlign w:val="bottom"/>
            <w:gridSpan w:val="15"/>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For the Fiscal Years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920" w:type="dxa"/>
            <w:vAlign w:val="bottom"/>
            <w:tcBorders>
              <w:top w:val="single" w:sz="8" w:color="auto"/>
            </w:tcBorders>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940" w:type="dxa"/>
            <w:vAlign w:val="bottom"/>
            <w:tcBorders>
              <w:top w:val="single" w:sz="8" w:color="auto"/>
            </w:tcBorders>
            <w:gridSpan w:val="9"/>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25, ​​​December 27,</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42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jc w:val="center"/>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3"/>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26,486</w:t>
            </w:r>
          </w:p>
        </w:tc>
        <w:tc>
          <w:tcPr>
            <w:tcW w:w="6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5"/>
              <w:spacing w:after="0" w:line="149" w:lineRule="exact"/>
              <w:rPr>
                <w:sz w:val="20"/>
                <w:szCs w:val="20"/>
                <w:color w:val="auto"/>
              </w:rPr>
            </w:pPr>
            <w:r>
              <w:rPr>
                <w:rFonts w:ascii="Times New Roman" w:cs="Times New Roman" w:eastAsia="Times New Roman" w:hAnsi="Times New Roman"/>
                <w:sz w:val="14"/>
                <w:szCs w:val="14"/>
                <w:color w:val="auto"/>
              </w:rPr>
              <w:t>25,684</w:t>
            </w:r>
          </w:p>
        </w:tc>
        <w:tc>
          <w:tcPr>
            <w:tcW w:w="380" w:type="dxa"/>
            <w:vAlign w:val="bottom"/>
            <w:gridSpan w:val="4"/>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25,554</w:t>
            </w:r>
          </w:p>
        </w:tc>
        <w:tc>
          <w:tcPr>
            <w:tcW w:w="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4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flows provided by operating activities:</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2"/>
                <w:szCs w:val="12"/>
                <w:color w:val="auto"/>
              </w:rPr>
            </w:pPr>
          </w:p>
        </w:tc>
        <w:tc>
          <w:tcPr>
            <w:tcW w:w="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15,966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5"/>
              <w:spacing w:after="0" w:line="149" w:lineRule="exact"/>
              <w:rPr>
                <w:sz w:val="20"/>
                <w:szCs w:val="20"/>
                <w:color w:val="auto"/>
              </w:rPr>
            </w:pPr>
            <w:r>
              <w:rPr>
                <w:rFonts w:ascii="Times New Roman" w:cs="Times New Roman" w:eastAsia="Times New Roman" w:hAnsi="Times New Roman"/>
                <w:sz w:val="14"/>
                <w:szCs w:val="14"/>
                <w:color w:val="auto"/>
              </w:rPr>
              <w:t>15,717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15,235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5,396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5"/>
              <w:spacing w:after="0" w:line="149" w:lineRule="exact"/>
              <w:rPr>
                <w:sz w:val="20"/>
                <w:szCs w:val="20"/>
                <w:color w:val="auto"/>
              </w:rPr>
            </w:pPr>
            <w:r>
              <w:rPr>
                <w:rFonts w:ascii="Times New Roman" w:cs="Times New Roman" w:eastAsia="Times New Roman" w:hAnsi="Times New Roman"/>
                <w:sz w:val="14"/>
                <w:szCs w:val="14"/>
                <w:color w:val="auto"/>
              </w:rPr>
              <w:t>3,931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2,964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receivable agreement (income) expense</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2"/>
          </w:tcPr>
          <w:p>
            <w:pPr>
              <w:jc w:val="right"/>
              <w:ind w:right="34"/>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Fire insurance proceeds for expenses paid and lost profit</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34"/>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5"/>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Loss (gain) on disposition of restaurants</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2"/>
          </w:tcPr>
          <w:p>
            <w:pPr>
              <w:jc w:val="right"/>
              <w:ind w:right="34"/>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5"/>
              <w:spacing w:after="0" w:line="149" w:lineRule="exact"/>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(5,034)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Loss on disposal of assets</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5"/>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Gain on recovery of insurance proceeds, property, equipment and expenses, net</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2"/>
          </w:tcPr>
          <w:p>
            <w:pPr>
              <w:jc w:val="right"/>
              <w:ind w:right="34"/>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Impairment of property and equipment and ROU assets</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34"/>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5"/>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5"/>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income taxes, net</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4"/>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(2,857)</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906</w:t>
            </w:r>
          </w:p>
        </w:tc>
        <w:tc>
          <w:tcPr>
            <w:tcW w:w="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4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and other receivables</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5"/>
              <w:spacing w:after="0" w:line="149" w:lineRule="exact"/>
              <w:rPr>
                <w:sz w:val="20"/>
                <w:szCs w:val="20"/>
                <w:color w:val="auto"/>
              </w:rPr>
            </w:pPr>
            <w:r>
              <w:rPr>
                <w:rFonts w:ascii="Times New Roman" w:cs="Times New Roman" w:eastAsia="Times New Roman" w:hAnsi="Times New Roman"/>
                <w:sz w:val="14"/>
                <w:szCs w:val="14"/>
                <w:color w:val="auto"/>
              </w:rPr>
              <w:t>677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4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5"/>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taxes receivable (payable)</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5"/>
              <w:spacing w:after="0" w:line="149" w:lineRule="exact"/>
              <w:rPr>
                <w:sz w:val="20"/>
                <w:szCs w:val="20"/>
                <w:color w:val="auto"/>
              </w:rPr>
            </w:pPr>
            <w:r>
              <w:rPr>
                <w:rFonts w:ascii="Times New Roman" w:cs="Times New Roman" w:eastAsia="Times New Roman" w:hAnsi="Times New Roman"/>
                <w:sz w:val="14"/>
                <w:szCs w:val="14"/>
                <w:color w:val="auto"/>
              </w:rPr>
              <w:t>1,695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4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lease assets</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19,989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5"/>
              <w:spacing w:after="0" w:line="149" w:lineRule="exact"/>
              <w:rPr>
                <w:sz w:val="20"/>
                <w:szCs w:val="20"/>
                <w:color w:val="auto"/>
              </w:rPr>
            </w:pPr>
            <w:r>
              <w:rPr>
                <w:rFonts w:ascii="Times New Roman" w:cs="Times New Roman" w:eastAsia="Times New Roman" w:hAnsi="Times New Roman"/>
                <w:sz w:val="14"/>
                <w:szCs w:val="14"/>
                <w:color w:val="auto"/>
              </w:rPr>
              <w:t>19,133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19,040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(1,080)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4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4,808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4"/>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(544)</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salaries and vacation</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(2,856)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5"/>
              <w:spacing w:after="0" w:line="149" w:lineRule="exact"/>
              <w:rPr>
                <w:sz w:val="20"/>
                <w:szCs w:val="20"/>
                <w:color w:val="auto"/>
              </w:rPr>
            </w:pPr>
            <w:r>
              <w:rPr>
                <w:rFonts w:ascii="Times New Roman" w:cs="Times New Roman" w:eastAsia="Times New Roman" w:hAnsi="Times New Roman"/>
                <w:sz w:val="14"/>
                <w:szCs w:val="14"/>
                <w:color w:val="auto"/>
              </w:rPr>
              <w:t>4,594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4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insurance</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4"/>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(414)</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Payment related to tax receivable agreement</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2"/>
          </w:tcPr>
          <w:p>
            <w:pPr>
              <w:jc w:val="right"/>
              <w:ind w:right="34"/>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4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(19,287)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4"/>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(19,105)</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(19,120)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accrued expenses and liabilities</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(1,274)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(1,684)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3,304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2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cash flows provided by operating activities</w:t>
            </w:r>
          </w:p>
        </w:tc>
        <w:tc>
          <w:tcPr>
            <w:tcW w:w="3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48,076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gridSpan w:val="2"/>
            <w:shd w:val="clear" w:color="auto" w:fill="CCEEFF"/>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46,781</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40,688</w:t>
            </w:r>
          </w:p>
        </w:tc>
        <w:tc>
          <w:tcPr>
            <w:tcW w:w="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4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jc w:val="center"/>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disposition of restaurants</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34"/>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5"/>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7,722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fire insurance for property and equipment</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2"/>
          </w:tcPr>
          <w:p>
            <w:pPr>
              <w:jc w:val="right"/>
              <w:ind w:right="34"/>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5"/>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(22,635)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4"/>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(19,081)</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(21,332)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2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cash flows used in investing activities</w:t>
            </w:r>
          </w:p>
        </w:tc>
        <w:tc>
          <w:tcPr>
            <w:tcW w:w="3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(22,635)</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(18,940)</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(13,447)</w:t>
            </w:r>
          </w:p>
        </w:tc>
        <w:tc>
          <w:tcPr>
            <w:tcW w:w="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4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center"/>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borrowings on revolver and swingline loans</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9,000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5"/>
              <w:spacing w:after="0" w:line="149" w:lineRule="exact"/>
              <w:rPr>
                <w:sz w:val="20"/>
                <w:szCs w:val="20"/>
                <w:color w:val="auto"/>
              </w:rPr>
            </w:pPr>
            <w:r>
              <w:rPr>
                <w:rFonts w:ascii="Times New Roman" w:cs="Times New Roman" w:eastAsia="Times New Roman" w:hAnsi="Times New Roman"/>
                <w:sz w:val="14"/>
                <w:szCs w:val="14"/>
                <w:color w:val="auto"/>
              </w:rPr>
              <w:t>14,000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39,000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Payments on revolver and swingline loan</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4"/>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(27,000)</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(21,000)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Minimum tax withholdings related to net share settlements</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(737)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(440)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upon exercise of stock options, net of expenses</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5"/>
              <w:spacing w:after="0" w:line="149" w:lineRule="exact"/>
              <w:rPr>
                <w:sz w:val="20"/>
                <w:szCs w:val="20"/>
                <w:color w:val="auto"/>
              </w:rPr>
            </w:pPr>
            <w:r>
              <w:rPr>
                <w:rFonts w:ascii="Times New Roman" w:cs="Times New Roman" w:eastAsia="Times New Roman" w:hAnsi="Times New Roman"/>
                <w:sz w:val="14"/>
                <w:szCs w:val="14"/>
                <w:color w:val="auto"/>
              </w:rPr>
              <w:t>1,556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Payment of obligations under finance leases</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4"/>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(20,554)</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(59,216)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2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cash flows used in financing activities</w:t>
            </w:r>
          </w:p>
        </w:tc>
        <w:tc>
          <w:tcPr>
            <w:tcW w:w="3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(21,697)</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(32,645)</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(40,446)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Increase/(Decrease) in cash and cash equivalents</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3,744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(4,804)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(13,205)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Cash and cash equivalents, </w:t>
            </w:r>
            <w:r>
              <w:rPr>
                <w:rFonts w:ascii="Times New Roman" w:cs="Times New Roman" w:eastAsia="Times New Roman" w:hAnsi="Times New Roman"/>
                <w:sz w:val="14"/>
                <w:szCs w:val="14"/>
                <w:color w:val="auto"/>
              </w:rPr>
              <w:t>beginning of period</w:t>
            </w:r>
          </w:p>
        </w:tc>
        <w:tc>
          <w:tcPr>
            <w:tcW w:w="3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2,484</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7,288</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20,493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2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Cash and cash equivalents, </w:t>
            </w:r>
            <w:r>
              <w:rPr>
                <w:rFonts w:ascii="Times New Roman" w:cs="Times New Roman" w:eastAsia="Times New Roman" w:hAnsi="Times New Roman"/>
                <w:sz w:val="14"/>
                <w:szCs w:val="14"/>
                <w:color w:val="auto"/>
              </w:rPr>
              <w:t>end of period</w:t>
            </w:r>
          </w:p>
        </w:tc>
        <w:tc>
          <w:tcPr>
            <w:tcW w:w="3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6,228</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gridSpan w:val="2"/>
            <w:shd w:val="clear" w:color="auto" w:fill="CCEEFF"/>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2,484</w:t>
            </w:r>
          </w:p>
        </w:tc>
        <w:tc>
          <w:tcPr>
            <w:tcW w:w="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7,288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Fiscal Years Ended</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88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1160" w:type="dxa"/>
            <w:vAlign w:val="bottom"/>
            <w:gridSpan w:val="6"/>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December 25,</w:t>
            </w:r>
          </w:p>
        </w:tc>
        <w:tc>
          <w:tcPr>
            <w:tcW w:w="1060" w:type="dxa"/>
            <w:vAlign w:val="bottom"/>
            <w:gridSpan w:val="6"/>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 December 27,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26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380" w:type="dxa"/>
            <w:vAlign w:val="bottom"/>
            <w:gridSpan w:val="4"/>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3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jc w:val="right"/>
              <w:ind w:right="89"/>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during the period for interest</w:t>
            </w:r>
          </w:p>
        </w:tc>
        <w:tc>
          <w:tcPr>
            <w:tcW w:w="620" w:type="dxa"/>
            <w:vAlign w:val="bottom"/>
            <w:gridSpan w:val="2"/>
          </w:tcPr>
          <w:p>
            <w:pPr>
              <w:jc w:val="right"/>
              <w:ind w:right="117"/>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4,381</w:t>
            </w:r>
          </w:p>
        </w:tc>
        <w:tc>
          <w:tcPr>
            <w:tcW w:w="2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5,890</w:t>
            </w:r>
          </w:p>
        </w:tc>
        <w:tc>
          <w:tcPr>
            <w:tcW w:w="60" w:type="dxa"/>
            <w:vAlign w:val="bottom"/>
          </w:tcPr>
          <w:p>
            <w:pPr>
              <w:spacing w:after="0"/>
              <w:rPr>
                <w:sz w:val="16"/>
                <w:szCs w:val="16"/>
                <w:color w:val="auto"/>
              </w:rPr>
            </w:pPr>
          </w:p>
        </w:tc>
        <w:tc>
          <w:tcPr>
            <w:tcW w:w="380" w:type="dxa"/>
            <w:vAlign w:val="bottom"/>
            <w:gridSpan w:val="4"/>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4,819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Cash paid during the period for income taxes, net</w:t>
            </w:r>
          </w:p>
        </w:tc>
        <w:tc>
          <w:tcPr>
            <w:tcW w:w="38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9,730</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10,351</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6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7,721</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Unpaid purchases of property and equipment</w:t>
            </w:r>
          </w:p>
        </w:tc>
        <w:tc>
          <w:tcPr>
            <w:tcW w:w="3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2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2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8,384</w:t>
            </w:r>
          </w:p>
        </w:tc>
        <w:tc>
          <w:tcPr>
            <w:tcW w:w="20" w:type="dxa"/>
            <w:vAlign w:val="bottom"/>
            <w:tcBorders>
              <w:bottom w:val="single" w:sz="8" w:color="auto"/>
            </w:tcBorders>
          </w:tcPr>
          <w:p>
            <w:pPr>
              <w:spacing w:after="0"/>
              <w:rPr>
                <w:sz w:val="14"/>
                <w:szCs w:val="14"/>
                <w:color w:val="auto"/>
              </w:rPr>
            </w:pPr>
          </w:p>
        </w:tc>
        <w:tc>
          <w:tcPr>
            <w:tcW w:w="200" w:type="dxa"/>
            <w:vAlign w:val="bottom"/>
            <w:vMerge w:val="continue"/>
          </w:tcPr>
          <w:p>
            <w:pPr>
              <w:spacing w:after="0"/>
              <w:rPr>
                <w:sz w:val="14"/>
                <w:szCs w:val="14"/>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3,969</w:t>
            </w:r>
          </w:p>
        </w:tc>
        <w:tc>
          <w:tcPr>
            <w:tcW w:w="6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260" w:type="dxa"/>
            <w:vAlign w:val="bottom"/>
            <w:tcBorders>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5,098</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Unpaid repurchases of common stock and excise tax</w:t>
            </w:r>
          </w:p>
        </w:tc>
        <w:tc>
          <w:tcPr>
            <w:tcW w:w="38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204</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6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El Pollo Loco Holdings, Inc. (“Holdings”) is a Delaware corporation headquartered in Costa Mesa, California. Holdings and its direct and indirect subsidiaries are collectively referred to herein as the “Company.” The Company’s activities are conducted principally through its indirect wholly-owned subsidiary, El Pollo Loco, Inc. (“EPL”), which develops, franchises, licenses and operates quick-service restaurants under the name El Pollo Loco ®. The restaurants, which are located principally in California but also in Arizona, Nevada, Texas, Colorado, Utah Louisiana, New Mexico and Washington, specialize in fire-grilling citrus-marinated chicken in a wide variety of contemporary Mexican and LA-inspired entrees, including specialty chicken burritos, chicken quesadillas, chicken tostada salads, chicken tortilla soup, variations on the Company’s Pollo Bowl®, Pollo Salads and Pollo Fit entrees. At December 31, 2025, the Company-operated 175 (132 in the greater Los Angeles area) and franchised 328 (148 in the greater Los Angeles area) El Pollo Loco restaurants. In addition, as of December 31, 2025, the Company licensed 8 restaurants in the Philippines.</w:t>
      </w:r>
    </w:p>
    <w:p>
      <w:pPr>
        <w:spacing w:after="0" w:line="194" w:lineRule="exact"/>
        <w:rPr>
          <w:sz w:val="20"/>
          <w:szCs w:val="20"/>
          <w:color w:val="auto"/>
        </w:rPr>
      </w:pPr>
    </w:p>
    <w:p>
      <w:pPr>
        <w:ind w:left="60" w:right="219"/>
        <w:spacing w:after="0" w:line="281" w:lineRule="auto"/>
        <w:rPr>
          <w:sz w:val="20"/>
          <w:szCs w:val="20"/>
          <w:color w:val="auto"/>
        </w:rPr>
      </w:pPr>
      <w:r>
        <w:rPr>
          <w:rFonts w:ascii="Times New Roman" w:cs="Times New Roman" w:eastAsia="Times New Roman" w:hAnsi="Times New Roman"/>
          <w:sz w:val="17"/>
          <w:szCs w:val="17"/>
          <w:color w:val="auto"/>
        </w:rPr>
        <w:t>Holdings has no material assets or operations. Holdings and Holdings’ direct subsidiary, EPL Intermediate, Inc. (“Intermediate”), guarantee EPL’s 2022 Revolver (see Note 7 “Long-Term Debt”) on a full and unconditional basis and Intermediate has no subsidiaries other than EPL. EPL is a separate and distinct legal entity, and has no obligation to make funds available to Intermediate. EPL and Intermediate may pay dividends to Intermediate and to Holdings, respectively.</w:t>
      </w:r>
    </w:p>
    <w:p>
      <w:pPr>
        <w:spacing w:after="0" w:line="164"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The Company operates in one operating segment. All significant revenues relate to retail sales of food and beverages through either company-operated or franchised-operated restaurants.</w:t>
      </w:r>
    </w:p>
    <w:p>
      <w:pPr>
        <w:spacing w:after="0" w:line="158" w:lineRule="exact"/>
        <w:rPr>
          <w:sz w:val="20"/>
          <w:szCs w:val="20"/>
          <w:color w:val="auto"/>
        </w:rPr>
      </w:pPr>
    </w:p>
    <w:p>
      <w:pPr>
        <w:ind w:left="60" w:right="4099" w:hanging="10"/>
        <w:spacing w:after="0" w:line="503" w:lineRule="auto"/>
        <w:tabs>
          <w:tab w:leader="none" w:pos="2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Liquidity</w:t>
      </w: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principal liquidity and capital requirements are new restaurants, existing restaurant capital investments (remodels and maintenance), interest payments on its debt, lease obligations and working capital and general corporate needs. At December 31, 2025, the Company’s total debt was $51.0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available cash of $6.2 million at December 31, 2025, and the outstanding borrowing availability under the 2022 Revolver (as defined in Note 7 “Long-Term Debt”) will be adequate to meet the Company’s liquidity needs for the next twelve months from the issuance of the consolidated financial statements.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uses a 52- or 53-week fiscal year ending on the last Wednesday of each calendar year. Fiscal 2025, 2024, and 2023 ended on December 31, 2025, December 25, 2024 and December 27, 2023, respectively. In a 52-week fiscal year, each quarter includes 13 weeks of operations. In a 53-week fiscal year, the first, second and third quarters each include 13 weeks of operations and the fourth quarter includes 14 weeks of operations. Approximately every five or six years a 53-week fiscal year occurs. Fiscal 2025 was a 53-week year. 53-week years may cause revenues, expenses, and other results of operations to be higher due to the additional week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Holdings and its wholly owned subsidiaries.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of America (“GAAP”) requires management to make estimates and assumptions that affect the reported amounts of assets and liabilities and disclosures of contingent assets and liabilities at the date of the consolidated financial statements and revenue and expenses during the periods reported. Actual results could materially differ from those estimates. The Company’s significant estimates include estimates for impairment of goodwill, intangible assets and property and equipment, insurance reserves, lease accounting matters, contingent liabilities and income tax valuation allowances.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Company considers all liquid instruments with an original maturity of three months or less at the date of purchase to be cash equivalents.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9"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Cash and cash equivalents are maintained at financial institutions and, at times, these balances may exceed federally-insured limits. The Company has never experienced any losses related to these balances.</w:t>
      </w:r>
    </w:p>
    <w:p>
      <w:pPr>
        <w:spacing w:after="0" w:line="162"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The Company had one supplier for which amounts due at December 31, 2025 totaled 10.9% of the Company’s accounts payable. As of December 25, 2024, the Company had one supplier for which the amount due totaled 19.7% of the Company’s accounts payable. Purchases from the Company’s largest supplier totaled 21.1% of the Company’s purchases for fiscal 2025, 24.1% for fiscal 2024 and 26.6% for fiscal 2023 with no amounts payable at December 31, 2025 or December 25, 2024.</w:t>
      </w:r>
    </w:p>
    <w:p>
      <w:pPr>
        <w:spacing w:after="0" w:line="183"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In fiscal 2025, 2024 and 2023, Company-operated and franchised restaurants in the greater Los Angeles area generated, in the aggregate, approximately 71.9%, 72.0%, and 71.3%, respectively, of total revenue. One franchisee accounted for 28.1% of total accounts receivable as of December 31, 2025, and one franchisee accounted for 28.4% of total accounts receivable as of December 25, 2024.</w:t>
      </w:r>
    </w:p>
    <w:p>
      <w:pPr>
        <w:spacing w:after="0" w:line="180" w:lineRule="exact"/>
        <w:rPr>
          <w:sz w:val="20"/>
          <w:szCs w:val="20"/>
          <w:color w:val="auto"/>
        </w:rPr>
      </w:pPr>
    </w:p>
    <w:p>
      <w:pPr>
        <w:ind w:left="60" w:right="819"/>
        <w:spacing w:after="0" w:line="282" w:lineRule="auto"/>
        <w:rPr>
          <w:sz w:val="20"/>
          <w:szCs w:val="20"/>
          <w:color w:val="auto"/>
        </w:rPr>
      </w:pPr>
      <w:r>
        <w:rPr>
          <w:rFonts w:ascii="Times New Roman" w:cs="Times New Roman" w:eastAsia="Times New Roman" w:hAnsi="Times New Roman"/>
          <w:sz w:val="18"/>
          <w:szCs w:val="18"/>
          <w:color w:val="auto"/>
        </w:rPr>
        <w:t>Management believes the loss of the significant supplier or franchisee could have a material adverse effect on the Company’s consolidated results of operations and financial condition.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Accounts and Other Receivables, Net</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Accounts and other receivables consist primarily of royalties, advertising and sublease rent and related amounts receivable from franchisees. Such receivables are due on a monthly basis, which may differ from the Company’s fiscal month-end dates. Accounts and other receivables also include credit/debit card receivables. The need for an allowance for credit losses is reviewed on a specific identification basis and takes into consideration past due balances and the financial strength of the obligor.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Inventories consist principally of food, beverages, packaging and supplies and are valued at the lower of average cost or net realizable value.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jc w:val="both"/>
        <w:ind w:left="60" w:right="259"/>
        <w:spacing w:after="0" w:line="272" w:lineRule="auto"/>
        <w:rPr>
          <w:sz w:val="20"/>
          <w:szCs w:val="20"/>
          <w:color w:val="auto"/>
        </w:rPr>
      </w:pPr>
      <w:r>
        <w:rPr>
          <w:rFonts w:ascii="Times New Roman" w:cs="Times New Roman" w:eastAsia="Times New Roman" w:hAnsi="Times New Roman"/>
          <w:sz w:val="17"/>
          <w:szCs w:val="17"/>
          <w:color w:val="auto"/>
        </w:rPr>
        <w:t>Property and equipment are recorded at cost and are depreciated using the straight-line method over the estimated useful lives of the assets. Expenditures for reimbursements and improvements that significantly add to the productivity capacity or extend the useful life are capitalized, while expenditures for maintenance and repairs are expensed as incurred.</w:t>
      </w:r>
    </w:p>
    <w:p>
      <w:pPr>
        <w:spacing w:after="0" w:line="2" w:lineRule="exact"/>
        <w:rPr>
          <w:sz w:val="20"/>
          <w:szCs w:val="20"/>
          <w:color w:val="auto"/>
        </w:rPr>
      </w:pPr>
    </w:p>
    <w:p>
      <w:pPr>
        <w:ind w:left="60" w:right="339"/>
        <w:spacing w:after="0" w:line="290" w:lineRule="auto"/>
        <w:rPr>
          <w:sz w:val="20"/>
          <w:szCs w:val="20"/>
          <w:color w:val="auto"/>
        </w:rPr>
      </w:pPr>
      <w:r>
        <w:rPr>
          <w:rFonts w:ascii="Times New Roman" w:cs="Times New Roman" w:eastAsia="Times New Roman" w:hAnsi="Times New Roman"/>
          <w:sz w:val="17"/>
          <w:szCs w:val="17"/>
          <w:color w:val="auto"/>
        </w:rPr>
        <w:t>Leasehold improvements and property held under finance leases are amortized over the shorter of their estimated useful lives or the remaining lease terms. For leases with renewal periods at the Company’s option, the Company generally</w:t>
      </w:r>
    </w:p>
    <w:p>
      <w:pPr>
        <w:sectPr>
          <w:pgSz w:w="11900" w:h="16838" w:orient="portrait"/>
          <w:cols w:equalWidth="0" w:num="1">
            <w:col w:w="9019"/>
          </w:cols>
          <w:pgMar w:left="1440" w:top="513"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uses the original lease term, excluding the option periods, to determine estimated useful lives; if failure to exercise a renewal option imposes an economic penalty on the Company, such that management determines at the inception of the lease that renewal is reasonably assured, the Company may include the renewal option period in the determination of appropriate estimated useful lives.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estimated useful service lives are as follows:</w:t>
            </w:r>
          </w:p>
        </w:tc>
        <w:tc>
          <w:tcPr>
            <w:tcW w:w="150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229"/>
        </w:trPr>
        <w:tc>
          <w:tcPr>
            <w:tcW w:w="48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5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years</w:t>
            </w: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150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 years</w:t>
            </w: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improvements</w:t>
            </w:r>
          </w:p>
        </w:tc>
        <w:tc>
          <w:tcPr>
            <w:tcW w:w="1500" w:type="dxa"/>
            <w:vAlign w:val="bottom"/>
            <w:shd w:val="clear" w:color="auto" w:fill="CCEEFF"/>
          </w:tcPr>
          <w:p>
            <w:pPr>
              <w:spacing w:after="0"/>
              <w:rPr>
                <w:sz w:val="18"/>
                <w:szCs w:val="18"/>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years</w:t>
            </w: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Restaurant equipment</w:t>
            </w:r>
          </w:p>
        </w:tc>
        <w:tc>
          <w:tcPr>
            <w:tcW w:w="150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years</w:t>
            </w: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equipment</w:t>
            </w:r>
          </w:p>
        </w:tc>
        <w:tc>
          <w:tcPr>
            <w:tcW w:w="1500" w:type="dxa"/>
            <w:vAlign w:val="bottom"/>
            <w:shd w:val="clear" w:color="auto" w:fill="CCEEFF"/>
          </w:tcPr>
          <w:p>
            <w:pPr>
              <w:spacing w:after="0"/>
              <w:rPr>
                <w:sz w:val="18"/>
                <w:szCs w:val="18"/>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years</w:t>
            </w: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Property/equipment held under finance leases</w:t>
            </w:r>
          </w:p>
        </w:tc>
        <w:tc>
          <w:tcPr>
            <w:tcW w:w="150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Shorter of useful life or lease term</w:t>
            </w: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500" w:type="dxa"/>
            <w:vAlign w:val="bottom"/>
            <w:shd w:val="clear" w:color="auto" w:fill="CCEEFF"/>
          </w:tcPr>
          <w:p>
            <w:pPr>
              <w:spacing w:after="0"/>
              <w:rPr>
                <w:sz w:val="18"/>
                <w:szCs w:val="18"/>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Shorter of useful life or lease term</w:t>
            </w:r>
          </w:p>
        </w:tc>
      </w:tr>
    </w:tbl>
    <w:p>
      <w:pPr>
        <w:spacing w:after="0" w:line="198"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Company capitalizes certain directly attributable internal costs in conjunction with the acquisition, development and construction of future restaurants. The Company also capitalizes certain directly attributable costs, including interest, in conjunction with constructing new restaurants. These costs are included in property and amortized over the shorter of the life of the related buildings and leasehold improvements or the lease term. Costs related to abandoned sites and other site selection costs that cannot be identified with specific restaurants are charged to general and administrative expenses in the accompanying consolidated statements of income, and there was $0.1 million for the year ended December 31, 2025, none for the year ended December 25, 2024, and $0.2 million for the year ended December 27, 2023. The Company capitalized internal costs related to site selection and construction activities of $0.6 million, $0.6 million and $1.8 million for the years ended December 31, 2025, December 25, 2024 and December 27, 2023, respectively.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Impairment of Property and Equipment and ROU Assets</w:t>
      </w:r>
    </w:p>
    <w:p>
      <w:pPr>
        <w:spacing w:after="0" w:line="229"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The Company reviews its property and equipment and right-of-use assets (“ROU assets”) for impairment on a restaurant-by-restaurant basis whenever events or changes in circumstances indicate that the carrying value of certain property and equipment and ROU assets may not be recoverable. The Company considers a triggering event, related to property and equipment assets or ROU assets in a net asset position, to have occurred related to a specific restaurant if the restaurant’s Average Unit Volume (“AUV”) for the last twelve months are less than a minimum threshold or if consistent levels of undiscounted cash flows for the remaining lease period are less than the carrying value of the restaurant’s assets. Additionally, the Company considers a triggering event, related to ROU assets, to have occurred related to a specific lease if the location has been closed or subleased and future estimated sublease income is less than current lease payments. As of December 31, 2025 and December 25, 2024, ROU assets related to closed or subleased restaurant locations totaled $28.9 million and $39.1 million, respectively. If the Company concludes that the carrying value of certain property and equipment and ROU assets will not be recovered based on expected undiscounted future cash flows, an impairment loss is recorded to reduce the property and equipment or ROU assets to their estimated fair value. The fair value is measured on a nonrecurring basis using unobservable (Level 3) inputs.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impairment charges in future periods, and such charges could be material. The Company determined that triggering events occurred for certain stores during the year ended December 31, 2025 that required an impairment review of the Company’s property and equipment and ROU assets. Based on the results of this analysis, the Company did not record impairment charges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fiscal 2024, the Company recorded non-cash impairment charges of $0.1 million primarily related to the property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equipment assets of two restaurants in Nevada. In fiscal 2023, the Company recorded a non-cash impairment charge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$1.5 million primarily related to the carrying value of the ROU assets of one restaurant in California and the property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equipment assets of one restaurant in Nevada. Given the inherent uncertainty in projecting results for newer restaurants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newer markets, the Company is monitoring the recoverability of the carrying value of the assets of several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restaurants on an ongoing basis. For these restaurants, if expected performance is not realized, an impairment charge may be recognized in future periods, and such charge could be material.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Closed-Store Reserves</w:t>
      </w:r>
    </w:p>
    <w:p>
      <w:pPr>
        <w:spacing w:after="0" w:line="229"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When a restaurant is closed, the Company will evaluate the ROU asset for impairment, based on anticipated sublease recoveries. The remaining value of the ROU asset is amortized on a straight-line basis, with the expense recognized in closed-store reserves expense. Additionally, any property tax and common area maintenance (“CAM”) payments relating to closed restaurants are also included within closed-store reserves expense.</w:t>
      </w:r>
    </w:p>
    <w:p>
      <w:pPr>
        <w:spacing w:after="0" w:line="180"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During fiscal 2025, 2024 and 2023, the Company recognized less than $0.1 million, $0.1 million and $0.2 million, respectively, of closed-store reserves expense related to the amortization of ROU assets, property taxes and CAM payments for its closed locations.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229"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The Company’s indefinite-lived intangible assets consist of trademarks. Goodwill represents the excess of cost over fair value of net identified assets acquired in business combinations accounted for under the purchase method. The Company does not amortize its goodwill and indefinite-lived intangible assets. Goodwill resulted from the acquisition of certain franchise locations.</w:t>
      </w:r>
    </w:p>
    <w:p>
      <w:pPr>
        <w:spacing w:after="0" w:line="180"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Upon the sale or refranchising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 The Company reports as one reporting unit. The fair value of the portion of the reporting unit disposed of in a refranchising is determined by reference to the discounted value of the future cash flows expected to be generated by the restaurant and retained by the franchisee, which includes a deduction for the anticipated, future royalties the franchisee will pay the Company associated with the franchise agreement entered into simultaneously with the refranchising transition. The fair value of the reporting unit retained is based on the price a willing buyer would pay for the reporting unit and includes the value of franchise agreements. As such, the fair value of the reporting unit retained can include expected cash flows from future royalties from those restaurants currently being refranchised, future royalties from existing franchise businesses and company restaurant operations. The Company did not record any decrement to goodwill related to the disposition of restaurants in fiscal 2025, 2024 or 2023.</w:t>
      </w:r>
    </w:p>
    <w:p>
      <w:pPr>
        <w:spacing w:after="0" w:line="190"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The Company performs an annual impairment test for goodwill during the fourth fiscal quarter of each year, or more frequently if impairment indicators arise.</w:t>
      </w:r>
    </w:p>
    <w:p>
      <w:pPr>
        <w:spacing w:after="0" w:line="16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Company reviews goodwill for impairment utilizing either a qualitative assessment or a fair value test by comparing the fair value of a reporting unit with its carrying amount. If the Company decides that it is appropriate to perform a qualitative assessment and concludes that the fair value of a reporting unit more likely than not exceeds its carrying value, no further evaluation is necessary. If the Company performs the fair value test, the Company will compare the fair value of a reporting unit with its carrying amount, including goodwill. If the fair value of a reporting unit exceeds its carrying amount, goodwill of the reporting unit is considered not impaired. If the carrying amount of a reporting unit exceeds its fair value, the Company will recognize an impairment charge for the amount by which the carrying amount exceeds the reporting unit’s fair value; however, the loss recognized cannot exceed the total amount of goodwill allocated to that reporting unit.</w:t>
      </w:r>
    </w:p>
    <w:p>
      <w:pPr>
        <w:spacing w:after="0" w:line="188"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Company performs an annual impairment test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recognized as an impairment loss.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left="60" w:right="379"/>
        <w:spacing w:after="0" w:line="266" w:lineRule="auto"/>
        <w:rPr>
          <w:sz w:val="20"/>
          <w:szCs w:val="20"/>
          <w:color w:val="auto"/>
        </w:rPr>
      </w:pPr>
      <w:r>
        <w:rPr>
          <w:rFonts w:ascii="Times New Roman" w:cs="Times New Roman" w:eastAsia="Times New Roman" w:hAnsi="Times New Roman"/>
          <w:sz w:val="18"/>
          <w:szCs w:val="18"/>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Company determined that there were no indicators of potential impairment of its goodwill and indefinite-lived intangible assets during fiscal 2025. Accordingly, the Company did not record any impairment to its goodwill or indefinite-lived intangible assets during the year ended December 31, 2025, December 25, 2024 and December 27,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Financing Costs</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Deferred financing costs are capitalized and amortized over the period of the loan on a straight-line basis. Included in other assets are deferred financing costs (net of accumulated amortization), related to the Company’s revolving credit facility, of $0.3 million and $0.5 million as of December 31, 2025 and December 25, 2024, respectively. Amortization expense for deferred financing costs was approximately $0.2 million for all of the years ended December 31, 2025, December 25, 2024, and December 27, 2023, and is reflected as a component of interest expense in the accompanying consolidated statements of income.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Insurance Reserves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Company is responsible for workers’ compensation, general and health insurance claims up to a specified aggregate stop loss amount. The Company maintains a reserve for estimated claims both reported and incurred but not reported, based on historical claims experience and other assumptions. At December 31, 2025 and December 25, 2024, the Company had accrued $12.0 million and $11.4 million, respectively, and such amounts are reflected as accrued insurance in the accompanying consolidated balance sheets. The expense for such reserves for the years ended December 31, 2025, December 25, 2024 and December 27, 2023, totaled $11.1 million, $9.9 million, and $9.2 million, respectively. These amounts are included in labor and related expenses and general and administrative expenses on the accompanying consolidated statements of income.</w:t>
      </w:r>
    </w:p>
    <w:p>
      <w:pPr>
        <w:spacing w:after="0" w:line="192" w:lineRule="exact"/>
        <w:rPr>
          <w:sz w:val="20"/>
          <w:szCs w:val="20"/>
          <w:color w:val="auto"/>
        </w:rPr>
      </w:pPr>
    </w:p>
    <w:p>
      <w:pPr>
        <w:jc w:val="both"/>
        <w:ind w:left="60" w:right="119"/>
        <w:spacing w:after="0" w:line="289" w:lineRule="auto"/>
        <w:rPr>
          <w:sz w:val="20"/>
          <w:szCs w:val="20"/>
          <w:color w:val="auto"/>
        </w:rPr>
      </w:pPr>
      <w:r>
        <w:rPr>
          <w:rFonts w:ascii="Times New Roman" w:cs="Times New Roman" w:eastAsia="Times New Roman" w:hAnsi="Times New Roman"/>
          <w:sz w:val="17"/>
          <w:szCs w:val="17"/>
          <w:color w:val="auto"/>
        </w:rPr>
        <w:t>Included in accrued insurance is $10.3 million and $10.1 million of workers’ compensation reserves at December 31, 2025 and December 25, 2024, respectively. The Company utilizes an actuary to estimate its workers’ compensation reserves and significant assumptions in the estimate included loss development factors, expected loss rates, and weighting of methods.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Restaurant Revenue</w:t>
      </w:r>
    </w:p>
    <w:p>
      <w:pPr>
        <w:spacing w:after="0" w:line="229"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Revenues from the operation of company-operated restaurants are recognized as food and beverage products are delivered to customers and payment is tendered at the time of sale. The Company presents revenue net of sales-related taxes and promotional allowances. Promotional allowances amounted to approximately $9.8 million, $6.3 million and $8.7 million during the years ended December 31, 2025, December 25, 2024 and December 27, 2023, respectively.</w:t>
      </w:r>
    </w:p>
    <w:p>
      <w:pPr>
        <w:spacing w:after="0" w:line="180"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Company offers a loyalty rewards program, which awards a customer points for dollars spent. Customers earn points for each dollar spent and points can be redeemed for multiple redemption options. If a customer does not earn or use points within a one-year period, their account is deactivated and all points expire.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if necessary, on a pro-rata basis, based on stand-alone selling price, as determined by menu pricing and loyalty points terms. As of December 31, 2025 and December 25, 2024, the revenue allocated to loyalty points that have not been redeemed was $1.1 million and $0.8 million, respectively, which is reflected in the Company’s accompanying consolidated balance sheets within other accrued expenses and current liabilities. The Company expects the loyalty points to be redeemed and recognized over a one-year period.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 Unredeemed gift card balances are deferred and recorded as other accrued expenses and current liabilities on the accompanying consolidated balance sheets.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Franchise Revenue</w:t>
      </w:r>
    </w:p>
    <w:p>
      <w:pPr>
        <w:spacing w:after="0" w:line="229"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Franchise revenue consists of franchise royalties, initial and renewal franchise fees, license fees due from franchisees, sublease income, IT support services and IT pass through fees related to IT hardware or software. Rental income for subleases to franchisees are outside of the scope of the revenue standard and are within the scope of lease guidance. Franchise royalties are based upon a percentage of net sales of the franchisee and are recorded as income as such sales are earned by the franchisees.</w:t>
      </w:r>
    </w:p>
    <w:p>
      <w:pPr>
        <w:spacing w:after="0" w:line="183"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For franchise and development agreement fees, the initial franchise services, or exclusivity of the development agreements, are not distinct from the continuing rights or services offered during the term of the franchise agreement and are, therefore, treated as a single performance obligation. As such, initial franchise and development fees received, and subsequent renewal fees, are recognized over the franchise or renewal term, which is typically 20 years. As of December 31, 2025, the Company had executed development agreements that represent commitments to open 88 franchised restaurants at various dates through 2035.</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This revenue stream is made up of the following performance obligations:</w:t>
      </w:r>
    </w:p>
    <w:p>
      <w:pPr>
        <w:spacing w:after="0" w:line="225" w:lineRule="exact"/>
        <w:rPr>
          <w:sz w:val="20"/>
          <w:szCs w:val="20"/>
          <w:color w:val="auto"/>
        </w:rPr>
      </w:pPr>
    </w:p>
    <w:p>
      <w:pPr>
        <w:ind w:left="720" w:right="4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License – inclusive of advertising services, development agreements, training, access to restaurant development plans and help desk services;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Discounted renewal option;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services.</w:t>
      </w:r>
    </w:p>
    <w:p>
      <w:pPr>
        <w:spacing w:after="0" w:line="225"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sales-based royalty fee and a sales-based advertising fee. The fixed fee, as determined by the signed development and/or franchise agreement, is due at the time the development agreement is entered into, and/or when the franchise agreement is signed, and does not include a finance component.</w:t>
      </w:r>
    </w:p>
    <w:p>
      <w:pPr>
        <w:spacing w:after="0" w:line="183" w:lineRule="exact"/>
        <w:rPr>
          <w:sz w:val="20"/>
          <w:szCs w:val="20"/>
          <w:color w:val="auto"/>
        </w:rPr>
      </w:pPr>
    </w:p>
    <w:p>
      <w:pPr>
        <w:ind w:left="60" w:right="299"/>
        <w:spacing w:after="0" w:line="256" w:lineRule="auto"/>
        <w:rPr>
          <w:sz w:val="20"/>
          <w:szCs w:val="20"/>
          <w:color w:val="auto"/>
        </w:rPr>
      </w:pPr>
      <w:r>
        <w:rPr>
          <w:rFonts w:ascii="Times New Roman" w:cs="Times New Roman" w:eastAsia="Times New Roman" w:hAnsi="Times New Roman"/>
          <w:sz w:val="18"/>
          <w:szCs w:val="18"/>
          <w:color w:val="auto"/>
        </w:rPr>
        <w:t>The sales-based royalty fee and sales-based advertising fee are considered variable consideration and are recognized as revenue as such sales are earned by the franchisees. Both sales-based fees qualify under the royalty constraint exception, and do not require an estimate of future transaction price. Additionally, the Company is utilizing the practical expedient available under ASC Topic 606, “Revenue from Contracts with Customers” (“Topic 606”) regarding disclosure of the aggregate amount of the transaction price allocated to the performance obligations that are unsatisfied for sales-based royalties.</w:t>
      </w:r>
    </w:p>
    <w:p>
      <w:pPr>
        <w:spacing w:after="0" w:line="187"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In certain franchise agreements, the Company offers a discounted renewal to incentivize future renewals after the end of the initial franchise term. As this is considered a separate performance obligation, the Company allocated a portion of the initial franchise fee to this discounted renewal, on a pro-rata basis, assuming a 20 year renewal. This performance obligation is satisfied over the renewal term, which is typically 10 or 20 years, while payment is fixed and due at the time the renewal is signed.</w:t>
      </w:r>
    </w:p>
    <w:p>
      <w:pPr>
        <w:spacing w:after="0" w:line="183"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The Company purchases hardware, such as scanners, printers, cash registers, kiosks and tablets, from third-party vendors, which it then sells to franchisees. As the Company is considered the principal in this relationship, payment received for the hardware is considered revenue, and is received upon transfer of the goods from the Company to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franchisee. As of December 31, 2025, there were no performance obligations, related to hardware services that were unsatisfied or partially satisfied.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Franchise Advertising Fee Revenue</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presents advertising contributions received from franchisees as franchise advertising fee revenue and records all expenses of the advertising fund within franchise expenses.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ind w:left="60" w:right="119"/>
        <w:spacing w:after="0" w:line="277" w:lineRule="auto"/>
        <w:rPr>
          <w:sz w:val="20"/>
          <w:szCs w:val="20"/>
          <w:color w:val="auto"/>
        </w:rPr>
      </w:pPr>
      <w:r>
        <w:rPr>
          <w:rFonts w:ascii="Times New Roman" w:cs="Times New Roman" w:eastAsia="Times New Roman" w:hAnsi="Times New Roman"/>
          <w:sz w:val="17"/>
          <w:szCs w:val="17"/>
          <w:color w:val="auto"/>
        </w:rPr>
        <w:t>Advertising expense is recorded as the obligation to contribute to the advertising fund and is accrued, generally when the associated revenue is recognized. Advertising expense, which is a component of occupancy and other operating expenses, was $16.9 million, $16.1 million and $16.2 million for the years ended December 31, 2025, December 25, 2024 and December 27, 2023, respectively. In addition, there was $31.8 million, $31.2 million and $29.2 million for the years ended December 31, 2025, December 25, 2024 and December 27, 2023, respectively, funded by the franchisees’ advertising fees.</w:t>
      </w:r>
    </w:p>
    <w:p>
      <w:pPr>
        <w:spacing w:after="0" w:line="168" w:lineRule="exact"/>
        <w:rPr>
          <w:sz w:val="20"/>
          <w:szCs w:val="20"/>
          <w:color w:val="auto"/>
        </w:rPr>
      </w:pPr>
    </w:p>
    <w:p>
      <w:pPr>
        <w:ind w:left="60" w:right="179"/>
        <w:spacing w:after="0" w:line="274" w:lineRule="auto"/>
        <w:rPr>
          <w:sz w:val="20"/>
          <w:szCs w:val="20"/>
          <w:color w:val="auto"/>
        </w:rPr>
      </w:pPr>
      <w:r>
        <w:rPr>
          <w:rFonts w:ascii="Times New Roman" w:cs="Times New Roman" w:eastAsia="Times New Roman" w:hAnsi="Times New Roman"/>
          <w:sz w:val="17"/>
          <w:szCs w:val="17"/>
          <w:color w:val="auto"/>
        </w:rPr>
        <w:t>Franchisees pay a monthly fee to the Company that ranges from 4% to 5% of their restaurants’ net sales as reimbursement for advertising, public relations and promotional services the Company provides, which is included within franchise advertising fee revenue. Fees received in advance of provided services are included in other accrued expenses and current liabilities and were $2.4 million and $1.2 million at December 31, 2025 and December 25, 2024, respectively. Company-operated restaurants contribute to the advertising fund on the same basis as franchised restaurants. At December 31, 2025, the Company was obligated to spend $2.4 million more in future periods to comply with this requirement.</w:t>
      </w:r>
    </w:p>
    <w:p>
      <w:pPr>
        <w:spacing w:after="0" w:line="173"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Production costs of commercials, programming and other marketing activities are charged to the advertising funds when the advertising is first used for its intended purpose. Total contributions and other marketing expenses are included in general and administrative expenses in the accompanying consolidated statements of income.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Preopening Costs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Preopening costs incurred in connection with the opening of new restaurants are expensed as incurred. For each of</w:t>
      </w:r>
    </w:p>
    <w:p>
      <w:pPr>
        <w:spacing w:after="0" w:line="27"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the years ended December 31, 2025, December 25, 2024, and December 27, 2023, preopening costs, which are included in general and administrative expenses on the accompanying consolidated statements of income were $0.1 million, $0.3 million, and $0.3 million.</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Company’s operations utilize property, facilities, equipment and vehicles. Buildings and facilities leased from others are primarily for restaurants and support facilities. Restaurants are operated under lease arrangements that generally provide for a fixed base rent and, in some instances, contingent rent based on a percentage of gross sales or net revenues more than a defined amount. Initial terms of land and restaurant building leases generally have terms of 20 years, exclusive of options to renew. ROU assets and operating and finance lease liabilities are recognized at the lease commencement date, which is the date the Company takes possession of the property. Operating and finance lease liabilities represent the present value of lease payments not yet paid. ROU assets represent the Company’s right to use an underlying asset and are based upon the operating and finance lease liabilities adjusted for prepayments or accrued lease payments, lease incentives, and impairment of ROU assets. To determine the present value of lease payments not yet paid, the Company estimates incremental borrowing rates corresponding to the lease term including reasonably certain renewal periods.</w:t>
      </w:r>
    </w:p>
    <w:p>
      <w:pPr>
        <w:spacing w:after="0" w:line="194"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The Company’s leases generally have escalating rents over the term of the lease, and are recorded on a straight-line basis over the expected lease term. Additionally, tenant incentives used to fund leasehold improvements are recognized when earned and reduce the right-of-use asset related to the lease. These are amortized through the operating lease asset as reductions of expense over the lease term.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Operating and finance lease liabilities that are based on an index or rate are calculated using the prevailing index or rate at lease commencement. Subsequent escalations in the index or rate and contingent rental payments are recognized as variable lease expenses. The Company’s lease agreements do not contain any material residual value guarantees or material restrictive covenants.</w:t>
      </w:r>
    </w:p>
    <w:p>
      <w:pPr>
        <w:spacing w:after="0" w:line="180"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Leases of equipment primarily consist of restaurant equipment, computer systems and vehicles. The Company subleases facilities to certain franchisees and other non-related parties which are recorded on a straight-line basis.</w:t>
      </w:r>
    </w:p>
    <w:p>
      <w:pPr>
        <w:spacing w:after="0" w:line="158"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color w:val="auto"/>
        </w:rPr>
        <w:t>Gain on Recovery of Insurance Proceeds, Lost Profits, Net and Gain on Recovery of Insurance Proceeds, Property, Equipment and Expenses</w:t>
      </w:r>
    </w:p>
    <w:p>
      <w:pPr>
        <w:spacing w:after="0" w:line="159" w:lineRule="exact"/>
        <w:rPr>
          <w:sz w:val="20"/>
          <w:szCs w:val="20"/>
          <w:color w:val="auto"/>
        </w:rPr>
      </w:pPr>
    </w:p>
    <w:p>
      <w:pPr>
        <w:ind w:left="60" w:right="139" w:firstLine="45"/>
        <w:spacing w:after="0" w:line="255" w:lineRule="auto"/>
        <w:rPr>
          <w:sz w:val="20"/>
          <w:szCs w:val="20"/>
          <w:color w:val="auto"/>
        </w:rPr>
      </w:pPr>
      <w:r>
        <w:rPr>
          <w:rFonts w:ascii="Times New Roman" w:cs="Times New Roman" w:eastAsia="Times New Roman" w:hAnsi="Times New Roman"/>
          <w:sz w:val="18"/>
          <w:szCs w:val="18"/>
          <w:color w:val="auto"/>
        </w:rPr>
        <w:t>In fiscal 2023, the Company incurred costs directly related to a fire of less than $0.1 million. In fiscal 2023, the Company recognized gains of $0.2 million, related to the reimbursement of property and equipment and expenses incurred and $0.3 million related to the reimbursement of lost profits and in fiscal 2024, the Company recognized gains of less than $0.1 million related to the reimbursement of property and equipment and expenses. The gain on recovery of insurance proceeds and reimbursement of lost profits, net of the related costs, is included in the accompanying consolidated statements of income, for the year ended December 27, 2023, as a reduction of Company restaurant expenses. The Company received from the insurance company cash of $0.5 million, net of the insurance deductible, during fiscal 2023.</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Loss (Gain) on Disposition of Restaurants</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Company did not sell any restaurants to its franchisees during fiscal 2025. During fiscal 2024, the Company completed the sale of one company-operated restaurant within California to an existing franchisee due to an expiring lease term on April 30, 2024. During fiscal 2023, the Company completed the sale of 18 company-operated restaurants within California, Utah and Texas to existing franchisees.</w:t>
      </w:r>
    </w:p>
    <w:p>
      <w:pPr>
        <w:spacing w:after="0" w:line="180"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Company determined that these restaurant dispositions represented multiple element arrangements, and as a result, the cash consideration received was allocated to the separate elements based on their relative standalone selling price. Cash proceeds included upfront consideration for the sale of the restaurants and franchise fees, as well as future cash consideration for royalties. The cash consideration per restaurant related to franchise fees is consistent with the amounts stated in the related franchise agreements, which are charged for separate standalone arrangements. The Company initially defers and subsequently recognizes the franchise fees over the term of the franchise agreement. Future royalty income is also recognized in revenue as earned. During 2024, the sale resulted in cash proceeds of $0.1 million and a net loss on sale of restaurant of less than $0.1 million. During 2023, these sales resulted in cash proceeds of $7.7 million and a net gain on sale of restaurant of $5.0 million. Since the date of sale, these restaurants are now included in the total number of franchised El Pollo Loco restaurants.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Company used an interest rate swap, a derivative instrument, to hedge interest rate risk and not for trading purposes. The derivative contract was entered into with a financial institution. In connection with the Company’s entry into the 2022 Credit Agreement (as defined in Note 7 “Long-Term Debt”), it terminated the interest rate swap on July 28, 2022. The Company recorded the derivative instrument on its consolidated balance sheets at fair value. The derivative instrument qualified as a hedging instrument in a qualifying cash flow hedge relationship, and the gain or loss on the derivative instrument was reported as a component of Accumulated Other Comprehensive Income (“AOCI”) and reclassified into earnings in the same period or periods during which the hedged transaction affects earnings. For any derivative instruments not designated as hedging instruments, the gain or loss will be recognized in earnings immediately.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provision for income taxes, accrued income taxes payable and deferred income taxes is determined using the asset and liability method. Deferred tax assets and liabilities are determined based on temporary differences between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a reserve for the portion of deferred tax assets which are not expected to be realized.</w:t>
      </w:r>
    </w:p>
    <w:p>
      <w:pPr>
        <w:spacing w:after="0" w:line="187"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The Company reviews its filing positions for all open tax years in all U.S. federal and state jurisdictions where it is required to file.</w:t>
      </w:r>
    </w:p>
    <w:p>
      <w:pPr>
        <w:spacing w:after="0" w:line="162"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Otherwise, the Company may not recognize any of the potential tax benefit associated with the position. The Company recognizes a benefit for a tax position that meets the “more likely than not” criterion as the largest amount of tax benefit that is greater than 50% likely of being realized upon its effective resolution. Unrecognized tax benefits involve management’s judgment regarding the likelihood of the benefit being sustained. The final resolution of uncertain tax positions could result in adjustments to recorded amounts and may affect the Company’s results of operations, financial position and cash flows.</w:t>
      </w:r>
    </w:p>
    <w:p>
      <w:pPr>
        <w:spacing w:after="0" w:line="18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The Company’s policy is to recognize interest or penalties related to income tax matters in income tax expense. The Company had no accrual for interest or penalties at December 31, 2025 or December 25, 2024. During fiscal 2025, fiscal 2024 and fiscal 2023, there were no material unrecognized tax benefits. Management believes no significant change to the amount of unrecognized tax benefits will occur within the next twelve months.</w:t>
      </w:r>
    </w:p>
    <w:p>
      <w:pPr>
        <w:spacing w:after="0" w:line="18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July 30, 2014, the Company entered into the income tax receivable agreement (the “TRA”), which calls for the Company to pay to its pre-IPO stockholders 85% of the savings in cash that the Company realizes in its income taxes as a result of utilizing its net operating losses (“NOLs”) and other tax attributes attributable to preceding periods. For the years ended December 25, 2024 and December 27, 2023 income tax receivable agreement (income) expense consisted of the amortization of interest expense and changes in estimates for actual tax returns filed, related to the Company total expected TRA payments. On May 29, 2024, the Company terminated most of the obligations under the TRA, with respect to any payments or obligations owed to the FS Equity Partners V, L.P. and FS Affiliates V, L.P. (together, the “Sellers”) thereunder in exchange for a payment to the Sellers of $0.4 million. As of December 31, 2025 and December 25, 2024, there were no remaining obligations owed on the Company’s consolidated balance sheets.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76" w:lineRule="exact"/>
        <w:rPr>
          <w:sz w:val="20"/>
          <w:szCs w:val="20"/>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for identical instruments in active markets.</w:t>
      </w:r>
    </w:p>
    <w:p>
      <w:pPr>
        <w:spacing w:after="0" w:line="184"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prices for similar instruments in active markets; quoted prices for identical or similar instruments in markets that are not active; and model-derived valuations whose inputs or significant value drivers are observable.</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used when little or no market data is available.</w:t>
      </w:r>
    </w:p>
    <w:p>
      <w:pPr>
        <w:spacing w:after="0" w:line="198" w:lineRule="exact"/>
        <w:rPr>
          <w:sz w:val="20"/>
          <w:szCs w:val="20"/>
          <w:color w:val="auto"/>
        </w:rPr>
      </w:pPr>
    </w:p>
    <w:p>
      <w:pPr>
        <w:jc w:val="both"/>
        <w:ind w:left="60" w:right="299"/>
        <w:spacing w:after="0" w:line="266" w:lineRule="auto"/>
        <w:rPr>
          <w:sz w:val="20"/>
          <w:szCs w:val="20"/>
          <w:color w:val="auto"/>
        </w:rPr>
      </w:pPr>
      <w:r>
        <w:rPr>
          <w:rFonts w:ascii="Times New Roman" w:cs="Times New Roman" w:eastAsia="Times New Roman" w:hAnsi="Times New Roman"/>
          <w:sz w:val="18"/>
          <w:szCs w:val="18"/>
          <w:color w:val="auto"/>
        </w:rPr>
        <w:t>Certain assets and liabilities are measured at fair value on a nonrecurring basis. In other words, they are not measured at fair value on an ongoing basis but are subject to fair value adjustments only in certain circumstances (for example, when there is evidence of impairment).</w:t>
      </w:r>
    </w:p>
    <w:p>
      <w:pPr>
        <w:spacing w:after="0" w:line="17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Company did not record any non-cash impairment charges for property and equipment, which were measured at fair value on a nonrecurring basis. For the year ended December 25, 2024,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Company recorded non-cash impairment charges of $0.1 million for certain property and equipment, which were measured at fair value on a nonrecurring basis.</w:t>
      </w:r>
    </w:p>
    <w:p>
      <w:pPr>
        <w:spacing w:after="0" w:line="378"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The following non-financial assets were measured at fair value, on a nonrecurring basis, as of and for the year ended December 27, 2023 for which an impairment loss was recognized during the corresponding periods, as discussed above under "Impairment of Property and Equipment and ROU Assets" (in thousands):</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Level 3  ​​​ Impairment Losses</w:t>
            </w:r>
          </w:p>
        </w:tc>
      </w:tr>
      <w:tr>
        <w:trPr>
          <w:trHeight w:val="209"/>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property and equipment, net</w:t>
            </w: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Certain ROU assets, net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62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certain accrued expenses approximate fair value due to their short-term maturities.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Stock-based compensation expense is recognized using a fair-value based method for costs related to all share-based payments including stock options, restricted stock and performance-based stock units issued under the Company’s employee stock plans. The fair value of stock option awards is estimated on the date of grant using an option pricing model, which requires the input of subjective assumptions. The Company is required to use judgment in estimating the amount of stock-based awards that are expected to be forfeited. If actual forfeitures differ significantly from the original estimate, stock-based compensation expense and the results of operations could be affected. The cost is recognized on a straight-line basis over the period during which an employee is required to provide service, usually the vesting period. For performance-based stock units, the Company estimates the probability that performance conditions will be achieved.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60" w:right="319"/>
        <w:spacing w:after="0" w:line="256" w:lineRule="auto"/>
        <w:rPr>
          <w:sz w:val="20"/>
          <w:szCs w:val="20"/>
          <w:color w:val="auto"/>
        </w:rPr>
      </w:pPr>
      <w:r>
        <w:rPr>
          <w:rFonts w:ascii="Times New Roman" w:cs="Times New Roman" w:eastAsia="Times New Roman" w:hAnsi="Times New Roman"/>
          <w:sz w:val="18"/>
          <w:szCs w:val="18"/>
          <w:color w:val="auto"/>
        </w:rPr>
        <w:t>Earnings per share (“EPS”) is calculated using the weighted average number of common shares outstanding during each period. Diluted EPS assumes the conversion, exercise or issuance of all potential common stock equivalents unless the effect is to reduce a loss or increase the income per share. For purposes of this calculation, options and restricted stock awards are considered to be common stock equivalents and are only included in the calculation of diluted earnings per share when their effect is dilutive. The shares used to compute basic and diluted net income per share represent the weighted-average common shares outstanding.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00" w:lineRule="exact"/>
        <w:rPr>
          <w:sz w:val="20"/>
          <w:szCs w:val="20"/>
          <w:color w:val="auto"/>
        </w:rPr>
      </w:pPr>
    </w:p>
    <w:p>
      <w:pPr>
        <w:spacing w:after="0" w:line="245"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No. 2023-09, “Income Taxes (Topic 740): Improvements to Income Tax Disclosures.” The ASU includes amendments requiring enhanced income tax disclosures, primarily related to standardization and disaggregation of rate reconciliation categories and income taxes paid by jurisdiction. The Company has adopted this standard during the year ended December 31, 2025 on a retrospective basis. See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below for the Company’s updated disclosure.</w:t>
      </w:r>
    </w:p>
    <w:p>
      <w:pPr>
        <w:spacing w:after="0" w:line="183"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Reporting Comprehensive Income/Expense Disaggregation Disclosures”. The ASU requires disaggregated disclosure of income statement expenses at interim and annual reporting periods. The ASU is effective for fiscal year beginning after December 15, 2026, and interim periods beginning after December 15, 2027, with early adoption permitted. The ASU can be adopted prospectively or retrospectively at the option of the Company. The Company is currently evaluating the impact of adopting this ASU on its disclosures.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No. 2025-11, “Interim Reporting (Topic 270) Narrow-Scope Improvements”. The ASU clarifies interim disclosure requirements and the applicability of Topic 270. The amendments in this update result in a comprehensive list of interim disclosures that are required by GAAP. The ASU is effective for interim periods within annual periods beginning after December 15, 2027, with early adoption permitted. The ASU can be adopted either prospectively or retrospectively. The Company is currently evaluating the impact of adopting this ASU on its disclosures.</w:t>
      </w:r>
    </w:p>
    <w:p>
      <w:pPr>
        <w:spacing w:after="0" w:line="183"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The Company reviewed all other recently issued accounting pronouncements and concluded that they were either not applicable or not expected to have a significant impact to the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PREPAID EXPENSES AND OTHER CURRENT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2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25, 2024</w:t>
            </w:r>
          </w:p>
        </w:tc>
      </w:tr>
      <w:tr>
        <w:trPr>
          <w:trHeight w:val="209"/>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service fees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1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w:t>
            </w:r>
          </w:p>
        </w:tc>
      </w:tr>
      <w:tr>
        <w:trPr>
          <w:trHeight w:val="20"/>
        </w:trPr>
        <w:tc>
          <w:tcPr>
            <w:tcW w:w="4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costs and related accumulated depreciation and amortization of major classes of property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26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25, 2024</w:t>
            </w:r>
          </w:p>
        </w:tc>
      </w:tr>
      <w:tr>
        <w:trPr>
          <w:trHeight w:val="210"/>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153,049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152,410</w:t>
            </w: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91,352</w:t>
            </w:r>
          </w:p>
        </w:tc>
      </w:tr>
      <w:tr>
        <w:trPr>
          <w:trHeight w:val="216"/>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22,799</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9,882</w:t>
            </w:r>
          </w:p>
        </w:tc>
      </w:tr>
      <w:tr>
        <w:trPr>
          <w:trHeight w:val="210"/>
        </w:trPr>
        <w:tc>
          <w:tcPr>
            <w:tcW w:w="49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265,973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265,967</w:t>
            </w: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(168,930)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(179,818)</w:t>
            </w:r>
          </w:p>
        </w:tc>
      </w:tr>
      <w:tr>
        <w:trPr>
          <w:trHeight w:val="210"/>
        </w:trPr>
        <w:tc>
          <w:tcPr>
            <w:tcW w:w="492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86,149</w:t>
            </w:r>
          </w:p>
        </w:tc>
      </w:tr>
      <w:tr>
        <w:trPr>
          <w:trHeight w:val="20"/>
        </w:trPr>
        <w:tc>
          <w:tcPr>
            <w:tcW w:w="4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01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$16.0 million, $15.7 million and $15.2 million for the years ended December 31, 2025, December 25, 2024, and December 27, 2023, respectively.</w:t>
      </w:r>
    </w:p>
    <w:p>
      <w:pPr>
        <w:spacing w:after="0" w:line="162"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Based on the Company’s review of its property and equipment assets for impairment, the Company did not record any non-cash impairment charges for the year ended December 31, 2025 and recorded $0.1 million and $1.5 million for the years ended December 25, 2024 and December 27, 2023, respectively. See “Impairment of Property and Equipment and ROU Assets” in Note 2 “Summary of Significant Accounting Policies” for additional information.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TRADEMARKS AND OTHER INTANGIBLE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Domestic trademarks consist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5520" w:type="dxa"/>
            <w:vAlign w:val="bottom"/>
            <w:gridSpan w:val="7"/>
          </w:tcPr>
          <w:p>
            <w:pPr>
              <w:ind w:left="2780"/>
              <w:spacing w:after="0"/>
              <w:rPr>
                <w:sz w:val="20"/>
                <w:szCs w:val="20"/>
                <w:color w:val="auto"/>
              </w:rPr>
            </w:pPr>
            <w:r>
              <w:rPr>
                <w:rFonts w:ascii="Times New Roman" w:cs="Times New Roman" w:eastAsia="Times New Roman" w:hAnsi="Times New Roman"/>
                <w:sz w:val="14"/>
                <w:szCs w:val="14"/>
                <w:b w:val="1"/>
                <w:bCs w:val="1"/>
                <w:color w:val="auto"/>
              </w:rPr>
              <w:t>​​​December 31, 2025 ​​​​​​​December 25, 2024</w:t>
            </w:r>
          </w:p>
        </w:tc>
        <w:tc>
          <w:tcPr>
            <w:tcW w:w="0" w:type="dxa"/>
            <w:vAlign w:val="bottom"/>
          </w:tcPr>
          <w:p>
            <w:pPr>
              <w:spacing w:after="0"/>
              <w:rPr>
                <w:sz w:val="1"/>
                <w:szCs w:val="1"/>
                <w:color w:val="auto"/>
              </w:rPr>
            </w:pPr>
          </w:p>
        </w:tc>
      </w:tr>
      <w:tr>
        <w:trPr>
          <w:trHeight w:val="209"/>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28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120,700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impairment charges</w:t>
            </w:r>
          </w:p>
        </w:tc>
        <w:tc>
          <w:tcPr>
            <w:tcW w:w="2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(58,812)</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net</w:t>
            </w:r>
          </w:p>
        </w:tc>
        <w:tc>
          <w:tcPr>
            <w:tcW w:w="28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860" w:type="dxa"/>
            <w:vAlign w:val="bottom"/>
            <w:vMerge w:val="restart"/>
          </w:tcPr>
          <w:p>
            <w:pPr>
              <w:jc w:val="right"/>
              <w:ind w:right="1639"/>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40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right="7759" w:hanging="10"/>
        <w:spacing w:after="0" w:line="532" w:lineRule="auto"/>
        <w:tabs>
          <w:tab w:leader="none" w:pos="24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 Nature of leases</w:t>
      </w:r>
    </w:p>
    <w:p>
      <w:pPr>
        <w:spacing w:after="0" w:line="1"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Company’s operations utilize property, facilities, equipment and vehicles leased from others. Additionally, the Company has various contracts with vendors that have been determined to contain an embedded lease in accordance with Topic 842.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2025, the Company had no leases that it had entered into, but had not yet commenced.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Building and facility leases</w:t>
      </w:r>
    </w:p>
    <w:p>
      <w:pPr>
        <w:spacing w:after="0" w:line="229"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 majority of the Company’s building and facilities leases are classified as operating leases; however, the Company currently has one facility and 24 equipment leases that are classified as finance leases.</w:t>
      </w:r>
    </w:p>
    <w:p>
      <w:pPr>
        <w:spacing w:after="0" w:line="16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Restaurants are operated under lease arrangements that generally provide for a fixed base rent and, in some instances, contingent rent based on a percentage of gross sales or net revenues in excess of a defined amount. Additionally, a number of the Company’s leases have payments, which increase at pre-determined dates based on the change in the consumer price index. For all leases, the Company also reimburses the landlord for non-lease components, or items that are not considered components of a contract, such as common area maintenance, property tax and insurance costs. While the Company determined not to separate lease and non-lease components, these payments are based on actual costs, making them variable consideration and excluding them from the calculations of the ROU asset and lease liability.</w:t>
      </w:r>
    </w:p>
    <w:p>
      <w:pPr>
        <w:spacing w:after="0" w:line="189"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The initial terms of land and restaurant building leases are generally 20 years, exclusive of options to renew. These leases typically have four 5-year renewal options, which have generally been excluded in the calculation of the ROU asset and lease liability, as they are not considered reasonably certain to be exercised, unless there have been significant leasehold improvements that have a useful life that extend past the original lease term. Furthermore, there are no residual value guarantees and no restrictions imposed by the lease.</w:t>
      </w:r>
    </w:p>
    <w:p>
      <w:pPr>
        <w:spacing w:after="0" w:line="183"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2025 and December 25, 2024, the Company reassessed the lease terms on 19 and 28 restaurants, respectively, due to certain triggering events, such as the addition of significant leasehold improvements with useful lives that extend past the current lease expiration, the decision to terminate a lease, or the decision to renew or extend a lease or exercise a lease option. As a result of the reassessment, an additional $11.3 million and $20.5 million, respectively, of ROU asset and lease liabilities were recognized for the year ended December 31, 2025 and December 25, 2024, and will be amortized over the new lease term. For the year ended December 31, 2025, the Company had five lease commencements resulting in $6.2 million. For the year ended December 25, 2024, the Company had no lease commencements.</w:t>
      </w:r>
    </w:p>
    <w:p>
      <w:pPr>
        <w:spacing w:after="0" w:line="192"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There were no reassessments that impacted the original lease classification during the year ended December 31, 2025 or December 25, 2024. Additionally, as the Company adopted all practical expedients available under Topic 842, no reallocation between lease and non-lease components was necessary.</w:t>
      </w:r>
    </w:p>
    <w:p>
      <w:pPr>
        <w:spacing w:after="0" w:line="176"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The Company also subleases facilities to certain franchisees and other non-related parties which are also considered operating leases. Sublease income also includes contingent rental income based on net revenues. The vast majority of these leases have rights to extend terms via fixed rental increases. However, none of these leases have early termination rights, the right to purchase the premises or any residual value guarantees. The Company does not have any related party leases.</w:t>
      </w:r>
    </w:p>
    <w:p>
      <w:pPr>
        <w:spacing w:after="0" w:line="164"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During fiscal 2025 and fiscal 2024, the Company did not record any non-cash impairment charges. During fiscal 2023, the Company determined that the carrying value of ROU assets at one restaurant was not recoverable. As a result, the Company recorded a less than $0.1 million non-cash impairment charge for the year ended December 27, 2023 related to one restaurant in California.</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Equipment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Leases of equipment primarily consist of restaurant equipment, copiers and vehicles. These leases are fixed payments with no variable component. Additionally, no optional renewal periods have been included in the calculation of the ROU asset, there are no residual value guarantees and no restrictions imposed.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Significant Assumptions and Judgments</w:t>
      </w:r>
    </w:p>
    <w:p>
      <w:pPr>
        <w:spacing w:after="0" w:line="229" w:lineRule="exact"/>
        <w:rPr>
          <w:sz w:val="20"/>
          <w:szCs w:val="20"/>
          <w:color w:val="auto"/>
        </w:rPr>
      </w:pPr>
    </w:p>
    <w:p>
      <w:pPr>
        <w:ind w:left="60" w:right="879"/>
        <w:spacing w:after="0" w:line="282" w:lineRule="auto"/>
        <w:rPr>
          <w:sz w:val="20"/>
          <w:szCs w:val="20"/>
          <w:color w:val="auto"/>
        </w:rPr>
      </w:pPr>
      <w:r>
        <w:rPr>
          <w:rFonts w:ascii="Times New Roman" w:cs="Times New Roman" w:eastAsia="Times New Roman" w:hAnsi="Times New Roman"/>
          <w:sz w:val="18"/>
          <w:szCs w:val="18"/>
          <w:color w:val="auto"/>
        </w:rPr>
        <w:t>In applying the requirements of Topic 842, the Company made significant assumptions and judgments related to determination of whether a contract contains a lease and the discount rate used for the lease.</w:t>
      </w:r>
    </w:p>
    <w:p>
      <w:pPr>
        <w:spacing w:after="0" w:line="16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In determining if any of the Company’s contracts contain a lease, the Company made assumptions and judgments related to its ability to direct the use of any assets stated in the contract and the likelihood of renewing any short-term contracts for a period extending past twelve months.</w:t>
      </w:r>
    </w:p>
    <w:p>
      <w:pPr>
        <w:spacing w:after="0" w:line="1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The Company also made significant assumptions and judgments in determining an appropriate discount rate for property leases. These included using a consistent discount rate for a portfolio of leases entered into at varying dates, using the full 20-year term of the lease, excluding any options, and using the total minimum lease payments. The Company utilizes a third-party valuation firm in determining the discount rate, based on the above assumptions. For all other leases, the Company uses the discount rate implicit in the lease, or the Company’s incremental borrowing rate.</w:t>
      </w:r>
    </w:p>
    <w:p>
      <w:pPr>
        <w:spacing w:after="0" w:line="183" w:lineRule="exact"/>
        <w:rPr>
          <w:sz w:val="20"/>
          <w:szCs w:val="20"/>
          <w:color w:val="auto"/>
        </w:rPr>
      </w:pPr>
    </w:p>
    <w:p>
      <w:pPr>
        <w:ind w:left="60" w:right="659"/>
        <w:spacing w:after="0" w:line="266" w:lineRule="auto"/>
        <w:rPr>
          <w:sz w:val="20"/>
          <w:szCs w:val="20"/>
          <w:color w:val="auto"/>
        </w:rPr>
      </w:pPr>
      <w:r>
        <w:rPr>
          <w:rFonts w:ascii="Times New Roman" w:cs="Times New Roman" w:eastAsia="Times New Roman" w:hAnsi="Times New Roman"/>
          <w:sz w:val="18"/>
          <w:szCs w:val="18"/>
          <w:color w:val="auto"/>
        </w:rPr>
        <w:t>As the Company has adopted the practical expedient not to separate lease and non-lease components, no significant assumptions or judgments were necessary in allocating consideration between these components, for all classes of underlying assets.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Company’s total lease cost, net, disaggregated by underlying asset (in thousands):</w:t>
      </w:r>
    </w:p>
    <w:p>
      <w:pPr>
        <w:spacing w:after="0" w:line="31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25, 2024</w:t>
            </w:r>
          </w:p>
        </w:tc>
        <w:tc>
          <w:tcPr>
            <w:tcW w:w="6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27, 2023</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24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4"/>
                <w:szCs w:val="14"/>
                <w:b w:val="1"/>
                <w:bCs w:val="1"/>
                <w:color w:val="auto"/>
              </w:rPr>
              <w:t>Property</w:t>
            </w:r>
          </w:p>
        </w:tc>
        <w:tc>
          <w:tcPr>
            <w:tcW w:w="2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0" w:type="dxa"/>
            <w:vAlign w:val="bottom"/>
          </w:tcPr>
          <w:p>
            <w:pPr>
              <w:spacing w:after="0"/>
              <w:rPr>
                <w:sz w:val="21"/>
                <w:szCs w:val="21"/>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Property</w:t>
            </w:r>
          </w:p>
        </w:tc>
        <w:tc>
          <w:tcPr>
            <w:tcW w:w="2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Property</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2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4"/>
        </w:trPr>
        <w:tc>
          <w:tcPr>
            <w:tcW w:w="12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Finance lease</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right-of-use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8"/>
        </w:trPr>
        <w:tc>
          <w:tcPr>
            <w:tcW w:w="12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Interest on</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liabilities</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Fixed rent cost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27,984</w:t>
            </w:r>
          </w:p>
        </w:tc>
        <w:tc>
          <w:tcPr>
            <w:tcW w:w="0" w:type="dxa"/>
            <w:vAlign w:val="bottom"/>
          </w:tcPr>
          <w:p>
            <w:pPr>
              <w:spacing w:after="0"/>
              <w:rPr>
                <w:sz w:val="1"/>
                <w:szCs w:val="1"/>
                <w:color w:val="auto"/>
              </w:rPr>
            </w:pPr>
          </w:p>
        </w:tc>
      </w:tr>
      <w:tr>
        <w:trPr>
          <w:trHeight w:val="198"/>
        </w:trPr>
        <w:tc>
          <w:tcPr>
            <w:tcW w:w="12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Short-term</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cost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8"/>
        </w:trPr>
        <w:tc>
          <w:tcPr>
            <w:tcW w:w="12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Variable lease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198"/>
        </w:trPr>
        <w:tc>
          <w:tcPr>
            <w:tcW w:w="12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Sublease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income</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(7,244)</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(7,244)</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0" w:type="dxa"/>
            <w:vAlign w:val="bottom"/>
          </w:tcPr>
          <w:p>
            <w:pPr>
              <w:spacing w:after="0"/>
              <w:rPr>
                <w:sz w:val="1"/>
                <w:szCs w:val="1"/>
                <w:color w:val="auto"/>
              </w:rPr>
            </w:pPr>
          </w:p>
        </w:tc>
      </w:tr>
      <w:tr>
        <w:trPr>
          <w:trHeight w:val="178"/>
        </w:trPr>
        <w:tc>
          <w:tcPr>
            <w:tcW w:w="12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lease cost,</w:t>
            </w:r>
          </w:p>
        </w:tc>
        <w:tc>
          <w:tcPr>
            <w:tcW w:w="2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22,959</w:t>
            </w:r>
          </w:p>
        </w:tc>
        <w:tc>
          <w:tcPr>
            <w:tcW w:w="2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2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25,004</w:t>
            </w:r>
          </w:p>
        </w:tc>
        <w:tc>
          <w:tcPr>
            <w:tcW w:w="2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21,899</w:t>
            </w:r>
          </w:p>
        </w:tc>
        <w:tc>
          <w:tcPr>
            <w:tcW w:w="2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2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23,694</w:t>
            </w:r>
          </w:p>
        </w:tc>
        <w:tc>
          <w:tcPr>
            <w:tcW w:w="2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22,686</w:t>
            </w:r>
          </w:p>
        </w:tc>
        <w:tc>
          <w:tcPr>
            <w:tcW w:w="2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2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24,367</w:t>
            </w:r>
          </w:p>
        </w:tc>
        <w:tc>
          <w:tcPr>
            <w:tcW w:w="0" w:type="dxa"/>
            <w:vAlign w:val="bottom"/>
          </w:tcPr>
          <w:p>
            <w:pPr>
              <w:spacing w:after="0"/>
              <w:rPr>
                <w:sz w:val="1"/>
                <w:szCs w:val="1"/>
                <w:color w:val="auto"/>
              </w:rPr>
            </w:pPr>
          </w:p>
        </w:tc>
      </w:tr>
      <w:tr>
        <w:trPr>
          <w:trHeight w:val="221"/>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260" w:type="dxa"/>
            <w:vAlign w:val="bottom"/>
            <w:gridSpan w:val="2"/>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280" w:type="dxa"/>
            <w:vAlign w:val="bottom"/>
            <w:gridSpan w:val="3"/>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280" w:type="dxa"/>
            <w:vAlign w:val="bottom"/>
            <w:gridSpan w:val="3"/>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280" w:type="dxa"/>
            <w:vAlign w:val="bottom"/>
            <w:gridSpan w:val="3"/>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Company’s total lease cost on the consolidated statements of income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31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 December 31, 2025 ​December 25, 2024</w:t>
            </w: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27, 2023</w:t>
            </w: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 – Occupancy and other operating expenses</w:t>
            </w:r>
          </w:p>
        </w:tc>
        <w:tc>
          <w:tcPr>
            <w:tcW w:w="6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24,042</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23,046</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23,736</w:t>
            </w: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cost – General &amp; administrative</w:t>
            </w: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 – Depreciation and amortization</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cost – Interest expense</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 – Closed-store reserve</w:t>
            </w: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 net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25,004</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23,694</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24,367</w:t>
            </w:r>
          </w:p>
        </w:tc>
      </w:tr>
      <w:tr>
        <w:trPr>
          <w:trHeight w:val="20"/>
        </w:trPr>
        <w:tc>
          <w:tcPr>
            <w:tcW w:w="5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had the following cash and non-cash activities associated with its leases (dollar amounts in thousands):</w:t>
      </w:r>
    </w:p>
    <w:p>
      <w:pPr>
        <w:spacing w:after="0" w:line="240"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gridSpan w:val="8"/>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gridSpan w:val="8"/>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December 25, 2024</w:t>
            </w:r>
          </w:p>
        </w:tc>
        <w:tc>
          <w:tcPr>
            <w:tcW w:w="480" w:type="dxa"/>
            <w:vAlign w:val="bottom"/>
          </w:tcPr>
          <w:p>
            <w:pPr>
              <w:spacing w:after="0"/>
              <w:rPr>
                <w:sz w:val="14"/>
                <w:szCs w:val="14"/>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gridSpan w:val="8"/>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December 27, 2023</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3"/>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860" w:type="dxa"/>
            <w:vAlign w:val="bottom"/>
            <w:tcBorders>
              <w:top w:val="single" w:sz="8" w:color="auto"/>
            </w:tcBorders>
            <w:gridSpan w:val="4"/>
            <w:shd w:val="clear" w:color="auto" w:fill="CCEEFF"/>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Equipment</w:t>
            </w: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gridSpan w:val="3"/>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Property</w:t>
            </w:r>
          </w:p>
        </w:tc>
        <w:tc>
          <w:tcPr>
            <w:tcW w:w="840" w:type="dxa"/>
            <w:vAlign w:val="bottom"/>
            <w:tcBorders>
              <w:top w:val="single" w:sz="8" w:color="auto"/>
            </w:tcBorders>
            <w:gridSpan w:val="4"/>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Equipment</w:t>
            </w:r>
          </w:p>
        </w:tc>
        <w:tc>
          <w:tcPr>
            <w:tcW w:w="160" w:type="dxa"/>
            <w:vAlign w:val="bottom"/>
            <w:tcBorders>
              <w:top w:val="single" w:sz="8" w:color="auto"/>
            </w:tcBorders>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3"/>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Property</w:t>
            </w:r>
          </w:p>
        </w:tc>
        <w:tc>
          <w:tcPr>
            <w:tcW w:w="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Equipment</w:t>
            </w: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w w:val="97"/>
              </w:rPr>
              <w:t>Leases</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w w:val="97"/>
              </w:rPr>
              <w:t>Leases</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18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Cash paid for amounts included in</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the measurement of lease liabilities</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8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Operating cash flows used for</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28,982</w:t>
            </w:r>
          </w:p>
        </w:tc>
        <w:tc>
          <w:tcPr>
            <w:tcW w:w="140" w:type="dxa"/>
            <w:vAlign w:val="bottom"/>
          </w:tcPr>
          <w:p>
            <w:pPr>
              <w:spacing w:after="0"/>
              <w:rPr>
                <w:sz w:val="10"/>
                <w:szCs w:val="10"/>
                <w:color w:val="auto"/>
              </w:rPr>
            </w:pP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60" w:type="dxa"/>
            <w:vAlign w:val="bottom"/>
          </w:tcPr>
          <w:p>
            <w:pPr>
              <w:spacing w:after="0"/>
              <w:rPr>
                <w:sz w:val="10"/>
                <w:szCs w:val="10"/>
                <w:color w:val="auto"/>
              </w:rPr>
            </w:pPr>
          </w:p>
        </w:tc>
        <w:tc>
          <w:tcPr>
            <w:tcW w:w="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29,353</w:t>
            </w:r>
          </w:p>
        </w:tc>
        <w:tc>
          <w:tcPr>
            <w:tcW w:w="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28,376</w:t>
            </w:r>
          </w:p>
        </w:tc>
        <w:tc>
          <w:tcPr>
            <w:tcW w:w="120" w:type="dxa"/>
            <w:vAlign w:val="bottom"/>
          </w:tcPr>
          <w:p>
            <w:pPr>
              <w:spacing w:after="0"/>
              <w:rPr>
                <w:sz w:val="10"/>
                <w:szCs w:val="10"/>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tcPr>
          <w:p>
            <w:pPr>
              <w:spacing w:after="0"/>
              <w:rPr>
                <w:sz w:val="10"/>
                <w:szCs w:val="10"/>
                <w:color w:val="auto"/>
              </w:rPr>
            </w:pPr>
          </w:p>
        </w:tc>
        <w:tc>
          <w:tcPr>
            <w:tcW w:w="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28,686</w:t>
            </w:r>
          </w:p>
        </w:tc>
        <w:tc>
          <w:tcPr>
            <w:tcW w:w="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27,835</w:t>
            </w:r>
          </w:p>
        </w:tc>
        <w:tc>
          <w:tcPr>
            <w:tcW w:w="140" w:type="dxa"/>
            <w:vAlign w:val="bottom"/>
          </w:tcPr>
          <w:p>
            <w:pPr>
              <w:spacing w:after="0"/>
              <w:rPr>
                <w:sz w:val="10"/>
                <w:szCs w:val="10"/>
                <w:color w:val="auto"/>
              </w:rPr>
            </w:pP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60" w:type="dxa"/>
            <w:vAlign w:val="bottom"/>
          </w:tcPr>
          <w:p>
            <w:pPr>
              <w:spacing w:after="0"/>
              <w:rPr>
                <w:sz w:val="10"/>
                <w:szCs w:val="10"/>
                <w:color w:val="auto"/>
              </w:rPr>
            </w:pPr>
          </w:p>
        </w:tc>
        <w:tc>
          <w:tcPr>
            <w:tcW w:w="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28,156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operating leases</w:t>
            </w:r>
          </w:p>
        </w:tc>
        <w:tc>
          <w:tcPr>
            <w:tcW w:w="12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80" w:type="dxa"/>
            <w:vAlign w:val="bottom"/>
            <w:gridSpan w:val="3"/>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8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Financing cash flows used for</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4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6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8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4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6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finance leases</w:t>
            </w:r>
          </w:p>
        </w:tc>
        <w:tc>
          <w:tcPr>
            <w:tcW w:w="120" w:type="dxa"/>
            <w:vAlign w:val="bottom"/>
            <w:gridSpan w:val="2"/>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80" w:type="dxa"/>
            <w:vAlign w:val="bottom"/>
            <w:gridSpan w:val="3"/>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1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Non-cash investing and financing</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gridSpan w:val="3"/>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Operating lease ROU assets obtained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exchange for lease liabilities: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gridSpan w:val="3"/>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lease ROU assets</w:t>
            </w: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17,464</w:t>
            </w:r>
          </w:p>
        </w:tc>
        <w:tc>
          <w:tcPr>
            <w:tcW w:w="1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17,467</w:t>
            </w:r>
          </w:p>
        </w:tc>
        <w:tc>
          <w:tcPr>
            <w:tcW w:w="18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20,504</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1,294</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21,798</w:t>
            </w:r>
          </w:p>
        </w:tc>
        <w:tc>
          <w:tcPr>
            <w:tcW w:w="14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21,448</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21,502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Finance lease ROU assets obtained in</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exchange for lease liabilities: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Finance lease ROU assets</w:t>
            </w: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14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Derecognition of ROU assets due to</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terminations, impairment or</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40" w:type="dxa"/>
            <w:vAlign w:val="bottom"/>
          </w:tcPr>
          <w:p>
            <w:pPr>
              <w:spacing w:after="0"/>
              <w:rPr>
                <w:sz w:val="12"/>
                <w:szCs w:val="12"/>
                <w:color w:val="auto"/>
              </w:rPr>
            </w:pP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2"/>
                <w:szCs w:val="12"/>
                <w:color w:val="auto"/>
              </w:rPr>
            </w:pPr>
          </w:p>
        </w:tc>
        <w:tc>
          <w:tcPr>
            <w:tcW w:w="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1"/>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modifications</w:t>
            </w:r>
          </w:p>
        </w:tc>
        <w:tc>
          <w:tcPr>
            <w:tcW w:w="1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80" w:type="dxa"/>
            <w:vAlign w:val="bottom"/>
            <w:gridSpan w:val="3"/>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Information</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8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Weighted-average remaining years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 lease term—finance leases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8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Weighted-average remaining years</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 lease term—operating leases</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8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Weighted-average discount rate—</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2.57 %</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6.27 %</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2.57 %</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6.49 %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2.57 %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5.68 %</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finance leases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8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Weighted-average discount rate—</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5.36 %</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6.42 %</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5.31 %</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6.73 %</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5.00 %</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4.52 %</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operating leases</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regarding the Company’s minimum future lease obligations at December 31, 2025 is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8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center"/>
              <w:ind w:right="74"/>
              <w:spacing w:after="0" w:line="118" w:lineRule="exact"/>
              <w:rPr>
                <w:sz w:val="20"/>
                <w:szCs w:val="20"/>
                <w:color w:val="auto"/>
              </w:rPr>
            </w:pPr>
            <w:r>
              <w:rPr>
                <w:rFonts w:ascii="Times New Roman" w:cs="Times New Roman" w:eastAsia="Times New Roman" w:hAnsi="Times New Roman"/>
                <w:sz w:val="13"/>
                <w:szCs w:val="13"/>
                <w:b w:val="1"/>
                <w:bCs w:val="1"/>
                <w:color w:val="auto"/>
              </w:rPr>
              <w:t>Minimum</w:t>
            </w:r>
          </w:p>
        </w:tc>
        <w:tc>
          <w:tcPr>
            <w:tcW w:w="940" w:type="dxa"/>
            <w:vAlign w:val="bottom"/>
            <w:gridSpan w:val="3"/>
          </w:tcPr>
          <w:p>
            <w:pPr>
              <w:jc w:val="right"/>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 Minimum</w:t>
            </w:r>
          </w:p>
        </w:tc>
        <w:tc>
          <w:tcPr>
            <w:tcW w:w="960" w:type="dxa"/>
            <w:vAlign w:val="bottom"/>
            <w:gridSpan w:val="3"/>
          </w:tcPr>
          <w:p>
            <w:pPr>
              <w:jc w:val="right"/>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 Minimum</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Ending</w:t>
            </w: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Sublease</w:t>
            </w:r>
          </w:p>
        </w:tc>
        <w:tc>
          <w:tcPr>
            <w:tcW w:w="0" w:type="dxa"/>
            <w:vAlign w:val="bottom"/>
          </w:tcPr>
          <w:p>
            <w:pPr>
              <w:spacing w:after="0"/>
              <w:rPr>
                <w:sz w:val="1"/>
                <w:szCs w:val="1"/>
                <w:color w:val="auto"/>
              </w:rPr>
            </w:pPr>
          </w:p>
        </w:tc>
      </w:tr>
      <w:tr>
        <w:trPr>
          <w:trHeight w:val="173"/>
        </w:trPr>
        <w:tc>
          <w:tcPr>
            <w:tcW w:w="3600" w:type="dxa"/>
            <w:vAlign w:val="bottom"/>
            <w:gridSpan w:val="2"/>
            <w:vMerge w:val="continue"/>
          </w:tcPr>
          <w:p>
            <w:pPr>
              <w:spacing w:after="0"/>
              <w:rPr>
                <w:sz w:val="15"/>
                <w:szCs w:val="15"/>
                <w:color w:val="auto"/>
              </w:rPr>
            </w:pPr>
          </w:p>
        </w:tc>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Payments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30, 2026</w:t>
            </w:r>
          </w:p>
        </w:tc>
        <w:tc>
          <w:tcPr>
            <w:tcW w:w="2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December 29, 2027</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27, 2028</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December 26, 2029</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25, 2030</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3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102,570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225,488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Less: imputed interest (2.57% - 6.42%)</w:t>
            </w: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3600" w:type="dxa"/>
            <w:vAlign w:val="bottom"/>
            <w:gridSpan w:val="2"/>
            <w:vMerge w:val="continue"/>
          </w:tcPr>
          <w:p>
            <w:pPr>
              <w:spacing w:after="0"/>
              <w:rPr>
                <w:sz w:val="17"/>
                <w:szCs w:val="17"/>
                <w:color w:val="auto"/>
              </w:rPr>
            </w:pPr>
          </w:p>
        </w:tc>
        <w:tc>
          <w:tcPr>
            <w:tcW w:w="2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(37,060)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obligations</w:t>
            </w:r>
          </w:p>
        </w:tc>
        <w:tc>
          <w:tcPr>
            <w:tcW w:w="2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188,428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3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2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170,812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320" w:type="dxa"/>
            <w:vAlign w:val="bottom"/>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Short-Term Leases</w:t>
      </w:r>
    </w:p>
    <w:p>
      <w:pPr>
        <w:spacing w:after="0" w:line="227"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has multiple short-term leases, which have terms of less than 12 months, and thus were excluded from the recognition requirements of Topic 842. The Company has recognized these lease payments in its consolidated statements of income on a straight-line basis over the lease term and variable lease payments in the period in which the obligation for those payments is incurred.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Lessor</w:t>
      </w:r>
    </w:p>
    <w:p>
      <w:pPr>
        <w:spacing w:after="0" w:line="22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The Company is a lessor for certain property, facilities and equipment owned by the Company and leased to others, principally franchisees, under non-cancelable leases with initial terms ranging from 3 to 20 years. These lease agreements generally provide for a fixed base rent and, in some instances, contingent rent based on a percentage of gross sales or net revenues. All leases are considered operating leases.</w:t>
      </w:r>
    </w:p>
    <w:p>
      <w:pPr>
        <w:spacing w:after="0" w:line="180"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For the leases in which the Company is the lessor, there are options to extend the lease. However, there are no terms and conditions to terminate the lease, no right to purchase premises and no residual value guarantees. Additionally, there are no related party leases.</w:t>
      </w:r>
    </w:p>
    <w:p>
      <w:pPr>
        <w:spacing w:after="0" w:line="1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December 25, 2024, and December 27, 2023, the Company received $0.4 million, $0.4 million and $0.3 million, respectively, of lease income from company-owned locations.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On July 27, 2022, the Company refinanced pursuant to a credit agreement (the “2022 Credit Agreement”) among EPL, as borrower, the Company and Intermediate, as guarantors, Bank of America, N.A., as administrative agent, swingline lender, and letter of credit issuer, the lenders party thereto, and the other parties thereto, which provides for a $150.0 million five-year senior secured revolving credit facility (the “2022 Revolver”).</w:t>
      </w:r>
    </w:p>
    <w:p>
      <w:pPr>
        <w:spacing w:after="0" w:line="180"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The 2022 Revolver includes a sub limit of $15.0 million for letters of credit and a sub limit of $15.0 million for swingline loans. The obligations under the 2022 Credit Agreement and related loan documents are guaranteed by Holdings and Intermediate. The obligations of Holdings, EPL and Intermediate under the 2022 Credit Agreement and related loan documents are secured by a first priority lien on substantially all of their respective assets subject to certain customary exceptions.</w:t>
      </w:r>
    </w:p>
    <w:p>
      <w:pPr>
        <w:spacing w:after="0" w:line="183"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Under the 2022 Revolver, Holdings is restricted from making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its TRA, and (iii) so long as no default or event of default has occurred and is continuing,</w:t>
      </w:r>
    </w:p>
    <w:p>
      <w:pPr>
        <w:spacing w:after="0" w:line="3" w:lineRule="exact"/>
        <w:rPr>
          <w:sz w:val="20"/>
          <w:szCs w:val="20"/>
          <w:color w:val="auto"/>
        </w:rPr>
      </w:pPr>
    </w:p>
    <w:p>
      <w:pPr>
        <w:ind w:left="60" w:right="99" w:hanging="10"/>
        <w:spacing w:after="0" w:line="250" w:lineRule="auto"/>
        <w:tabs>
          <w:tab w:leader="none" w:pos="30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w:t>
      </w:r>
    </w:p>
    <w:p>
      <w:pPr>
        <w:spacing w:after="0" w:line="1" w:lineRule="exact"/>
        <w:rPr>
          <w:rFonts w:ascii="Times New Roman" w:cs="Times New Roman" w:eastAsia="Times New Roman" w:hAnsi="Times New Roman"/>
          <w:sz w:val="18"/>
          <w:szCs w:val="18"/>
          <w:color w:val="auto"/>
        </w:rPr>
      </w:pPr>
    </w:p>
    <w:p>
      <w:pPr>
        <w:ind w:left="60" w:right="119" w:hanging="10"/>
        <w:spacing w:after="0" w:line="255" w:lineRule="auto"/>
        <w:tabs>
          <w:tab w:leader="none" w:pos="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up to $5.0 million in other restricted payments per year, and (e) make other restricted payments, subject to its compliance, on a pro forma basis, with (x) a lease-adjusted consolidated leverage ratio not to exceed 4.25 times and (y) the financial covenants applicable to the 2022 Revolver.</w:t>
      </w:r>
    </w:p>
    <w:p>
      <w:pPr>
        <w:spacing w:after="0" w:line="186"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Borrowings under the 2022 Credit Agreement (other than any swingline loans) bear interest, at the borrower’s option, at rates based upon either the secured overnight financing rate (“SOFR”) or a base rate, plus, for each rate, a margin determined in accordance with a lease-adjusted consolidated leverage ratio-based pricing grid. The base rate is calculated as the highest of (a) the federal funds rate plus 0.50%, (b) the published Bank of America prime rate, or (c) Term SOFR with a term of one-month SOFR plus 1.00%. For Term SOFR loans, the margin is in the range of 1.25% to 2.25%, and for base rate loans the margin is in a range of 0.25% to 1.25%. Borrowings under the 2022 Revolver may be repaid and reborrowed. For borrowings under the 2022 Revolver during fiscal 2025, the interest rate range was 5.3%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to 7.75%. For borrowings under the 2022 Revolver during fiscal 2024, the interest rate range was 5.7% to 7.0%. The interest rate under the 2022 Revolver was 5.3% at December 31, 2025 and 5.7% at December 25, 2024. For the years ended December 31, 2025, December 25, 2024 and December 27, 2023, the Company had interest expense of $3.9 million, $5.4 million and $4.4 million, respectively, under the 2022 Revolver.</w:t>
      </w:r>
    </w:p>
    <w:p>
      <w:pPr>
        <w:spacing w:after="0" w:line="180"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2022 Credit Agreement contains certain financial covenants. The Company was in compliance with all such covenants at December 31, 2025.</w:t>
      </w:r>
    </w:p>
    <w:p>
      <w:pPr>
        <w:spacing w:after="0" w:line="162"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At December 31, 2025, $10.3 million of letters of credit and $51.0 million of borrowings were outstanding under the 2022 Revolver. The amount available under the 2022 Revolver was $88.7 million at December 31, 2025. At December 25, 2024, $10.3 million of letters of credit and $71.0 million of borrowings were outstanding under the 2022 Revolver.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2022 Revolver and 2022 Credit Agreement will mature on July 27, 2027. During the year ended December 31, 2025,</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borrowed $9.0 million and paid down $29.0 million on its 2022 Revolver. During the year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25, 2024, the Company borrowed $14.0 million and paid down $27.0 million on its 2022 Revolver. There are no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required principal payments prior to maturity for the 2022 Revolver.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OTHER ACCRUED EXPENSES AND CURRENT LIABILITIES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accrued expenses and current liabilities consist of the following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25, 2024</w:t>
            </w: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and property taxes</w:t>
            </w:r>
          </w:p>
        </w:tc>
        <w:tc>
          <w:tcPr>
            <w:tcW w:w="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Gift card liability</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Loyalty rewards program liability</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legal settlements and professional fees</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Deferred franchise and development fees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0" w:type="dxa"/>
            <w:vAlign w:val="bottom"/>
          </w:tcPr>
          <w:p>
            <w:pPr>
              <w:spacing w:after="0"/>
              <w:rPr>
                <w:sz w:val="1"/>
                <w:szCs w:val="1"/>
                <w:color w:val="auto"/>
              </w:rPr>
            </w:pPr>
          </w:p>
        </w:tc>
      </w:tr>
      <w:tr>
        <w:trPr>
          <w:trHeight w:val="21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accrued expenses and current liabilities</w:t>
            </w:r>
          </w:p>
        </w:tc>
        <w:tc>
          <w:tcPr>
            <w:tcW w:w="82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20,985</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15,896</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OTHER NONCURRENT LIABILITIES</w:t>
            </w: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55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 (in thousands):</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56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25, 2024</w:t>
            </w: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franchise and development fees</w:t>
            </w:r>
          </w:p>
        </w:tc>
        <w:tc>
          <w:tcPr>
            <w:tcW w:w="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0" w:type="dxa"/>
            <w:vAlign w:val="bottom"/>
          </w:tcPr>
          <w:p>
            <w:pPr>
              <w:spacing w:after="0"/>
              <w:rPr>
                <w:sz w:val="1"/>
                <w:szCs w:val="1"/>
                <w:color w:val="auto"/>
              </w:rPr>
            </w:pPr>
          </w:p>
        </w:tc>
      </w:tr>
      <w:tr>
        <w:trPr>
          <w:trHeight w:val="216"/>
        </w:trPr>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8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provision for income taxes is based on the following components (in thousands):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10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27,</w:t>
            </w:r>
          </w:p>
        </w:tc>
      </w:tr>
      <w:tr>
        <w:trPr>
          <w:trHeight w:val="173"/>
        </w:trPr>
        <w:tc>
          <w:tcPr>
            <w:tcW w:w="4380" w:type="dxa"/>
            <w:vAlign w:val="bottom"/>
          </w:tcPr>
          <w:p>
            <w:pPr>
              <w:spacing w:after="0"/>
              <w:rPr>
                <w:sz w:val="15"/>
                <w:szCs w:val="15"/>
                <w:color w:val="auto"/>
              </w:rPr>
            </w:pPr>
          </w:p>
        </w:tc>
        <w:tc>
          <w:tcPr>
            <w:tcW w:w="1840" w:type="dxa"/>
            <w:vAlign w:val="bottom"/>
            <w:gridSpan w:val="2"/>
          </w:tcPr>
          <w:p>
            <w:pPr>
              <w:ind w:left="16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expense</w:t>
            </w:r>
          </w:p>
        </w:tc>
        <w:tc>
          <w:tcPr>
            <w:tcW w:w="1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184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4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40" w:type="dxa"/>
            <w:vAlign w:val="bottom"/>
          </w:tcPr>
          <w:p>
            <w:pPr>
              <w:spacing w:after="0"/>
              <w:rPr>
                <w:sz w:val="18"/>
                <w:szCs w:val="18"/>
                <w:color w:val="auto"/>
              </w:rPr>
            </w:pP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w:t>
            </w: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1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r>
      <w:tr>
        <w:trPr>
          <w:trHeight w:val="249"/>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tax expense</w:t>
            </w:r>
          </w:p>
        </w:tc>
        <w:tc>
          <w:tcPr>
            <w:tcW w:w="17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9,686</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12,462</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8,418</w:t>
            </w:r>
          </w:p>
        </w:tc>
      </w:tr>
      <w:tr>
        <w:trPr>
          <w:trHeight w:val="197"/>
        </w:trPr>
        <w:tc>
          <w:tcPr>
            <w:tcW w:w="43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Deferred tax expense (benefit)</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5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expense (benefit)</w:t>
            </w:r>
          </w:p>
        </w:tc>
        <w:tc>
          <w:tcPr>
            <w:tcW w:w="17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196"/>
        </w:trPr>
        <w:tc>
          <w:tcPr>
            <w:tcW w:w="43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income tax expense</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w:t>
            </w: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1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r>
      <w:tr>
        <w:trPr>
          <w:trHeight w:val="20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17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9,324</w:t>
            </w:r>
          </w:p>
        </w:tc>
      </w:tr>
      <w:tr>
        <w:trPr>
          <w:trHeight w:val="20"/>
        </w:trPr>
        <w:tc>
          <w:tcPr>
            <w:tcW w:w="4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0" w:right="379"/>
        <w:spacing w:after="0" w:line="266" w:lineRule="auto"/>
        <w:rPr>
          <w:sz w:val="20"/>
          <w:szCs w:val="20"/>
          <w:color w:val="auto"/>
        </w:rPr>
      </w:pPr>
      <w:r>
        <w:rPr>
          <w:rFonts w:ascii="Times New Roman" w:cs="Times New Roman" w:eastAsia="Times New Roman" w:hAnsi="Times New Roman"/>
          <w:sz w:val="18"/>
          <w:szCs w:val="18"/>
          <w:color w:val="auto"/>
        </w:rPr>
        <w:t>The table below provides the updated requirements of ASU No. 2023-09, Improvements to Income Tax Disclosures for fiscal 2025, 2024 and 2023. The provision for income taxes differs from the amount computed by applying the federal income tax rate of 21.0% for fiscal 2025, 2024 and 2023 as follows (amounts in thousands):</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4"/>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42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140" w:type="dxa"/>
            <w:vAlign w:val="bottom"/>
          </w:tcPr>
          <w:p>
            <w:pPr>
              <w:spacing w:after="0"/>
              <w:rPr>
                <w:sz w:val="13"/>
                <w:szCs w:val="13"/>
                <w:color w:val="auto"/>
              </w:rPr>
            </w:pPr>
          </w:p>
        </w:tc>
        <w:tc>
          <w:tcPr>
            <w:tcW w:w="144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27,</w:t>
            </w:r>
          </w:p>
        </w:tc>
      </w:tr>
      <w:tr>
        <w:trPr>
          <w:trHeight w:val="173"/>
        </w:trPr>
        <w:tc>
          <w:tcPr>
            <w:tcW w:w="2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4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44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2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Percent</w:t>
            </w:r>
          </w:p>
        </w:tc>
        <w:tc>
          <w:tcPr>
            <w:tcW w:w="1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Amount</w:t>
            </w:r>
          </w:p>
        </w:tc>
        <w:tc>
          <w:tcPr>
            <w:tcW w:w="78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 Percent</w:t>
            </w:r>
          </w:p>
        </w:tc>
        <w:tc>
          <w:tcPr>
            <w:tcW w:w="80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Amount</w:t>
            </w:r>
          </w:p>
        </w:tc>
        <w:tc>
          <w:tcPr>
            <w:tcW w:w="78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 Percent</w:t>
            </w:r>
          </w:p>
        </w:tc>
      </w:tr>
      <w:tr>
        <w:trPr>
          <w:trHeight w:val="210"/>
        </w:trPr>
        <w:tc>
          <w:tcPr>
            <w:tcW w:w="4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 federal statutory tax rate</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$ 7,411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21.0 %</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$ 7,324</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194"/>
        </w:trPr>
        <w:tc>
          <w:tcPr>
            <w:tcW w:w="40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State and local income taxes, net of federal income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8"/>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tax effect (1) (2)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40" w:type="dxa"/>
            <w:vAlign w:val="bottom"/>
          </w:tcPr>
          <w:p>
            <w:pPr>
              <w:spacing w:after="0"/>
              <w:rPr>
                <w:sz w:val="20"/>
                <w:szCs w:val="20"/>
                <w:color w:val="auto"/>
              </w:rPr>
            </w:pPr>
          </w:p>
        </w:tc>
        <w:tc>
          <w:tcPr>
            <w:tcW w:w="7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6.9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40" w:type="dxa"/>
            <w:vAlign w:val="bottom"/>
          </w:tcPr>
          <w:p>
            <w:pPr>
              <w:spacing w:after="0"/>
              <w:rPr>
                <w:sz w:val="20"/>
                <w:szCs w:val="20"/>
                <w:color w:val="auto"/>
              </w:rPr>
            </w:pPr>
          </w:p>
        </w:tc>
        <w:tc>
          <w:tcPr>
            <w:tcW w:w="7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6.1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40" w:type="dxa"/>
            <w:vAlign w:val="bottom"/>
          </w:tcPr>
          <w:p>
            <w:pPr>
              <w:spacing w:after="0"/>
              <w:rPr>
                <w:sz w:val="20"/>
                <w:szCs w:val="20"/>
                <w:color w:val="auto"/>
              </w:rPr>
            </w:pPr>
          </w:p>
        </w:tc>
        <w:tc>
          <w:tcPr>
            <w:tcW w:w="7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Tax credits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WOTC credit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c>
          <w:tcPr>
            <w:tcW w:w="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(0.4)</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c>
          <w:tcPr>
            <w:tcW w:w="7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(0.5)</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(295)</w:t>
            </w:r>
          </w:p>
        </w:tc>
        <w:tc>
          <w:tcPr>
            <w:tcW w:w="7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 exercises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Pr>
          <w:p>
            <w:pPr>
              <w:spacing w:after="0"/>
              <w:rPr>
                <w:sz w:val="18"/>
                <w:szCs w:val="18"/>
                <w:color w:val="auto"/>
              </w:rPr>
            </w:pPr>
          </w:p>
        </w:tc>
        <w:tc>
          <w:tcPr>
            <w:tcW w:w="7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0.2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8"/>
                <w:szCs w:val="18"/>
                <w:color w:val="auto"/>
              </w:rPr>
            </w:pPr>
          </w:p>
        </w:tc>
        <w:tc>
          <w:tcPr>
            <w:tcW w:w="7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0.1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8"/>
                <w:szCs w:val="18"/>
                <w:color w:val="auto"/>
              </w:rPr>
            </w:pPr>
          </w:p>
        </w:tc>
        <w:tc>
          <w:tcPr>
            <w:tcW w:w="7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stock compensation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162(m) nondeductible executive compensation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40" w:type="dxa"/>
            <w:vAlign w:val="bottom"/>
          </w:tcPr>
          <w:p>
            <w:pPr>
              <w:spacing w:after="0"/>
              <w:rPr>
                <w:sz w:val="18"/>
                <w:szCs w:val="18"/>
                <w:color w:val="auto"/>
              </w:rPr>
            </w:pPr>
          </w:p>
        </w:tc>
        <w:tc>
          <w:tcPr>
            <w:tcW w:w="7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tcPr>
          <w:p>
            <w:pPr>
              <w:spacing w:after="0"/>
              <w:rPr>
                <w:sz w:val="18"/>
                <w:szCs w:val="18"/>
                <w:color w:val="auto"/>
              </w:rPr>
            </w:pPr>
          </w:p>
        </w:tc>
        <w:tc>
          <w:tcPr>
            <w:tcW w:w="7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unrecognized tax benefits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liability true up</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tcPr>
          <w:p>
            <w:pPr>
              <w:spacing w:after="0"/>
              <w:rPr>
                <w:sz w:val="18"/>
                <w:szCs w:val="18"/>
                <w:color w:val="auto"/>
              </w:rPr>
            </w:pPr>
          </w:p>
        </w:tc>
        <w:tc>
          <w:tcPr>
            <w:tcW w:w="7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(381)</w:t>
            </w:r>
          </w:p>
        </w:tc>
        <w:tc>
          <w:tcPr>
            <w:tcW w:w="7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7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224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r>
      <w:tr>
        <w:trPr>
          <w:trHeight w:val="216"/>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$ 9,605</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27.2 %</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$ 9,324</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r>
      <w:tr>
        <w:trPr>
          <w:trHeight w:val="108"/>
        </w:trPr>
        <w:tc>
          <w:tcPr>
            <w:tcW w:w="224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r>
    </w:tbl>
    <w:p>
      <w:pPr>
        <w:spacing w:after="0" w:line="76" w:lineRule="exact"/>
        <w:rPr>
          <w:sz w:val="20"/>
          <w:szCs w:val="20"/>
          <w:color w:val="auto"/>
        </w:rPr>
      </w:pPr>
    </w:p>
    <w:p>
      <w:pPr>
        <w:ind w:left="380" w:hanging="330"/>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taxes in California made up the majority (greater than 50 percent) of the tax effect in this category.</w:t>
      </w:r>
    </w:p>
    <w:p>
      <w:pPr>
        <w:spacing w:after="0" w:line="225" w:lineRule="exact"/>
        <w:rPr>
          <w:rFonts w:ascii="Times New Roman" w:cs="Times New Roman" w:eastAsia="Times New Roman" w:hAnsi="Times New Roman"/>
          <w:sz w:val="18"/>
          <w:szCs w:val="18"/>
          <w:color w:val="auto"/>
        </w:rPr>
      </w:pPr>
    </w:p>
    <w:p>
      <w:pPr>
        <w:ind w:left="380" w:right="419" w:hanging="330"/>
        <w:spacing w:after="0" w:line="282"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2023, the ten-year carryover period for California Enterprise Zone credits expired, and the Company released the corresponding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7"/>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For the Fiscal Years Ended</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Taxes Paid (Net of Refunds Received)</w:t>
            </w:r>
          </w:p>
        </w:tc>
        <w:tc>
          <w:tcPr>
            <w:tcW w:w="200" w:type="dxa"/>
            <w:vAlign w:val="bottom"/>
          </w:tcPr>
          <w:p>
            <w:pPr>
              <w:spacing w:after="0"/>
              <w:rPr>
                <w:sz w:val="10"/>
                <w:szCs w:val="10"/>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0"/>
                <w:szCs w:val="10"/>
                <w:color w:val="auto"/>
              </w:rPr>
            </w:pPr>
          </w:p>
        </w:tc>
        <w:tc>
          <w:tcPr>
            <w:tcW w:w="8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25,</w:t>
            </w:r>
          </w:p>
        </w:tc>
        <w:tc>
          <w:tcPr>
            <w:tcW w:w="200" w:type="dxa"/>
            <w:vAlign w:val="bottom"/>
          </w:tcPr>
          <w:p>
            <w:pPr>
              <w:spacing w:after="0"/>
              <w:rPr>
                <w:sz w:val="10"/>
                <w:szCs w:val="10"/>
                <w:color w:val="auto"/>
              </w:rPr>
            </w:pP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27, 2023</w:t>
            </w:r>
          </w:p>
        </w:tc>
        <w:tc>
          <w:tcPr>
            <w:tcW w:w="0" w:type="dxa"/>
            <w:vAlign w:val="bottom"/>
          </w:tcPr>
          <w:p>
            <w:pPr>
              <w:spacing w:after="0"/>
              <w:rPr>
                <w:sz w:val="1"/>
                <w:szCs w:val="1"/>
                <w:color w:val="auto"/>
              </w:rPr>
            </w:pPr>
          </w:p>
        </w:tc>
      </w:tr>
      <w:tr>
        <w:trPr>
          <w:trHeight w:val="173"/>
        </w:trPr>
        <w:tc>
          <w:tcPr>
            <w:tcW w:w="51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California</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spacing w:after="0"/>
        <w:tabs>
          <w:tab w:leader="none" w:pos="5340" w:val="left"/>
          <w:tab w:leader="none" w:pos="6060" w:val="left"/>
          <w:tab w:leader="none" w:pos="6700" w:val="left"/>
          <w:tab w:leader="none" w:pos="7000" w:val="left"/>
          <w:tab w:leader="none" w:pos="7720" w:val="left"/>
          <w:tab w:leader="none" w:pos="8460" w:val="left"/>
        </w:tabs>
        <w:rPr>
          <w:sz w:val="20"/>
          <w:szCs w:val="20"/>
          <w:color w:val="auto"/>
        </w:rPr>
      </w:pPr>
      <w:r>
        <w:rPr>
          <w:rFonts w:ascii="Times New Roman" w:cs="Times New Roman" w:eastAsia="Times New Roman" w:hAnsi="Times New Roman"/>
          <w:sz w:val="18"/>
          <w:szCs w:val="18"/>
          <w:color w:val="auto"/>
        </w:rPr>
        <w:t>Total</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9,730</w:t>
        <w:tab/>
        <w:t>$</w:t>
        <w:tab/>
        <w:t>10,351</w:t>
        <w:tab/>
        <w:t>$</w:t>
      </w:r>
      <w:r>
        <w:rPr>
          <w:sz w:val="20"/>
          <w:szCs w:val="20"/>
          <w:color w:val="auto"/>
        </w:rPr>
        <w:tab/>
      </w:r>
      <w:r>
        <w:rPr>
          <w:rFonts w:ascii="Times New Roman" w:cs="Times New Roman" w:eastAsia="Times New Roman" w:hAnsi="Times New Roman"/>
          <w:sz w:val="17"/>
          <w:szCs w:val="17"/>
          <w:color w:val="auto"/>
        </w:rPr>
        <w:t>7,721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48960" cy="16319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left="60" w:right="319"/>
        <w:spacing w:after="0" w:line="289" w:lineRule="auto"/>
        <w:rPr>
          <w:sz w:val="20"/>
          <w:szCs w:val="20"/>
          <w:color w:val="auto"/>
        </w:rPr>
      </w:pPr>
      <w:r>
        <w:rPr>
          <w:rFonts w:ascii="Times New Roman" w:cs="Times New Roman" w:eastAsia="Times New Roman" w:hAnsi="Times New Roman"/>
          <w:sz w:val="17"/>
          <w:szCs w:val="17"/>
          <w:color w:val="auto"/>
        </w:rPr>
        <w:t>As of December 31, 2025, the Company had no federal and less than $0.1 million state NOL carryforwards. These State NOLs expire beginning 2029. The utilization of NOL carryforwards and state enterprise zone credits may be subject to limitation under section 382 of the Internal Revenue Code of 1986 (the “Code”) and similar state law provisions.</w:t>
      </w:r>
    </w:p>
    <w:p>
      <w:pPr>
        <w:spacing w:after="0" w:line="158"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Deferred income tax assets and liabilities are recorded for differences between the financial statement and tax basis of the assets and liabilities that will result in taxable or deductible amounts in the future based on enacted laws and rates applicable to the periods in which the differences are expected to affect taxable income. Valuation allowances are established when necessary to reduce deferred tax assets to the amount expected to be realized.</w:t>
      </w:r>
    </w:p>
    <w:p>
      <w:pPr>
        <w:spacing w:after="0" w:line="180"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The Company has evaluated the available evidence supporting the realization of its gross deferred tax assets. After evaluating all of the positive and negative evidence, including the Company’s continued income from operations, the Company concluded that it is more likely than not that its deferred tax assets will be realized. As of December 31, 2025 and December 25, 2024, the Company had no valuation allowance.</w:t>
      </w:r>
    </w:p>
    <w:p>
      <w:pPr>
        <w:spacing w:after="0" w:line="180"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Company’s deferred tax assets and liabilities as of December 31, 2025 and December 25, 2024 are summarized below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3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December 31,</w:t>
            </w:r>
          </w:p>
        </w:tc>
        <w:tc>
          <w:tcPr>
            <w:tcW w:w="11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 December 25,</w:t>
            </w:r>
          </w:p>
        </w:tc>
        <w:tc>
          <w:tcPr>
            <w:tcW w:w="0" w:type="dxa"/>
            <w:vAlign w:val="bottom"/>
          </w:tcPr>
          <w:p>
            <w:pPr>
              <w:spacing w:after="0"/>
              <w:rPr>
                <w:sz w:val="1"/>
                <w:szCs w:val="1"/>
                <w:color w:val="auto"/>
              </w:rPr>
            </w:pPr>
          </w:p>
        </w:tc>
      </w:tr>
      <w:tr>
        <w:trPr>
          <w:trHeight w:val="173"/>
        </w:trPr>
        <w:tc>
          <w:tcPr>
            <w:tcW w:w="4520" w:type="dxa"/>
            <w:vAlign w:val="bottom"/>
            <w:tcBorders>
              <w:bottom w:val="single" w:sz="8" w:color="CCEEFF"/>
            </w:tcBorders>
          </w:tcPr>
          <w:p>
            <w:pPr>
              <w:spacing w:after="0"/>
              <w:rPr>
                <w:sz w:val="15"/>
                <w:szCs w:val="15"/>
                <w:color w:val="auto"/>
              </w:rPr>
            </w:pPr>
          </w:p>
        </w:tc>
        <w:tc>
          <w:tcPr>
            <w:tcW w:w="23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assets:</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leases</w:t>
            </w:r>
          </w:p>
        </w:tc>
        <w:tc>
          <w:tcPr>
            <w:tcW w:w="2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vacation</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workers’ compensation</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losses</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liabilities</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Deferred liabilities:</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Trademark</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ROU assets</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(71,336)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spacing w:after="0" w:line="312" w:lineRule="auto"/>
        <w:rPr>
          <w:sz w:val="20"/>
          <w:szCs w:val="20"/>
          <w:color w:val="auto"/>
        </w:rPr>
      </w:pPr>
      <w:r>
        <w:rPr>
          <w:rFonts w:ascii="Times New Roman" w:cs="Times New Roman" w:eastAsia="Times New Roman" w:hAnsi="Times New Roman"/>
          <w:sz w:val="17"/>
          <w:szCs w:val="17"/>
          <w:color w:val="auto"/>
        </w:rPr>
        <w:t>The net deferred tax asset/(liability) amounts above as of December 31, 2025 and December 25, 2024 have been classified in the accompanying consolidated balance sheets as noncurrent assets/(liabilities) and are as follows (in thousands):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3740" w:type="dxa"/>
            <w:vAlign w:val="bottom"/>
            <w:gridSpan w:val="4"/>
          </w:tcPr>
          <w:p>
            <w:pPr>
              <w:ind w:left="2680"/>
              <w:spacing w:after="0"/>
              <w:rPr>
                <w:sz w:val="20"/>
                <w:szCs w:val="20"/>
                <w:color w:val="auto"/>
              </w:rPr>
            </w:pPr>
            <w:r>
              <w:rPr>
                <w:rFonts w:ascii="Times New Roman" w:cs="Times New Roman" w:eastAsia="Times New Roman" w:hAnsi="Times New Roman"/>
                <w:sz w:val="14"/>
                <w:szCs w:val="14"/>
                <w:b w:val="1"/>
                <w:bCs w:val="1"/>
                <w:color w:val="auto"/>
              </w:rPr>
              <w:t>​​​ December 31,</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December 25,</w:t>
            </w:r>
          </w:p>
        </w:tc>
        <w:tc>
          <w:tcPr>
            <w:tcW w:w="0" w:type="dxa"/>
            <w:vAlign w:val="bottom"/>
          </w:tcPr>
          <w:p>
            <w:pPr>
              <w:spacing w:after="0"/>
              <w:rPr>
                <w:sz w:val="1"/>
                <w:szCs w:val="1"/>
                <w:color w:val="auto"/>
              </w:rPr>
            </w:pPr>
          </w:p>
        </w:tc>
      </w:tr>
      <w:tr>
        <w:trPr>
          <w:trHeight w:val="173"/>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2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 state</w:t>
            </w:r>
          </w:p>
        </w:tc>
        <w:tc>
          <w:tcPr>
            <w:tcW w:w="3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3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 federal</w:t>
            </w:r>
          </w:p>
        </w:tc>
        <w:tc>
          <w:tcPr>
            <w:tcW w:w="2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2025 and December 25, 2024, the Company had no accrual for unrecognized tax</w:t>
      </w:r>
    </w:p>
    <w:p>
      <w:pPr>
        <w:spacing w:after="0" w:line="27" w:lineRule="exact"/>
        <w:rPr>
          <w:sz w:val="20"/>
          <w:szCs w:val="20"/>
          <w:color w:val="auto"/>
        </w:rPr>
      </w:pPr>
    </w:p>
    <w:p>
      <w:pPr>
        <w:ind w:left="60" w:right="179"/>
        <w:spacing w:after="0" w:line="260" w:lineRule="auto"/>
        <w:rPr>
          <w:sz w:val="20"/>
          <w:szCs w:val="20"/>
          <w:color w:val="auto"/>
        </w:rPr>
      </w:pPr>
      <w:r>
        <w:rPr>
          <w:rFonts w:ascii="Times New Roman" w:cs="Times New Roman" w:eastAsia="Times New Roman" w:hAnsi="Times New Roman"/>
          <w:sz w:val="18"/>
          <w:szCs w:val="18"/>
          <w:color w:val="auto"/>
        </w:rPr>
        <w:t>benefits. Consequently, no interest or penalties have been accrued by the Company. The Company is subject to taxation in the United States and in various state jurisdictions.</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Company is no longer subject to U.S. examination for years before 2022 by the federal taxing authority, and for years before 2021 by state taxing authorities.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EMPLOYEE BENEFIT PLANS</w:t>
      </w:r>
    </w:p>
    <w:p>
      <w:pPr>
        <w:spacing w:after="0" w:line="22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Company sponsors a defined contribution employee benefit plan that permits its employees, subject to certain eligibility requirements, to contribute up to 25% of their qualified compensation to the plan. The Company matches 100% of the employees’ contributions of the first 3% of the employees’ annual qualified compensation, and 50% of the employees’ contributions of the next 2% of the employees’ annual qualified compensation. The Company’s matching contribution immediately fully vests. The Company’s contributions to the plan were $0.9 million for the year ended December 31, 2025 and $0.8 million for both the years ended December 25, 2024 and December 27, 2023.</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29"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Pursuant to the 2018 Omnibus Equity Incentive Plan the Company grants stock options (“options”), restricted stock units, performance-based stock units and restricted stock. On May 29, 2025, the Company’s stockholders approved an amendment to the Incentive Plan, under which the new aggregate share limit was increased by 1,250,000 shares for a total of 4,500,000 shares. As of December 31, 2025, 525,898 shares were available for grant.</w:t>
      </w:r>
    </w:p>
    <w:p>
      <w:pPr>
        <w:spacing w:after="0" w:line="180"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2025, December 25, 2024 and December 27, 2023, the Company recognized stock-based compensation expense of $5.4 million, $3.9 million and $3.0 million, respectively. These expenses were included in general and administrative expenses consistent with the salary expense for the related grantees in the accompanying consolidated statements of income.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At December 31, 2025, options to purchase 1,233,984 shares of common stock of the Company were outstanding, including 444,364 vested and 789,620 unvested. Unvested options vest over time, or upon the Company’s achievement of annual financial goals. However, the compensation committee of the board of directors, as administrator of the Company’s Equity Incentive Plan, has the power to accelerate the vesting schedule of stock-based compensation, and, generally, in the event of an employee termination in connection with a change in control of the Company, any unvested portion of an award under the plan shall become fully vested. At December 31, 2025, there were no premium options that were granted above the stock price at date of grant. In fiscal 2025, the Company granted 525,493 options, with an exercise price equal to the fair market value of the common stock on the date of grant. The options granted in fiscal 2025 had a three year vesting period. Stock options generally expire ten years from the date of grant. In fiscal 2024, the Company</w:t>
      </w:r>
    </w:p>
    <w:p>
      <w:pPr>
        <w:spacing w:after="0" w:line="6"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granted 578,473 options, with an exercise price equal to the fair market value of the common stock on the date of grant. The options granted in fiscal 2024 had a four year vesting period. Stock options generally expire 10 years from the date of grant. Changes in options for the years ended December 31, 2025 and December 25, 2024, are as follows: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360" w:type="dxa"/>
            <w:vAlign w:val="bottom"/>
            <w:gridSpan w:val="3"/>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0" w:type="dxa"/>
            <w:vAlign w:val="bottom"/>
          </w:tcPr>
          <w:p>
            <w:pPr>
              <w:spacing w:after="0"/>
              <w:rPr>
                <w:sz w:val="13"/>
                <w:szCs w:val="13"/>
                <w:color w:val="auto"/>
              </w:rPr>
            </w:pPr>
          </w:p>
        </w:tc>
        <w:tc>
          <w:tcPr>
            <w:tcW w:w="8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December 27, 2023</w:t>
            </w:r>
          </w:p>
        </w:tc>
        <w:tc>
          <w:tcPr>
            <w:tcW w:w="4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843,320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578,473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(163,696)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cancelled or expired</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(159,777)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December 25, 2024</w:t>
            </w:r>
          </w:p>
        </w:tc>
        <w:tc>
          <w:tcPr>
            <w:tcW w:w="4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1,098,320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525,493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(113,307)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cancelled or expired</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(276,522)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December 31, 2025</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1,233,984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20" w:type="dxa"/>
            <w:vAlign w:val="bottom"/>
            <w:tcBorders>
              <w:top w:val="single" w:sz="8" w:color="CCEEFF"/>
              <w:bottom w:val="single" w:sz="8" w:color="CCEEFF"/>
            </w:tcBorders>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7.17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2025</w:t>
            </w:r>
          </w:p>
        </w:tc>
        <w:tc>
          <w:tcPr>
            <w:tcW w:w="48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gridSpan w:val="2"/>
            <w:vMerge w:val="restart"/>
          </w:tcPr>
          <w:p>
            <w:pPr>
              <w:jc w:val="right"/>
              <w:ind w:right="308"/>
              <w:spacing w:after="0"/>
              <w:rPr>
                <w:sz w:val="20"/>
                <w:szCs w:val="20"/>
                <w:color w:val="auto"/>
              </w:rPr>
            </w:pPr>
            <w:r>
              <w:rPr>
                <w:rFonts w:ascii="Times New Roman" w:cs="Times New Roman" w:eastAsia="Times New Roman" w:hAnsi="Times New Roman"/>
                <w:sz w:val="18"/>
                <w:szCs w:val="18"/>
                <w:color w:val="auto"/>
              </w:rPr>
              <w:t>7.15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ind w:right="215"/>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line="20" w:lineRule="exact"/>
              <w:rPr>
                <w:sz w:val="1"/>
                <w:szCs w:val="1"/>
                <w:color w:val="auto"/>
              </w:rPr>
            </w:pPr>
          </w:p>
        </w:tc>
      </w:tr>
      <w:tr>
        <w:trPr>
          <w:trHeight w:val="236"/>
        </w:trPr>
        <w:tc>
          <w:tcPr>
            <w:tcW w:w="406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1,223,897</w:t>
            </w: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10.46</w:t>
            </w:r>
          </w:p>
        </w:tc>
        <w:tc>
          <w:tcPr>
            <w:tcW w:w="1220" w:type="dxa"/>
            <w:vAlign w:val="bottom"/>
            <w:tcBorders>
              <w:bottom w:val="single" w:sz="8" w:color="CCEEFF"/>
            </w:tcBorders>
            <w:gridSpan w:val="2"/>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0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December 31, 2025</w:t>
            </w:r>
          </w:p>
        </w:tc>
        <w:tc>
          <w:tcPr>
            <w:tcW w:w="4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444,364</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10.70</w:t>
            </w:r>
          </w:p>
        </w:tc>
        <w:tc>
          <w:tcPr>
            <w:tcW w:w="1220" w:type="dxa"/>
            <w:vAlign w:val="bottom"/>
            <w:tcBorders>
              <w:bottom w:val="single" w:sz="8" w:color="CCEEFF"/>
            </w:tcBorders>
            <w:gridSpan w:val="2"/>
            <w:shd w:val="clear" w:color="auto" w:fill="CCEEFF"/>
          </w:tcPr>
          <w:p>
            <w:pPr>
              <w:jc w:val="right"/>
              <w:ind w:right="308"/>
              <w:spacing w:after="0" w:line="196" w:lineRule="exact"/>
              <w:rPr>
                <w:sz w:val="20"/>
                <w:szCs w:val="20"/>
                <w:color w:val="auto"/>
              </w:rPr>
            </w:pPr>
            <w:r>
              <w:rPr>
                <w:rFonts w:ascii="Times New Roman" w:cs="Times New Roman" w:eastAsia="Times New Roman" w:hAnsi="Times New Roman"/>
                <w:sz w:val="18"/>
                <w:szCs w:val="18"/>
                <w:color w:val="auto"/>
              </w:rPr>
              <w:t>4.32</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215"/>
              <w:spacing w:after="0" w:line="196" w:lineRule="exact"/>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right="219"/>
        <w:spacing w:after="0" w:line="312" w:lineRule="auto"/>
        <w:rPr>
          <w:sz w:val="20"/>
          <w:szCs w:val="20"/>
          <w:color w:val="auto"/>
        </w:rPr>
      </w:pPr>
      <w:r>
        <w:rPr>
          <w:rFonts w:ascii="Times New Roman" w:cs="Times New Roman" w:eastAsia="Times New Roman" w:hAnsi="Times New Roman"/>
          <w:sz w:val="17"/>
          <w:szCs w:val="17"/>
          <w:color w:val="auto"/>
        </w:rPr>
        <w:t>The intrinsic value of options exercised, calculated as the difference between the market value on the date of exercise and the exercise price, was $0.2 million, $0.3 million and $0.9 million for fiscal years 2025, 2024 and 2023, respectively.</w:t>
      </w:r>
    </w:p>
    <w:p>
      <w:pPr>
        <w:spacing w:after="0" w:line="140"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the estimated fair value of stock options for employees based on the grant-date fair value of the award. For options that are based on a service requirement, the cost is recognized on a straight-line basis over the requisite service period, usually the vesting period. In order to calculate the Company’s stock options’ fair values and the associated compensation costs for share-based awards, the Company utilizes the Black– Scholes option pricing model and has developed estimates of various inputs including forfeiture rate, expected term, expected volatility, and risk-free interest rate. The forfeiture rate is based on historical rates and reduces the compensation expense recognized. The expected term for options granted is derived using the “simplified” method, in accordance with SEC guidance. The Company calculates the risk-free interest rate using the implied yield for a U.S. Treasury security with constant maturity and a remaining term equal to the expected term of the Company’s employee stock options. The Company does not anticipate paying any cash dividends for the foreseeable future and therefore uses an expected dividend yield of zero for option valuation purposes. Expected volatility is based on the Company’s historical data. Volatility is calculated by taking the historical daily closing equity prices of the Company, prior to the grant date, over a period equal to the expected term.</w:t>
      </w:r>
    </w:p>
    <w:p>
      <w:pPr>
        <w:spacing w:after="0" w:line="187"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The weighted-average estimated fair value of employee stock options granted in fiscal 2025 and 2024 was $4.94 and $5.28 per share, respectively, using the Black–Scholes model with the following weighted-average assumptions used to value the option grants: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December 25, 2024</w:t>
            </w:r>
          </w:p>
        </w:tc>
        <w:tc>
          <w:tcPr>
            <w:tcW w:w="160" w:type="dxa"/>
            <w:vAlign w:val="bottom"/>
          </w:tcPr>
          <w:p>
            <w:pPr>
              <w:spacing w:after="0"/>
              <w:rPr>
                <w:sz w:val="15"/>
                <w:szCs w:val="15"/>
                <w:color w:val="auto"/>
              </w:rPr>
            </w:pPr>
          </w:p>
        </w:tc>
      </w:tr>
      <w:tr>
        <w:trPr>
          <w:trHeight w:val="209"/>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3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60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3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shd w:val="clear" w:color="auto" w:fill="CCEEFF"/>
          </w:tcPr>
          <w:p>
            <w:pPr>
              <w:spacing w:after="0"/>
              <w:rPr>
                <w:sz w:val="18"/>
                <w:szCs w:val="18"/>
                <w:color w:val="auto"/>
              </w:rPr>
            </w:pPr>
          </w:p>
        </w:tc>
      </w:tr>
      <w:tr>
        <w:trPr>
          <w:trHeight w:val="23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2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r>
    </w:tbl>
    <w:p>
      <w:pPr>
        <w:spacing w:after="0" w:line="179"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total unrecognized compensation expense of $3 million related to unvested stock options, which the Company expects to recognize over a weighted average period of 2.3 years.</w:t>
      </w:r>
    </w:p>
    <w:p>
      <w:pPr>
        <w:spacing w:after="0" w:line="162"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above assumptions generally require judgment. If in the future the Company determines that another method is more reasonable, or if another method for calculating these input assumptions is prescribed by authoritative guidance, and, therefore, should be used to estimate volatility or expected term, the fair value calculated for the Company’s stock options could change significantly. Higher volatility and longer expected lives result in an increase to stock-based compensation expense determined at the date of grant.</w:t>
      </w:r>
    </w:p>
    <w:p>
      <w:pPr>
        <w:spacing w:after="0" w:line="183"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Company estimates its forfeiture rate based on an analysis of its actual forfeitures and will continue to evaluate the appropriateness of the forfeiture rate based on actual forfeiture experience, analysis of employee turnover behavior, and other factors. Changes in the estimated forfeiture rate can have a significant effect on reported stock-based compensation expense, as the cumulative effect of adjusting the rate for all expense amortization is recognized in the period the forfeiture estimate is changed. If a revised forfeiture rate is higher than the previously-estimated forfeiture rate, an adjustment is made that will result in a decrease to the stock-based compensation expense recognized in the financial statements. If a revised forfeiture rate is lower than the previously-estimated forfeiture rate, an adjustment is made that will result in an increase to the stock-based compensation expense recognized in the financial statements. The effect of forfeiture adjustments was insignificant in fiscal 2025, 2024 and 2023. The Company will continue to use judgment in evaluating the expected term, volatility, and forfeiture rate related to its stock-based compensation.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Restricted Shares</w:t>
      </w:r>
    </w:p>
    <w:p>
      <w:pPr>
        <w:spacing w:after="0" w:line="229" w:lineRule="exact"/>
        <w:rPr>
          <w:sz w:val="20"/>
          <w:szCs w:val="20"/>
          <w:color w:val="auto"/>
        </w:rPr>
      </w:pPr>
    </w:p>
    <w:p>
      <w:pPr>
        <w:jc w:val="both"/>
        <w:ind w:left="60" w:right="259"/>
        <w:spacing w:after="0" w:line="261" w:lineRule="auto"/>
        <w:rPr>
          <w:sz w:val="20"/>
          <w:szCs w:val="20"/>
          <w:color w:val="auto"/>
        </w:rPr>
      </w:pPr>
      <w:r>
        <w:rPr>
          <w:rFonts w:ascii="Times New Roman" w:cs="Times New Roman" w:eastAsia="Times New Roman" w:hAnsi="Times New Roman"/>
          <w:sz w:val="18"/>
          <w:szCs w:val="18"/>
          <w:color w:val="auto"/>
        </w:rPr>
        <w:t>In fiscal 2025 and 2024, 408,348 and 472,186 restricted share awards were granted, respectively, at the fair market value on the date of grant. The grants in fiscal 2025 vest based on continued service over one year for directors and three years for employees and the grants in fiscal 2024 vest based on continued service over one year for directors and four years for employees.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restricted shares for the years ended December 31, 2025 and December 25, 2024, are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900" w:type="dxa"/>
            <w:vAlign w:val="bottom"/>
            <w:gridSpan w:val="3"/>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73"/>
        </w:trPr>
        <w:tc>
          <w:tcPr>
            <w:tcW w:w="47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December 27, 2023</w:t>
            </w:r>
          </w:p>
        </w:tc>
        <w:tc>
          <w:tcPr>
            <w:tcW w:w="19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537,461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472,186</w:t>
            </w:r>
          </w:p>
        </w:tc>
        <w:tc>
          <w:tcPr>
            <w:tcW w:w="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2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(258,506)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cancelled, or expired</w:t>
            </w:r>
          </w:p>
        </w:tc>
        <w:tc>
          <w:tcPr>
            <w:tcW w:w="2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(84,301)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10"/>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December 25, 2024</w:t>
            </w:r>
          </w:p>
        </w:tc>
        <w:tc>
          <w:tcPr>
            <w:tcW w:w="19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666,840</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408,348</w:t>
            </w:r>
          </w:p>
        </w:tc>
        <w:tc>
          <w:tcPr>
            <w:tcW w:w="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2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(286,914)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and cancelled</w:t>
            </w:r>
          </w:p>
        </w:tc>
        <w:tc>
          <w:tcPr>
            <w:tcW w:w="2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(171,237)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10"/>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2025</w:t>
            </w:r>
          </w:p>
        </w:tc>
        <w:tc>
          <w:tcPr>
            <w:tcW w:w="19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617,037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20"/>
        </w:trPr>
        <w:tc>
          <w:tcPr>
            <w:tcW w:w="4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79"/>
        <w:spacing w:after="0" w:line="312" w:lineRule="auto"/>
        <w:rPr>
          <w:sz w:val="20"/>
          <w:szCs w:val="20"/>
          <w:color w:val="auto"/>
        </w:rPr>
      </w:pPr>
      <w:r>
        <w:rPr>
          <w:rFonts w:ascii="Times New Roman" w:cs="Times New Roman" w:eastAsia="Times New Roman" w:hAnsi="Times New Roman"/>
          <w:sz w:val="17"/>
          <w:szCs w:val="17"/>
          <w:color w:val="auto"/>
        </w:rPr>
        <w:t>As of December 31, 2025, there was total unrecognized compensation expense of $4.3 million related to unvested restricted share awards, which the Company expects to recognize over a weighted-average period of 2.13 years.</w:t>
      </w:r>
    </w:p>
    <w:p>
      <w:pPr>
        <w:spacing w:after="0" w:line="14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During fiscal 2025, the Company granted 161,229 restricted stock units subject to performance-based vesting conditions based on Adjusted EBITDA and restaurant contribution margin to certain officers. Each performance-based restricted stock unit ("PSU") has a grant date fair value of $10.42 and a vesting period from the grant date through the date the audit of the Company's fiscal 2027 financial results is expected to be completed. The fair value of each PSU is expensed based on management's current estimate of the level that the performance goal will be achieved. As of December 31, 2025, based on the target level of performance, the total unrecognized compensation expense related to unvested performance stock units was $1.1 million, which is expected to be recognized over a weighted-average period of 2.05 years. Changes in performance-based shares for the years ended December 31, 2025 and December 25 2024, are as follows: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900" w:type="dxa"/>
            <w:vAlign w:val="bottom"/>
            <w:gridSpan w:val="3"/>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73"/>
        </w:trPr>
        <w:tc>
          <w:tcPr>
            <w:tcW w:w="47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December 27, 2023</w:t>
            </w:r>
          </w:p>
        </w:tc>
        <w:tc>
          <w:tcPr>
            <w:tcW w:w="19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41,537</w:t>
            </w:r>
          </w:p>
        </w:tc>
        <w:tc>
          <w:tcPr>
            <w:tcW w:w="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9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cancelled, or expired</w:t>
            </w:r>
          </w:p>
        </w:tc>
        <w:tc>
          <w:tcPr>
            <w:tcW w:w="19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December 25, 2024</w:t>
            </w:r>
          </w:p>
        </w:tc>
        <w:tc>
          <w:tcPr>
            <w:tcW w:w="19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41,537</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161,229</w:t>
            </w:r>
          </w:p>
        </w:tc>
        <w:tc>
          <w:tcPr>
            <w:tcW w:w="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2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(28,973)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and cancelled</w:t>
            </w:r>
          </w:p>
        </w:tc>
        <w:tc>
          <w:tcPr>
            <w:tcW w:w="2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(35,988)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10"/>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2025</w:t>
            </w:r>
          </w:p>
        </w:tc>
        <w:tc>
          <w:tcPr>
            <w:tcW w:w="19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137,805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0"/>
        </w:trPr>
        <w:tc>
          <w:tcPr>
            <w:tcW w:w="4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229" w:lineRule="exact"/>
        <w:rPr>
          <w:sz w:val="20"/>
          <w:szCs w:val="20"/>
          <w:color w:val="auto"/>
        </w:rPr>
      </w:pPr>
    </w:p>
    <w:p>
      <w:pPr>
        <w:ind w:left="60" w:right="119"/>
        <w:spacing w:after="0" w:line="289" w:lineRule="auto"/>
        <w:rPr>
          <w:sz w:val="20"/>
          <w:szCs w:val="20"/>
          <w:color w:val="auto"/>
        </w:rPr>
      </w:pPr>
      <w:r>
        <w:rPr>
          <w:rFonts w:ascii="Times New Roman" w:cs="Times New Roman" w:eastAsia="Times New Roman" w:hAnsi="Times New Roman"/>
          <w:sz w:val="17"/>
          <w:szCs w:val="17"/>
          <w:color w:val="auto"/>
        </w:rPr>
        <w:t>Basic EPS is calculated using the weighted-average number of shares of common stock outstanding during the years ended December 31, 2025, December 25, 2024, and December 27, 2023. Diluted EPS is calculated using the weighted-average number of shares of common stock outstanding and potentially dilutive during the period, using the treasury stock method.</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Below are basic and diluted EPS data for the periods indicated, which are in thousands except for per share data.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9"/>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60" w:type="dxa"/>
            <w:vAlign w:val="bottom"/>
          </w:tcPr>
          <w:p>
            <w:pPr>
              <w:spacing w:after="0"/>
              <w:rPr>
                <w:sz w:val="10"/>
                <w:szCs w:val="10"/>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Pr>
          <w:p>
            <w:pPr>
              <w:spacing w:after="0"/>
              <w:rPr>
                <w:sz w:val="10"/>
                <w:szCs w:val="10"/>
                <w:color w:val="auto"/>
              </w:rPr>
            </w:pPr>
          </w:p>
        </w:tc>
        <w:tc>
          <w:tcPr>
            <w:tcW w:w="2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3"/>
          </w:tcPr>
          <w:p>
            <w:pPr>
              <w:jc w:val="center"/>
              <w:ind w:right="50"/>
              <w:spacing w:after="0" w:line="118" w:lineRule="exact"/>
              <w:rPr>
                <w:sz w:val="20"/>
                <w:szCs w:val="20"/>
                <w:color w:val="auto"/>
              </w:rPr>
            </w:pPr>
            <w:r>
              <w:rPr>
                <w:rFonts w:ascii="Times New Roman" w:cs="Times New Roman" w:eastAsia="Times New Roman" w:hAnsi="Times New Roman"/>
                <w:sz w:val="13"/>
                <w:szCs w:val="13"/>
                <w:b w:val="1"/>
                <w:bCs w:val="1"/>
                <w:color w:val="auto"/>
              </w:rPr>
              <w:t>December 25,</w:t>
            </w: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center"/>
              <w:ind w:right="10"/>
              <w:spacing w:after="0" w:line="118" w:lineRule="exact"/>
              <w:rPr>
                <w:sz w:val="20"/>
                <w:szCs w:val="20"/>
                <w:color w:val="auto"/>
              </w:rPr>
            </w:pPr>
            <w:r>
              <w:rPr>
                <w:rFonts w:ascii="Times New Roman" w:cs="Times New Roman" w:eastAsia="Times New Roman" w:hAnsi="Times New Roman"/>
                <w:sz w:val="13"/>
                <w:szCs w:val="13"/>
                <w:b w:val="1"/>
                <w:bCs w:val="1"/>
                <w:color w:val="auto"/>
              </w:rPr>
              <w:t>December 27,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900" w:type="dxa"/>
            <w:vAlign w:val="bottom"/>
            <w:gridSpan w:val="2"/>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940" w:type="dxa"/>
            <w:vAlign w:val="bottom"/>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180" w:type="dxa"/>
            <w:vAlign w:val="bottom"/>
            <w:gridSpan w:val="3"/>
            <w:vMerge w:val="continue"/>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25,684</w:t>
            </w:r>
          </w:p>
        </w:tc>
        <w:tc>
          <w:tcPr>
            <w:tcW w:w="40" w:type="dxa"/>
            <w:vAlign w:val="bottom"/>
          </w:tcPr>
          <w:p>
            <w:pPr>
              <w:spacing w:after="0"/>
              <w:rPr>
                <w:sz w:val="22"/>
                <w:szCs w:val="22"/>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25,554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ind w:right="19"/>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outstanding—basic</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29,178,940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29,850,256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34,253,542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outstanding—diluted</w:t>
            </w: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29,396,890</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30,034,978</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34,374,706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share—basic</w:t>
            </w:r>
          </w:p>
        </w:tc>
        <w:tc>
          <w:tcPr>
            <w:tcW w:w="4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0.91</w:t>
            </w:r>
          </w:p>
        </w:tc>
        <w:tc>
          <w:tcPr>
            <w:tcW w:w="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0.86</w:t>
            </w:r>
          </w:p>
        </w:tc>
        <w:tc>
          <w:tcPr>
            <w:tcW w:w="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share—diluted</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4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Anti-dilutive securities not considered in diluted EPS calculation</w:t>
            </w: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6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1,041,605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742,663</w:t>
            </w:r>
          </w:p>
        </w:tc>
        <w:tc>
          <w:tcPr>
            <w:tcW w:w="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972,181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Below is a reconciliation of basic and diluted share counts.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0" w:type="dxa"/>
            <w:vAlign w:val="bottom"/>
          </w:tcPr>
          <w:p>
            <w:pPr>
              <w:spacing w:after="0"/>
              <w:rPr>
                <w:sz w:val="1"/>
                <w:szCs w:val="1"/>
                <w:color w:val="auto"/>
              </w:rPr>
            </w:pPr>
          </w:p>
        </w:tc>
      </w:tr>
      <w:tr>
        <w:trPr>
          <w:trHeight w:val="117"/>
        </w:trPr>
        <w:tc>
          <w:tcPr>
            <w:tcW w:w="5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980" w:type="dxa"/>
            <w:vAlign w:val="bottom"/>
            <w:tcBorders>
              <w:top w:val="single" w:sz="8" w:color="auto"/>
            </w:tcBorders>
            <w:gridSpan w:val="5"/>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980" w:type="dxa"/>
            <w:vAlign w:val="bottom"/>
            <w:tcBorders>
              <w:top w:val="single" w:sz="8" w:color="auto"/>
            </w:tcBorders>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25,</w:t>
            </w: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27,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outstanding—basic</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29,178,940</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29,850,256</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34,253,542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 options and restricted shares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217,950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184,722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121,164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outstanding—diluted</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29,396,890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30,034,978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34,374,706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12529"/>
        </w:rPr>
        <w:t>Share Repurchases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November 2, 2023, the Company announced that the Board approved a share repurchase program (“Share Repurchase Program”) under which the Company was authorized to repurchase up to $20,000,000 of shares of the Company’s common stock. Under the Share Repurchase Program, the Company was permitted to repurchase its common stock from time to time, in amounts and at prices that the Company deemed appropriate, subject to market conditions and other considerations. Pursuant to the Share Repurchase Program, the Company was authorized to effect repurchases using open market purchases, including pursuant to Rule 10b5-1 trading plans, and/or through privately negotiated transactions. The repurchase program did not obligate the Company to acquire any particular number of shares. The repurchase program was terminated on March 31, 2025.</w:t>
      </w:r>
    </w:p>
    <w:p>
      <w:pPr>
        <w:spacing w:after="0" w:line="192" w:lineRule="exact"/>
        <w:rPr>
          <w:sz w:val="20"/>
          <w:szCs w:val="20"/>
          <w:color w:val="auto"/>
        </w:rPr>
      </w:pPr>
    </w:p>
    <w:p>
      <w:pPr>
        <w:ind w:left="60" w:right="159"/>
        <w:spacing w:after="0" w:line="289" w:lineRule="auto"/>
        <w:rPr>
          <w:sz w:val="20"/>
          <w:szCs w:val="20"/>
          <w:color w:val="auto"/>
        </w:rPr>
      </w:pPr>
      <w:r>
        <w:rPr>
          <w:rFonts w:ascii="Times New Roman" w:cs="Times New Roman" w:eastAsia="Times New Roman" w:hAnsi="Times New Roman"/>
          <w:sz w:val="17"/>
          <w:szCs w:val="17"/>
          <w:color w:val="212529"/>
        </w:rPr>
        <w:t>Further, on December 4, 2023, the Company repurchased 1.5 million shares for a total purchase price of $12.6 million under the Stock Repurchase Program. Following completion of this repurchase, approximately $7.4 million of the Company’s common stock remained available for repurchase under the Share Repurchase Program at December 27, 2023.</w:t>
      </w:r>
    </w:p>
    <w:p>
      <w:pPr>
        <w:spacing w:after="0" w:line="158"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For the year ended December 25, 2024, the Company repurchased 535,628 shares of common stock under the Share Repurchase Program, using open market purchases, for total consideration of approximately $5.6 million. Following the completion of these repurchases, approximately $1.8 million of our common stock remained available for repurchases under the Share Repurchase Program.</w:t>
      </w:r>
    </w:p>
    <w:p>
      <w:pPr>
        <w:spacing w:after="0" w:line="180" w:lineRule="exact"/>
        <w:rPr>
          <w:sz w:val="20"/>
          <w:szCs w:val="20"/>
          <w:color w:val="auto"/>
        </w:rPr>
      </w:pPr>
    </w:p>
    <w:p>
      <w:pPr>
        <w:ind w:left="60" w:right="4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prior to the termination of the program on March 31, 2025, the Company repurchased 163,229 shares of its common stock for a total purchase price of $1.8 million under the Stock Repurchase Program.</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Share Repurchases</w:t>
      </w:r>
    </w:p>
    <w:p>
      <w:pPr>
        <w:spacing w:after="0" w:line="227" w:lineRule="exact"/>
        <w:rPr>
          <w:sz w:val="20"/>
          <w:szCs w:val="20"/>
          <w:color w:val="auto"/>
        </w:rPr>
      </w:pPr>
    </w:p>
    <w:p>
      <w:pPr>
        <w:ind w:left="60" w:right="259"/>
        <w:spacing w:after="0" w:line="312" w:lineRule="auto"/>
        <w:rPr>
          <w:sz w:val="20"/>
          <w:szCs w:val="20"/>
          <w:color w:val="auto"/>
        </w:rPr>
      </w:pPr>
      <w:r>
        <w:rPr>
          <w:rFonts w:ascii="Times New Roman" w:cs="Times New Roman" w:eastAsia="Times New Roman" w:hAnsi="Times New Roman"/>
          <w:sz w:val="17"/>
          <w:szCs w:val="17"/>
          <w:color w:val="auto"/>
        </w:rPr>
        <w:t>On August 7, 2023, the Company entered into a Stock Repurchase Agreement with the Sellers, as amended on August 4, 2024, pursuant to which the Company agreed to purchase an aggregate of 2,500,000 shares of the Company’s common</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stock from the Sellers at a price of $10.63 per share, representing the closing price of such shares as listed on Nasdaq on August 7, 2023, for a total purchase price of $26.6 million. The repurchase was completed in August 2023.</w:t>
      </w:r>
    </w:p>
    <w:p>
      <w:pPr>
        <w:spacing w:after="0" w:line="162"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212529"/>
        </w:rPr>
        <w:t xml:space="preserve">Further, on May 23, 2024, the Company </w:t>
      </w:r>
      <w:r>
        <w:rPr>
          <w:rFonts w:ascii="Times New Roman" w:cs="Times New Roman" w:eastAsia="Times New Roman" w:hAnsi="Times New Roman"/>
          <w:sz w:val="18"/>
          <w:szCs w:val="18"/>
          <w:color w:val="000000"/>
        </w:rPr>
        <w:t>entered into a new Stock Repurchase Agreement with the Sellers, pursuant to</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which the Company agreed to purchase an aggregate of 1,534,303 shares of its common stock from the Sellers at a price of $9.785 per share for a total purchase price of $15.0 million. The repurchase was completed in May 2024.</w:t>
      </w:r>
    </w:p>
    <w:p>
      <w:pPr>
        <w:spacing w:after="0" w:line="176" w:lineRule="exact"/>
        <w:rPr>
          <w:sz w:val="20"/>
          <w:szCs w:val="20"/>
          <w:color w:val="auto"/>
        </w:rPr>
      </w:pPr>
    </w:p>
    <w:p>
      <w:pPr>
        <w:jc w:val="both"/>
        <w:ind w:left="60" w:right="339"/>
        <w:spacing w:after="0" w:line="289" w:lineRule="auto"/>
        <w:rPr>
          <w:sz w:val="20"/>
          <w:szCs w:val="20"/>
          <w:color w:val="auto"/>
        </w:rPr>
      </w:pPr>
      <w:r>
        <w:rPr>
          <w:rFonts w:ascii="Times New Roman" w:cs="Times New Roman" w:eastAsia="Times New Roman" w:hAnsi="Times New Roman"/>
          <w:sz w:val="17"/>
          <w:szCs w:val="17"/>
          <w:color w:val="auto"/>
        </w:rPr>
        <w:t>Prior to the repurchase, Freeman Spogli &amp; Co. (“Freeman Spogli”), collectively with the Sellers and certain other funds managed by Freeman Spogli, was the Company’s largest stockholder. In addition, John Roth, a director of the Company until his resignation on August 16, 2023, was a general partner of Freeman Spogli and its chief executive officer.</w:t>
      </w:r>
    </w:p>
    <w:p>
      <w:pPr>
        <w:spacing w:after="0" w:line="200" w:lineRule="exact"/>
        <w:rPr>
          <w:sz w:val="20"/>
          <w:szCs w:val="20"/>
          <w:color w:val="auto"/>
        </w:rPr>
      </w:pPr>
    </w:p>
    <w:p>
      <w:pPr>
        <w:spacing w:after="0" w:line="386" w:lineRule="exact"/>
        <w:rPr>
          <w:sz w:val="20"/>
          <w:szCs w:val="20"/>
          <w:color w:val="auto"/>
        </w:rPr>
      </w:pPr>
    </w:p>
    <w:p>
      <w:pPr>
        <w:ind w:left="60" w:right="5259" w:hanging="10"/>
        <w:spacing w:after="0" w:line="503" w:lineRule="auto"/>
        <w:tabs>
          <w:tab w:leader="none" w:pos="33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Matters</w:t>
      </w: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involved in various claims such as wage and hour and other legal actions that arise in the ordinary course of business. The outcomes of these actions are not predictable but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consolidated financial condition, results of operations, and cash flows.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 Commitments</w:t>
      </w:r>
    </w:p>
    <w:p>
      <w:pPr>
        <w:spacing w:after="0" w:line="22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Company has long-term beverage supply agreements with certain major beverage vendors. Pursuant to the terms of these arrangements, volume and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2032.</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December 31, 2025, the Company’s total estimated commitment to purchase chicken was $26.2 million.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Contingent Lease Obligations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As a result of assigning the Company’s interest in obligations under real estate leases in connection with the sale of company-operated restaurants to some of the Company’s franchisees, the Company is contingently liable on three lease agreements. These leases have various terms, the latest of which expires in 2038. As of December 31, 2025, the potential amount of undiscounted payments the Company could be required to make in the event of non-payment by the primary lessees was $3.6 million. The present value of these potential payments discounted at the Company’s estimated pre-tax cost of debt at December 31, 2025 was $2.9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employment agreements with three of the officers of the Company. These agreements provide for minimum salary levels, possible annual adjustments for cost-of-living changes, and incentive bonuses that are payable under certain business conditions.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pacing w:after="0" w:line="179" w:lineRule="exact"/>
        <w:rPr>
          <w:sz w:val="20"/>
          <w:szCs w:val="20"/>
          <w:color w:val="auto"/>
        </w:rPr>
      </w:pPr>
    </w:p>
    <w:p>
      <w:pPr>
        <w:ind w:left="60" w:right="4319" w:hanging="10"/>
        <w:spacing w:after="0" w:line="502" w:lineRule="auto"/>
        <w:tabs>
          <w:tab w:leader="none" w:pos="33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Revenue Recognition</w:t>
      </w:r>
    </w:p>
    <w:p>
      <w:pPr>
        <w:ind w:left="60"/>
        <w:spacing w:after="0"/>
        <w:rPr>
          <w:sz w:val="20"/>
          <w:szCs w:val="20"/>
          <w:color w:val="auto"/>
        </w:rPr>
      </w:pPr>
      <w:r>
        <w:rPr>
          <w:rFonts w:ascii="Times New Roman" w:cs="Times New Roman" w:eastAsia="Times New Roman" w:hAnsi="Times New Roman"/>
          <w:sz w:val="18"/>
          <w:szCs w:val="18"/>
          <w:i w:val="1"/>
          <w:iCs w:val="1"/>
          <w:color w:val="auto"/>
        </w:rPr>
        <w:t>Nature of products and services</w:t>
      </w:r>
    </w:p>
    <w:p>
      <w:pPr>
        <w:spacing w:after="0" w:line="227"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Company has two revenue streams, company-operated restaurant revenue and franchise related revenue. See Note 2 “Summary of Significant Accounting Policies” for a description of the revenue recognition policies.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Franchise and franchise advertising fee revenue</w:t>
      </w:r>
    </w:p>
    <w:p>
      <w:pPr>
        <w:spacing w:after="0" w:line="227" w:lineRule="exact"/>
        <w:rPr>
          <w:sz w:val="20"/>
          <w:szCs w:val="20"/>
          <w:color w:val="auto"/>
        </w:rPr>
      </w:pPr>
    </w:p>
    <w:p>
      <w:pPr>
        <w:jc w:val="both"/>
        <w:ind w:left="60" w:right="279"/>
        <w:spacing w:after="0" w:line="266" w:lineRule="auto"/>
        <w:rPr>
          <w:sz w:val="20"/>
          <w:szCs w:val="20"/>
          <w:color w:val="auto"/>
        </w:rPr>
      </w:pPr>
      <w:r>
        <w:rPr>
          <w:rFonts w:ascii="Times New Roman" w:cs="Times New Roman" w:eastAsia="Times New Roman" w:hAnsi="Times New Roman"/>
          <w:sz w:val="18"/>
          <w:szCs w:val="18"/>
          <w:color w:val="auto"/>
        </w:rPr>
        <w:t>Franchise revenue consists of franchise royalties, initial and renewal franchise fees, license fees due from franchisees, IT support services, IT pass through fees related to IT hardware or software and rental income for subleases to franchisees. Franchise advertising fee revenue consists of advertising contributions received from franchisees.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geographic market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December 25, 2024 and December 27, 2023:</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December 31, 2025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December 25, 2024</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2023</w:t>
            </w:r>
          </w:p>
        </w:tc>
      </w:tr>
      <w:tr>
        <w:trPr>
          <w:trHeight w:val="210"/>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Los Angeles area market</w:t>
            </w:r>
          </w:p>
        </w:tc>
        <w:tc>
          <w:tcPr>
            <w:tcW w:w="1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71.9 %</w:t>
            </w: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72.0 %</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markets</w:t>
            </w:r>
          </w:p>
        </w:tc>
        <w:tc>
          <w:tcPr>
            <w:tcW w:w="2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28.1 %</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28.0 %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80" w:type="dxa"/>
            <w:vAlign w:val="bottom"/>
          </w:tcPr>
          <w:p>
            <w:pPr>
              <w:spacing w:after="0"/>
              <w:rPr>
                <w:sz w:val="18"/>
                <w:szCs w:val="18"/>
                <w:color w:val="auto"/>
              </w:rPr>
            </w:pPr>
          </w:p>
        </w:tc>
      </w:tr>
      <w:tr>
        <w:trPr>
          <w:trHeight w:val="210"/>
        </w:trPr>
        <w:tc>
          <w:tcPr>
            <w:tcW w:w="35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100 %</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100 %</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provides information about the change in the franchise contract liability balances during the year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and December 25, 2024 (in thousands):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27, 2023</w:t>
            </w:r>
          </w:p>
        </w:tc>
        <w:tc>
          <w:tcPr>
            <w:tcW w:w="324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w:t>
            </w: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Revenue recognized</w:t>
            </w:r>
          </w:p>
        </w:tc>
        <w:tc>
          <w:tcPr>
            <w:tcW w:w="2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contract liability</w:t>
            </w:r>
          </w:p>
        </w:tc>
        <w:tc>
          <w:tcPr>
            <w:tcW w:w="28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25, 2024</w:t>
            </w:r>
          </w:p>
        </w:tc>
        <w:tc>
          <w:tcPr>
            <w:tcW w:w="286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w:t>
            </w:r>
          </w:p>
        </w:tc>
      </w:tr>
      <w:tr>
        <w:trPr>
          <w:trHeight w:val="21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Revenue recognized</w:t>
            </w:r>
          </w:p>
        </w:tc>
        <w:tc>
          <w:tcPr>
            <w:tcW w:w="2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4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Additional contract liability</w:t>
            </w:r>
          </w:p>
        </w:tc>
        <w:tc>
          <w:tcPr>
            <w:tcW w:w="28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10"/>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8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6,153</w:t>
            </w:r>
          </w:p>
        </w:tc>
      </w:tr>
      <w:tr>
        <w:trPr>
          <w:trHeight w:val="20"/>
        </w:trPr>
        <w:tc>
          <w:tcPr>
            <w:tcW w:w="4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Company’s franchise contract liability includes development fees, initial franchise and license fees, franchise renewal fees, lease subsidies and royalty discounts and is included within other accrued expenses and current liabilities and other noncurrent liabilities within the accompanying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 agreement. Revenue is recognized from these agreements as the underlying performance obligation is satisfied, which is over the term of the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estimated revenue to be recognized in the future related to performance obligations that are unsatisfied as of December 31, 2025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Franchise revenues:</w:t>
            </w:r>
          </w:p>
        </w:tc>
        <w:tc>
          <w:tcPr>
            <w:tcW w:w="3720" w:type="dxa"/>
            <w:vAlign w:val="bottom"/>
            <w:tcBorders>
              <w:bottom w:val="single" w:sz="8" w:color="auto"/>
            </w:tcBorders>
            <w:gridSpan w:val="2"/>
          </w:tcPr>
          <w:p>
            <w:pPr>
              <w:jc w:val="right"/>
              <w:ind w:right="376"/>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372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40" w:type="dxa"/>
            <w:vAlign w:val="bottom"/>
          </w:tcPr>
          <w:p>
            <w:pPr>
              <w:spacing w:after="0"/>
              <w:rPr>
                <w:sz w:val="18"/>
                <w:szCs w:val="18"/>
                <w:color w:val="auto"/>
              </w:rPr>
            </w:pPr>
          </w:p>
        </w:tc>
      </w:tr>
      <w:tr>
        <w:trPr>
          <w:trHeight w:val="216"/>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3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40" w:type="dxa"/>
            <w:vAlign w:val="bottom"/>
          </w:tcPr>
          <w:p>
            <w:pPr>
              <w:spacing w:after="0"/>
              <w:rPr>
                <w:sz w:val="18"/>
                <w:szCs w:val="18"/>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2028</w:t>
            </w:r>
          </w:p>
        </w:tc>
        <w:tc>
          <w:tcPr>
            <w:tcW w:w="3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40" w:type="dxa"/>
            <w:vAlign w:val="bottom"/>
          </w:tcPr>
          <w:p>
            <w:pPr>
              <w:spacing w:after="0"/>
              <w:rPr>
                <w:sz w:val="18"/>
                <w:szCs w:val="18"/>
                <w:color w:val="auto"/>
              </w:rPr>
            </w:pPr>
          </w:p>
        </w:tc>
      </w:tr>
      <w:tr>
        <w:trPr>
          <w:trHeight w:val="216"/>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2029</w:t>
            </w:r>
          </w:p>
        </w:tc>
        <w:tc>
          <w:tcPr>
            <w:tcW w:w="3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40" w:type="dxa"/>
            <w:vAlign w:val="bottom"/>
          </w:tcPr>
          <w:p>
            <w:pPr>
              <w:spacing w:after="0"/>
              <w:rPr>
                <w:sz w:val="18"/>
                <w:szCs w:val="18"/>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2030</w:t>
            </w:r>
          </w:p>
        </w:tc>
        <w:tc>
          <w:tcPr>
            <w:tcW w:w="3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40" w:type="dxa"/>
            <w:vAlign w:val="bottom"/>
          </w:tcPr>
          <w:p>
            <w:pPr>
              <w:spacing w:after="0"/>
              <w:rPr>
                <w:sz w:val="18"/>
                <w:szCs w:val="18"/>
                <w:color w:val="auto"/>
              </w:rPr>
            </w:pPr>
          </w:p>
        </w:tc>
      </w:tr>
      <w:tr>
        <w:trPr>
          <w:trHeight w:val="216"/>
        </w:trPr>
        <w:tc>
          <w:tcPr>
            <w:tcW w:w="4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33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40" w:type="dxa"/>
            <w:vAlign w:val="bottom"/>
          </w:tcPr>
          <w:p>
            <w:pPr>
              <w:spacing w:after="0"/>
              <w:rPr>
                <w:sz w:val="18"/>
                <w:szCs w:val="18"/>
                <w:color w:val="auto"/>
              </w:rPr>
            </w:pPr>
          </w:p>
        </w:tc>
      </w:tr>
      <w:tr>
        <w:trPr>
          <w:trHeight w:val="209"/>
        </w:trPr>
        <w:tc>
          <w:tcPr>
            <w:tcW w:w="4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6,153</w:t>
            </w:r>
          </w:p>
        </w:tc>
        <w:tc>
          <w:tcPr>
            <w:tcW w:w="4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859"/>
        <w:spacing w:after="0" w:line="282" w:lineRule="auto"/>
        <w:rPr>
          <w:sz w:val="20"/>
          <w:szCs w:val="20"/>
          <w:color w:val="auto"/>
        </w:rPr>
      </w:pPr>
      <w:r>
        <w:rPr>
          <w:rFonts w:ascii="Times New Roman" w:cs="Times New Roman" w:eastAsia="Times New Roman" w:hAnsi="Times New Roman"/>
          <w:sz w:val="18"/>
          <w:szCs w:val="18"/>
          <w:color w:val="auto"/>
        </w:rPr>
        <w:t>Changes in the loyalty rewards program liability included in other accrued expenses and current liabilities on the consolidated balance sheets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1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25, 2024</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Loyalty rewards liability, beginning balance</w:t>
            </w:r>
          </w:p>
        </w:tc>
        <w:tc>
          <w:tcPr>
            <w:tcW w:w="1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deferred</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Loyalty rewards liability, ending balance</w:t>
            </w:r>
          </w:p>
        </w:tc>
        <w:tc>
          <w:tcPr>
            <w:tcW w:w="1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Company expects all loyalty points revenue related to performance obligations unsatisfied as of December 31, 2025 to be recognized within one year.</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Gift Cards</w:t>
      </w:r>
    </w:p>
    <w:p>
      <w:pPr>
        <w:spacing w:after="0" w:line="227"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The gift card liability included in other accrued expenses and current liabilities on the consolidated balance sheets was as follows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25, 2024</w:t>
            </w:r>
          </w:p>
        </w:tc>
      </w:tr>
      <w:tr>
        <w:trPr>
          <w:trHeight w:val="210"/>
        </w:trPr>
        <w:tc>
          <w:tcPr>
            <w:tcW w:w="6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Gift card liability</w:t>
            </w: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r>
      <w:tr>
        <w:trPr>
          <w:trHeight w:val="20"/>
        </w:trPr>
        <w:tc>
          <w:tcPr>
            <w:tcW w:w="6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119"/>
        <w:spacing w:after="0" w:line="282" w:lineRule="auto"/>
        <w:rPr>
          <w:sz w:val="20"/>
          <w:szCs w:val="20"/>
          <w:color w:val="auto"/>
        </w:rPr>
      </w:pPr>
      <w:r>
        <w:rPr>
          <w:rFonts w:ascii="Times New Roman" w:cs="Times New Roman" w:eastAsia="Times New Roman" w:hAnsi="Times New Roman"/>
          <w:sz w:val="18"/>
          <w:szCs w:val="18"/>
          <w:color w:val="auto"/>
        </w:rPr>
        <w:t>Revenue recognized from the redemption of gift cards that was included in other accrued expenses and current liabilities at the beginning of the year was as follows (in thousands):</w:t>
      </w: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25, 2024</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27, 2023</w:t>
            </w:r>
          </w:p>
        </w:tc>
        <w:tc>
          <w:tcPr>
            <w:tcW w:w="0" w:type="dxa"/>
            <w:vAlign w:val="bottom"/>
          </w:tcPr>
          <w:p>
            <w:pPr>
              <w:spacing w:after="0"/>
              <w:rPr>
                <w:sz w:val="1"/>
                <w:szCs w:val="1"/>
                <w:color w:val="auto"/>
              </w:rPr>
            </w:pPr>
          </w:p>
        </w:tc>
      </w:tr>
      <w:tr>
        <w:trPr>
          <w:trHeight w:val="178"/>
        </w:trPr>
        <w:tc>
          <w:tcPr>
            <w:tcW w:w="492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w w:val="99"/>
              </w:rPr>
              <w:t>Revenue recognized from gift card liability balance at the beginning</w:t>
            </w:r>
          </w:p>
        </w:tc>
        <w:tc>
          <w:tcPr>
            <w:tcW w:w="4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21"/>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the year</w:t>
            </w: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Company does not currently incur costs to obtain or fulfill a contract that would be considered contract assets under Topic 606.</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SHAREHOLDER RIGHTS AGREEMENT</w:t>
      </w:r>
    </w:p>
    <w:p>
      <w:pPr>
        <w:spacing w:after="0" w:line="229" w:lineRule="exact"/>
        <w:rPr>
          <w:sz w:val="20"/>
          <w:szCs w:val="20"/>
          <w:color w:val="auto"/>
        </w:rPr>
      </w:pPr>
    </w:p>
    <w:p>
      <w:pPr>
        <w:ind w:left="60" w:right="259"/>
        <w:spacing w:after="0" w:line="277" w:lineRule="auto"/>
        <w:rPr>
          <w:sz w:val="20"/>
          <w:szCs w:val="20"/>
          <w:color w:val="auto"/>
        </w:rPr>
      </w:pPr>
      <w:r>
        <w:rPr>
          <w:rFonts w:ascii="Times New Roman" w:cs="Times New Roman" w:eastAsia="Times New Roman" w:hAnsi="Times New Roman"/>
          <w:sz w:val="17"/>
          <w:szCs w:val="17"/>
          <w:color w:val="auto"/>
        </w:rPr>
        <w:t>On August 8, 2023, the Board declared a dividend of one preferred share purchase right (a “Right”) for each share of common stock, par value $0.01 per share, of the Company (the “Common Shares”) outstanding on August 8, 2023 to the stockholders of record on that date. In connection with the distribution of the Rights, the Company entered into a Rights Agreement (the “Rights Agreement”), dated as of August 8, 2023, between the Company and Equiniti Trust Company, LLC, as rights agent. Each Right entitled the registered holder to purchase from the Company one one-thousandth of a</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share of Series A Preferred Stock, par value $0.01 per share, of the Company (the “Preferred Shares”) at a price of $53.75 per one one-thousandth of a Preferred Share represented by a Right, subject to adjustment.</w:t>
      </w:r>
    </w:p>
    <w:p>
      <w:pPr>
        <w:spacing w:after="0" w:line="162"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On August 4, 2024, the Board approved and entered into an Amendment to the Rights Agreement (together, the “Amended Rights Agreement”). Pursuant to the Amended Rights Agreement, the expiration date of the Rights was extended to May 30, 2025 11:59 p.m., Pacific Time, the date that the votes of the stockholders of the Company with respect to the Company’s 2025 annual meeting of stockholders were certified.</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Amended Rights Agreement expired and was terminated by its term on May 30, 2025.</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SEGMENT REPORTING</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 company that engage in business activities from which it may earn revenue and incur expenses, and for which separate financial information is available and is regularly reviewed by the chief operating decision maker ("CODM") to assess the performance of the individual segments and make decisions about company resources such as personnel and working capital to be allocated to the segments.</w:t>
      </w:r>
    </w:p>
    <w:p>
      <w:pPr>
        <w:spacing w:after="0" w:line="180" w:lineRule="exact"/>
        <w:rPr>
          <w:sz w:val="20"/>
          <w:szCs w:val="20"/>
          <w:color w:val="auto"/>
        </w:rPr>
      </w:pPr>
    </w:p>
    <w:p>
      <w:pPr>
        <w:ind w:left="60" w:right="519"/>
        <w:spacing w:after="0" w:line="261" w:lineRule="auto"/>
        <w:rPr>
          <w:sz w:val="20"/>
          <w:szCs w:val="20"/>
          <w:color w:val="auto"/>
        </w:rPr>
      </w:pPr>
      <w:r>
        <w:rPr>
          <w:rFonts w:ascii="Times New Roman" w:cs="Times New Roman" w:eastAsia="Times New Roman" w:hAnsi="Times New Roman"/>
          <w:sz w:val="18"/>
          <w:szCs w:val="18"/>
          <w:color w:val="auto"/>
        </w:rPr>
        <w:t>The Company derives revenue from three primary sources: (1) company-operated restaurant revenue, (2) franchise revenue, which is comprised primarily of franchise royalties and, to a lesser extent, franchise fees and sublease rental income, and (3) franchise advertising fee revenue. All significant revenues relate to retail sales of food and beverages through either company-operated or franchised restaurants.</w:t>
      </w:r>
    </w:p>
    <w:p>
      <w:pPr>
        <w:spacing w:after="0" w:line="180"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212529"/>
        </w:rPr>
        <w:t xml:space="preserve">The Company determined that it has one operating segment and one reportable segment which is reflected in the Company’s current organizational and management structure. The accounting policies of the segment are the same as those described in Note 2 </w:t>
      </w:r>
      <w:r>
        <w:rPr>
          <w:rFonts w:ascii="Times New Roman" w:cs="Times New Roman" w:eastAsia="Times New Roman" w:hAnsi="Times New Roman"/>
          <w:sz w:val="18"/>
          <w:szCs w:val="18"/>
          <w:color w:val="000000"/>
        </w:rPr>
        <w:t>“Summary of Significant Accounting Policies.”</w:t>
      </w:r>
    </w:p>
    <w:p>
      <w:pPr>
        <w:spacing w:after="0" w:line="1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 xml:space="preserve">The Company’s CODM is the Chief Executive Officer who manages the Company’s operations on a reportable segment basis. </w:t>
      </w:r>
      <w:r>
        <w:rPr>
          <w:rFonts w:ascii="Times New Roman" w:cs="Times New Roman" w:eastAsia="Times New Roman" w:hAnsi="Times New Roman"/>
          <w:sz w:val="18"/>
          <w:szCs w:val="18"/>
          <w:color w:val="212529"/>
        </w:rPr>
        <w:t>The Company’s CODM reviews its operations and financial performance at a consolidated level by comparing 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results to budgeted figures and prior year results. This approach allows the CODM to assess whether the Company’s operating segment is meeting its financial goals, identify trends and make more informed decisions about resource allocation and performance targets.</w:t>
      </w:r>
    </w:p>
    <w:p>
      <w:pPr>
        <w:spacing w:after="0" w:line="183" w:lineRule="exact"/>
        <w:rPr>
          <w:sz w:val="20"/>
          <w:szCs w:val="20"/>
          <w:color w:val="auto"/>
        </w:rPr>
      </w:pPr>
    </w:p>
    <w:p>
      <w:pPr>
        <w:ind w:left="60" w:right="239"/>
        <w:spacing w:after="0" w:line="281" w:lineRule="auto"/>
        <w:rPr>
          <w:sz w:val="20"/>
          <w:szCs w:val="20"/>
          <w:color w:val="auto"/>
        </w:rPr>
      </w:pPr>
      <w:r>
        <w:rPr>
          <w:rFonts w:ascii="Times New Roman" w:cs="Times New Roman" w:eastAsia="Times New Roman" w:hAnsi="Times New Roman"/>
          <w:sz w:val="17"/>
          <w:szCs w:val="17"/>
          <w:color w:val="auto"/>
        </w:rPr>
        <w:t>When evaluating the Company’s financial performance, the CODM regularly reviews total revenues, segment expenses and consolidated net income as reported on the Consolidated Statements of Operations as well as non-GAAP measures such as restaurant contribution margin and Adjusted EBITDA to allocate Company resources and assess the performance of the Company. Segment asset information is not used by the CODM to assess performance and allocate resources.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is a summary of the segment net income, including significant segment expenses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December 25, 2024 and December 27, 2023 (in thousands):</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25, 2024</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27, 2023</w:t>
            </w:r>
          </w:p>
        </w:tc>
      </w:tr>
      <w:tr>
        <w:trPr>
          <w:trHeight w:val="210"/>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490,046</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473,008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468,664</w:t>
            </w: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Food and paper costs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100,083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108,250</w:t>
            </w: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Labor and related expenses</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127,244</w:t>
            </w: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42,025</w:t>
            </w: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Franchise expenses</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38,404</w:t>
            </w: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Occupancy expenses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31,318</w:t>
            </w:r>
          </w:p>
        </w:tc>
      </w:tr>
      <w:tr>
        <w:trPr>
          <w:trHeight w:val="216"/>
        </w:trPr>
        <w:tc>
          <w:tcPr>
            <w:tcW w:w="492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Other operating expenses</w:t>
            </w:r>
            <w:r>
              <w:rPr>
                <w:rFonts w:ascii="Times New Roman" w:cs="Times New Roman" w:eastAsia="Times New Roman" w:hAnsi="Times New Roman"/>
                <w:sz w:val="25"/>
                <w:szCs w:val="25"/>
                <w:color w:val="auto"/>
                <w:vertAlign w:val="superscript"/>
              </w:rPr>
              <w:t>(1)</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69,753</w:t>
            </w:r>
          </w:p>
        </w:tc>
      </w:tr>
      <w:tr>
        <w:trPr>
          <w:trHeight w:val="216"/>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15,235</w:t>
            </w:r>
          </w:p>
        </w:tc>
      </w:tr>
      <w:tr>
        <w:trPr>
          <w:trHeight w:val="216"/>
        </w:trPr>
        <w:tc>
          <w:tcPr>
            <w:tcW w:w="4920" w:type="dxa"/>
            <w:vAlign w:val="bottom"/>
            <w:tcBorders>
              <w:bottom w:val="single" w:sz="8" w:color="CCEEFF"/>
            </w:tcBorders>
          </w:tcPr>
          <w:p>
            <w:pPr>
              <w:ind w:left="120"/>
              <w:spacing w:after="0" w:line="216" w:lineRule="exact"/>
              <w:rPr>
                <w:sz w:val="20"/>
                <w:szCs w:val="20"/>
                <w:color w:val="auto"/>
              </w:rPr>
            </w:pPr>
            <w:r>
              <w:rPr>
                <w:rFonts w:ascii="Times New Roman" w:cs="Times New Roman" w:eastAsia="Times New Roman" w:hAnsi="Times New Roman"/>
                <w:sz w:val="17"/>
                <w:szCs w:val="17"/>
                <w:color w:val="auto"/>
              </w:rPr>
              <w:t>Other segment expenses</w:t>
            </w:r>
            <w:r>
              <w:rPr>
                <w:rFonts w:ascii="Times New Roman" w:cs="Times New Roman" w:eastAsia="Times New Roman" w:hAnsi="Times New Roman"/>
                <w:sz w:val="25"/>
                <w:szCs w:val="25"/>
                <w:color w:val="auto"/>
                <w:vertAlign w:val="superscript"/>
              </w:rPr>
              <w:t>(2)</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w:t>
            </w:r>
          </w:p>
        </w:tc>
      </w:tr>
      <w:tr>
        <w:trPr>
          <w:trHeight w:val="20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448,001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431,840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428,872</w:t>
            </w:r>
          </w:p>
        </w:tc>
      </w:tr>
      <w:tr>
        <w:trPr>
          <w:trHeight w:val="22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39,792</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expenses, net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w:t>
            </w: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9,324</w:t>
            </w: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receivable agreement (income) expenses</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net income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25,684</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25,554</w:t>
            </w:r>
          </w:p>
        </w:tc>
      </w:tr>
      <w:tr>
        <w:trPr>
          <w:trHeight w:val="20"/>
        </w:trPr>
        <w:tc>
          <w:tcPr>
            <w:tcW w:w="4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720" w:right="239" w:hanging="319"/>
        <w:spacing w:after="0" w:line="208" w:lineRule="auto"/>
        <w:tabs>
          <w:tab w:leader="none" w:pos="720" w:val="left"/>
        </w:tabs>
        <w:numPr>
          <w:ilvl w:val="0"/>
          <w:numId w:val="4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Other operating expenses are comprised of utilities, repairs and maintenance, advertising, credit card processing fees, delivery service provider fees, restaurant supplies and other restaurant operating costs.</w:t>
      </w:r>
    </w:p>
    <w:p>
      <w:pPr>
        <w:spacing w:after="0" w:line="1" w:lineRule="exact"/>
        <w:rPr>
          <w:rFonts w:ascii="Times New Roman" w:cs="Times New Roman" w:eastAsia="Times New Roman" w:hAnsi="Times New Roman"/>
          <w:sz w:val="27"/>
          <w:szCs w:val="27"/>
          <w:color w:val="auto"/>
          <w:vertAlign w:val="superscript"/>
        </w:rPr>
      </w:pPr>
    </w:p>
    <w:p>
      <w:pPr>
        <w:ind w:left="720" w:right="519" w:hanging="319"/>
        <w:spacing w:after="0" w:line="214" w:lineRule="auto"/>
        <w:tabs>
          <w:tab w:leader="none" w:pos="720" w:val="left"/>
        </w:tabs>
        <w:numPr>
          <w:ilvl w:val="0"/>
          <w:numId w:val="4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Other segment expenses include loss (gain) on disposal of assets, gain on recovery of insurance proceeds, property, equipment and expenses, (gain) loss on disposition of restaurants and impairment and closed-store reserves.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 (e) of the Exchange Act) that are designed to ensure that information required to be disclosed by us in the reports that we file or submit under the Exchange Act is recorded, processed, summarized and reported, within the required time periods, and that such information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ind w:left="60" w:right="159"/>
        <w:spacing w:after="0" w:line="281" w:lineRule="auto"/>
        <w:rPr>
          <w:sz w:val="20"/>
          <w:szCs w:val="20"/>
          <w:color w:val="auto"/>
        </w:rPr>
      </w:pPr>
      <w:r>
        <w:rPr>
          <w:rFonts w:ascii="Times New Roman" w:cs="Times New Roman" w:eastAsia="Times New Roman" w:hAnsi="Times New Roman"/>
          <w:sz w:val="17"/>
          <w:szCs w:val="17"/>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164"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Our management has evaluated, with the participation of our Chief Executive Officer and Chief Financial Officer, the effectiveness of our disclosure controls and procedures, as of the end of the period covered by this Annual Report. Based on this evaluation, our Chief Executive Officer and Chief Financial Officer have concluded that our disclosure controls and procedures were effective at the reasonable assurance level as of December 31,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left="60" w:right="139"/>
        <w:spacing w:after="0" w:line="267"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Exchange Act Rule 13a-15(f), internal control over financial reporting is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spacing w:after="0" w:line="5" w:lineRule="exact"/>
        <w:rPr>
          <w:sz w:val="20"/>
          <w:szCs w:val="20"/>
          <w:color w:val="auto"/>
        </w:rPr>
      </w:pPr>
    </w:p>
    <w:p>
      <w:pPr>
        <w:ind w:left="60" w:right="59" w:hanging="10"/>
        <w:spacing w:after="0" w:line="251" w:lineRule="auto"/>
        <w:tabs>
          <w:tab w:leader="none" w:pos="3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 The design of any system of control is based upon certain assumptions about the likelihood of future events, and there can be no assurance that any design will succeed in achieving its stated objectives under all future events, no matter how remote, or that the degree of compliance with the policies or procedures may not deteriorate. Because of its inherent limitations, internal control over financial reporting may not prevent or detect misstatements. Accordingly, even effective internal control over financial reporting can only provide reasonable assurance of achieving their control objectives.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3"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carried out an evaluation of the effectiveness of our internal control over financial reporting as of December 31, 2025 based on the criteria in Internal Control — Integrated Framework (“2013 Framework”) issued by the Committee of Sponsoring Organizations of the Treadway Commission (“COSO”). Based on this evaluation, our management concluded that our internal control over financial reporting was effective as of December 31, 2025 based on the criteria established in the 2013 Framework.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been audited by BDO USA, P.C., the independent registered public accounting firm that audited the consolidated financial statements included in this Annual Report on Form 10-K, as stated in their report included herein.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occurred during the quarter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El Pollo Loco Holdings, Inc.</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El Pollo Loco Holdings, Inc.’s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(the “COSO criteria”). In our opinion, the Company maintained, in all material respects, effective internal control over financial reporting as of December 31, 2025, based on the COSO criteria</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December 25, 2024, the related consolidated statements of income, comprehensive income, changes in stockholders’ equity, and cash flows for each of the three years in the period ended December 31, 2025, and the related notes and our report dated March 13, 2026 expressed an unqualified opinion thereon.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BDO USA, P.C.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13,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0" w:right="499"/>
        <w:spacing w:after="0" w:line="289" w:lineRule="auto"/>
        <w:rPr>
          <w:sz w:val="20"/>
          <w:szCs w:val="20"/>
          <w:color w:val="auto"/>
        </w:rPr>
      </w:pPr>
      <w:r>
        <w:rPr>
          <w:rFonts w:ascii="Times New Roman" w:cs="Times New Roman" w:eastAsia="Times New Roman" w:hAnsi="Times New Roman"/>
          <w:sz w:val="17"/>
          <w:szCs w:val="17"/>
          <w:color w:val="auto"/>
        </w:rPr>
        <w:t>On November 21, 2024, Mr. Mark Buller, a member of our Board of Directors, entered into a Rule 10b5-1 trading agreement. The 10b5-1 Plan provides for the sale of up to 12,271 shares of the Company’s common stock, subject to certain conditions. This trading plan was adopted during an open trading window and expired on December 31, 2025.</w:t>
      </w:r>
    </w:p>
    <w:p>
      <w:pPr>
        <w:spacing w:after="0" w:line="154"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 xml:space="preserve">Incorporated by reference from our definitive proxy statement to be filed not later than 120 days after the end of our 2025 fiscal year. In addition, our Board of Directors has adopted a Code of Business Conduct and Ethics that applies to all of our directors, employees and officers, including our principal executive officer, principal financial officer, principal accounting officer, controller, and any persons performing similar functions. The current version of the Code of Business Conduct and Ethics is available on our website under the Corporate Governance section at </w:t>
      </w:r>
      <w:r>
        <w:rPr>
          <w:rFonts w:ascii="Times New Roman" w:cs="Times New Roman" w:eastAsia="Times New Roman" w:hAnsi="Times New Roman"/>
          <w:sz w:val="18"/>
          <w:szCs w:val="18"/>
          <w:i w:val="1"/>
          <w:iCs w:val="1"/>
          <w:color w:val="auto"/>
        </w:rPr>
        <w:t>www.elpolloloco.com</w:t>
      </w:r>
      <w:r>
        <w:rPr>
          <w:rFonts w:ascii="Times New Roman" w:cs="Times New Roman" w:eastAsia="Times New Roman" w:hAnsi="Times New Roman"/>
          <w:sz w:val="18"/>
          <w:szCs w:val="18"/>
          <w:color w:val="auto"/>
        </w:rPr>
        <w:t xml:space="preserve">. To the extent required by rules adopted by the SEC and The Nasdaq Stock Market LLC, we intend to promptly disclose future amendments to certain provisions of the Code of Business Conduct and Ethics, or waivers of such provisions granted to executive officers and directors, on our website under the Corporate Governance section at </w:t>
      </w:r>
      <w:r>
        <w:rPr>
          <w:rFonts w:ascii="Times New Roman" w:cs="Times New Roman" w:eastAsia="Times New Roman" w:hAnsi="Times New Roman"/>
          <w:sz w:val="18"/>
          <w:szCs w:val="18"/>
          <w:i w:val="1"/>
          <w:iCs w:val="1"/>
          <w:color w:val="auto"/>
        </w:rPr>
        <w:t>www.elpolloloco.com</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Incorporated by reference from our definitive proxy statement to be filed not later than 120 days after the end of our 2025 fiscal year.</w:t>
      </w:r>
    </w:p>
    <w:p>
      <w:pPr>
        <w:spacing w:after="0" w:line="158"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Incorporated by reference from our definitive proxy statement to be filed not later than 120 days after the end of our 2025 fiscal year.</w:t>
      </w:r>
    </w:p>
    <w:p>
      <w:pPr>
        <w:spacing w:after="0" w:line="158" w:lineRule="exact"/>
        <w:rPr>
          <w:sz w:val="20"/>
          <w:szCs w:val="20"/>
          <w:color w:val="auto"/>
        </w:rPr>
      </w:pPr>
    </w:p>
    <w:p>
      <w:pPr>
        <w:ind w:left="60" w:right="1039"/>
        <w:spacing w:after="0" w:line="286" w:lineRule="auto"/>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5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Incorporated by reference from our definitive proxy statement to be filed not later than 120 days after the end of our 2025 fiscal year.</w:t>
      </w:r>
    </w:p>
    <w:p>
      <w:pPr>
        <w:spacing w:after="0" w:line="15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Incorporated by reference from our definitive proxy statement to be filed not later than 120 days after the end of our 2025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documents are filed as a part of this Annual Report:</w:t>
      </w:r>
    </w:p>
    <w:p>
      <w:pPr>
        <w:spacing w:after="0" w:line="225" w:lineRule="exact"/>
        <w:rPr>
          <w:sz w:val="20"/>
          <w:szCs w:val="20"/>
          <w:color w:val="auto"/>
        </w:rPr>
      </w:pPr>
    </w:p>
    <w:p>
      <w:pPr>
        <w:ind w:left="720" w:right="59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Consolidated financial statements filed as part of this Annual Report are listed under Item 8. Financial Statements and Supplementary Data.</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None.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117"/>
        </w:trPr>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0"/>
                <w:szCs w:val="10"/>
                <w:color w:val="auto"/>
              </w:rPr>
            </w:pPr>
          </w:p>
        </w:tc>
        <w:tc>
          <w:tcPr>
            <w:tcW w:w="2300" w:type="dxa"/>
            <w:vAlign w:val="bottom"/>
            <w:gridSpan w:val="2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0" w:type="dxa"/>
            <w:vAlign w:val="bottom"/>
            <w:gridSpan w:val="2"/>
            <w:vMerge w:val="continue"/>
          </w:tcPr>
          <w:p>
            <w:pPr>
              <w:spacing w:after="0"/>
              <w:rPr>
                <w:sz w:val="10"/>
                <w:szCs w:val="10"/>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gridSpan w:val="2"/>
          </w:tcPr>
          <w:p>
            <w:pPr>
              <w:ind w:left="400"/>
              <w:spacing w:after="0" w:line="118" w:lineRule="exact"/>
              <w:rPr>
                <w:sz w:val="20"/>
                <w:szCs w:val="20"/>
                <w:color w:val="auto"/>
              </w:rPr>
            </w:pPr>
            <w:r>
              <w:rPr>
                <w:rFonts w:ascii="Times New Roman" w:cs="Times New Roman" w:eastAsia="Times New Roman" w:hAnsi="Times New Roman"/>
                <w:sz w:val="13"/>
                <w:szCs w:val="13"/>
                <w:b w:val="1"/>
                <w:bCs w:val="1"/>
                <w:color w:val="auto"/>
              </w:rPr>
              <w:t>Period</w:t>
            </w: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0" w:type="dxa"/>
            <w:vAlign w:val="bottom"/>
          </w:tcPr>
          <w:p>
            <w:pPr>
              <w:jc w:val="center"/>
              <w:ind w:right="273"/>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8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300" w:type="dxa"/>
            <w:vAlign w:val="bottom"/>
            <w:gridSpan w:val="22"/>
            <w:vMerge w:val="continue"/>
          </w:tcPr>
          <w:p>
            <w:pPr>
              <w:spacing w:after="0"/>
              <w:rPr>
                <w:sz w:val="16"/>
                <w:szCs w:val="16"/>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620" w:type="dxa"/>
            <w:vAlign w:val="bottom"/>
            <w:gridSpan w:val="2"/>
            <w:vMerge w:val="continue"/>
          </w:tcPr>
          <w:p>
            <w:pPr>
              <w:spacing w:after="0"/>
              <w:rPr>
                <w:sz w:val="16"/>
                <w:szCs w:val="16"/>
                <w:color w:val="auto"/>
              </w:rPr>
            </w:pPr>
          </w:p>
        </w:tc>
        <w:tc>
          <w:tcPr>
            <w:tcW w:w="12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0" w:type="dxa"/>
            <w:vAlign w:val="bottom"/>
            <w:gridSpan w:val="3"/>
            <w:vMerge w:val="continue"/>
          </w:tcPr>
          <w:p>
            <w:pPr>
              <w:spacing w:after="0"/>
              <w:rPr>
                <w:sz w:val="16"/>
                <w:szCs w:val="16"/>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3"/>
        </w:trPr>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80" w:type="dxa"/>
            <w:vAlign w:val="bottom"/>
            <w:tcBorders>
              <w:bottom w:val="single" w:sz="8" w:color="CCEEFF"/>
            </w:tcBorders>
            <w:shd w:val="clear" w:color="auto" w:fill="CCEEFF"/>
          </w:tcPr>
          <w:p>
            <w:pPr>
              <w:ind w:left="6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0000EE"/>
            </w:tcBorders>
            <w:gridSpan w:val="8"/>
            <w:shd w:val="clear" w:color="auto" w:fill="CCEEFF"/>
          </w:tcPr>
          <w:p>
            <w:pPr>
              <w:spacing w:after="0" w:line="169"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Amended and Restated</w:t>
              </w:r>
            </w:hyperlink>
          </w:p>
        </w:tc>
        <w:tc>
          <w:tcPr>
            <w:tcW w:w="540" w:type="dxa"/>
            <w:vAlign w:val="bottom"/>
            <w:tcBorders>
              <w:bottom w:val="single" w:sz="8" w:color="CCEEFF"/>
            </w:tcBorders>
            <w:gridSpan w:val="13"/>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8-K</w:t>
            </w:r>
          </w:p>
        </w:tc>
        <w:tc>
          <w:tcPr>
            <w:tcW w:w="12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N/A</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6/3/2024</w:t>
            </w:r>
          </w:p>
        </w:tc>
        <w:tc>
          <w:tcPr>
            <w:tcW w:w="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001-36556</w:t>
            </w:r>
          </w:p>
        </w:tc>
        <w:tc>
          <w:tcPr>
            <w:tcW w:w="0" w:type="dxa"/>
            <w:vAlign w:val="bottom"/>
          </w:tcPr>
          <w:p>
            <w:pPr>
              <w:spacing w:after="0"/>
              <w:rPr>
                <w:sz w:val="1"/>
                <w:szCs w:val="1"/>
                <w:color w:val="auto"/>
              </w:rPr>
            </w:pPr>
          </w:p>
        </w:tc>
      </w:tr>
      <w:tr>
        <w:trPr>
          <w:trHeight w:val="196"/>
        </w:trPr>
        <w:tc>
          <w:tcPr>
            <w:tcW w:w="7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180" w:type="dxa"/>
            <w:vAlign w:val="bottom"/>
            <w:tcBorders>
              <w:bottom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Certificate of Incorporation of</w:t>
              </w:r>
            </w:hyperlink>
          </w:p>
        </w:tc>
        <w:tc>
          <w:tcPr>
            <w:tcW w:w="12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3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El Pollo Loco Holdings, Inc.</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7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4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Certificate of Designations of</w:t>
              </w:r>
            </w:hyperlink>
          </w:p>
        </w:tc>
        <w:tc>
          <w:tcPr>
            <w:tcW w:w="160" w:type="dxa"/>
            <w:vAlign w:val="bottom"/>
            <w:gridSpan w:val="4"/>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8/9/2023</w:t>
            </w:r>
          </w:p>
        </w:tc>
        <w:tc>
          <w:tcPr>
            <w:tcW w:w="8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001-36556</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00" w:type="dxa"/>
            <w:vAlign w:val="bottom"/>
            <w:gridSpan w:val="22"/>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Series A Preferred Stock of El</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Pollo Loco Holdings, Inc., as</w:t>
              </w:r>
            </w:hyperlink>
          </w:p>
        </w:tc>
        <w:tc>
          <w:tcPr>
            <w:tcW w:w="12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12">
              <w:r>
                <w:rPr>
                  <w:rFonts w:ascii="Times New Roman" w:cs="Times New Roman" w:eastAsia="Times New Roman" w:hAnsi="Times New Roman"/>
                  <w:sz w:val="18"/>
                  <w:szCs w:val="18"/>
                  <w:color w:val="0000EE"/>
                  <w:w w:val="98"/>
                </w:rPr>
                <w:t>filed with the Secretary of</w:t>
              </w:r>
            </w:hyperlink>
          </w:p>
        </w:tc>
        <w:tc>
          <w:tcPr>
            <w:tcW w:w="220" w:type="dxa"/>
            <w:vAlign w:val="bottom"/>
            <w:tcBorders>
              <w:top w:val="single" w:sz="8" w:color="0000EE"/>
            </w:tcBorders>
            <w:gridSpan w:val="6"/>
          </w:tcPr>
          <w:p>
            <w:pPr>
              <w:spacing w:after="0"/>
              <w:rPr>
                <w:sz w:val="17"/>
                <w:szCs w:val="17"/>
                <w:color w:val="auto"/>
              </w:rPr>
            </w:pPr>
          </w:p>
        </w:tc>
        <w:tc>
          <w:tcPr>
            <w:tcW w:w="20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State of the State of Delaware</w:t>
              </w:r>
            </w:hyperlink>
          </w:p>
        </w:tc>
        <w:tc>
          <w:tcPr>
            <w:tcW w:w="14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00" w:type="dxa"/>
            <w:vAlign w:val="bottom"/>
            <w:gridSpan w:val="22"/>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on August 9, 2023</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30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Amended and Restated By-</w:t>
              </w:r>
            </w:hyperlink>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2/2/2024</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001-36556</w:t>
            </w:r>
          </w:p>
        </w:tc>
        <w:tc>
          <w:tcPr>
            <w:tcW w:w="0" w:type="dxa"/>
            <w:vAlign w:val="bottom"/>
          </w:tcPr>
          <w:p>
            <w:pPr>
              <w:spacing w:after="0"/>
              <w:rPr>
                <w:sz w:val="1"/>
                <w:szCs w:val="1"/>
                <w:color w:val="auto"/>
              </w:rPr>
            </w:pPr>
          </w:p>
        </w:tc>
      </w:tr>
      <w:tr>
        <w:trPr>
          <w:trHeight w:val="196"/>
        </w:trPr>
        <w:tc>
          <w:tcPr>
            <w:tcW w:w="7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Laws of El Pollo Loco</w:t>
              </w:r>
            </w:hyperlink>
          </w:p>
        </w:tc>
        <w:tc>
          <w:tcPr>
            <w:tcW w:w="320" w:type="dxa"/>
            <w:vAlign w:val="bottom"/>
            <w:tcBorders>
              <w:top w:val="single" w:sz="8" w:color="CCEEFF"/>
            </w:tcBorders>
            <w:gridSpan w:val="10"/>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Holdings, Inc.</w:t>
              </w:r>
            </w:hyperlink>
          </w:p>
        </w:tc>
        <w:tc>
          <w:tcPr>
            <w:tcW w:w="680" w:type="dxa"/>
            <w:vAlign w:val="bottom"/>
            <w:tcBorders>
              <w:top w:val="single" w:sz="8" w:color="CCEEFF"/>
            </w:tcBorders>
            <w:gridSpan w:val="16"/>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7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8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Description of El Pollo Loco</w:t>
              </w:r>
            </w:hyperlink>
          </w:p>
        </w:tc>
        <w:tc>
          <w:tcPr>
            <w:tcW w:w="220" w:type="dxa"/>
            <w:vAlign w:val="bottom"/>
            <w:gridSpan w:val="6"/>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12/27/2023</w:t>
            </w:r>
          </w:p>
        </w:tc>
        <w:tc>
          <w:tcPr>
            <w:tcW w:w="8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3/8/2024</w:t>
            </w:r>
          </w:p>
        </w:tc>
        <w:tc>
          <w:tcPr>
            <w:tcW w:w="8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001-36556</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00" w:type="dxa"/>
            <w:vAlign w:val="bottom"/>
            <w:gridSpan w:val="22"/>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Holdings, Inc. Capital Stock</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30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Rights Agreement, dated as of</w:t>
              </w:r>
            </w:hyperlink>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8/9/2023</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001-36556</w:t>
            </w:r>
          </w:p>
        </w:tc>
        <w:tc>
          <w:tcPr>
            <w:tcW w:w="0" w:type="dxa"/>
            <w:vAlign w:val="bottom"/>
          </w:tcPr>
          <w:p>
            <w:pPr>
              <w:spacing w:after="0"/>
              <w:rPr>
                <w:sz w:val="1"/>
                <w:szCs w:val="1"/>
                <w:color w:val="auto"/>
              </w:rPr>
            </w:pPr>
          </w:p>
        </w:tc>
      </w:tr>
      <w:tr>
        <w:trPr>
          <w:trHeight w:val="196"/>
        </w:trPr>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00" w:type="dxa"/>
            <w:vAlign w:val="bottom"/>
            <w:tcBorders>
              <w:top w:val="single" w:sz="8" w:color="0000EE"/>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w w:val="98"/>
              </w:rPr>
            </w:pPr>
            <w:hyperlink r:id="rId115">
              <w:r>
                <w:rPr>
                  <w:rFonts w:ascii="Times New Roman" w:cs="Times New Roman" w:eastAsia="Times New Roman" w:hAnsi="Times New Roman"/>
                  <w:sz w:val="18"/>
                  <w:szCs w:val="18"/>
                  <w:color w:val="0000EE"/>
                  <w:w w:val="98"/>
                </w:rPr>
                <w:t>August 8, 2023, between El</w:t>
              </w:r>
            </w:hyperlink>
          </w:p>
        </w:tc>
        <w:tc>
          <w:tcPr>
            <w:tcW w:w="180" w:type="dxa"/>
            <w:vAlign w:val="bottom"/>
            <w:tcBorders>
              <w:top w:val="single" w:sz="8" w:color="0000EE"/>
              <w:bottom w:val="single" w:sz="8" w:color="CCEEFF"/>
            </w:tcBorders>
            <w:gridSpan w:val="7"/>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3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Pollo Loco Holdings, Inc. and</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780" w:type="dxa"/>
            <w:vAlign w:val="bottom"/>
            <w:tcBorders>
              <w:top w:val="single" w:sz="8" w:color="0000EE"/>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8"/>
              </w:rPr>
            </w:pPr>
            <w:hyperlink r:id="rId115">
              <w:r>
                <w:rPr>
                  <w:rFonts w:ascii="Times New Roman" w:cs="Times New Roman" w:eastAsia="Times New Roman" w:hAnsi="Times New Roman"/>
                  <w:sz w:val="18"/>
                  <w:szCs w:val="18"/>
                  <w:color w:val="0000EE"/>
                  <w:w w:val="98"/>
                </w:rPr>
                <w:t>Equiniti Trust Company,</w:t>
              </w:r>
            </w:hyperlink>
          </w:p>
        </w:tc>
        <w:tc>
          <w:tcPr>
            <w:tcW w:w="380" w:type="dxa"/>
            <w:vAlign w:val="bottom"/>
            <w:tcBorders>
              <w:top w:val="single" w:sz="8" w:color="0000EE"/>
              <w:bottom w:val="single" w:sz="8" w:color="CCEEFF"/>
            </w:tcBorders>
            <w:gridSpan w:val="10"/>
            <w:shd w:val="clear" w:color="auto" w:fill="CCEEFF"/>
          </w:tcPr>
          <w:p>
            <w:pPr>
              <w:spacing w:after="0"/>
              <w:rPr>
                <w:sz w:val="17"/>
                <w:szCs w:val="17"/>
                <w:color w:val="auto"/>
              </w:rPr>
            </w:pPr>
          </w:p>
        </w:tc>
        <w:tc>
          <w:tcPr>
            <w:tcW w:w="14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3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LLC, as rights agent</w:t>
              </w:r>
            </w:hyperlink>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7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Amendment No. 1 to Rights</w:t>
              </w:r>
            </w:hyperlink>
          </w:p>
        </w:tc>
        <w:tc>
          <w:tcPr>
            <w:tcW w:w="260" w:type="dxa"/>
            <w:vAlign w:val="bottom"/>
            <w:gridSpan w:val="8"/>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8/5/2024</w:t>
            </w:r>
          </w:p>
        </w:tc>
        <w:tc>
          <w:tcPr>
            <w:tcW w:w="8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001-36556</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00" w:type="dxa"/>
            <w:vAlign w:val="bottom"/>
            <w:gridSpan w:val="22"/>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Agreement, dated as of</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16">
              <w:r>
                <w:rPr>
                  <w:rFonts w:ascii="Times New Roman" w:cs="Times New Roman" w:eastAsia="Times New Roman" w:hAnsi="Times New Roman"/>
                  <w:sz w:val="18"/>
                  <w:szCs w:val="18"/>
                  <w:color w:val="0000EE"/>
                  <w:w w:val="98"/>
                </w:rPr>
                <w:t>August 4, 2024, between El</w:t>
              </w:r>
            </w:hyperlink>
          </w:p>
        </w:tc>
        <w:tc>
          <w:tcPr>
            <w:tcW w:w="30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00" w:type="dxa"/>
            <w:vAlign w:val="bottom"/>
            <w:gridSpan w:val="22"/>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Pollo Loco Holdings, Inc. and</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16">
              <w:r>
                <w:rPr>
                  <w:rFonts w:ascii="Times New Roman" w:cs="Times New Roman" w:eastAsia="Times New Roman" w:hAnsi="Times New Roman"/>
                  <w:sz w:val="18"/>
                  <w:szCs w:val="18"/>
                  <w:color w:val="0000EE"/>
                  <w:w w:val="98"/>
                </w:rPr>
                <w:t>Equiniti Trust Company,</w:t>
              </w:r>
            </w:hyperlink>
          </w:p>
        </w:tc>
        <w:tc>
          <w:tcPr>
            <w:tcW w:w="380" w:type="dxa"/>
            <w:vAlign w:val="bottom"/>
            <w:tcBorders>
              <w:top w:val="single" w:sz="8" w:color="0000EE"/>
            </w:tcBorders>
            <w:gridSpan w:val="10"/>
          </w:tcPr>
          <w:p>
            <w:pPr>
              <w:spacing w:after="0"/>
              <w:rPr>
                <w:sz w:val="17"/>
                <w:szCs w:val="17"/>
                <w:color w:val="auto"/>
              </w:rPr>
            </w:pPr>
          </w:p>
        </w:tc>
        <w:tc>
          <w:tcPr>
            <w:tcW w:w="14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00" w:type="dxa"/>
            <w:vAlign w:val="bottom"/>
            <w:gridSpan w:val="22"/>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LLC, as rights agent</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30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Form of Franchise Agreement</w:t>
              </w:r>
            </w:hyperlink>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128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6/24/2014</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333-197001</w:t>
            </w:r>
          </w:p>
        </w:tc>
        <w:tc>
          <w:tcPr>
            <w:tcW w:w="0" w:type="dxa"/>
            <w:vAlign w:val="bottom"/>
          </w:tcPr>
          <w:p>
            <w:pPr>
              <w:spacing w:after="0"/>
              <w:rPr>
                <w:sz w:val="1"/>
                <w:szCs w:val="1"/>
                <w:color w:val="auto"/>
              </w:rPr>
            </w:pPr>
          </w:p>
        </w:tc>
      </w:tr>
      <w:tr>
        <w:trPr>
          <w:trHeight w:val="61"/>
        </w:trPr>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7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00" w:type="dxa"/>
            <w:vAlign w:val="bottom"/>
            <w:gridSpan w:val="22"/>
          </w:tcPr>
          <w:p>
            <w:pPr>
              <w:spacing w:after="0" w:line="17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Form of Franchise</w:t>
              </w:r>
            </w:hyperlink>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128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6/24/2014</w:t>
            </w:r>
          </w:p>
        </w:tc>
        <w:tc>
          <w:tcPr>
            <w:tcW w:w="8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333-197001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00" w:type="dxa"/>
            <w:vAlign w:val="bottom"/>
            <w:gridSpan w:val="22"/>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Development Agreement</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780" w:type="dxa"/>
            <w:vAlign w:val="bottom"/>
            <w:tcBorders>
              <w:bottom w:val="single" w:sz="8" w:color="CCEEFF"/>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Form of Franchise Agreement</w:t>
              </w:r>
            </w:hyperlink>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2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12/25/2019</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3/6/2020</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001-36556</w:t>
            </w:r>
          </w:p>
        </w:tc>
        <w:tc>
          <w:tcPr>
            <w:tcW w:w="0" w:type="dxa"/>
            <w:vAlign w:val="bottom"/>
          </w:tcPr>
          <w:p>
            <w:pPr>
              <w:spacing w:after="0"/>
              <w:rPr>
                <w:sz w:val="1"/>
                <w:szCs w:val="1"/>
                <w:color w:val="auto"/>
              </w:rPr>
            </w:pPr>
          </w:p>
        </w:tc>
      </w:tr>
      <w:tr>
        <w:trPr>
          <w:trHeight w:val="196"/>
        </w:trPr>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60"/>
              <w:spacing w:after="0" w:line="196" w:lineRule="exact"/>
              <w:rPr>
                <w:rFonts w:ascii="Times New Roman" w:cs="Times New Roman" w:eastAsia="Times New Roman" w:hAnsi="Times New Roman"/>
                <w:sz w:val="18"/>
                <w:szCs w:val="18"/>
                <w:color w:val="0000EE"/>
                <w:w w:val="95"/>
              </w:rPr>
            </w:pPr>
            <w:hyperlink r:id="rId119">
              <w:r>
                <w:rPr>
                  <w:rFonts w:ascii="Times New Roman" w:cs="Times New Roman" w:eastAsia="Times New Roman" w:hAnsi="Times New Roman"/>
                  <w:sz w:val="18"/>
                  <w:szCs w:val="18"/>
                  <w:color w:val="0000EE"/>
                  <w:w w:val="95"/>
                </w:rPr>
                <w:t>(2019)</w:t>
              </w:r>
            </w:hyperlink>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7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00" w:type="dxa"/>
            <w:vAlign w:val="bottom"/>
            <w:gridSpan w:val="22"/>
          </w:tcPr>
          <w:p>
            <w:pPr>
              <w:spacing w:after="0" w:line="17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Form of Franchise</w:t>
              </w:r>
            </w:hyperlink>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12/25/2019</w:t>
            </w:r>
          </w:p>
        </w:tc>
        <w:tc>
          <w:tcPr>
            <w:tcW w:w="8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3/6/2020</w:t>
            </w:r>
          </w:p>
        </w:tc>
        <w:tc>
          <w:tcPr>
            <w:tcW w:w="8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001-36556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980" w:type="dxa"/>
            <w:vAlign w:val="bottom"/>
            <w:gridSpan w:val="1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Development Agreement</w:t>
              </w:r>
            </w:hyperlink>
          </w:p>
        </w:tc>
        <w:tc>
          <w:tcPr>
            <w:tcW w:w="48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ind w:left="60"/>
              <w:spacing w:after="0" w:line="196" w:lineRule="exact"/>
              <w:rPr>
                <w:rFonts w:ascii="Times New Roman" w:cs="Times New Roman" w:eastAsia="Times New Roman" w:hAnsi="Times New Roman"/>
                <w:sz w:val="18"/>
                <w:szCs w:val="18"/>
                <w:color w:val="0000EE"/>
                <w:w w:val="95"/>
              </w:rPr>
            </w:pPr>
            <w:hyperlink r:id="rId120">
              <w:r>
                <w:rPr>
                  <w:rFonts w:ascii="Times New Roman" w:cs="Times New Roman" w:eastAsia="Times New Roman" w:hAnsi="Times New Roman"/>
                  <w:sz w:val="18"/>
                  <w:szCs w:val="18"/>
                  <w:color w:val="0000EE"/>
                  <w:w w:val="95"/>
                </w:rPr>
                <w:t>(2019)</w:t>
              </w:r>
            </w:hyperlink>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780" w:type="dxa"/>
            <w:vAlign w:val="bottom"/>
            <w:tcBorders>
              <w:bottom w:val="single" w:sz="8" w:color="CCEEFF"/>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Form of Franchise Agreement</w:t>
              </w:r>
            </w:hyperlink>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2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12/29/2021</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3/11/2022</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001-36556</w:t>
            </w:r>
          </w:p>
        </w:tc>
        <w:tc>
          <w:tcPr>
            <w:tcW w:w="0" w:type="dxa"/>
            <w:vAlign w:val="bottom"/>
          </w:tcPr>
          <w:p>
            <w:pPr>
              <w:spacing w:after="0"/>
              <w:rPr>
                <w:sz w:val="1"/>
                <w:szCs w:val="1"/>
                <w:color w:val="auto"/>
              </w:rPr>
            </w:pPr>
          </w:p>
        </w:tc>
      </w:tr>
      <w:tr>
        <w:trPr>
          <w:trHeight w:val="196"/>
        </w:trPr>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60"/>
              <w:spacing w:after="0" w:line="196" w:lineRule="exact"/>
              <w:rPr>
                <w:rFonts w:ascii="Times New Roman" w:cs="Times New Roman" w:eastAsia="Times New Roman" w:hAnsi="Times New Roman"/>
                <w:sz w:val="18"/>
                <w:szCs w:val="18"/>
                <w:color w:val="0000EE"/>
                <w:w w:val="95"/>
              </w:rPr>
            </w:pPr>
            <w:hyperlink r:id="rId121">
              <w:r>
                <w:rPr>
                  <w:rFonts w:ascii="Times New Roman" w:cs="Times New Roman" w:eastAsia="Times New Roman" w:hAnsi="Times New Roman"/>
                  <w:sz w:val="18"/>
                  <w:szCs w:val="18"/>
                  <w:color w:val="0000EE"/>
                  <w:w w:val="95"/>
                </w:rPr>
                <w:t>(2021)</w:t>
              </w:r>
            </w:hyperlink>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10.6</w:t>
            </w:r>
          </w:p>
        </w:tc>
        <w:tc>
          <w:tcPr>
            <w:tcW w:w="2640" w:type="dxa"/>
            <w:vAlign w:val="bottom"/>
            <w:gridSpan w:val="27"/>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Form of Franchise</w:t>
              </w:r>
            </w:hyperlink>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12/29/2021</w:t>
            </w: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10.18</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3/11/2022</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001-36556</w:t>
            </w:r>
          </w:p>
        </w:tc>
      </w:tr>
      <w:tr>
        <w:trPr>
          <w:trHeight w:val="20"/>
        </w:trPr>
        <w:tc>
          <w:tcPr>
            <w:tcW w:w="9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640" w:type="dxa"/>
            <w:vAlign w:val="bottom"/>
            <w:gridSpan w:val="27"/>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Development Agreement</w:t>
              </w:r>
            </w:hyperlink>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23">
              <w:r>
                <w:rPr>
                  <w:rFonts w:ascii="Times New Roman" w:cs="Times New Roman" w:eastAsia="Times New Roman" w:hAnsi="Times New Roman"/>
                  <w:sz w:val="18"/>
                  <w:szCs w:val="18"/>
                  <w:color w:val="0000EE"/>
                  <w:w w:val="95"/>
                </w:rPr>
                <w:t>(2021)</w:t>
              </w:r>
            </w:hyperlink>
          </w:p>
        </w:tc>
        <w:tc>
          <w:tcPr>
            <w:tcW w:w="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1"/>
        </w:trPr>
        <w:tc>
          <w:tcPr>
            <w:tcW w:w="9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76"/>
        </w:trPr>
        <w:tc>
          <w:tcPr>
            <w:tcW w:w="90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264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Form of Franchise Agreement</w:t>
              </w:r>
            </w:hyperlink>
          </w:p>
        </w:tc>
        <w:tc>
          <w:tcPr>
            <w:tcW w:w="116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12/27/2023</w:t>
            </w:r>
          </w:p>
        </w:tc>
        <w:tc>
          <w:tcPr>
            <w:tcW w:w="880" w:type="dxa"/>
            <w:vAlign w:val="bottom"/>
            <w:shd w:val="clear" w:color="auto" w:fill="CCEEFF"/>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10.37</w:t>
            </w:r>
          </w:p>
        </w:tc>
        <w:tc>
          <w:tcPr>
            <w:tcW w:w="12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3/8/2024</w:t>
            </w:r>
          </w:p>
        </w:tc>
        <w:tc>
          <w:tcPr>
            <w:tcW w:w="10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0000EE"/>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5"/>
              </w:rPr>
            </w:pPr>
            <w:hyperlink r:id="rId124">
              <w:r>
                <w:rPr>
                  <w:rFonts w:ascii="Times New Roman" w:cs="Times New Roman" w:eastAsia="Times New Roman" w:hAnsi="Times New Roman"/>
                  <w:sz w:val="18"/>
                  <w:szCs w:val="18"/>
                  <w:color w:val="0000EE"/>
                  <w:w w:val="95"/>
                </w:rPr>
                <w:t>(2022)</w:t>
              </w:r>
            </w:hyperlink>
          </w:p>
        </w:tc>
        <w:tc>
          <w:tcPr>
            <w:tcW w:w="60" w:type="dxa"/>
            <w:vAlign w:val="bottom"/>
            <w:tcBorders>
              <w:top w:val="single" w:sz="8" w:color="0000EE"/>
              <w:bottom w:val="single" w:sz="8" w:color="CCEEFF"/>
            </w:tcBorders>
            <w:shd w:val="clear" w:color="auto" w:fill="CCEEFF"/>
          </w:tcPr>
          <w:p>
            <w:pPr>
              <w:spacing w:after="0"/>
              <w:rPr>
                <w:sz w:val="17"/>
                <w:szCs w:val="17"/>
                <w:color w:val="auto"/>
              </w:rPr>
            </w:pPr>
          </w:p>
        </w:tc>
        <w:tc>
          <w:tcPr>
            <w:tcW w:w="340" w:type="dxa"/>
            <w:vAlign w:val="bottom"/>
            <w:tcBorders>
              <w:top w:val="single" w:sz="8" w:color="0000EE"/>
              <w:bottom w:val="single" w:sz="8" w:color="CCEEFF"/>
            </w:tcBorders>
            <w:shd w:val="clear" w:color="auto" w:fill="CCEEFF"/>
          </w:tcPr>
          <w:p>
            <w:pPr>
              <w:spacing w:after="0"/>
              <w:rPr>
                <w:sz w:val="17"/>
                <w:szCs w:val="17"/>
                <w:color w:val="auto"/>
              </w:rPr>
            </w:pPr>
          </w:p>
        </w:tc>
        <w:tc>
          <w:tcPr>
            <w:tcW w:w="160" w:type="dxa"/>
            <w:vAlign w:val="bottom"/>
            <w:tcBorders>
              <w:top w:val="single" w:sz="8" w:color="0000EE"/>
              <w:bottom w:val="single" w:sz="8" w:color="CCEEFF"/>
            </w:tcBorders>
            <w:shd w:val="clear" w:color="auto" w:fill="CCEEFF"/>
          </w:tcPr>
          <w:p>
            <w:pPr>
              <w:spacing w:after="0"/>
              <w:rPr>
                <w:sz w:val="17"/>
                <w:szCs w:val="17"/>
                <w:color w:val="auto"/>
              </w:rPr>
            </w:pPr>
          </w:p>
        </w:tc>
        <w:tc>
          <w:tcPr>
            <w:tcW w:w="280" w:type="dxa"/>
            <w:vAlign w:val="bottom"/>
            <w:tcBorders>
              <w:top w:val="single" w:sz="8" w:color="0000EE"/>
              <w:bottom w:val="single" w:sz="8" w:color="CCEEFF"/>
            </w:tcBorders>
            <w:shd w:val="clear" w:color="auto" w:fill="CCEEFF"/>
          </w:tcPr>
          <w:p>
            <w:pPr>
              <w:spacing w:after="0"/>
              <w:rPr>
                <w:sz w:val="17"/>
                <w:szCs w:val="17"/>
                <w:color w:val="auto"/>
              </w:rPr>
            </w:pPr>
          </w:p>
        </w:tc>
        <w:tc>
          <w:tcPr>
            <w:tcW w:w="80" w:type="dxa"/>
            <w:vAlign w:val="bottom"/>
            <w:tcBorders>
              <w:top w:val="single" w:sz="8" w:color="0000EE"/>
              <w:bottom w:val="single" w:sz="8" w:color="CCEEFF"/>
            </w:tcBorders>
            <w:shd w:val="clear" w:color="auto" w:fill="CCEEFF"/>
          </w:tcPr>
          <w:p>
            <w:pPr>
              <w:spacing w:after="0"/>
              <w:rPr>
                <w:sz w:val="17"/>
                <w:szCs w:val="17"/>
                <w:color w:val="auto"/>
              </w:rPr>
            </w:pPr>
          </w:p>
        </w:tc>
        <w:tc>
          <w:tcPr>
            <w:tcW w:w="8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80" w:type="dxa"/>
            <w:vAlign w:val="bottom"/>
            <w:tcBorders>
              <w:top w:val="single" w:sz="8" w:color="0000EE"/>
              <w:bottom w:val="single" w:sz="8" w:color="CCEEFF"/>
            </w:tcBorders>
            <w:shd w:val="clear" w:color="auto" w:fill="CCEEFF"/>
          </w:tcPr>
          <w:p>
            <w:pPr>
              <w:spacing w:after="0"/>
              <w:rPr>
                <w:sz w:val="17"/>
                <w:szCs w:val="17"/>
                <w:color w:val="auto"/>
              </w:rPr>
            </w:pPr>
          </w:p>
        </w:tc>
        <w:tc>
          <w:tcPr>
            <w:tcW w:w="60" w:type="dxa"/>
            <w:vAlign w:val="bottom"/>
            <w:tcBorders>
              <w:top w:val="single" w:sz="8" w:color="0000EE"/>
              <w:bottom w:val="single" w:sz="8" w:color="CCEEFF"/>
            </w:tcBorders>
            <w:shd w:val="clear" w:color="auto" w:fill="CCEEFF"/>
          </w:tcPr>
          <w:p>
            <w:pPr>
              <w:spacing w:after="0"/>
              <w:rPr>
                <w:sz w:val="17"/>
                <w:szCs w:val="17"/>
                <w:color w:val="auto"/>
              </w:rPr>
            </w:pPr>
          </w:p>
        </w:tc>
        <w:tc>
          <w:tcPr>
            <w:tcW w:w="12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6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100" w:type="dxa"/>
            <w:vAlign w:val="bottom"/>
            <w:tcBorders>
              <w:top w:val="single" w:sz="8" w:color="0000EE"/>
              <w:bottom w:val="single" w:sz="8" w:color="CCEEFF"/>
              <w:right w:val="single" w:sz="8" w:color="CCEEFF"/>
            </w:tcBorders>
            <w:shd w:val="clear" w:color="auto" w:fill="CCEEFF"/>
          </w:tcPr>
          <w:p>
            <w:pPr>
              <w:spacing w:after="0"/>
              <w:rPr>
                <w:sz w:val="17"/>
                <w:szCs w:val="17"/>
                <w:color w:val="auto"/>
              </w:rPr>
            </w:pPr>
          </w:p>
        </w:tc>
        <w:tc>
          <w:tcPr>
            <w:tcW w:w="4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61"/>
        </w:trPr>
        <w:tc>
          <w:tcPr>
            <w:tcW w:w="9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tcBorders>
              <w:right w:val="single" w:sz="8" w:color="CCEEFF"/>
            </w:tcBorders>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175"/>
        </w:trPr>
        <w:tc>
          <w:tcPr>
            <w:tcW w:w="9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2640" w:type="dxa"/>
            <w:vAlign w:val="bottom"/>
            <w:gridSpan w:val="27"/>
          </w:tcPr>
          <w:p>
            <w:pPr>
              <w:spacing w:after="0" w:line="17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Form of Franchise</w:t>
              </w:r>
            </w:hyperlink>
          </w:p>
        </w:tc>
        <w:tc>
          <w:tcPr>
            <w:tcW w:w="116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12/27/2023</w:t>
            </w:r>
          </w:p>
        </w:tc>
        <w:tc>
          <w:tcPr>
            <w:tcW w:w="880" w:type="dxa"/>
            <w:vAlign w:val="bottom"/>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10.37</w:t>
            </w:r>
          </w:p>
        </w:tc>
        <w:tc>
          <w:tcPr>
            <w:tcW w:w="120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3/8/2024</w:t>
            </w: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001-36556</w:t>
            </w:r>
          </w:p>
        </w:tc>
      </w:tr>
      <w:tr>
        <w:trPr>
          <w:trHeight w:val="20"/>
        </w:trPr>
        <w:tc>
          <w:tcPr>
            <w:tcW w:w="9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640" w:type="dxa"/>
            <w:vAlign w:val="bottom"/>
            <w:gridSpan w:val="27"/>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Development Agreement</w:t>
              </w:r>
            </w:hyperlink>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25">
              <w:r>
                <w:rPr>
                  <w:rFonts w:ascii="Times New Roman" w:cs="Times New Roman" w:eastAsia="Times New Roman" w:hAnsi="Times New Roman"/>
                  <w:sz w:val="18"/>
                  <w:szCs w:val="18"/>
                  <w:color w:val="0000EE"/>
                  <w:w w:val="95"/>
                </w:rPr>
                <w:t>(2022)</w:t>
              </w:r>
            </w:hyperlink>
          </w:p>
        </w:tc>
        <w:tc>
          <w:tcPr>
            <w:tcW w:w="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1"/>
        </w:trPr>
        <w:tc>
          <w:tcPr>
            <w:tcW w:w="9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76"/>
        </w:trPr>
        <w:tc>
          <w:tcPr>
            <w:tcW w:w="90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264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Form of Franchise Agreement</w:t>
              </w:r>
            </w:hyperlink>
          </w:p>
        </w:tc>
        <w:tc>
          <w:tcPr>
            <w:tcW w:w="116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12/25/2024</w:t>
            </w:r>
          </w:p>
        </w:tc>
        <w:tc>
          <w:tcPr>
            <w:tcW w:w="880" w:type="dxa"/>
            <w:vAlign w:val="bottom"/>
            <w:shd w:val="clear" w:color="auto" w:fill="CCEEFF"/>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2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3/7/2025</w:t>
            </w:r>
          </w:p>
        </w:tc>
        <w:tc>
          <w:tcPr>
            <w:tcW w:w="10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0000EE"/>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5"/>
              </w:rPr>
            </w:pPr>
            <w:hyperlink r:id="rId126">
              <w:r>
                <w:rPr>
                  <w:rFonts w:ascii="Times New Roman" w:cs="Times New Roman" w:eastAsia="Times New Roman" w:hAnsi="Times New Roman"/>
                  <w:sz w:val="18"/>
                  <w:szCs w:val="18"/>
                  <w:color w:val="0000EE"/>
                  <w:w w:val="95"/>
                </w:rPr>
                <w:t>(2023)</w:t>
              </w:r>
            </w:hyperlink>
          </w:p>
        </w:tc>
        <w:tc>
          <w:tcPr>
            <w:tcW w:w="60" w:type="dxa"/>
            <w:vAlign w:val="bottom"/>
            <w:tcBorders>
              <w:top w:val="single" w:sz="8" w:color="0000EE"/>
              <w:bottom w:val="single" w:sz="8" w:color="CCEEFF"/>
            </w:tcBorders>
            <w:shd w:val="clear" w:color="auto" w:fill="CCEEFF"/>
          </w:tcPr>
          <w:p>
            <w:pPr>
              <w:spacing w:after="0"/>
              <w:rPr>
                <w:sz w:val="17"/>
                <w:szCs w:val="17"/>
                <w:color w:val="auto"/>
              </w:rPr>
            </w:pPr>
          </w:p>
        </w:tc>
        <w:tc>
          <w:tcPr>
            <w:tcW w:w="340" w:type="dxa"/>
            <w:vAlign w:val="bottom"/>
            <w:tcBorders>
              <w:top w:val="single" w:sz="8" w:color="0000EE"/>
              <w:bottom w:val="single" w:sz="8" w:color="CCEEFF"/>
            </w:tcBorders>
            <w:shd w:val="clear" w:color="auto" w:fill="CCEEFF"/>
          </w:tcPr>
          <w:p>
            <w:pPr>
              <w:spacing w:after="0"/>
              <w:rPr>
                <w:sz w:val="17"/>
                <w:szCs w:val="17"/>
                <w:color w:val="auto"/>
              </w:rPr>
            </w:pPr>
          </w:p>
        </w:tc>
        <w:tc>
          <w:tcPr>
            <w:tcW w:w="160" w:type="dxa"/>
            <w:vAlign w:val="bottom"/>
            <w:tcBorders>
              <w:top w:val="single" w:sz="8" w:color="0000EE"/>
              <w:bottom w:val="single" w:sz="8" w:color="CCEEFF"/>
            </w:tcBorders>
            <w:shd w:val="clear" w:color="auto" w:fill="CCEEFF"/>
          </w:tcPr>
          <w:p>
            <w:pPr>
              <w:spacing w:after="0"/>
              <w:rPr>
                <w:sz w:val="17"/>
                <w:szCs w:val="17"/>
                <w:color w:val="auto"/>
              </w:rPr>
            </w:pPr>
          </w:p>
        </w:tc>
        <w:tc>
          <w:tcPr>
            <w:tcW w:w="280" w:type="dxa"/>
            <w:vAlign w:val="bottom"/>
            <w:tcBorders>
              <w:top w:val="single" w:sz="8" w:color="0000EE"/>
              <w:bottom w:val="single" w:sz="8" w:color="CCEEFF"/>
            </w:tcBorders>
            <w:shd w:val="clear" w:color="auto" w:fill="CCEEFF"/>
          </w:tcPr>
          <w:p>
            <w:pPr>
              <w:spacing w:after="0"/>
              <w:rPr>
                <w:sz w:val="17"/>
                <w:szCs w:val="17"/>
                <w:color w:val="auto"/>
              </w:rPr>
            </w:pPr>
          </w:p>
        </w:tc>
        <w:tc>
          <w:tcPr>
            <w:tcW w:w="80" w:type="dxa"/>
            <w:vAlign w:val="bottom"/>
            <w:tcBorders>
              <w:top w:val="single" w:sz="8" w:color="0000EE"/>
              <w:bottom w:val="single" w:sz="8" w:color="CCEEFF"/>
            </w:tcBorders>
            <w:shd w:val="clear" w:color="auto" w:fill="CCEEFF"/>
          </w:tcPr>
          <w:p>
            <w:pPr>
              <w:spacing w:after="0"/>
              <w:rPr>
                <w:sz w:val="17"/>
                <w:szCs w:val="17"/>
                <w:color w:val="auto"/>
              </w:rPr>
            </w:pPr>
          </w:p>
        </w:tc>
        <w:tc>
          <w:tcPr>
            <w:tcW w:w="8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80" w:type="dxa"/>
            <w:vAlign w:val="bottom"/>
            <w:tcBorders>
              <w:top w:val="single" w:sz="8" w:color="0000EE"/>
              <w:bottom w:val="single" w:sz="8" w:color="CCEEFF"/>
            </w:tcBorders>
            <w:shd w:val="clear" w:color="auto" w:fill="CCEEFF"/>
          </w:tcPr>
          <w:p>
            <w:pPr>
              <w:spacing w:after="0"/>
              <w:rPr>
                <w:sz w:val="17"/>
                <w:szCs w:val="17"/>
                <w:color w:val="auto"/>
              </w:rPr>
            </w:pPr>
          </w:p>
        </w:tc>
        <w:tc>
          <w:tcPr>
            <w:tcW w:w="60" w:type="dxa"/>
            <w:vAlign w:val="bottom"/>
            <w:tcBorders>
              <w:top w:val="single" w:sz="8" w:color="0000EE"/>
              <w:bottom w:val="single" w:sz="8" w:color="CCEEFF"/>
            </w:tcBorders>
            <w:shd w:val="clear" w:color="auto" w:fill="CCEEFF"/>
          </w:tcPr>
          <w:p>
            <w:pPr>
              <w:spacing w:after="0"/>
              <w:rPr>
                <w:sz w:val="17"/>
                <w:szCs w:val="17"/>
                <w:color w:val="auto"/>
              </w:rPr>
            </w:pPr>
          </w:p>
        </w:tc>
        <w:tc>
          <w:tcPr>
            <w:tcW w:w="12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6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100" w:type="dxa"/>
            <w:vAlign w:val="bottom"/>
            <w:tcBorders>
              <w:top w:val="single" w:sz="8" w:color="0000EE"/>
              <w:bottom w:val="single" w:sz="8" w:color="CCEEFF"/>
              <w:right w:val="single" w:sz="8" w:color="CCEEFF"/>
            </w:tcBorders>
            <w:shd w:val="clear" w:color="auto" w:fill="CCEEFF"/>
          </w:tcPr>
          <w:p>
            <w:pPr>
              <w:spacing w:after="0"/>
              <w:rPr>
                <w:sz w:val="17"/>
                <w:szCs w:val="17"/>
                <w:color w:val="auto"/>
              </w:rPr>
            </w:pPr>
          </w:p>
        </w:tc>
        <w:tc>
          <w:tcPr>
            <w:tcW w:w="4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61"/>
        </w:trPr>
        <w:tc>
          <w:tcPr>
            <w:tcW w:w="9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tcBorders>
              <w:right w:val="single" w:sz="8" w:color="CCEEFF"/>
            </w:tcBorders>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176"/>
        </w:trPr>
        <w:tc>
          <w:tcPr>
            <w:tcW w:w="9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2640" w:type="dxa"/>
            <w:vAlign w:val="bottom"/>
            <w:gridSpan w:val="27"/>
          </w:tcPr>
          <w:p>
            <w:pPr>
              <w:spacing w:after="0" w:line="17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Form of Franchise</w:t>
              </w:r>
            </w:hyperlink>
          </w:p>
        </w:tc>
        <w:tc>
          <w:tcPr>
            <w:tcW w:w="116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12/25/2024</w:t>
            </w:r>
          </w:p>
        </w:tc>
        <w:tc>
          <w:tcPr>
            <w:tcW w:w="880" w:type="dxa"/>
            <w:vAlign w:val="bottom"/>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20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3/7/2025</w:t>
            </w: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001-36556</w:t>
            </w:r>
          </w:p>
        </w:tc>
      </w:tr>
      <w:tr>
        <w:trPr>
          <w:trHeight w:val="20"/>
        </w:trPr>
        <w:tc>
          <w:tcPr>
            <w:tcW w:w="9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640" w:type="dxa"/>
            <w:vAlign w:val="bottom"/>
            <w:gridSpan w:val="27"/>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Development Agreement</w:t>
              </w:r>
            </w:hyperlink>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27">
              <w:r>
                <w:rPr>
                  <w:rFonts w:ascii="Times New Roman" w:cs="Times New Roman" w:eastAsia="Times New Roman" w:hAnsi="Times New Roman"/>
                  <w:sz w:val="18"/>
                  <w:szCs w:val="18"/>
                  <w:color w:val="0000EE"/>
                  <w:w w:val="95"/>
                </w:rPr>
                <w:t>(2023)</w:t>
              </w:r>
            </w:hyperlink>
          </w:p>
        </w:tc>
        <w:tc>
          <w:tcPr>
            <w:tcW w:w="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1"/>
        </w:trPr>
        <w:tc>
          <w:tcPr>
            <w:tcW w:w="9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76"/>
        </w:trPr>
        <w:tc>
          <w:tcPr>
            <w:tcW w:w="900" w:type="dxa"/>
            <w:vAlign w:val="bottom"/>
            <w:tcBorders>
              <w:bottom w:val="single" w:sz="8" w:color="CCEEFF"/>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218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Credit Agreement, dated as of</w:t>
              </w:r>
            </w:hyperlink>
          </w:p>
        </w:tc>
        <w:tc>
          <w:tcPr>
            <w:tcW w:w="4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880" w:type="dxa"/>
            <w:vAlign w:val="bottom"/>
            <w:tcBorders>
              <w:bottom w:val="single" w:sz="8" w:color="CCEEFF"/>
            </w:tcBorders>
            <w:shd w:val="clear" w:color="auto" w:fill="CCEEFF"/>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8/2/2022</w:t>
            </w:r>
          </w:p>
        </w:tc>
        <w:tc>
          <w:tcPr>
            <w:tcW w:w="10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900" w:type="dxa"/>
            <w:vAlign w:val="bottom"/>
            <w:shd w:val="clear" w:color="auto" w:fill="CCEEFF"/>
          </w:tcPr>
          <w:p>
            <w:pPr>
              <w:spacing w:after="0"/>
              <w:rPr>
                <w:sz w:val="17"/>
                <w:szCs w:val="17"/>
                <w:color w:val="auto"/>
              </w:rPr>
            </w:pPr>
          </w:p>
        </w:tc>
        <w:tc>
          <w:tcPr>
            <w:tcW w:w="264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July 27, 2022, among El Pollo</w:t>
              </w:r>
            </w:hyperlink>
          </w:p>
        </w:tc>
        <w:tc>
          <w:tcPr>
            <w:tcW w:w="1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1920" w:type="dxa"/>
            <w:vAlign w:val="bottom"/>
            <w:tcBorders>
              <w:top w:val="single" w:sz="8" w:color="0000EE"/>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w w:val="98"/>
              </w:rPr>
            </w:pPr>
            <w:hyperlink r:id="rId128">
              <w:r>
                <w:rPr>
                  <w:rFonts w:ascii="Times New Roman" w:cs="Times New Roman" w:eastAsia="Times New Roman" w:hAnsi="Times New Roman"/>
                  <w:sz w:val="18"/>
                  <w:szCs w:val="18"/>
                  <w:color w:val="0000EE"/>
                  <w:w w:val="98"/>
                </w:rPr>
                <w:t>Loco, Inc., as borrower, El</w:t>
              </w:r>
            </w:hyperlink>
          </w:p>
        </w:tc>
        <w:tc>
          <w:tcPr>
            <w:tcW w:w="260" w:type="dxa"/>
            <w:vAlign w:val="bottom"/>
            <w:tcBorders>
              <w:top w:val="single" w:sz="8" w:color="0000EE"/>
              <w:bottom w:val="single" w:sz="8" w:color="CCEEFF"/>
            </w:tcBorders>
            <w:gridSpan w:val="8"/>
            <w:shd w:val="clear" w:color="auto" w:fill="CCEEFF"/>
          </w:tcPr>
          <w:p>
            <w:pPr>
              <w:spacing w:after="0"/>
              <w:rPr>
                <w:sz w:val="17"/>
                <w:szCs w:val="17"/>
                <w:color w:val="auto"/>
              </w:rPr>
            </w:pP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900" w:type="dxa"/>
            <w:vAlign w:val="bottom"/>
            <w:shd w:val="clear" w:color="auto" w:fill="CCEEFF"/>
          </w:tcPr>
          <w:p>
            <w:pPr>
              <w:spacing w:after="0"/>
              <w:rPr>
                <w:sz w:val="17"/>
                <w:szCs w:val="17"/>
                <w:color w:val="auto"/>
              </w:rPr>
            </w:pPr>
          </w:p>
        </w:tc>
        <w:tc>
          <w:tcPr>
            <w:tcW w:w="264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Pollo Loco Holdings, Inc., as</w:t>
              </w:r>
            </w:hyperlink>
          </w:p>
        </w:tc>
        <w:tc>
          <w:tcPr>
            <w:tcW w:w="1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9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guarantor, the other</w:t>
              </w:r>
            </w:hyperlink>
          </w:p>
        </w:tc>
        <w:tc>
          <w:tcPr>
            <w:tcW w:w="540" w:type="dxa"/>
            <w:vAlign w:val="bottom"/>
            <w:tcBorders>
              <w:top w:val="single" w:sz="8" w:color="CCEEFF"/>
            </w:tcBorders>
            <w:gridSpan w:val="5"/>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80" w:type="dxa"/>
            <w:vAlign w:val="bottom"/>
            <w:gridSpan w:val="2"/>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r>
        <w:trPr>
          <w:trHeight w:val="196"/>
        </w:trPr>
        <w:tc>
          <w:tcPr>
            <w:tcW w:w="900" w:type="dxa"/>
            <w:vAlign w:val="bottom"/>
            <w:shd w:val="clear" w:color="auto" w:fill="CCEEFF"/>
          </w:tcPr>
          <w:p>
            <w:pPr>
              <w:spacing w:after="0"/>
              <w:rPr>
                <w:sz w:val="17"/>
                <w:szCs w:val="17"/>
                <w:color w:val="auto"/>
              </w:rPr>
            </w:pPr>
          </w:p>
        </w:tc>
        <w:tc>
          <w:tcPr>
            <w:tcW w:w="264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guarantors party thereto, the</w:t>
              </w:r>
            </w:hyperlink>
          </w:p>
        </w:tc>
        <w:tc>
          <w:tcPr>
            <w:tcW w:w="1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1800" w:type="dxa"/>
            <w:vAlign w:val="bottom"/>
            <w:tcBorders>
              <w:top w:val="single" w:sz="8" w:color="0000EE"/>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lenders party thereto and</w:t>
              </w:r>
            </w:hyperlink>
          </w:p>
        </w:tc>
        <w:tc>
          <w:tcPr>
            <w:tcW w:w="240" w:type="dxa"/>
            <w:vAlign w:val="bottom"/>
            <w:tcBorders>
              <w:top w:val="single" w:sz="8" w:color="0000EE"/>
              <w:bottom w:val="single" w:sz="8" w:color="CCEEFF"/>
              <w:right w:val="single" w:sz="8" w:color="CCEEFF"/>
            </w:tcBorders>
            <w:gridSpan w:val="6"/>
            <w:shd w:val="clear" w:color="auto" w:fill="CCEEFF"/>
          </w:tcPr>
          <w:p>
            <w:pPr>
              <w:spacing w:after="0"/>
              <w:rPr>
                <w:sz w:val="17"/>
                <w:szCs w:val="17"/>
                <w:color w:val="auto"/>
              </w:rPr>
            </w:pPr>
          </w:p>
        </w:tc>
        <w:tc>
          <w:tcPr>
            <w:tcW w:w="600" w:type="dxa"/>
            <w:vAlign w:val="bottom"/>
            <w:tcBorders>
              <w:top w:val="single" w:sz="8" w:color="CCEEFF"/>
              <w:bottom w:val="single" w:sz="8" w:color="CCEEFF"/>
            </w:tcBorders>
            <w:gridSpan w:val="7"/>
            <w:shd w:val="clear" w:color="auto" w:fill="CCEEFF"/>
          </w:tcPr>
          <w:p>
            <w:pPr>
              <w:spacing w:after="0"/>
              <w:rPr>
                <w:sz w:val="17"/>
                <w:szCs w:val="17"/>
                <w:color w:val="auto"/>
              </w:rPr>
            </w:pPr>
          </w:p>
        </w:tc>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9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8"/>
              </w:rPr>
            </w:pPr>
            <w:hyperlink r:id="rId128">
              <w:r>
                <w:rPr>
                  <w:rFonts w:ascii="Times New Roman" w:cs="Times New Roman" w:eastAsia="Times New Roman" w:hAnsi="Times New Roman"/>
                  <w:sz w:val="18"/>
                  <w:szCs w:val="18"/>
                  <w:color w:val="0000EE"/>
                  <w:w w:val="98"/>
                </w:rPr>
                <w:t>Bank of America, as</w:t>
              </w:r>
            </w:hyperlink>
          </w:p>
        </w:tc>
        <w:tc>
          <w:tcPr>
            <w:tcW w:w="1160" w:type="dxa"/>
            <w:vAlign w:val="bottom"/>
            <w:tcBorders>
              <w:bottom w:val="single" w:sz="8" w:color="CCEEFF"/>
            </w:tcBorders>
            <w:gridSpan w:val="19"/>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96"/>
        </w:trPr>
        <w:tc>
          <w:tcPr>
            <w:tcW w:w="900" w:type="dxa"/>
            <w:vAlign w:val="bottom"/>
            <w:shd w:val="clear" w:color="auto" w:fill="CCEEFF"/>
          </w:tcPr>
          <w:p>
            <w:pPr>
              <w:spacing w:after="0"/>
              <w:rPr>
                <w:sz w:val="17"/>
                <w:szCs w:val="17"/>
                <w:color w:val="auto"/>
              </w:rPr>
            </w:pPr>
          </w:p>
        </w:tc>
        <w:tc>
          <w:tcPr>
            <w:tcW w:w="264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administrative agent,</w:t>
              </w:r>
            </w:hyperlink>
          </w:p>
        </w:tc>
        <w:tc>
          <w:tcPr>
            <w:tcW w:w="1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80" w:type="dxa"/>
            <w:vAlign w:val="bottom"/>
            <w:gridSpan w:val="2"/>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r>
        <w:trPr>
          <w:trHeight w:val="196"/>
        </w:trPr>
        <w:tc>
          <w:tcPr>
            <w:tcW w:w="900" w:type="dxa"/>
            <w:vAlign w:val="bottom"/>
            <w:shd w:val="clear" w:color="auto" w:fill="CCEEFF"/>
          </w:tcPr>
          <w:p>
            <w:pPr>
              <w:spacing w:after="0"/>
              <w:rPr>
                <w:sz w:val="17"/>
                <w:szCs w:val="17"/>
                <w:color w:val="auto"/>
              </w:rPr>
            </w:pPr>
          </w:p>
        </w:tc>
        <w:tc>
          <w:tcPr>
            <w:tcW w:w="264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swingline lender and letter of</w:t>
              </w:r>
            </w:hyperlink>
          </w:p>
        </w:tc>
        <w:tc>
          <w:tcPr>
            <w:tcW w:w="1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9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credit issuer</w:t>
              </w:r>
            </w:hyperlink>
          </w:p>
        </w:tc>
        <w:tc>
          <w:tcPr>
            <w:tcW w:w="540" w:type="dxa"/>
            <w:vAlign w:val="bottom"/>
            <w:tcBorders>
              <w:top w:val="single" w:sz="8" w:color="CCEEFF"/>
            </w:tcBorders>
            <w:gridSpan w:val="5"/>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176"/>
        </w:trPr>
        <w:tc>
          <w:tcPr>
            <w:tcW w:w="9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78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w w:val="98"/>
              </w:rPr>
            </w:pPr>
            <w:hyperlink r:id="rId129">
              <w:r>
                <w:rPr>
                  <w:rFonts w:ascii="Times New Roman" w:cs="Times New Roman" w:eastAsia="Times New Roman" w:hAnsi="Times New Roman"/>
                  <w:sz w:val="18"/>
                  <w:szCs w:val="18"/>
                  <w:color w:val="0000EE"/>
                  <w:w w:val="98"/>
                </w:rPr>
                <w:t>Form of Indemnification</w:t>
              </w:r>
            </w:hyperlink>
          </w:p>
        </w:tc>
        <w:tc>
          <w:tcPr>
            <w:tcW w:w="860" w:type="dxa"/>
            <w:vAlign w:val="bottom"/>
            <w:gridSpan w:val="14"/>
          </w:tcPr>
          <w:p>
            <w:pPr>
              <w:spacing w:after="0"/>
              <w:rPr>
                <w:sz w:val="15"/>
                <w:szCs w:val="15"/>
                <w:color w:val="auto"/>
              </w:rPr>
            </w:pPr>
          </w:p>
        </w:tc>
        <w:tc>
          <w:tcPr>
            <w:tcW w:w="116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12/25/2024</w:t>
            </w:r>
          </w:p>
        </w:tc>
        <w:tc>
          <w:tcPr>
            <w:tcW w:w="880" w:type="dxa"/>
            <w:vAlign w:val="bottom"/>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20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3/7/2025</w:t>
            </w: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900" w:type="dxa"/>
            <w:vAlign w:val="bottom"/>
          </w:tcPr>
          <w:p>
            <w:pPr>
              <w:spacing w:after="0"/>
              <w:rPr>
                <w:sz w:val="17"/>
                <w:szCs w:val="17"/>
                <w:color w:val="auto"/>
              </w:rPr>
            </w:pPr>
          </w:p>
        </w:tc>
        <w:tc>
          <w:tcPr>
            <w:tcW w:w="20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Agreement between El Pollo</w:t>
              </w:r>
            </w:hyperlink>
          </w:p>
        </w:tc>
        <w:tc>
          <w:tcPr>
            <w:tcW w:w="560" w:type="dxa"/>
            <w:vAlign w:val="bottom"/>
            <w:gridSpan w:val="6"/>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Loco Holdings, Inc. and each</w:t>
              </w:r>
            </w:hyperlink>
          </w:p>
        </w:tc>
        <w:tc>
          <w:tcPr>
            <w:tcW w:w="500" w:type="dxa"/>
            <w:vAlign w:val="bottom"/>
            <w:gridSpan w:val="3"/>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0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of its directors and executive</w:t>
              </w:r>
            </w:hyperlink>
          </w:p>
        </w:tc>
        <w:tc>
          <w:tcPr>
            <w:tcW w:w="560" w:type="dxa"/>
            <w:vAlign w:val="bottom"/>
            <w:gridSpan w:val="6"/>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640" w:type="dxa"/>
            <w:vAlign w:val="bottom"/>
            <w:gridSpan w:val="27"/>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officers</w:t>
              </w:r>
            </w:hyperlink>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1"/>
        </w:trPr>
        <w:tc>
          <w:tcPr>
            <w:tcW w:w="90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76"/>
        </w:trPr>
        <w:tc>
          <w:tcPr>
            <w:tcW w:w="90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264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2014 Omnibus Equity</w:t>
              </w:r>
            </w:hyperlink>
          </w:p>
        </w:tc>
        <w:tc>
          <w:tcPr>
            <w:tcW w:w="116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S-1/A</w:t>
            </w:r>
          </w:p>
        </w:tc>
        <w:tc>
          <w:tcPr>
            <w:tcW w:w="118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880" w:type="dxa"/>
            <w:vAlign w:val="bottom"/>
            <w:shd w:val="clear" w:color="auto" w:fill="CCEEFF"/>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12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7/22/2014</w:t>
            </w:r>
          </w:p>
        </w:tc>
        <w:tc>
          <w:tcPr>
            <w:tcW w:w="10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333-197001</w:t>
            </w:r>
          </w:p>
        </w:tc>
      </w:tr>
      <w:tr>
        <w:trPr>
          <w:trHeight w:val="196"/>
        </w:trPr>
        <w:tc>
          <w:tcPr>
            <w:tcW w:w="9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Incentive Plan</w:t>
              </w:r>
            </w:hyperlink>
          </w:p>
        </w:tc>
        <w:tc>
          <w:tcPr>
            <w:tcW w:w="1060" w:type="dxa"/>
            <w:vAlign w:val="bottom"/>
            <w:tcBorders>
              <w:top w:val="single" w:sz="8" w:color="CCEEFF"/>
            </w:tcBorders>
            <w:gridSpan w:val="17"/>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175"/>
        </w:trPr>
        <w:tc>
          <w:tcPr>
            <w:tcW w:w="9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2640" w:type="dxa"/>
            <w:vAlign w:val="bottom"/>
            <w:gridSpan w:val="27"/>
          </w:tcPr>
          <w:p>
            <w:pPr>
              <w:spacing w:after="0" w:line="17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Form of Option Award</w:t>
              </w:r>
            </w:hyperlink>
          </w:p>
        </w:tc>
        <w:tc>
          <w:tcPr>
            <w:tcW w:w="116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120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7/22/2014</w:t>
            </w: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333-197001</w:t>
            </w:r>
          </w:p>
        </w:tc>
      </w:tr>
      <w:tr>
        <w:trPr>
          <w:trHeight w:val="20"/>
        </w:trPr>
        <w:tc>
          <w:tcPr>
            <w:tcW w:w="9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20" w:type="dxa"/>
            <w:vAlign w:val="bottom"/>
            <w:gridSpan w:val="10"/>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7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131">
              <w:r>
                <w:rPr>
                  <w:rFonts w:ascii="Times New Roman" w:cs="Times New Roman" w:eastAsia="Times New Roman" w:hAnsi="Times New Roman"/>
                  <w:sz w:val="18"/>
                  <w:szCs w:val="18"/>
                  <w:color w:val="0000EE"/>
                  <w:w w:val="98"/>
                </w:rPr>
                <w:t>Agreement (Fair Market</w:t>
              </w:r>
            </w:hyperlink>
          </w:p>
        </w:tc>
        <w:tc>
          <w:tcPr>
            <w:tcW w:w="880" w:type="dxa"/>
            <w:vAlign w:val="bottom"/>
            <w:gridSpan w:val="15"/>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640" w:type="dxa"/>
            <w:vAlign w:val="bottom"/>
            <w:gridSpan w:val="27"/>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Value Options) under 2014</w:t>
              </w:r>
            </w:hyperlink>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131">
              <w:r>
                <w:rPr>
                  <w:rFonts w:ascii="Times New Roman" w:cs="Times New Roman" w:eastAsia="Times New Roman" w:hAnsi="Times New Roman"/>
                  <w:sz w:val="18"/>
                  <w:szCs w:val="18"/>
                  <w:color w:val="0000EE"/>
                  <w:w w:val="98"/>
                </w:rPr>
                <w:t>Omnibus Equity Incentive</w:t>
              </w:r>
            </w:hyperlink>
          </w:p>
        </w:tc>
        <w:tc>
          <w:tcPr>
            <w:tcW w:w="40" w:type="dxa"/>
            <w:vAlign w:val="bottom"/>
            <w:tcBorders>
              <w:top w:val="single" w:sz="8" w:color="0000EE"/>
            </w:tcBorders>
            <w:gridSpan w:val="2"/>
          </w:tcPr>
          <w:p>
            <w:pPr>
              <w:spacing w:after="0"/>
              <w:rPr>
                <w:sz w:val="17"/>
                <w:szCs w:val="17"/>
                <w:color w:val="auto"/>
              </w:rPr>
            </w:pPr>
          </w:p>
        </w:tc>
        <w:tc>
          <w:tcPr>
            <w:tcW w:w="700" w:type="dxa"/>
            <w:vAlign w:val="bottom"/>
            <w:gridSpan w:val="8"/>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640" w:type="dxa"/>
            <w:vAlign w:val="bottom"/>
            <w:gridSpan w:val="27"/>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Plan</w:t>
              </w:r>
            </w:hyperlink>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1"/>
        </w:trPr>
        <w:tc>
          <w:tcPr>
            <w:tcW w:w="90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75"/>
        </w:trPr>
        <w:tc>
          <w:tcPr>
            <w:tcW w:w="900" w:type="dxa"/>
            <w:vAlign w:val="bottom"/>
            <w:tcBorders>
              <w:bottom w:val="single" w:sz="8" w:color="CCEEFF"/>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216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w w:val="98"/>
              </w:rPr>
            </w:pPr>
            <w:hyperlink r:id="rId132">
              <w:r>
                <w:rPr>
                  <w:rFonts w:ascii="Times New Roman" w:cs="Times New Roman" w:eastAsia="Times New Roman" w:hAnsi="Times New Roman"/>
                  <w:sz w:val="18"/>
                  <w:szCs w:val="18"/>
                  <w:color w:val="0000EE"/>
                  <w:w w:val="98"/>
                </w:rPr>
                <w:t>Form of Non-Officer Director</w:t>
              </w:r>
            </w:hyperlink>
          </w:p>
        </w:tc>
        <w:tc>
          <w:tcPr>
            <w:tcW w:w="480" w:type="dxa"/>
            <w:vAlign w:val="bottom"/>
            <w:tcBorders>
              <w:bottom w:val="single" w:sz="8" w:color="CCEEFF"/>
            </w:tcBorders>
            <w:gridSpan w:val="2"/>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S-1/A</w:t>
            </w:r>
          </w:p>
        </w:tc>
        <w:tc>
          <w:tcPr>
            <w:tcW w:w="118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880" w:type="dxa"/>
            <w:vAlign w:val="bottom"/>
            <w:tcBorders>
              <w:bottom w:val="single" w:sz="8" w:color="CCEEFF"/>
            </w:tcBorders>
            <w:shd w:val="clear" w:color="auto" w:fill="CCEEFF"/>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120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7/22/2014</w:t>
            </w:r>
          </w:p>
        </w:tc>
        <w:tc>
          <w:tcPr>
            <w:tcW w:w="10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333-197001</w:t>
            </w:r>
          </w:p>
        </w:tc>
      </w:tr>
      <w:tr>
        <w:trPr>
          <w:trHeight w:val="196"/>
        </w:trPr>
        <w:tc>
          <w:tcPr>
            <w:tcW w:w="900" w:type="dxa"/>
            <w:vAlign w:val="bottom"/>
            <w:shd w:val="clear" w:color="auto" w:fill="CCEEFF"/>
          </w:tcPr>
          <w:p>
            <w:pPr>
              <w:spacing w:after="0"/>
              <w:rPr>
                <w:sz w:val="17"/>
                <w:szCs w:val="17"/>
                <w:color w:val="auto"/>
              </w:rPr>
            </w:pPr>
          </w:p>
        </w:tc>
        <w:tc>
          <w:tcPr>
            <w:tcW w:w="264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Restricted Share Agreement</w:t>
              </w:r>
            </w:hyperlink>
          </w:p>
        </w:tc>
        <w:tc>
          <w:tcPr>
            <w:tcW w:w="1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1840" w:type="dxa"/>
            <w:vAlign w:val="bottom"/>
            <w:gridSpan w:val="16"/>
            <w:shd w:val="clear" w:color="auto" w:fill="0000EE"/>
          </w:tcPr>
          <w:p>
            <w:pPr>
              <w:spacing w:after="0" w:line="20" w:lineRule="exact"/>
              <w:rPr>
                <w:sz w:val="1"/>
                <w:szCs w:val="1"/>
                <w:color w:val="auto"/>
              </w:rPr>
            </w:pPr>
          </w:p>
        </w:tc>
        <w:tc>
          <w:tcPr>
            <w:tcW w:w="200" w:type="dxa"/>
            <w:vAlign w:val="bottom"/>
            <w:tcBorders>
              <w:right w:val="single" w:sz="8" w:color="CCEEFF"/>
            </w:tcBorders>
            <w:gridSpan w:val="4"/>
            <w:shd w:val="clear" w:color="auto" w:fill="0000EE"/>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00" w:type="dxa"/>
            <w:vAlign w:val="bottom"/>
            <w:gridSpan w:val="3"/>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r>
        <w:trPr>
          <w:trHeight w:val="196"/>
        </w:trPr>
        <w:tc>
          <w:tcPr>
            <w:tcW w:w="900" w:type="dxa"/>
            <w:vAlign w:val="bottom"/>
            <w:shd w:val="clear" w:color="auto" w:fill="CCEEFF"/>
          </w:tcPr>
          <w:p>
            <w:pPr>
              <w:spacing w:after="0"/>
              <w:rPr>
                <w:sz w:val="17"/>
                <w:szCs w:val="17"/>
                <w:color w:val="auto"/>
              </w:rPr>
            </w:pPr>
          </w:p>
        </w:tc>
        <w:tc>
          <w:tcPr>
            <w:tcW w:w="264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under 2014 Omnibus Equity</w:t>
              </w:r>
            </w:hyperlink>
          </w:p>
        </w:tc>
        <w:tc>
          <w:tcPr>
            <w:tcW w:w="1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90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0000EE"/>
              <w:right w:val="single" w:sz="8" w:color="CCEEFF"/>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Incentive Plan</w:t>
              </w:r>
            </w:hyperlink>
          </w:p>
        </w:tc>
        <w:tc>
          <w:tcPr>
            <w:tcW w:w="600" w:type="dxa"/>
            <w:vAlign w:val="bottom"/>
            <w:tcBorders>
              <w:top w:val="single" w:sz="8" w:color="CCEEFF"/>
            </w:tcBorders>
            <w:gridSpan w:val="7"/>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175"/>
        </w:trPr>
        <w:tc>
          <w:tcPr>
            <w:tcW w:w="9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2640" w:type="dxa"/>
            <w:vAlign w:val="bottom"/>
            <w:gridSpan w:val="27"/>
          </w:tcPr>
          <w:p>
            <w:pPr>
              <w:spacing w:after="0" w:line="17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Form of Option Award</w:t>
              </w:r>
            </w:hyperlink>
          </w:p>
        </w:tc>
        <w:tc>
          <w:tcPr>
            <w:tcW w:w="116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6/29/2016</w:t>
            </w:r>
          </w:p>
        </w:tc>
        <w:tc>
          <w:tcPr>
            <w:tcW w:w="880" w:type="dxa"/>
            <w:vAlign w:val="bottom"/>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10.27</w:t>
            </w:r>
          </w:p>
        </w:tc>
        <w:tc>
          <w:tcPr>
            <w:tcW w:w="120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8/5/2016</w:t>
            </w: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001-36556</w:t>
            </w:r>
          </w:p>
        </w:tc>
      </w:tr>
      <w:tr>
        <w:trPr>
          <w:trHeight w:val="20"/>
        </w:trPr>
        <w:tc>
          <w:tcPr>
            <w:tcW w:w="900" w:type="dxa"/>
            <w:vAlign w:val="bottom"/>
          </w:tcPr>
          <w:p>
            <w:pPr>
              <w:spacing w:after="0" w:line="20" w:lineRule="exact"/>
              <w:rPr>
                <w:sz w:val="1"/>
                <w:szCs w:val="1"/>
                <w:color w:val="auto"/>
              </w:rPr>
            </w:pPr>
          </w:p>
        </w:tc>
        <w:tc>
          <w:tcPr>
            <w:tcW w:w="1640" w:type="dxa"/>
            <w:vAlign w:val="bottom"/>
            <w:gridSpan w:val="11"/>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7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133">
              <w:r>
                <w:rPr>
                  <w:rFonts w:ascii="Times New Roman" w:cs="Times New Roman" w:eastAsia="Times New Roman" w:hAnsi="Times New Roman"/>
                  <w:sz w:val="18"/>
                  <w:szCs w:val="18"/>
                  <w:color w:val="0000EE"/>
                  <w:w w:val="98"/>
                </w:rPr>
                <w:t>Agreement (Fair Market</w:t>
              </w:r>
            </w:hyperlink>
          </w:p>
        </w:tc>
        <w:tc>
          <w:tcPr>
            <w:tcW w:w="880" w:type="dxa"/>
            <w:vAlign w:val="bottom"/>
            <w:gridSpan w:val="15"/>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640" w:type="dxa"/>
            <w:vAlign w:val="bottom"/>
            <w:gridSpan w:val="27"/>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Value Options) under 2014</w:t>
              </w:r>
            </w:hyperlink>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133">
              <w:r>
                <w:rPr>
                  <w:rFonts w:ascii="Times New Roman" w:cs="Times New Roman" w:eastAsia="Times New Roman" w:hAnsi="Times New Roman"/>
                  <w:sz w:val="18"/>
                  <w:szCs w:val="18"/>
                  <w:color w:val="0000EE"/>
                  <w:w w:val="98"/>
                </w:rPr>
                <w:t>Omnibus Equity Incentive</w:t>
              </w:r>
            </w:hyperlink>
          </w:p>
        </w:tc>
        <w:tc>
          <w:tcPr>
            <w:tcW w:w="40" w:type="dxa"/>
            <w:vAlign w:val="bottom"/>
            <w:tcBorders>
              <w:top w:val="single" w:sz="8" w:color="0000EE"/>
            </w:tcBorders>
            <w:gridSpan w:val="2"/>
          </w:tcPr>
          <w:p>
            <w:pPr>
              <w:spacing w:after="0"/>
              <w:rPr>
                <w:sz w:val="17"/>
                <w:szCs w:val="17"/>
                <w:color w:val="auto"/>
              </w:rPr>
            </w:pPr>
          </w:p>
        </w:tc>
        <w:tc>
          <w:tcPr>
            <w:tcW w:w="700" w:type="dxa"/>
            <w:vAlign w:val="bottom"/>
            <w:gridSpan w:val="8"/>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640" w:type="dxa"/>
            <w:vAlign w:val="bottom"/>
            <w:gridSpan w:val="27"/>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Plan (Time Vesting Only)</w:t>
              </w:r>
            </w:hyperlink>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1"/>
        </w:trPr>
        <w:tc>
          <w:tcPr>
            <w:tcW w:w="90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75"/>
        </w:trPr>
        <w:tc>
          <w:tcPr>
            <w:tcW w:w="900" w:type="dxa"/>
            <w:vAlign w:val="bottom"/>
            <w:tcBorders>
              <w:bottom w:val="single" w:sz="8" w:color="CCEEFF"/>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214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Form of Employee Restricted</w:t>
              </w:r>
            </w:hyperlink>
          </w:p>
        </w:tc>
        <w:tc>
          <w:tcPr>
            <w:tcW w:w="500" w:type="dxa"/>
            <w:vAlign w:val="bottom"/>
            <w:tcBorders>
              <w:bottom w:val="single" w:sz="8" w:color="CCEEFF"/>
            </w:tcBorders>
            <w:gridSpan w:val="3"/>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18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9/28/2016</w:t>
            </w:r>
          </w:p>
        </w:tc>
        <w:tc>
          <w:tcPr>
            <w:tcW w:w="880" w:type="dxa"/>
            <w:vAlign w:val="bottom"/>
            <w:tcBorders>
              <w:bottom w:val="single" w:sz="8" w:color="CCEEFF"/>
            </w:tcBorders>
            <w:shd w:val="clear" w:color="auto" w:fill="CCEEFF"/>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120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11/4/2016</w:t>
            </w:r>
          </w:p>
        </w:tc>
        <w:tc>
          <w:tcPr>
            <w:tcW w:w="10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9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0000EE"/>
            </w:tcBorders>
            <w:gridSpan w:val="23"/>
            <w:shd w:val="clear" w:color="auto" w:fill="CCEEFF"/>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Share Agreement under 2014</w:t>
              </w:r>
            </w:hyperlink>
          </w:p>
        </w:tc>
        <w:tc>
          <w:tcPr>
            <w:tcW w:w="520" w:type="dxa"/>
            <w:vAlign w:val="bottom"/>
            <w:tcBorders>
              <w:bottom w:val="single" w:sz="8" w:color="CCEEFF"/>
            </w:tcBorders>
            <w:gridSpan w:val="4"/>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96"/>
        </w:trPr>
        <w:tc>
          <w:tcPr>
            <w:tcW w:w="9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w w:val="98"/>
              </w:rPr>
            </w:pPr>
            <w:hyperlink r:id="rId134">
              <w:r>
                <w:rPr>
                  <w:rFonts w:ascii="Times New Roman" w:cs="Times New Roman" w:eastAsia="Times New Roman" w:hAnsi="Times New Roman"/>
                  <w:sz w:val="18"/>
                  <w:szCs w:val="18"/>
                  <w:color w:val="0000EE"/>
                  <w:w w:val="98"/>
                </w:rPr>
                <w:t>Omnibus Equity Incentive</w:t>
              </w:r>
            </w:hyperlink>
          </w:p>
        </w:tc>
        <w:tc>
          <w:tcPr>
            <w:tcW w:w="740" w:type="dxa"/>
            <w:vAlign w:val="bottom"/>
            <w:tcBorders>
              <w:bottom w:val="single" w:sz="8" w:color="CCEEFF"/>
            </w:tcBorders>
            <w:gridSpan w:val="10"/>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96"/>
        </w:trPr>
        <w:tc>
          <w:tcPr>
            <w:tcW w:w="900" w:type="dxa"/>
            <w:vAlign w:val="bottom"/>
            <w:shd w:val="clear" w:color="auto" w:fill="CCEEFF"/>
          </w:tcPr>
          <w:p>
            <w:pPr>
              <w:spacing w:after="0"/>
              <w:rPr>
                <w:sz w:val="17"/>
                <w:szCs w:val="17"/>
                <w:color w:val="auto"/>
              </w:rPr>
            </w:pPr>
          </w:p>
        </w:tc>
        <w:tc>
          <w:tcPr>
            <w:tcW w:w="264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Plan</w:t>
              </w:r>
            </w:hyperlink>
          </w:p>
        </w:tc>
        <w:tc>
          <w:tcPr>
            <w:tcW w:w="1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175"/>
        </w:trPr>
        <w:tc>
          <w:tcPr>
            <w:tcW w:w="9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2640" w:type="dxa"/>
            <w:vAlign w:val="bottom"/>
            <w:gridSpan w:val="27"/>
          </w:tcPr>
          <w:p>
            <w:pPr>
              <w:spacing w:after="0" w:line="17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2018 Omnibus Equity</w:t>
              </w:r>
            </w:hyperlink>
          </w:p>
        </w:tc>
        <w:tc>
          <w:tcPr>
            <w:tcW w:w="116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S-8</w:t>
            </w:r>
          </w:p>
        </w:tc>
        <w:tc>
          <w:tcPr>
            <w:tcW w:w="118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8/6/2018</w:t>
            </w: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333-226621</w:t>
            </w:r>
          </w:p>
        </w:tc>
      </w:tr>
      <w:tr>
        <w:trPr>
          <w:trHeight w:val="196"/>
        </w:trPr>
        <w:tc>
          <w:tcPr>
            <w:tcW w:w="90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35">
              <w:r>
                <w:rPr>
                  <w:rFonts w:ascii="Times New Roman" w:cs="Times New Roman" w:eastAsia="Times New Roman" w:hAnsi="Times New Roman"/>
                  <w:sz w:val="18"/>
                  <w:szCs w:val="18"/>
                  <w:color w:val="0000EE"/>
                  <w:w w:val="98"/>
                </w:rPr>
                <w:t>Incentive Plan</w:t>
              </w:r>
            </w:hyperlink>
          </w:p>
        </w:tc>
        <w:tc>
          <w:tcPr>
            <w:tcW w:w="540" w:type="dxa"/>
            <w:vAlign w:val="bottom"/>
            <w:tcBorders>
              <w:top w:val="single" w:sz="8" w:color="0000EE"/>
            </w:tcBorders>
            <w:gridSpan w:val="5"/>
          </w:tcPr>
          <w:p>
            <w:pPr>
              <w:spacing w:after="0"/>
              <w:rPr>
                <w:sz w:val="17"/>
                <w:szCs w:val="17"/>
                <w:color w:val="auto"/>
              </w:rPr>
            </w:pPr>
          </w:p>
        </w:tc>
        <w:tc>
          <w:tcPr>
            <w:tcW w:w="1060" w:type="dxa"/>
            <w:vAlign w:val="bottom"/>
            <w:gridSpan w:val="17"/>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10.19*</w:t>
            </w:r>
          </w:p>
        </w:tc>
        <w:tc>
          <w:tcPr>
            <w:tcW w:w="1820" w:type="dxa"/>
            <w:vAlign w:val="bottom"/>
            <w:tcBorders>
              <w:bottom w:val="single" w:sz="8" w:color="0000EE"/>
            </w:tcBorders>
            <w:gridSpan w:val="9"/>
            <w:shd w:val="clear" w:color="auto" w:fill="CCEEFF"/>
          </w:tcPr>
          <w:p>
            <w:pPr>
              <w:spacing w:after="0"/>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Form of Restricted Stock</w:t>
              </w:r>
            </w:hyperlink>
          </w:p>
        </w:tc>
        <w:tc>
          <w:tcPr>
            <w:tcW w:w="860" w:type="dxa"/>
            <w:vAlign w:val="bottom"/>
            <w:tcBorders>
              <w:bottom w:val="single" w:sz="8" w:color="CCEEFF"/>
            </w:tcBorders>
            <w:gridSpan w:val="6"/>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10-K</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12/25/2019</w:t>
            </w:r>
          </w:p>
        </w:tc>
        <w:tc>
          <w:tcPr>
            <w:tcW w:w="8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10.24</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3/6/2020</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001-36556</w:t>
            </w:r>
          </w:p>
        </w:tc>
      </w:tr>
      <w:tr>
        <w:trPr>
          <w:trHeight w:val="196"/>
        </w:trPr>
        <w:tc>
          <w:tcPr>
            <w:tcW w:w="90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8"/>
              </w:rPr>
            </w:pPr>
            <w:hyperlink r:id="rId137">
              <w:r>
                <w:rPr>
                  <w:rFonts w:ascii="Times New Roman" w:cs="Times New Roman" w:eastAsia="Times New Roman" w:hAnsi="Times New Roman"/>
                  <w:sz w:val="18"/>
                  <w:szCs w:val="18"/>
                  <w:color w:val="0000EE"/>
                  <w:w w:val="98"/>
                </w:rPr>
                <w:t>Agreement under 2018</w:t>
              </w:r>
            </w:hyperlink>
          </w:p>
        </w:tc>
        <w:tc>
          <w:tcPr>
            <w:tcW w:w="1020" w:type="dxa"/>
            <w:vAlign w:val="bottom"/>
            <w:tcBorders>
              <w:bottom w:val="single" w:sz="8" w:color="CCEEFF"/>
            </w:tcBorders>
            <w:gridSpan w:val="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196"/>
        </w:trPr>
        <w:tc>
          <w:tcPr>
            <w:tcW w:w="9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w w:val="98"/>
              </w:rPr>
            </w:pPr>
            <w:hyperlink r:id="rId137">
              <w:r>
                <w:rPr>
                  <w:rFonts w:ascii="Times New Roman" w:cs="Times New Roman" w:eastAsia="Times New Roman" w:hAnsi="Times New Roman"/>
                  <w:sz w:val="18"/>
                  <w:szCs w:val="18"/>
                  <w:color w:val="0000EE"/>
                  <w:w w:val="98"/>
                </w:rPr>
                <w:t>Omnibus Equity Incentive</w:t>
              </w:r>
            </w:hyperlink>
          </w:p>
        </w:tc>
        <w:tc>
          <w:tcPr>
            <w:tcW w:w="780" w:type="dxa"/>
            <w:vAlign w:val="bottom"/>
            <w:tcBorders>
              <w:bottom w:val="single" w:sz="8" w:color="CCEEFF"/>
            </w:tcBorders>
            <w:gridSpan w:val="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196"/>
        </w:trPr>
        <w:tc>
          <w:tcPr>
            <w:tcW w:w="900" w:type="dxa"/>
            <w:vAlign w:val="bottom"/>
            <w:shd w:val="clear" w:color="auto" w:fill="CCEEFF"/>
          </w:tcPr>
          <w:p>
            <w:pPr>
              <w:spacing w:after="0"/>
              <w:rPr>
                <w:sz w:val="17"/>
                <w:szCs w:val="17"/>
                <w:color w:val="auto"/>
              </w:rPr>
            </w:pPr>
          </w:p>
        </w:tc>
        <w:tc>
          <w:tcPr>
            <w:tcW w:w="268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Plan</w:t>
              </w:r>
            </w:hyperlink>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176"/>
        </w:trPr>
        <w:tc>
          <w:tcPr>
            <w:tcW w:w="9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82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Form of Restricted Stock</w:t>
              </w:r>
            </w:hyperlink>
          </w:p>
        </w:tc>
        <w:tc>
          <w:tcPr>
            <w:tcW w:w="860" w:type="dxa"/>
            <w:vAlign w:val="bottom"/>
            <w:gridSpan w:val="6"/>
          </w:tcPr>
          <w:p>
            <w:pPr>
              <w:spacing w:after="0"/>
              <w:rPr>
                <w:sz w:val="15"/>
                <w:szCs w:val="15"/>
                <w:color w:val="auto"/>
              </w:rPr>
            </w:pPr>
          </w:p>
        </w:tc>
        <w:tc>
          <w:tcPr>
            <w:tcW w:w="112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12/25/2019</w:t>
            </w:r>
          </w:p>
        </w:tc>
        <w:tc>
          <w:tcPr>
            <w:tcW w:w="880" w:type="dxa"/>
            <w:vAlign w:val="bottom"/>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122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3/6/2020</w:t>
            </w:r>
          </w:p>
        </w:tc>
        <w:tc>
          <w:tcPr>
            <w:tcW w:w="102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001-36556</w:t>
            </w:r>
          </w:p>
        </w:tc>
      </w:tr>
      <w:tr>
        <w:trPr>
          <w:trHeight w:val="196"/>
        </w:trPr>
        <w:tc>
          <w:tcPr>
            <w:tcW w:w="900" w:type="dxa"/>
            <w:vAlign w:val="bottom"/>
          </w:tcPr>
          <w:p>
            <w:pPr>
              <w:spacing w:after="0"/>
              <w:rPr>
                <w:sz w:val="17"/>
                <w:szCs w:val="17"/>
                <w:color w:val="auto"/>
              </w:rPr>
            </w:pPr>
          </w:p>
        </w:tc>
        <w:tc>
          <w:tcPr>
            <w:tcW w:w="16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38">
              <w:r>
                <w:rPr>
                  <w:rFonts w:ascii="Times New Roman" w:cs="Times New Roman" w:eastAsia="Times New Roman" w:hAnsi="Times New Roman"/>
                  <w:sz w:val="18"/>
                  <w:szCs w:val="18"/>
                  <w:color w:val="0000EE"/>
                  <w:w w:val="98"/>
                </w:rPr>
                <w:t>Agreement under 2018</w:t>
              </w:r>
            </w:hyperlink>
          </w:p>
        </w:tc>
        <w:tc>
          <w:tcPr>
            <w:tcW w:w="1020" w:type="dxa"/>
            <w:vAlign w:val="bottom"/>
            <w:gridSpan w:val="8"/>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9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38">
              <w:r>
                <w:rPr>
                  <w:rFonts w:ascii="Times New Roman" w:cs="Times New Roman" w:eastAsia="Times New Roman" w:hAnsi="Times New Roman"/>
                  <w:sz w:val="18"/>
                  <w:szCs w:val="18"/>
                  <w:color w:val="0000EE"/>
                  <w:w w:val="98"/>
                </w:rPr>
                <w:t>Omnibus Equity Incentive</w:t>
              </w:r>
            </w:hyperlink>
          </w:p>
        </w:tc>
        <w:tc>
          <w:tcPr>
            <w:tcW w:w="780" w:type="dxa"/>
            <w:vAlign w:val="bottom"/>
            <w:gridSpan w:val="5"/>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680" w:type="dxa"/>
            <w:vAlign w:val="bottom"/>
            <w:gridSpan w:val="15"/>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Plan (Non-Employee</w:t>
              </w:r>
            </w:hyperlink>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52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Directors)</w:t>
              </w:r>
            </w:hyperlink>
          </w:p>
        </w:tc>
        <w:tc>
          <w:tcPr>
            <w:tcW w:w="1160" w:type="dxa"/>
            <w:vAlign w:val="bottom"/>
            <w:gridSpan w:val="9"/>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61"/>
        </w:trPr>
        <w:tc>
          <w:tcPr>
            <w:tcW w:w="90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175"/>
        </w:trPr>
        <w:tc>
          <w:tcPr>
            <w:tcW w:w="900" w:type="dxa"/>
            <w:vAlign w:val="bottom"/>
            <w:tcBorders>
              <w:bottom w:val="single" w:sz="8" w:color="CCEEFF"/>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218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Form of Restricted Stock Unit</w:t>
              </w:r>
            </w:hyperlink>
          </w:p>
        </w:tc>
        <w:tc>
          <w:tcPr>
            <w:tcW w:w="5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12/25/2019</w:t>
            </w:r>
          </w:p>
        </w:tc>
        <w:tc>
          <w:tcPr>
            <w:tcW w:w="880" w:type="dxa"/>
            <w:vAlign w:val="bottom"/>
            <w:tcBorders>
              <w:bottom w:val="single" w:sz="8" w:color="CCEEFF"/>
            </w:tcBorders>
            <w:shd w:val="clear" w:color="auto" w:fill="CCEEFF"/>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1220" w:type="dxa"/>
            <w:vAlign w:val="bottom"/>
            <w:tcBorders>
              <w:bottom w:val="single" w:sz="8" w:color="CCEEFF"/>
            </w:tcBorders>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3/6/2020</w:t>
            </w:r>
          </w:p>
        </w:tc>
        <w:tc>
          <w:tcPr>
            <w:tcW w:w="1020" w:type="dxa"/>
            <w:vAlign w:val="bottom"/>
            <w:tcBorders>
              <w:bottom w:val="single" w:sz="8" w:color="CCEEFF"/>
            </w:tcBorders>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001-36556</w:t>
            </w:r>
          </w:p>
        </w:tc>
      </w:tr>
      <w:tr>
        <w:trPr>
          <w:trHeight w:val="196"/>
        </w:trPr>
        <w:tc>
          <w:tcPr>
            <w:tcW w:w="90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8"/>
              </w:rPr>
            </w:pPr>
            <w:hyperlink r:id="rId139">
              <w:r>
                <w:rPr>
                  <w:rFonts w:ascii="Times New Roman" w:cs="Times New Roman" w:eastAsia="Times New Roman" w:hAnsi="Times New Roman"/>
                  <w:sz w:val="18"/>
                  <w:szCs w:val="18"/>
                  <w:color w:val="0000EE"/>
                  <w:w w:val="98"/>
                </w:rPr>
                <w:t>Agreement under 2018</w:t>
              </w:r>
            </w:hyperlink>
          </w:p>
        </w:tc>
        <w:tc>
          <w:tcPr>
            <w:tcW w:w="1020" w:type="dxa"/>
            <w:vAlign w:val="bottom"/>
            <w:tcBorders>
              <w:bottom w:val="single" w:sz="8" w:color="CCEEFF"/>
            </w:tcBorders>
            <w:gridSpan w:val="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196"/>
        </w:trPr>
        <w:tc>
          <w:tcPr>
            <w:tcW w:w="9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w w:val="98"/>
              </w:rPr>
            </w:pPr>
            <w:hyperlink r:id="rId139">
              <w:r>
                <w:rPr>
                  <w:rFonts w:ascii="Times New Roman" w:cs="Times New Roman" w:eastAsia="Times New Roman" w:hAnsi="Times New Roman"/>
                  <w:sz w:val="18"/>
                  <w:szCs w:val="18"/>
                  <w:color w:val="0000EE"/>
                  <w:w w:val="98"/>
                </w:rPr>
                <w:t>Omnibus Equity Incentive</w:t>
              </w:r>
            </w:hyperlink>
          </w:p>
        </w:tc>
        <w:tc>
          <w:tcPr>
            <w:tcW w:w="780" w:type="dxa"/>
            <w:vAlign w:val="bottom"/>
            <w:tcBorders>
              <w:bottom w:val="single" w:sz="8" w:color="CCEEFF"/>
            </w:tcBorders>
            <w:gridSpan w:val="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196"/>
        </w:trPr>
        <w:tc>
          <w:tcPr>
            <w:tcW w:w="900" w:type="dxa"/>
            <w:vAlign w:val="bottom"/>
            <w:shd w:val="clear" w:color="auto" w:fill="CCEEFF"/>
          </w:tcPr>
          <w:p>
            <w:pPr>
              <w:spacing w:after="0"/>
              <w:rPr>
                <w:sz w:val="17"/>
                <w:szCs w:val="17"/>
                <w:color w:val="auto"/>
              </w:rPr>
            </w:pPr>
          </w:p>
        </w:tc>
        <w:tc>
          <w:tcPr>
            <w:tcW w:w="268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Plan</w:t>
              </w:r>
            </w:hyperlink>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176"/>
        </w:trPr>
        <w:tc>
          <w:tcPr>
            <w:tcW w:w="9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2680" w:type="dxa"/>
            <w:vAlign w:val="bottom"/>
            <w:gridSpan w:val="15"/>
          </w:tcPr>
          <w:p>
            <w:pPr>
              <w:spacing w:after="0" w:line="17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Form of Stock Option Awards</w:t>
              </w:r>
            </w:hyperlink>
          </w:p>
        </w:tc>
        <w:tc>
          <w:tcPr>
            <w:tcW w:w="112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12/25/2019</w:t>
            </w:r>
          </w:p>
        </w:tc>
        <w:tc>
          <w:tcPr>
            <w:tcW w:w="880" w:type="dxa"/>
            <w:vAlign w:val="bottom"/>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10.27</w:t>
            </w:r>
          </w:p>
        </w:tc>
        <w:tc>
          <w:tcPr>
            <w:tcW w:w="122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3/6/2020</w:t>
            </w:r>
          </w:p>
        </w:tc>
        <w:tc>
          <w:tcPr>
            <w:tcW w:w="102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001-36556</w:t>
            </w:r>
          </w:p>
        </w:tc>
      </w:tr>
      <w:tr>
        <w:trPr>
          <w:trHeight w:val="196"/>
        </w:trPr>
        <w:tc>
          <w:tcPr>
            <w:tcW w:w="90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40">
              <w:r>
                <w:rPr>
                  <w:rFonts w:ascii="Times New Roman" w:cs="Times New Roman" w:eastAsia="Times New Roman" w:hAnsi="Times New Roman"/>
                  <w:sz w:val="18"/>
                  <w:szCs w:val="18"/>
                  <w:color w:val="0000EE"/>
                  <w:w w:val="98"/>
                </w:rPr>
                <w:t>Agreement under 2018</w:t>
              </w:r>
            </w:hyperlink>
          </w:p>
        </w:tc>
        <w:tc>
          <w:tcPr>
            <w:tcW w:w="500" w:type="dxa"/>
            <w:vAlign w:val="bottom"/>
            <w:tcBorders>
              <w:top w:val="single" w:sz="8" w:color="0000EE"/>
            </w:tcBorders>
            <w:gridSpan w:val="6"/>
          </w:tcPr>
          <w:p>
            <w:pPr>
              <w:spacing w:after="0"/>
              <w:rPr>
                <w:sz w:val="17"/>
                <w:szCs w:val="17"/>
                <w:color w:val="auto"/>
              </w:rPr>
            </w:pPr>
          </w:p>
        </w:tc>
        <w:tc>
          <w:tcPr>
            <w:tcW w:w="52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9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40">
              <w:r>
                <w:rPr>
                  <w:rFonts w:ascii="Times New Roman" w:cs="Times New Roman" w:eastAsia="Times New Roman" w:hAnsi="Times New Roman"/>
                  <w:sz w:val="18"/>
                  <w:szCs w:val="18"/>
                  <w:color w:val="0000EE"/>
                  <w:w w:val="98"/>
                </w:rPr>
                <w:t>Omnibus Equity Incentive</w:t>
              </w:r>
            </w:hyperlink>
          </w:p>
        </w:tc>
        <w:tc>
          <w:tcPr>
            <w:tcW w:w="780" w:type="dxa"/>
            <w:vAlign w:val="bottom"/>
            <w:gridSpan w:val="5"/>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680" w:type="dxa"/>
            <w:vAlign w:val="bottom"/>
            <w:gridSpan w:val="15"/>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Plan</w:t>
              </w:r>
            </w:hyperlink>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61"/>
        </w:trPr>
        <w:tc>
          <w:tcPr>
            <w:tcW w:w="90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176"/>
        </w:trPr>
        <w:tc>
          <w:tcPr>
            <w:tcW w:w="90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268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El Pollo Loco Holdings, Inc.</w:t>
              </w:r>
            </w:hyperlink>
          </w:p>
        </w:tc>
        <w:tc>
          <w:tcPr>
            <w:tcW w:w="112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880" w:type="dxa"/>
            <w:vAlign w:val="bottom"/>
            <w:shd w:val="clear" w:color="auto" w:fill="CCEEFF"/>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20" w:type="dxa"/>
            <w:vAlign w:val="bottom"/>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6/5/2025</w:t>
            </w:r>
          </w:p>
        </w:tc>
        <w:tc>
          <w:tcPr>
            <w:tcW w:w="1020" w:type="dxa"/>
            <w:vAlign w:val="bottom"/>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001-36556</w:t>
            </w:r>
          </w:p>
        </w:tc>
      </w:tr>
      <w:tr>
        <w:trPr>
          <w:trHeight w:val="196"/>
        </w:trPr>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1800" w:type="dxa"/>
            <w:vAlign w:val="bottom"/>
            <w:tcBorders>
              <w:top w:val="single" w:sz="8" w:color="0000EE"/>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8"/>
              </w:rPr>
            </w:pPr>
            <w:hyperlink r:id="rId141">
              <w:r>
                <w:rPr>
                  <w:rFonts w:ascii="Times New Roman" w:cs="Times New Roman" w:eastAsia="Times New Roman" w:hAnsi="Times New Roman"/>
                  <w:sz w:val="18"/>
                  <w:szCs w:val="18"/>
                  <w:color w:val="0000EE"/>
                  <w:w w:val="98"/>
                </w:rPr>
                <w:t>Equity Incentive Plan, as</w:t>
              </w:r>
            </w:hyperlink>
          </w:p>
        </w:tc>
        <w:tc>
          <w:tcPr>
            <w:tcW w:w="260" w:type="dxa"/>
            <w:vAlign w:val="bottom"/>
            <w:tcBorders>
              <w:top w:val="single" w:sz="8" w:color="0000EE"/>
              <w:bottom w:val="single" w:sz="8" w:color="CCEEFF"/>
            </w:tcBorders>
            <w:gridSpan w:val="4"/>
            <w:shd w:val="clear" w:color="auto" w:fill="CCEEFF"/>
          </w:tcPr>
          <w:p>
            <w:pPr>
              <w:spacing w:after="0"/>
              <w:rPr>
                <w:sz w:val="17"/>
                <w:szCs w:val="17"/>
                <w:color w:val="auto"/>
              </w:rPr>
            </w:pPr>
          </w:p>
        </w:tc>
        <w:tc>
          <w:tcPr>
            <w:tcW w:w="62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900" w:type="dxa"/>
            <w:vAlign w:val="bottom"/>
            <w:shd w:val="clear" w:color="auto" w:fill="CCEEFF"/>
          </w:tcPr>
          <w:p>
            <w:pPr>
              <w:spacing w:after="0"/>
              <w:rPr>
                <w:sz w:val="17"/>
                <w:szCs w:val="17"/>
                <w:color w:val="auto"/>
              </w:rPr>
            </w:pPr>
          </w:p>
        </w:tc>
        <w:tc>
          <w:tcPr>
            <w:tcW w:w="268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amended</w:t>
              </w:r>
            </w:hyperlink>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176"/>
        </w:trPr>
        <w:tc>
          <w:tcPr>
            <w:tcW w:w="9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2680" w:type="dxa"/>
            <w:vAlign w:val="bottom"/>
            <w:gridSpan w:val="15"/>
          </w:tcPr>
          <w:p>
            <w:pPr>
              <w:spacing w:after="0" w:line="17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Form of Stock Option Awards</w:t>
              </w:r>
            </w:hyperlink>
          </w:p>
        </w:tc>
        <w:tc>
          <w:tcPr>
            <w:tcW w:w="112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12/29/2021</w:t>
            </w:r>
          </w:p>
        </w:tc>
        <w:tc>
          <w:tcPr>
            <w:tcW w:w="880" w:type="dxa"/>
            <w:vAlign w:val="bottom"/>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10.31</w:t>
            </w:r>
          </w:p>
        </w:tc>
        <w:tc>
          <w:tcPr>
            <w:tcW w:w="122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3/11/2022</w:t>
            </w:r>
          </w:p>
        </w:tc>
        <w:tc>
          <w:tcPr>
            <w:tcW w:w="102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001-36556</w:t>
            </w:r>
          </w:p>
        </w:tc>
      </w:tr>
      <w:tr>
        <w:trPr>
          <w:trHeight w:val="20"/>
        </w:trPr>
        <w:tc>
          <w:tcPr>
            <w:tcW w:w="9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680" w:type="dxa"/>
            <w:vAlign w:val="bottom"/>
            <w:gridSpan w:val="15"/>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Agreement under 2021 Equity</w:t>
              </w:r>
            </w:hyperlink>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1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Incentive Plan</w:t>
              </w:r>
            </w:hyperlink>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61"/>
        </w:trPr>
        <w:tc>
          <w:tcPr>
            <w:tcW w:w="90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175"/>
        </w:trPr>
        <w:tc>
          <w:tcPr>
            <w:tcW w:w="900" w:type="dxa"/>
            <w:vAlign w:val="bottom"/>
            <w:tcBorders>
              <w:bottom w:val="single" w:sz="8" w:color="CCEEFF"/>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182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Form of Restricted Share</w:t>
              </w:r>
            </w:hyperlink>
          </w:p>
        </w:tc>
        <w:tc>
          <w:tcPr>
            <w:tcW w:w="860" w:type="dxa"/>
            <w:vAlign w:val="bottom"/>
            <w:tcBorders>
              <w:bottom w:val="single" w:sz="8" w:color="CCEEFF"/>
            </w:tcBorders>
            <w:gridSpan w:val="6"/>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12/29/2021</w:t>
            </w:r>
          </w:p>
        </w:tc>
        <w:tc>
          <w:tcPr>
            <w:tcW w:w="880" w:type="dxa"/>
            <w:vAlign w:val="bottom"/>
            <w:tcBorders>
              <w:bottom w:val="single" w:sz="8" w:color="CCEEFF"/>
            </w:tcBorders>
            <w:shd w:val="clear" w:color="auto" w:fill="CCEEFF"/>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10.32</w:t>
            </w:r>
          </w:p>
        </w:tc>
        <w:tc>
          <w:tcPr>
            <w:tcW w:w="1220" w:type="dxa"/>
            <w:vAlign w:val="bottom"/>
            <w:tcBorders>
              <w:bottom w:val="single" w:sz="8" w:color="CCEEFF"/>
            </w:tcBorders>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3/11/2022</w:t>
            </w:r>
          </w:p>
        </w:tc>
        <w:tc>
          <w:tcPr>
            <w:tcW w:w="1020" w:type="dxa"/>
            <w:vAlign w:val="bottom"/>
            <w:tcBorders>
              <w:bottom w:val="single" w:sz="8" w:color="CCEEFF"/>
            </w:tcBorders>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001-36556</w:t>
            </w:r>
          </w:p>
        </w:tc>
      </w:tr>
      <w:tr>
        <w:trPr>
          <w:trHeight w:val="196"/>
        </w:trPr>
        <w:tc>
          <w:tcPr>
            <w:tcW w:w="900" w:type="dxa"/>
            <w:vAlign w:val="bottom"/>
            <w:shd w:val="clear" w:color="auto" w:fill="CCEEFF"/>
          </w:tcPr>
          <w:p>
            <w:pPr>
              <w:spacing w:after="0"/>
              <w:rPr>
                <w:sz w:val="17"/>
                <w:szCs w:val="17"/>
                <w:color w:val="auto"/>
              </w:rPr>
            </w:pPr>
          </w:p>
        </w:tc>
        <w:tc>
          <w:tcPr>
            <w:tcW w:w="268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Agreement under 2021 Equity</w:t>
              </w:r>
            </w:hyperlink>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6"/>
        </w:trPr>
        <w:tc>
          <w:tcPr>
            <w:tcW w:w="90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Incentive Plan</w:t>
              </w:r>
            </w:hyperlink>
          </w:p>
        </w:tc>
        <w:tc>
          <w:tcPr>
            <w:tcW w:w="5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176"/>
        </w:trPr>
        <w:tc>
          <w:tcPr>
            <w:tcW w:w="9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182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Form of Restricted Stock</w:t>
              </w:r>
            </w:hyperlink>
          </w:p>
        </w:tc>
        <w:tc>
          <w:tcPr>
            <w:tcW w:w="860" w:type="dxa"/>
            <w:vAlign w:val="bottom"/>
            <w:gridSpan w:val="6"/>
          </w:tcPr>
          <w:p>
            <w:pPr>
              <w:spacing w:after="0"/>
              <w:rPr>
                <w:sz w:val="15"/>
                <w:szCs w:val="15"/>
                <w:color w:val="auto"/>
              </w:rPr>
            </w:pPr>
          </w:p>
        </w:tc>
        <w:tc>
          <w:tcPr>
            <w:tcW w:w="112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12/29/2021</w:t>
            </w:r>
          </w:p>
        </w:tc>
        <w:tc>
          <w:tcPr>
            <w:tcW w:w="880" w:type="dxa"/>
            <w:vAlign w:val="bottom"/>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10.33</w:t>
            </w:r>
          </w:p>
        </w:tc>
        <w:tc>
          <w:tcPr>
            <w:tcW w:w="122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3/11/2022</w:t>
            </w:r>
          </w:p>
        </w:tc>
        <w:tc>
          <w:tcPr>
            <w:tcW w:w="102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001-36556</w:t>
            </w:r>
          </w:p>
        </w:tc>
      </w:tr>
      <w:tr>
        <w:trPr>
          <w:trHeight w:val="196"/>
        </w:trPr>
        <w:tc>
          <w:tcPr>
            <w:tcW w:w="900" w:type="dxa"/>
            <w:vAlign w:val="bottom"/>
          </w:tcPr>
          <w:p>
            <w:pPr>
              <w:spacing w:after="0"/>
              <w:rPr>
                <w:sz w:val="17"/>
                <w:szCs w:val="17"/>
                <w:color w:val="auto"/>
              </w:rPr>
            </w:pPr>
          </w:p>
        </w:tc>
        <w:tc>
          <w:tcPr>
            <w:tcW w:w="2680" w:type="dxa"/>
            <w:vAlign w:val="bottom"/>
            <w:gridSpan w:val="15"/>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Agreement under 2021 Equity</w:t>
              </w:r>
            </w:hyperlink>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1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Incentive Plan (Non-</w:t>
              </w:r>
            </w:hyperlink>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680" w:type="dxa"/>
            <w:vAlign w:val="bottom"/>
            <w:gridSpan w:val="15"/>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Employee Directors)</w:t>
              </w:r>
            </w:hyperlink>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61"/>
        </w:trPr>
        <w:tc>
          <w:tcPr>
            <w:tcW w:w="90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175"/>
        </w:trPr>
        <w:tc>
          <w:tcPr>
            <w:tcW w:w="900" w:type="dxa"/>
            <w:vAlign w:val="bottom"/>
            <w:tcBorders>
              <w:bottom w:val="single" w:sz="8" w:color="CCEEFF"/>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10.27*</w:t>
            </w:r>
          </w:p>
        </w:tc>
        <w:tc>
          <w:tcPr>
            <w:tcW w:w="182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Form of Restricted Stock</w:t>
              </w:r>
            </w:hyperlink>
          </w:p>
        </w:tc>
        <w:tc>
          <w:tcPr>
            <w:tcW w:w="860" w:type="dxa"/>
            <w:vAlign w:val="bottom"/>
            <w:tcBorders>
              <w:bottom w:val="single" w:sz="8" w:color="CCEEFF"/>
            </w:tcBorders>
            <w:gridSpan w:val="6"/>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12/27/2023</w:t>
            </w:r>
          </w:p>
        </w:tc>
        <w:tc>
          <w:tcPr>
            <w:tcW w:w="880" w:type="dxa"/>
            <w:vAlign w:val="bottom"/>
            <w:tcBorders>
              <w:bottom w:val="single" w:sz="8" w:color="CCEEFF"/>
            </w:tcBorders>
            <w:shd w:val="clear" w:color="auto" w:fill="CCEEFF"/>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10.37</w:t>
            </w:r>
          </w:p>
        </w:tc>
        <w:tc>
          <w:tcPr>
            <w:tcW w:w="1220" w:type="dxa"/>
            <w:vAlign w:val="bottom"/>
            <w:tcBorders>
              <w:bottom w:val="single" w:sz="8" w:color="CCEEFF"/>
            </w:tcBorders>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3/8/2024</w:t>
            </w:r>
          </w:p>
        </w:tc>
        <w:tc>
          <w:tcPr>
            <w:tcW w:w="1020" w:type="dxa"/>
            <w:vAlign w:val="bottom"/>
            <w:tcBorders>
              <w:bottom w:val="single" w:sz="8" w:color="CCEEFF"/>
            </w:tcBorders>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001-36556</w:t>
            </w:r>
          </w:p>
        </w:tc>
      </w:tr>
      <w:tr>
        <w:trPr>
          <w:trHeight w:val="196"/>
        </w:trPr>
        <w:tc>
          <w:tcPr>
            <w:tcW w:w="900" w:type="dxa"/>
            <w:vAlign w:val="bottom"/>
            <w:shd w:val="clear" w:color="auto" w:fill="CCEEFF"/>
          </w:tcPr>
          <w:p>
            <w:pPr>
              <w:spacing w:after="0"/>
              <w:rPr>
                <w:sz w:val="17"/>
                <w:szCs w:val="17"/>
                <w:color w:val="auto"/>
              </w:rPr>
            </w:pPr>
          </w:p>
        </w:tc>
        <w:tc>
          <w:tcPr>
            <w:tcW w:w="268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Agreement under 2023 Equity</w:t>
              </w:r>
            </w:hyperlink>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6"/>
        </w:trPr>
        <w:tc>
          <w:tcPr>
            <w:tcW w:w="90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Incentive Plan (Non-</w:t>
              </w:r>
            </w:hyperlink>
          </w:p>
        </w:tc>
        <w:tc>
          <w:tcPr>
            <w:tcW w:w="5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00" w:type="dxa"/>
            <w:vAlign w:val="bottom"/>
            <w:gridSpan w:val="6"/>
            <w:shd w:val="clear" w:color="auto" w:fill="CCEEFF"/>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520" w:type="dxa"/>
            <w:vAlign w:val="bottom"/>
            <w:gridSpan w:val="2"/>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r>
        <w:trPr>
          <w:trHeight w:val="196"/>
        </w:trPr>
        <w:tc>
          <w:tcPr>
            <w:tcW w:w="900" w:type="dxa"/>
            <w:vAlign w:val="bottom"/>
            <w:shd w:val="clear" w:color="auto" w:fill="CCEEFF"/>
          </w:tcPr>
          <w:p>
            <w:pPr>
              <w:spacing w:after="0"/>
              <w:rPr>
                <w:sz w:val="17"/>
                <w:szCs w:val="17"/>
                <w:color w:val="auto"/>
              </w:rPr>
            </w:pPr>
          </w:p>
        </w:tc>
        <w:tc>
          <w:tcPr>
            <w:tcW w:w="268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Employee Directors)</w:t>
              </w:r>
            </w:hyperlink>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175"/>
        </w:trPr>
        <w:tc>
          <w:tcPr>
            <w:tcW w:w="9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2680" w:type="dxa"/>
            <w:vAlign w:val="bottom"/>
            <w:gridSpan w:val="15"/>
          </w:tcPr>
          <w:p>
            <w:pPr>
              <w:spacing w:after="0" w:line="17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Form of Performance Stock</w:t>
              </w:r>
            </w:hyperlink>
          </w:p>
        </w:tc>
        <w:tc>
          <w:tcPr>
            <w:tcW w:w="112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12/25/2024</w:t>
            </w:r>
          </w:p>
        </w:tc>
        <w:tc>
          <w:tcPr>
            <w:tcW w:w="880" w:type="dxa"/>
            <w:vAlign w:val="bottom"/>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122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3/7/2025</w:t>
            </w:r>
          </w:p>
        </w:tc>
        <w:tc>
          <w:tcPr>
            <w:tcW w:w="102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001-36556</w:t>
            </w:r>
          </w:p>
        </w:tc>
      </w:tr>
      <w:tr>
        <w:trPr>
          <w:trHeight w:val="20"/>
        </w:trPr>
        <w:tc>
          <w:tcPr>
            <w:tcW w:w="9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60" w:type="dxa"/>
            <w:vAlign w:val="bottom"/>
            <w:gridSpan w:val="9"/>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680" w:type="dxa"/>
            <w:vAlign w:val="bottom"/>
            <w:gridSpan w:val="15"/>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Agreement under 2024 Equity</w:t>
              </w:r>
            </w:hyperlink>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1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Incentive Plan</w:t>
              </w:r>
            </w:hyperlink>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61"/>
        </w:trPr>
        <w:tc>
          <w:tcPr>
            <w:tcW w:w="90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175"/>
        </w:trPr>
        <w:tc>
          <w:tcPr>
            <w:tcW w:w="90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10.29*</w:t>
            </w:r>
          </w:p>
        </w:tc>
        <w:tc>
          <w:tcPr>
            <w:tcW w:w="268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Form of Stock Option Awards</w:t>
              </w:r>
            </w:hyperlink>
          </w:p>
        </w:tc>
        <w:tc>
          <w:tcPr>
            <w:tcW w:w="112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18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3/26/2025</w:t>
            </w:r>
          </w:p>
        </w:tc>
        <w:tc>
          <w:tcPr>
            <w:tcW w:w="880" w:type="dxa"/>
            <w:vAlign w:val="bottom"/>
            <w:shd w:val="clear" w:color="auto" w:fill="CCEEFF"/>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20" w:type="dxa"/>
            <w:vAlign w:val="bottom"/>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5/2/2025</w:t>
            </w:r>
          </w:p>
        </w:tc>
        <w:tc>
          <w:tcPr>
            <w:tcW w:w="1020" w:type="dxa"/>
            <w:vAlign w:val="bottom"/>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001-36556</w:t>
            </w:r>
          </w:p>
        </w:tc>
      </w:tr>
      <w:tr>
        <w:trPr>
          <w:trHeight w:val="20"/>
        </w:trPr>
        <w:tc>
          <w:tcPr>
            <w:tcW w:w="90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520" w:type="dxa"/>
            <w:vAlign w:val="bottom"/>
            <w:tcBorders>
              <w:right w:val="single" w:sz="8" w:color="0000EE"/>
            </w:tcBorders>
            <w:gridSpan w:val="11"/>
            <w:shd w:val="clear" w:color="auto" w:fill="0000EE"/>
          </w:tcPr>
          <w:p>
            <w:pPr>
              <w:spacing w:after="0" w:line="20" w:lineRule="exact"/>
              <w:rPr>
                <w:sz w:val="1"/>
                <w:szCs w:val="1"/>
                <w:color w:val="auto"/>
              </w:rPr>
            </w:pPr>
          </w:p>
        </w:tc>
        <w:tc>
          <w:tcPr>
            <w:tcW w:w="520" w:type="dxa"/>
            <w:vAlign w:val="bottom"/>
            <w:gridSpan w:val="2"/>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r>
        <w:trPr>
          <w:trHeight w:val="196"/>
        </w:trPr>
        <w:tc>
          <w:tcPr>
            <w:tcW w:w="900" w:type="dxa"/>
            <w:vAlign w:val="bottom"/>
            <w:shd w:val="clear" w:color="auto" w:fill="CCEEFF"/>
          </w:tcPr>
          <w:p>
            <w:pPr>
              <w:spacing w:after="0"/>
              <w:rPr>
                <w:sz w:val="17"/>
                <w:szCs w:val="17"/>
                <w:color w:val="auto"/>
              </w:rPr>
            </w:pPr>
          </w:p>
        </w:tc>
        <w:tc>
          <w:tcPr>
            <w:tcW w:w="268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Agreement under 2025 Equity</w:t>
              </w:r>
            </w:hyperlink>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6"/>
        </w:trPr>
        <w:tc>
          <w:tcPr>
            <w:tcW w:w="90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Incentive Plan</w:t>
              </w:r>
            </w:hyperlink>
          </w:p>
        </w:tc>
        <w:tc>
          <w:tcPr>
            <w:tcW w:w="5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175"/>
        </w:trPr>
        <w:tc>
          <w:tcPr>
            <w:tcW w:w="9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10.30*</w:t>
            </w:r>
          </w:p>
        </w:tc>
        <w:tc>
          <w:tcPr>
            <w:tcW w:w="2680" w:type="dxa"/>
            <w:vAlign w:val="bottom"/>
            <w:gridSpan w:val="15"/>
          </w:tcPr>
          <w:p>
            <w:pPr>
              <w:spacing w:after="0" w:line="17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Form of Stock Option Awards</w:t>
              </w:r>
            </w:hyperlink>
          </w:p>
        </w:tc>
        <w:tc>
          <w:tcPr>
            <w:tcW w:w="112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3/26/2025</w:t>
            </w:r>
          </w:p>
        </w:tc>
        <w:tc>
          <w:tcPr>
            <w:tcW w:w="880" w:type="dxa"/>
            <w:vAlign w:val="bottom"/>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2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5/2/2025</w:t>
            </w:r>
          </w:p>
        </w:tc>
        <w:tc>
          <w:tcPr>
            <w:tcW w:w="102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001-36556</w:t>
            </w:r>
          </w:p>
        </w:tc>
      </w:tr>
      <w:tr>
        <w:trPr>
          <w:trHeight w:val="20"/>
        </w:trPr>
        <w:tc>
          <w:tcPr>
            <w:tcW w:w="9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520" w:type="dxa"/>
            <w:vAlign w:val="bottom"/>
            <w:tcBorders>
              <w:right w:val="single" w:sz="8" w:color="0000EE"/>
            </w:tcBorders>
            <w:gridSpan w:val="11"/>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680" w:type="dxa"/>
            <w:vAlign w:val="bottom"/>
            <w:gridSpan w:val="15"/>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Agreement under 2025 Equity</w:t>
              </w:r>
            </w:hyperlink>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1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Incentive Plan (Non-Director</w:t>
              </w:r>
            </w:hyperlink>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1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Officers)</w:t>
              </w:r>
            </w:hyperlink>
          </w:p>
        </w:tc>
        <w:tc>
          <w:tcPr>
            <w:tcW w:w="52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61"/>
        </w:trPr>
        <w:tc>
          <w:tcPr>
            <w:tcW w:w="90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175"/>
        </w:trPr>
        <w:tc>
          <w:tcPr>
            <w:tcW w:w="900" w:type="dxa"/>
            <w:vAlign w:val="bottom"/>
            <w:tcBorders>
              <w:bottom w:val="single" w:sz="8" w:color="CCEEFF"/>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10.31*</w:t>
            </w:r>
          </w:p>
        </w:tc>
        <w:tc>
          <w:tcPr>
            <w:tcW w:w="182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Form of Restricted Stock</w:t>
              </w:r>
            </w:hyperlink>
          </w:p>
        </w:tc>
        <w:tc>
          <w:tcPr>
            <w:tcW w:w="860" w:type="dxa"/>
            <w:vAlign w:val="bottom"/>
            <w:tcBorders>
              <w:bottom w:val="single" w:sz="8" w:color="CCEEFF"/>
            </w:tcBorders>
            <w:gridSpan w:val="6"/>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18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3/26/2025</w:t>
            </w:r>
          </w:p>
        </w:tc>
        <w:tc>
          <w:tcPr>
            <w:tcW w:w="880" w:type="dxa"/>
            <w:vAlign w:val="bottom"/>
            <w:tcBorders>
              <w:bottom w:val="single" w:sz="8" w:color="CCEEFF"/>
            </w:tcBorders>
            <w:shd w:val="clear" w:color="auto" w:fill="CCEEFF"/>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20" w:type="dxa"/>
            <w:vAlign w:val="bottom"/>
            <w:tcBorders>
              <w:bottom w:val="single" w:sz="8" w:color="CCEEFF"/>
            </w:tcBorders>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5/2/2025</w:t>
            </w:r>
          </w:p>
        </w:tc>
        <w:tc>
          <w:tcPr>
            <w:tcW w:w="1020" w:type="dxa"/>
            <w:vAlign w:val="bottom"/>
            <w:tcBorders>
              <w:bottom w:val="single" w:sz="8" w:color="CCEEFF"/>
            </w:tcBorders>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001-36556</w:t>
            </w:r>
          </w:p>
        </w:tc>
      </w:tr>
      <w:tr>
        <w:trPr>
          <w:trHeight w:val="196"/>
        </w:trPr>
        <w:tc>
          <w:tcPr>
            <w:tcW w:w="900" w:type="dxa"/>
            <w:vAlign w:val="bottom"/>
            <w:shd w:val="clear" w:color="auto" w:fill="CCEEFF"/>
          </w:tcPr>
          <w:p>
            <w:pPr>
              <w:spacing w:after="0"/>
              <w:rPr>
                <w:sz w:val="17"/>
                <w:szCs w:val="17"/>
                <w:color w:val="auto"/>
              </w:rPr>
            </w:pPr>
          </w:p>
        </w:tc>
        <w:tc>
          <w:tcPr>
            <w:tcW w:w="268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Agreement under 2025 Equity</w:t>
              </w:r>
            </w:hyperlink>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6"/>
        </w:trPr>
        <w:tc>
          <w:tcPr>
            <w:tcW w:w="90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Incentive Plan</w:t>
              </w:r>
            </w:hyperlink>
          </w:p>
        </w:tc>
        <w:tc>
          <w:tcPr>
            <w:tcW w:w="5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176"/>
        </w:trPr>
        <w:tc>
          <w:tcPr>
            <w:tcW w:w="9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10.32*</w:t>
            </w:r>
          </w:p>
        </w:tc>
        <w:tc>
          <w:tcPr>
            <w:tcW w:w="182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Form of Restricted Stock</w:t>
              </w:r>
            </w:hyperlink>
          </w:p>
        </w:tc>
        <w:tc>
          <w:tcPr>
            <w:tcW w:w="860" w:type="dxa"/>
            <w:vAlign w:val="bottom"/>
            <w:gridSpan w:val="6"/>
          </w:tcPr>
          <w:p>
            <w:pPr>
              <w:spacing w:after="0"/>
              <w:rPr>
                <w:sz w:val="15"/>
                <w:szCs w:val="15"/>
                <w:color w:val="auto"/>
              </w:rPr>
            </w:pPr>
          </w:p>
        </w:tc>
        <w:tc>
          <w:tcPr>
            <w:tcW w:w="112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3/26/2025</w:t>
            </w:r>
          </w:p>
        </w:tc>
        <w:tc>
          <w:tcPr>
            <w:tcW w:w="880" w:type="dxa"/>
            <w:vAlign w:val="bottom"/>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2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5/2/2025</w:t>
            </w:r>
          </w:p>
        </w:tc>
        <w:tc>
          <w:tcPr>
            <w:tcW w:w="102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001-36556</w:t>
            </w:r>
          </w:p>
        </w:tc>
      </w:tr>
      <w:tr>
        <w:trPr>
          <w:trHeight w:val="196"/>
        </w:trPr>
        <w:tc>
          <w:tcPr>
            <w:tcW w:w="900" w:type="dxa"/>
            <w:vAlign w:val="bottom"/>
          </w:tcPr>
          <w:p>
            <w:pPr>
              <w:spacing w:after="0"/>
              <w:rPr>
                <w:sz w:val="17"/>
                <w:szCs w:val="17"/>
                <w:color w:val="auto"/>
              </w:rPr>
            </w:pPr>
          </w:p>
        </w:tc>
        <w:tc>
          <w:tcPr>
            <w:tcW w:w="2680" w:type="dxa"/>
            <w:vAlign w:val="bottom"/>
            <w:gridSpan w:val="15"/>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Agreement under 2025 Equity</w:t>
              </w:r>
            </w:hyperlink>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1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Incentive Plan (Non-Director</w:t>
              </w:r>
            </w:hyperlink>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1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Officers)</w:t>
              </w:r>
            </w:hyperlink>
          </w:p>
        </w:tc>
        <w:tc>
          <w:tcPr>
            <w:tcW w:w="52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61"/>
        </w:trPr>
        <w:tc>
          <w:tcPr>
            <w:tcW w:w="90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176"/>
        </w:trPr>
        <w:tc>
          <w:tcPr>
            <w:tcW w:w="90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10.33</w:t>
            </w:r>
          </w:p>
        </w:tc>
        <w:tc>
          <w:tcPr>
            <w:tcW w:w="268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Form of Performance Stock</w:t>
              </w:r>
            </w:hyperlink>
          </w:p>
        </w:tc>
        <w:tc>
          <w:tcPr>
            <w:tcW w:w="112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118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3/26/2025</w:t>
            </w:r>
          </w:p>
        </w:tc>
        <w:tc>
          <w:tcPr>
            <w:tcW w:w="880" w:type="dxa"/>
            <w:vAlign w:val="bottom"/>
            <w:shd w:val="clear" w:color="auto" w:fill="CCEEFF"/>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20" w:type="dxa"/>
            <w:vAlign w:val="bottom"/>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5/2/2025</w:t>
            </w:r>
          </w:p>
        </w:tc>
        <w:tc>
          <w:tcPr>
            <w:tcW w:w="1020" w:type="dxa"/>
            <w:vAlign w:val="bottom"/>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001-36556</w:t>
            </w:r>
          </w:p>
        </w:tc>
      </w:tr>
      <w:tr>
        <w:trPr>
          <w:trHeight w:val="20"/>
        </w:trPr>
        <w:tc>
          <w:tcPr>
            <w:tcW w:w="900" w:type="dxa"/>
            <w:vAlign w:val="bottom"/>
            <w:shd w:val="clear" w:color="auto" w:fill="CCEEFF"/>
          </w:tcPr>
          <w:p>
            <w:pPr>
              <w:spacing w:after="0" w:line="20" w:lineRule="exact"/>
              <w:rPr>
                <w:sz w:val="1"/>
                <w:szCs w:val="1"/>
                <w:color w:val="auto"/>
              </w:rPr>
            </w:pPr>
          </w:p>
        </w:tc>
        <w:tc>
          <w:tcPr>
            <w:tcW w:w="2000" w:type="dxa"/>
            <w:vAlign w:val="bottom"/>
            <w:gridSpan w:val="11"/>
            <w:shd w:val="clear" w:color="auto" w:fill="0000EE"/>
          </w:tcPr>
          <w:p>
            <w:pPr>
              <w:spacing w:after="0" w:line="20" w:lineRule="exact"/>
              <w:rPr>
                <w:sz w:val="1"/>
                <w:szCs w:val="1"/>
                <w:color w:val="auto"/>
              </w:rPr>
            </w:pPr>
          </w:p>
        </w:tc>
        <w:tc>
          <w:tcPr>
            <w:tcW w:w="680" w:type="dxa"/>
            <w:vAlign w:val="bottom"/>
            <w:gridSpan w:val="4"/>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r>
        <w:trPr>
          <w:trHeight w:val="196"/>
        </w:trPr>
        <w:tc>
          <w:tcPr>
            <w:tcW w:w="900" w:type="dxa"/>
            <w:vAlign w:val="bottom"/>
            <w:shd w:val="clear" w:color="auto" w:fill="CCEEFF"/>
          </w:tcPr>
          <w:p>
            <w:pPr>
              <w:spacing w:after="0"/>
              <w:rPr>
                <w:sz w:val="17"/>
                <w:szCs w:val="17"/>
                <w:color w:val="auto"/>
              </w:rPr>
            </w:pPr>
          </w:p>
        </w:tc>
        <w:tc>
          <w:tcPr>
            <w:tcW w:w="268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Agreement under 2025 Equity</w:t>
              </w:r>
            </w:hyperlink>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6"/>
        </w:trPr>
        <w:tc>
          <w:tcPr>
            <w:tcW w:w="90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Incentive Plan</w:t>
              </w:r>
            </w:hyperlink>
          </w:p>
        </w:tc>
        <w:tc>
          <w:tcPr>
            <w:tcW w:w="5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10.34*</w:t>
            </w:r>
          </w:p>
        </w:tc>
        <w:tc>
          <w:tcPr>
            <w:tcW w:w="18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153">
              <w:r>
                <w:rPr>
                  <w:rFonts w:ascii="Times New Roman" w:cs="Times New Roman" w:eastAsia="Times New Roman" w:hAnsi="Times New Roman"/>
                  <w:sz w:val="18"/>
                  <w:szCs w:val="18"/>
                  <w:color w:val="0000EE"/>
                  <w:w w:val="98"/>
                </w:rPr>
                <w:t>Form of Post-Termination</w:t>
              </w:r>
            </w:hyperlink>
          </w:p>
        </w:tc>
        <w:tc>
          <w:tcPr>
            <w:tcW w:w="580" w:type="dxa"/>
            <w:vAlign w:val="bottom"/>
            <w:gridSpan w:val="10"/>
          </w:tcPr>
          <w:p>
            <w:pPr>
              <w:spacing w:after="0"/>
              <w:rPr>
                <w:sz w:val="17"/>
                <w:szCs w:val="17"/>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12/25/2024</w:t>
            </w: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10.29</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3/7/2025</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900" w:type="dxa"/>
            <w:vAlign w:val="bottom"/>
          </w:tcPr>
          <w:p>
            <w:pPr>
              <w:spacing w:after="0"/>
              <w:rPr>
                <w:sz w:val="17"/>
                <w:szCs w:val="17"/>
                <w:color w:val="auto"/>
              </w:rPr>
            </w:pPr>
          </w:p>
        </w:tc>
        <w:tc>
          <w:tcPr>
            <w:tcW w:w="2460" w:type="dxa"/>
            <w:vAlign w:val="bottom"/>
            <w:gridSpan w:val="28"/>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Benefits Agreements for</w:t>
              </w:r>
            </w:hyperlink>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7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Executives</w:t>
              </w:r>
            </w:hyperlink>
          </w:p>
        </w:tc>
        <w:tc>
          <w:tcPr>
            <w:tcW w:w="700" w:type="dxa"/>
            <w:vAlign w:val="bottom"/>
            <w:gridSpan w:val="14"/>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1"/>
        </w:trPr>
        <w:tc>
          <w:tcPr>
            <w:tcW w:w="90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76"/>
        </w:trPr>
        <w:tc>
          <w:tcPr>
            <w:tcW w:w="900" w:type="dxa"/>
            <w:vAlign w:val="bottom"/>
            <w:tcBorders>
              <w:bottom w:val="single" w:sz="8" w:color="CCEEFF"/>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10.35*</w:t>
            </w:r>
          </w:p>
        </w:tc>
        <w:tc>
          <w:tcPr>
            <w:tcW w:w="184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Employment Agreement,</w:t>
              </w:r>
            </w:hyperlink>
          </w:p>
        </w:tc>
        <w:tc>
          <w:tcPr>
            <w:tcW w:w="620" w:type="dxa"/>
            <w:vAlign w:val="bottom"/>
            <w:tcBorders>
              <w:bottom w:val="single" w:sz="8" w:color="CCEEFF"/>
            </w:tcBorders>
            <w:gridSpan w:val="11"/>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880" w:type="dxa"/>
            <w:vAlign w:val="bottom"/>
            <w:tcBorders>
              <w:bottom w:val="single" w:sz="8" w:color="CCEEFF"/>
            </w:tcBorders>
            <w:shd w:val="clear" w:color="auto" w:fill="CCEEFF"/>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7/1/2022</w:t>
            </w:r>
          </w:p>
        </w:tc>
        <w:tc>
          <w:tcPr>
            <w:tcW w:w="10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90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0000EE"/>
            </w:tcBorders>
            <w:gridSpan w:val="26"/>
            <w:shd w:val="clear" w:color="auto" w:fill="CCEEFF"/>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dated June 28, 2022, between</w:t>
              </w:r>
            </w:hyperlink>
          </w:p>
        </w:tc>
        <w:tc>
          <w:tcPr>
            <w:tcW w:w="320" w:type="dxa"/>
            <w:vAlign w:val="bottom"/>
            <w:tcBorders>
              <w:bottom w:val="single" w:sz="8" w:color="CCEEFF"/>
            </w:tcBorders>
            <w:gridSpan w:val="2"/>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96"/>
        </w:trPr>
        <w:tc>
          <w:tcPr>
            <w:tcW w:w="900" w:type="dxa"/>
            <w:vAlign w:val="bottom"/>
            <w:shd w:val="clear" w:color="auto" w:fill="CCEEFF"/>
          </w:tcPr>
          <w:p>
            <w:pPr>
              <w:spacing w:after="0"/>
              <w:rPr>
                <w:sz w:val="17"/>
                <w:szCs w:val="17"/>
                <w:color w:val="auto"/>
              </w:rPr>
            </w:pPr>
          </w:p>
        </w:tc>
        <w:tc>
          <w:tcPr>
            <w:tcW w:w="246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El Pollo Loco Holdings, Inc.</w:t>
              </w:r>
            </w:hyperlink>
          </w:p>
        </w:tc>
        <w:tc>
          <w:tcPr>
            <w:tcW w:w="1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90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and Ira Fils</w:t>
              </w:r>
            </w:hyperlink>
          </w:p>
        </w:tc>
        <w:tc>
          <w:tcPr>
            <w:tcW w:w="400" w:type="dxa"/>
            <w:vAlign w:val="bottom"/>
            <w:tcBorders>
              <w:top w:val="single" w:sz="8" w:color="CCEEFF"/>
            </w:tcBorders>
            <w:gridSpan w:val="6"/>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176"/>
        </w:trPr>
        <w:tc>
          <w:tcPr>
            <w:tcW w:w="9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10.36*</w:t>
            </w:r>
          </w:p>
        </w:tc>
        <w:tc>
          <w:tcPr>
            <w:tcW w:w="184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Employment Agreement,</w:t>
              </w:r>
            </w:hyperlink>
          </w:p>
        </w:tc>
        <w:tc>
          <w:tcPr>
            <w:tcW w:w="620" w:type="dxa"/>
            <w:vAlign w:val="bottom"/>
            <w:gridSpan w:val="11"/>
          </w:tcPr>
          <w:p>
            <w:pPr>
              <w:spacing w:after="0"/>
              <w:rPr>
                <w:sz w:val="15"/>
                <w:szCs w:val="15"/>
                <w:color w:val="auto"/>
              </w:rPr>
            </w:pPr>
          </w:p>
        </w:tc>
        <w:tc>
          <w:tcPr>
            <w:tcW w:w="134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11/2/2023</w:t>
            </w: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900" w:type="dxa"/>
            <w:vAlign w:val="bottom"/>
          </w:tcPr>
          <w:p>
            <w:pPr>
              <w:spacing w:after="0"/>
              <w:rPr>
                <w:sz w:val="17"/>
                <w:szCs w:val="17"/>
                <w:color w:val="auto"/>
              </w:rPr>
            </w:pPr>
          </w:p>
        </w:tc>
        <w:tc>
          <w:tcPr>
            <w:tcW w:w="18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dated November 1, 2023,</w:t>
              </w:r>
            </w:hyperlink>
          </w:p>
        </w:tc>
        <w:tc>
          <w:tcPr>
            <w:tcW w:w="620" w:type="dxa"/>
            <w:vAlign w:val="bottom"/>
            <w:gridSpan w:val="11"/>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460" w:type="dxa"/>
            <w:vAlign w:val="bottom"/>
            <w:gridSpan w:val="28"/>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between El Pollo Loco</w:t>
              </w:r>
            </w:hyperlink>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460" w:type="dxa"/>
            <w:vAlign w:val="bottom"/>
            <w:gridSpan w:val="28"/>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Holdings, Inc. and Maria</w:t>
              </w:r>
            </w:hyperlink>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8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Hollandsworth</w:t>
              </w:r>
            </w:hyperlink>
          </w:p>
        </w:tc>
        <w:tc>
          <w:tcPr>
            <w:tcW w:w="660" w:type="dxa"/>
            <w:vAlign w:val="bottom"/>
            <w:gridSpan w:val="13"/>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1"/>
        </w:trPr>
        <w:tc>
          <w:tcPr>
            <w:tcW w:w="90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75"/>
        </w:trPr>
        <w:tc>
          <w:tcPr>
            <w:tcW w:w="900" w:type="dxa"/>
            <w:vAlign w:val="bottom"/>
            <w:tcBorders>
              <w:bottom w:val="single" w:sz="8" w:color="CCEEFF"/>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10.37*</w:t>
            </w:r>
          </w:p>
        </w:tc>
        <w:tc>
          <w:tcPr>
            <w:tcW w:w="182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8"/>
              </w:rPr>
            </w:pPr>
            <w:hyperlink r:id="rId156">
              <w:r>
                <w:rPr>
                  <w:rFonts w:ascii="Times New Roman" w:cs="Times New Roman" w:eastAsia="Times New Roman" w:hAnsi="Times New Roman"/>
                  <w:sz w:val="18"/>
                  <w:szCs w:val="18"/>
                  <w:color w:val="0000EE"/>
                  <w:w w:val="98"/>
                </w:rPr>
                <w:t>Employment Agreement,</w:t>
              </w:r>
            </w:hyperlink>
          </w:p>
        </w:tc>
        <w:tc>
          <w:tcPr>
            <w:tcW w:w="640" w:type="dxa"/>
            <w:vAlign w:val="bottom"/>
            <w:tcBorders>
              <w:bottom w:val="single" w:sz="8" w:color="CCEEFF"/>
            </w:tcBorders>
            <w:gridSpan w:val="12"/>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880" w:type="dxa"/>
            <w:vAlign w:val="bottom"/>
            <w:tcBorders>
              <w:bottom w:val="single" w:sz="8" w:color="CCEEFF"/>
            </w:tcBorders>
            <w:shd w:val="clear" w:color="auto" w:fill="CCEEFF"/>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2/13/2024</w:t>
            </w:r>
          </w:p>
        </w:tc>
        <w:tc>
          <w:tcPr>
            <w:tcW w:w="10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9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dated February 8, 2024,</w:t>
              </w:r>
            </w:hyperlink>
          </w:p>
        </w:tc>
        <w:tc>
          <w:tcPr>
            <w:tcW w:w="740" w:type="dxa"/>
            <w:vAlign w:val="bottom"/>
            <w:tcBorders>
              <w:bottom w:val="single" w:sz="8" w:color="CCEEFF"/>
            </w:tcBorders>
            <w:gridSpan w:val="16"/>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96"/>
        </w:trPr>
        <w:tc>
          <w:tcPr>
            <w:tcW w:w="900" w:type="dxa"/>
            <w:vAlign w:val="bottom"/>
            <w:shd w:val="clear" w:color="auto" w:fill="CCEEFF"/>
          </w:tcPr>
          <w:p>
            <w:pPr>
              <w:spacing w:after="0"/>
              <w:rPr>
                <w:sz w:val="17"/>
                <w:szCs w:val="17"/>
                <w:color w:val="auto"/>
              </w:rPr>
            </w:pPr>
          </w:p>
        </w:tc>
        <w:tc>
          <w:tcPr>
            <w:tcW w:w="246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between El Pollo Loco</w:t>
              </w:r>
            </w:hyperlink>
          </w:p>
        </w:tc>
        <w:tc>
          <w:tcPr>
            <w:tcW w:w="1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gridSpan w:val="2"/>
            <w:shd w:val="clear" w:color="auto" w:fill="CCEEFF"/>
          </w:tcPr>
          <w:p>
            <w:pPr>
              <w:spacing w:after="0" w:line="20" w:lineRule="exact"/>
              <w:rPr>
                <w:sz w:val="1"/>
                <w:szCs w:val="1"/>
                <w:color w:val="auto"/>
              </w:rPr>
            </w:pPr>
          </w:p>
        </w:tc>
        <w:tc>
          <w:tcPr>
            <w:tcW w:w="140" w:type="dxa"/>
            <w:vAlign w:val="bottom"/>
            <w:gridSpan w:val="5"/>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r>
        <w:trPr>
          <w:trHeight w:val="196"/>
        </w:trPr>
        <w:tc>
          <w:tcPr>
            <w:tcW w:w="90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Holdings, Inc. and Elizabeth</w:t>
              </w:r>
            </w:hyperlink>
          </w:p>
        </w:tc>
        <w:tc>
          <w:tcPr>
            <w:tcW w:w="400" w:type="dxa"/>
            <w:vAlign w:val="bottom"/>
            <w:tcBorders>
              <w:bottom w:val="single" w:sz="8" w:color="CCEEFF"/>
            </w:tcBorders>
            <w:gridSpan w:val="6"/>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96"/>
        </w:trPr>
        <w:tc>
          <w:tcPr>
            <w:tcW w:w="900" w:type="dxa"/>
            <w:vAlign w:val="bottom"/>
            <w:shd w:val="clear" w:color="auto" w:fill="CCEEFF"/>
          </w:tcPr>
          <w:p>
            <w:pPr>
              <w:spacing w:after="0"/>
              <w:rPr>
                <w:sz w:val="17"/>
                <w:szCs w:val="17"/>
                <w:color w:val="auto"/>
              </w:rPr>
            </w:pPr>
          </w:p>
        </w:tc>
        <w:tc>
          <w:tcPr>
            <w:tcW w:w="246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Williams</w:t>
              </w:r>
            </w:hyperlink>
          </w:p>
        </w:tc>
        <w:tc>
          <w:tcPr>
            <w:tcW w:w="1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176"/>
        </w:trPr>
        <w:tc>
          <w:tcPr>
            <w:tcW w:w="9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10.38*</w:t>
            </w:r>
          </w:p>
        </w:tc>
        <w:tc>
          <w:tcPr>
            <w:tcW w:w="2120" w:type="dxa"/>
            <w:vAlign w:val="bottom"/>
            <w:tcBorders>
              <w:bottom w:val="single" w:sz="8" w:color="0000EE"/>
            </w:tcBorders>
            <w:gridSpan w:val="25"/>
          </w:tcPr>
          <w:p>
            <w:pPr>
              <w:spacing w:after="0" w:line="176" w:lineRule="exact"/>
              <w:rPr>
                <w:rFonts w:ascii="Times New Roman" w:cs="Times New Roman" w:eastAsia="Times New Roman" w:hAnsi="Times New Roman"/>
                <w:sz w:val="18"/>
                <w:szCs w:val="18"/>
                <w:color w:val="0000EE"/>
                <w:w w:val="98"/>
              </w:rPr>
            </w:pPr>
            <w:hyperlink r:id="rId157">
              <w:r>
                <w:rPr>
                  <w:rFonts w:ascii="Times New Roman" w:cs="Times New Roman" w:eastAsia="Times New Roman" w:hAnsi="Times New Roman"/>
                  <w:sz w:val="18"/>
                  <w:szCs w:val="18"/>
                  <w:color w:val="0000EE"/>
                  <w:w w:val="98"/>
                </w:rPr>
                <w:t>Retention Award Agreement,</w:t>
              </w:r>
            </w:hyperlink>
          </w:p>
        </w:tc>
        <w:tc>
          <w:tcPr>
            <w:tcW w:w="340" w:type="dxa"/>
            <w:vAlign w:val="bottom"/>
            <w:gridSpan w:val="3"/>
          </w:tcPr>
          <w:p>
            <w:pPr>
              <w:spacing w:after="0"/>
              <w:rPr>
                <w:sz w:val="15"/>
                <w:szCs w:val="15"/>
                <w:color w:val="auto"/>
              </w:rPr>
            </w:pPr>
          </w:p>
        </w:tc>
        <w:tc>
          <w:tcPr>
            <w:tcW w:w="134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11/2/2023</w:t>
            </w: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900" w:type="dxa"/>
            <w:vAlign w:val="bottom"/>
          </w:tcPr>
          <w:p>
            <w:pPr>
              <w:spacing w:after="0"/>
              <w:rPr>
                <w:sz w:val="17"/>
                <w:szCs w:val="17"/>
                <w:color w:val="auto"/>
              </w:rPr>
            </w:pPr>
          </w:p>
        </w:tc>
        <w:tc>
          <w:tcPr>
            <w:tcW w:w="18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dated November 2, 2023,</w:t>
              </w:r>
            </w:hyperlink>
          </w:p>
        </w:tc>
        <w:tc>
          <w:tcPr>
            <w:tcW w:w="620" w:type="dxa"/>
            <w:vAlign w:val="bottom"/>
            <w:gridSpan w:val="11"/>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460" w:type="dxa"/>
            <w:vAlign w:val="bottom"/>
            <w:gridSpan w:val="28"/>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between El Pollo Loco</w:t>
              </w:r>
            </w:hyperlink>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460" w:type="dxa"/>
            <w:vAlign w:val="bottom"/>
            <w:gridSpan w:val="28"/>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Holdings, Inc. and Ira Fils</w:t>
              </w:r>
            </w:hyperlink>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1"/>
        </w:trPr>
        <w:tc>
          <w:tcPr>
            <w:tcW w:w="90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75"/>
        </w:trPr>
        <w:tc>
          <w:tcPr>
            <w:tcW w:w="90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10.39</w:t>
            </w:r>
          </w:p>
        </w:tc>
        <w:tc>
          <w:tcPr>
            <w:tcW w:w="246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Stock Repurchase Agreement,</w:t>
              </w:r>
            </w:hyperlink>
          </w:p>
        </w:tc>
        <w:tc>
          <w:tcPr>
            <w:tcW w:w="134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880" w:type="dxa"/>
            <w:vAlign w:val="bottom"/>
            <w:shd w:val="clear" w:color="auto" w:fill="CCEEFF"/>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5/29/2024</w:t>
            </w:r>
          </w:p>
        </w:tc>
        <w:tc>
          <w:tcPr>
            <w:tcW w:w="10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2140" w:type="dxa"/>
            <w:vAlign w:val="bottom"/>
            <w:tcBorders>
              <w:top w:val="single" w:sz="8" w:color="0000EE"/>
              <w:bottom w:val="single" w:sz="8" w:color="0000EE"/>
            </w:tcBorders>
            <w:gridSpan w:val="26"/>
            <w:shd w:val="clear" w:color="auto" w:fill="CCEEFF"/>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dated May 23, 2024, between</w:t>
              </w:r>
            </w:hyperlink>
          </w:p>
        </w:tc>
        <w:tc>
          <w:tcPr>
            <w:tcW w:w="40" w:type="dxa"/>
            <w:vAlign w:val="bottom"/>
            <w:tcBorders>
              <w:top w:val="single" w:sz="8" w:color="0000EE"/>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9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0000EE"/>
            </w:tcBorders>
            <w:gridSpan w:val="25"/>
            <w:shd w:val="clear" w:color="auto" w:fill="CCEEFF"/>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El Pollo Loco Holdings, Inc.,</w:t>
              </w:r>
            </w:hyperlink>
          </w:p>
        </w:tc>
        <w:tc>
          <w:tcPr>
            <w:tcW w:w="340" w:type="dxa"/>
            <w:vAlign w:val="bottom"/>
            <w:tcBorders>
              <w:bottom w:val="single" w:sz="8" w:color="CCEEFF"/>
            </w:tcBorders>
            <w:gridSpan w:val="3"/>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96"/>
        </w:trPr>
        <w:tc>
          <w:tcPr>
            <w:tcW w:w="900" w:type="dxa"/>
            <w:vAlign w:val="bottom"/>
            <w:shd w:val="clear" w:color="auto" w:fill="CCEEFF"/>
          </w:tcPr>
          <w:p>
            <w:pPr>
              <w:spacing w:after="0"/>
              <w:rPr>
                <w:sz w:val="17"/>
                <w:szCs w:val="17"/>
                <w:color w:val="auto"/>
              </w:rPr>
            </w:pPr>
          </w:p>
        </w:tc>
        <w:tc>
          <w:tcPr>
            <w:tcW w:w="246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FS Equity Partners V, L.P. and</w:t>
              </w:r>
            </w:hyperlink>
          </w:p>
        </w:tc>
        <w:tc>
          <w:tcPr>
            <w:tcW w:w="1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90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0000EE"/>
            </w:tcBorders>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FS Affiliates V, L.P</w:t>
              </w:r>
              <w:r>
                <w:rPr>
                  <w:rFonts w:ascii="Times New Roman" w:cs="Times New Roman" w:eastAsia="Times New Roman" w:hAnsi="Times New Roman"/>
                  <w:sz w:val="18"/>
                  <w:szCs w:val="18"/>
                  <w:color w:val="000000"/>
                </w:rPr>
                <w:t>.</w:t>
              </w:r>
            </w:hyperlink>
          </w:p>
        </w:tc>
        <w:tc>
          <w:tcPr>
            <w:tcW w:w="2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175"/>
        </w:trPr>
        <w:tc>
          <w:tcPr>
            <w:tcW w:w="9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19.1</w:t>
            </w:r>
          </w:p>
        </w:tc>
        <w:tc>
          <w:tcPr>
            <w:tcW w:w="2460" w:type="dxa"/>
            <w:vAlign w:val="bottom"/>
            <w:gridSpan w:val="28"/>
          </w:tcPr>
          <w:p>
            <w:pPr>
              <w:spacing w:after="0" w:line="17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El Pollo Loco Insider Trading</w:t>
              </w:r>
            </w:hyperlink>
          </w:p>
        </w:tc>
        <w:tc>
          <w:tcPr>
            <w:tcW w:w="134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12/25/2024</w:t>
            </w:r>
          </w:p>
        </w:tc>
        <w:tc>
          <w:tcPr>
            <w:tcW w:w="880" w:type="dxa"/>
            <w:vAlign w:val="bottom"/>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19.1</w:t>
            </w:r>
          </w:p>
        </w:tc>
        <w:tc>
          <w:tcPr>
            <w:tcW w:w="120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3/7/2025</w:t>
            </w: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900" w:type="dxa"/>
            <w:vAlign w:val="bottom"/>
          </w:tcPr>
          <w:p>
            <w:pPr>
              <w:spacing w:after="0"/>
              <w:rPr>
                <w:sz w:val="17"/>
                <w:szCs w:val="17"/>
                <w:color w:val="auto"/>
              </w:rPr>
            </w:pPr>
          </w:p>
        </w:tc>
        <w:tc>
          <w:tcPr>
            <w:tcW w:w="214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Policy</w:t>
              </w:r>
            </w:hyperlink>
          </w:p>
        </w:tc>
        <w:tc>
          <w:tcPr>
            <w:tcW w:w="320" w:type="dxa"/>
            <w:vAlign w:val="bottom"/>
            <w:gridSpan w:val="2"/>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1"/>
        </w:trPr>
        <w:tc>
          <w:tcPr>
            <w:tcW w:w="90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75"/>
        </w:trPr>
        <w:tc>
          <w:tcPr>
            <w:tcW w:w="900" w:type="dxa"/>
            <w:vAlign w:val="bottom"/>
            <w:tcBorders>
              <w:bottom w:val="single" w:sz="8" w:color="CCEEFF"/>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212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Subsidiaries of El Pollo Loco</w:t>
              </w:r>
            </w:hyperlink>
          </w:p>
        </w:tc>
        <w:tc>
          <w:tcPr>
            <w:tcW w:w="340" w:type="dxa"/>
            <w:vAlign w:val="bottom"/>
            <w:tcBorders>
              <w:bottom w:val="single" w:sz="8" w:color="CCEEFF"/>
            </w:tcBorders>
            <w:gridSpan w:val="3"/>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118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880" w:type="dxa"/>
            <w:vAlign w:val="bottom"/>
            <w:tcBorders>
              <w:bottom w:val="single" w:sz="8" w:color="CCEEFF"/>
            </w:tcBorders>
            <w:shd w:val="clear" w:color="auto" w:fill="CCEEFF"/>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20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6/24/2014</w:t>
            </w:r>
          </w:p>
        </w:tc>
        <w:tc>
          <w:tcPr>
            <w:tcW w:w="10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333-197001</w:t>
            </w:r>
          </w:p>
        </w:tc>
      </w:tr>
      <w:tr>
        <w:trPr>
          <w:trHeight w:val="196"/>
        </w:trPr>
        <w:tc>
          <w:tcPr>
            <w:tcW w:w="900" w:type="dxa"/>
            <w:vAlign w:val="bottom"/>
            <w:shd w:val="clear" w:color="auto" w:fill="CCEEFF"/>
          </w:tcPr>
          <w:p>
            <w:pPr>
              <w:spacing w:after="0"/>
              <w:rPr>
                <w:sz w:val="17"/>
                <w:szCs w:val="17"/>
                <w:color w:val="auto"/>
              </w:rPr>
            </w:pPr>
          </w:p>
        </w:tc>
        <w:tc>
          <w:tcPr>
            <w:tcW w:w="246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Holdings, Inc.</w:t>
              </w:r>
            </w:hyperlink>
          </w:p>
        </w:tc>
        <w:tc>
          <w:tcPr>
            <w:tcW w:w="1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175"/>
        </w:trPr>
        <w:tc>
          <w:tcPr>
            <w:tcW w:w="9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24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Consent of BDO USA, P.C.</w:t>
            </w:r>
          </w:p>
        </w:tc>
        <w:tc>
          <w:tcPr>
            <w:tcW w:w="1340" w:type="dxa"/>
            <w:vAlign w:val="bottom"/>
          </w:tcPr>
          <w:p>
            <w:pPr>
              <w:jc w:val="right"/>
              <w:ind w:right="79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61"/>
        </w:trPr>
        <w:tc>
          <w:tcPr>
            <w:tcW w:w="90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75"/>
        </w:trPr>
        <w:tc>
          <w:tcPr>
            <w:tcW w:w="90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24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w:t>
            </w:r>
          </w:p>
        </w:tc>
        <w:tc>
          <w:tcPr>
            <w:tcW w:w="1340" w:type="dxa"/>
            <w:vAlign w:val="bottom"/>
            <w:shd w:val="clear" w:color="auto" w:fill="CCEEFF"/>
          </w:tcPr>
          <w:p>
            <w:pPr>
              <w:jc w:val="right"/>
              <w:ind w:right="79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1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gridSpan w:val="2"/>
            <w:shd w:val="clear" w:color="auto" w:fill="CCEEFF"/>
          </w:tcPr>
          <w:p>
            <w:pPr>
              <w:spacing w:after="0" w:line="20" w:lineRule="exact"/>
              <w:rPr>
                <w:sz w:val="1"/>
                <w:szCs w:val="1"/>
                <w:color w:val="auto"/>
              </w:rPr>
            </w:pPr>
          </w:p>
        </w:tc>
        <w:tc>
          <w:tcPr>
            <w:tcW w:w="160" w:type="dxa"/>
            <w:vAlign w:val="bottom"/>
            <w:gridSpan w:val="6"/>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gridSpan w:val="4"/>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r>
        <w:trPr>
          <w:trHeight w:val="196"/>
        </w:trPr>
        <w:tc>
          <w:tcPr>
            <w:tcW w:w="9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0000EE"/>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Officer under</w:t>
            </w:r>
          </w:p>
        </w:tc>
        <w:tc>
          <w:tcPr>
            <w:tcW w:w="720" w:type="dxa"/>
            <w:vAlign w:val="bottom"/>
            <w:tcBorders>
              <w:bottom w:val="single" w:sz="8" w:color="CCEEFF"/>
            </w:tcBorders>
            <w:gridSpan w:val="15"/>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96"/>
        </w:trPr>
        <w:tc>
          <w:tcPr>
            <w:tcW w:w="900" w:type="dxa"/>
            <w:vAlign w:val="bottom"/>
            <w:shd w:val="clear" w:color="auto" w:fill="CCEEFF"/>
          </w:tcPr>
          <w:p>
            <w:pPr>
              <w:spacing w:after="0"/>
              <w:rPr>
                <w:sz w:val="17"/>
                <w:szCs w:val="17"/>
                <w:color w:val="auto"/>
              </w:rPr>
            </w:pPr>
          </w:p>
        </w:tc>
        <w:tc>
          <w:tcPr>
            <w:tcW w:w="2460" w:type="dxa"/>
            <w:vAlign w:val="bottom"/>
            <w:gridSpan w:val="2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w:t>
            </w:r>
          </w:p>
        </w:tc>
        <w:tc>
          <w:tcPr>
            <w:tcW w:w="1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90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0000EE"/>
            </w:tcBorders>
            <w:gridSpan w:val="2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400" w:type="dxa"/>
            <w:vAlign w:val="bottom"/>
            <w:tcBorders>
              <w:top w:val="single" w:sz="8" w:color="CCEEFF"/>
            </w:tcBorders>
            <w:gridSpan w:val="6"/>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175"/>
        </w:trPr>
        <w:tc>
          <w:tcPr>
            <w:tcW w:w="9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24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w:t>
            </w:r>
          </w:p>
        </w:tc>
        <w:tc>
          <w:tcPr>
            <w:tcW w:w="1340" w:type="dxa"/>
            <w:vAlign w:val="bottom"/>
          </w:tcPr>
          <w:p>
            <w:pPr>
              <w:jc w:val="right"/>
              <w:ind w:right="79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4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 under</w:t>
            </w:r>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4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w:t>
            </w:r>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06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400" w:type="dxa"/>
            <w:vAlign w:val="bottom"/>
            <w:gridSpan w:val="6"/>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1"/>
        </w:trPr>
        <w:tc>
          <w:tcPr>
            <w:tcW w:w="90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75"/>
        </w:trPr>
        <w:tc>
          <w:tcPr>
            <w:tcW w:w="90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24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w:t>
            </w:r>
          </w:p>
        </w:tc>
        <w:tc>
          <w:tcPr>
            <w:tcW w:w="1340" w:type="dxa"/>
            <w:vAlign w:val="bottom"/>
            <w:shd w:val="clear" w:color="auto" w:fill="CCEEFF"/>
          </w:tcPr>
          <w:p>
            <w:pPr>
              <w:jc w:val="right"/>
              <w:ind w:right="79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gridSpan w:val="9"/>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gridSpan w:val="4"/>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r>
        <w:trPr>
          <w:trHeight w:val="196"/>
        </w:trPr>
        <w:tc>
          <w:tcPr>
            <w:tcW w:w="900" w:type="dxa"/>
            <w:vAlign w:val="bottom"/>
            <w:shd w:val="clear" w:color="auto" w:fill="CCEEFF"/>
          </w:tcPr>
          <w:p>
            <w:pPr>
              <w:spacing w:after="0"/>
              <w:rPr>
                <w:sz w:val="17"/>
                <w:szCs w:val="17"/>
                <w:color w:val="auto"/>
              </w:rPr>
            </w:pPr>
          </w:p>
        </w:tc>
        <w:tc>
          <w:tcPr>
            <w:tcW w:w="2460" w:type="dxa"/>
            <w:vAlign w:val="bottom"/>
            <w:gridSpan w:val="2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 and Chief</w:t>
            </w:r>
          </w:p>
        </w:tc>
        <w:tc>
          <w:tcPr>
            <w:tcW w:w="1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9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0000EE"/>
            </w:tcBorders>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 under 18</w:t>
            </w:r>
          </w:p>
        </w:tc>
        <w:tc>
          <w:tcPr>
            <w:tcW w:w="440" w:type="dxa"/>
            <w:vAlign w:val="bottom"/>
            <w:tcBorders>
              <w:top w:val="single" w:sz="8" w:color="CCEEFF"/>
            </w:tcBorders>
            <w:gridSpan w:val="7"/>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gridSpan w:val="9"/>
            <w:shd w:val="clear" w:color="auto" w:fill="0000EE"/>
          </w:tcPr>
          <w:p>
            <w:pPr>
              <w:spacing w:after="0" w:line="20" w:lineRule="exact"/>
              <w:rPr>
                <w:sz w:val="1"/>
                <w:szCs w:val="1"/>
                <w:color w:val="auto"/>
              </w:rPr>
            </w:pPr>
          </w:p>
        </w:tc>
        <w:tc>
          <w:tcPr>
            <w:tcW w:w="180" w:type="dxa"/>
            <w:vAlign w:val="bottom"/>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gridSpan w:val="4"/>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r>
        <w:trPr>
          <w:trHeight w:val="196"/>
        </w:trPr>
        <w:tc>
          <w:tcPr>
            <w:tcW w:w="900" w:type="dxa"/>
            <w:vAlign w:val="bottom"/>
            <w:shd w:val="clear" w:color="auto" w:fill="CCEEFF"/>
          </w:tcPr>
          <w:p>
            <w:pPr>
              <w:spacing w:after="0"/>
              <w:rPr>
                <w:sz w:val="17"/>
                <w:szCs w:val="17"/>
                <w:color w:val="auto"/>
              </w:rPr>
            </w:pPr>
          </w:p>
        </w:tc>
        <w:tc>
          <w:tcPr>
            <w:tcW w:w="2460" w:type="dxa"/>
            <w:vAlign w:val="bottom"/>
            <w:gridSpan w:val="2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 adopted</w:t>
            </w:r>
          </w:p>
        </w:tc>
        <w:tc>
          <w:tcPr>
            <w:tcW w:w="1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9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0000EE"/>
            </w:tcBorders>
            <w:gridSpan w:val="2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by section 906 of the</w:t>
            </w:r>
          </w:p>
        </w:tc>
        <w:tc>
          <w:tcPr>
            <w:tcW w:w="360" w:type="dxa"/>
            <w:vAlign w:val="bottom"/>
            <w:tcBorders>
              <w:top w:val="single" w:sz="8" w:color="CCEEFF"/>
            </w:tcBorders>
            <w:gridSpan w:val="4"/>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r>
      <w:tr>
        <w:trPr>
          <w:trHeight w:val="20"/>
        </w:trPr>
        <w:tc>
          <w:tcPr>
            <w:tcW w:w="900" w:type="dxa"/>
            <w:vAlign w:val="bottom"/>
            <w:shd w:val="clear" w:color="auto" w:fill="CCEEFF"/>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320" w:type="dxa"/>
            <w:vAlign w:val="bottom"/>
            <w:tcBorders>
              <w:right w:val="single" w:sz="8" w:color="CCEEFF"/>
            </w:tcBorders>
            <w:gridSpan w:val="3"/>
            <w:shd w:val="clear" w:color="auto" w:fill="0000EE"/>
          </w:tcPr>
          <w:p>
            <w:pPr>
              <w:spacing w:after="0" w:line="20" w:lineRule="exact"/>
              <w:rPr>
                <w:sz w:val="1"/>
                <w:szCs w:val="1"/>
                <w:color w:val="auto"/>
              </w:rPr>
            </w:pPr>
          </w:p>
        </w:tc>
        <w:tc>
          <w:tcPr>
            <w:tcW w:w="540" w:type="dxa"/>
            <w:vAlign w:val="bottom"/>
            <w:gridSpan w:val="13"/>
            <w:shd w:val="clear" w:color="auto" w:fill="CCEEFF"/>
          </w:tcPr>
          <w:p>
            <w:pPr>
              <w:spacing w:after="0" w:line="20" w:lineRule="exact"/>
              <w:rPr>
                <w:sz w:val="1"/>
                <w:szCs w:val="1"/>
                <w:color w:val="auto"/>
              </w:rPr>
            </w:pPr>
          </w:p>
        </w:tc>
        <w:tc>
          <w:tcPr>
            <w:tcW w:w="380" w:type="dxa"/>
            <w:vAlign w:val="bottom"/>
            <w:gridSpan w:val="5"/>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r>
        <w:trPr>
          <w:trHeight w:val="196"/>
        </w:trPr>
        <w:tc>
          <w:tcPr>
            <w:tcW w:w="900" w:type="dxa"/>
            <w:vAlign w:val="bottom"/>
            <w:shd w:val="clear" w:color="auto" w:fill="CCEEFF"/>
          </w:tcPr>
          <w:p>
            <w:pPr>
              <w:spacing w:after="0"/>
              <w:rPr>
                <w:sz w:val="17"/>
                <w:szCs w:val="17"/>
                <w:color w:val="auto"/>
              </w:rPr>
            </w:pPr>
          </w:p>
        </w:tc>
        <w:tc>
          <w:tcPr>
            <w:tcW w:w="2460" w:type="dxa"/>
            <w:vAlign w:val="bottom"/>
            <w:gridSpan w:val="2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1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1"/>
        </w:trPr>
        <w:tc>
          <w:tcPr>
            <w:tcW w:w="9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right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left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176"/>
        </w:trPr>
        <w:tc>
          <w:tcPr>
            <w:tcW w:w="9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2460" w:type="dxa"/>
            <w:vAlign w:val="bottom"/>
            <w:gridSpan w:val="28"/>
          </w:tcPr>
          <w:p>
            <w:pPr>
              <w:spacing w:after="0" w:line="17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El Pollo Loco Holdings, Inc.</w:t>
              </w:r>
            </w:hyperlink>
          </w:p>
        </w:tc>
        <w:tc>
          <w:tcPr>
            <w:tcW w:w="134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12/27/2023</w:t>
            </w:r>
          </w:p>
        </w:tc>
        <w:tc>
          <w:tcPr>
            <w:tcW w:w="880" w:type="dxa"/>
            <w:vAlign w:val="bottom"/>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20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3/8/2024</w:t>
            </w: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001-36556</w:t>
            </w:r>
          </w:p>
        </w:tc>
      </w:tr>
      <w:tr>
        <w:trPr>
          <w:trHeight w:val="196"/>
        </w:trPr>
        <w:tc>
          <w:tcPr>
            <w:tcW w:w="900" w:type="dxa"/>
            <w:vAlign w:val="bottom"/>
          </w:tcPr>
          <w:p>
            <w:pPr>
              <w:spacing w:after="0"/>
              <w:rPr>
                <w:sz w:val="17"/>
                <w:szCs w:val="17"/>
                <w:color w:val="auto"/>
              </w:rPr>
            </w:pPr>
          </w:p>
        </w:tc>
        <w:tc>
          <w:tcPr>
            <w:tcW w:w="206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Clawback Policy</w:t>
              </w:r>
            </w:hyperlink>
          </w:p>
        </w:tc>
        <w:tc>
          <w:tcPr>
            <w:tcW w:w="400" w:type="dxa"/>
            <w:vAlign w:val="bottom"/>
            <w:gridSpan w:val="6"/>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1"/>
        </w:trPr>
        <w:tc>
          <w:tcPr>
            <w:tcW w:w="90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198"/>
        </w:trPr>
        <w:tc>
          <w:tcPr>
            <w:tcW w:w="90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2460" w:type="dxa"/>
            <w:vAlign w:val="bottom"/>
            <w:gridSpan w:val="28"/>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XBRL Instance Document -</w:t>
            </w:r>
          </w:p>
        </w:tc>
        <w:tc>
          <w:tcPr>
            <w:tcW w:w="1340" w:type="dxa"/>
            <w:vAlign w:val="bottom"/>
            <w:shd w:val="clear" w:color="auto" w:fill="CCEEFF"/>
          </w:tcPr>
          <w:p>
            <w:pPr>
              <w:jc w:val="right"/>
              <w:ind w:right="790"/>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6"/>
        </w:trPr>
        <w:tc>
          <w:tcPr>
            <w:tcW w:w="900" w:type="dxa"/>
            <w:vAlign w:val="bottom"/>
            <w:shd w:val="clear" w:color="auto" w:fill="CCEEFF"/>
          </w:tcPr>
          <w:p>
            <w:pPr>
              <w:spacing w:after="0"/>
              <w:rPr>
                <w:sz w:val="18"/>
                <w:szCs w:val="18"/>
                <w:color w:val="auto"/>
              </w:rPr>
            </w:pPr>
          </w:p>
        </w:tc>
        <w:tc>
          <w:tcPr>
            <w:tcW w:w="246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instance document does</w:t>
            </w: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246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appear in the Interactive</w:t>
            </w: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246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File because its XBRL</w:t>
            </w: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246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auto"/>
              </w:rPr>
              <w:t>tags are embedded within the</w:t>
            </w: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4"/>
        </w:trPr>
        <w:tc>
          <w:tcPr>
            <w:tcW w:w="900" w:type="dxa"/>
            <w:vAlign w:val="bottom"/>
            <w:shd w:val="clear" w:color="auto" w:fill="CCEEFF"/>
          </w:tcPr>
          <w:p>
            <w:pPr>
              <w:spacing w:after="0"/>
              <w:rPr>
                <w:sz w:val="20"/>
                <w:szCs w:val="20"/>
                <w:color w:val="auto"/>
              </w:rPr>
            </w:pPr>
          </w:p>
        </w:tc>
        <w:tc>
          <w:tcPr>
            <w:tcW w:w="246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1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41"/>
        </w:trPr>
        <w:tc>
          <w:tcPr>
            <w:tcW w:w="9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101.SCH</w:t>
            </w:r>
          </w:p>
        </w:tc>
        <w:tc>
          <w:tcPr>
            <w:tcW w:w="2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w:t>
            </w:r>
          </w:p>
        </w:tc>
        <w:tc>
          <w:tcPr>
            <w:tcW w:w="5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820" w:type="dxa"/>
            <w:vAlign w:val="bottom"/>
          </w:tcPr>
          <w:p>
            <w:pPr>
              <w:spacing w:after="0"/>
              <w:rPr>
                <w:sz w:val="20"/>
                <w:szCs w:val="20"/>
                <w:color w:val="auto"/>
              </w:rPr>
            </w:pPr>
          </w:p>
        </w:tc>
        <w:tc>
          <w:tcPr>
            <w:tcW w:w="2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Schema Document</w:t>
            </w:r>
          </w:p>
        </w:tc>
        <w:tc>
          <w:tcPr>
            <w:tcW w:w="5680" w:type="dxa"/>
            <w:vAlign w:val="bottom"/>
          </w:tcPr>
          <w:p>
            <w:pPr>
              <w:spacing w:after="0"/>
              <w:rPr>
                <w:sz w:val="20"/>
                <w:szCs w:val="20"/>
                <w:color w:val="auto"/>
              </w:rPr>
            </w:pPr>
          </w:p>
        </w:tc>
      </w:tr>
      <w:tr>
        <w:trPr>
          <w:trHeight w:val="41"/>
        </w:trPr>
        <w:tc>
          <w:tcPr>
            <w:tcW w:w="8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5680" w:type="dxa"/>
            <w:vAlign w:val="bottom"/>
          </w:tcPr>
          <w:p>
            <w:pPr>
              <w:spacing w:after="0"/>
              <w:rPr>
                <w:sz w:val="3"/>
                <w:szCs w:val="3"/>
                <w:color w:val="auto"/>
              </w:rPr>
            </w:pPr>
          </w:p>
        </w:tc>
      </w:tr>
      <w:tr>
        <w:trPr>
          <w:trHeight w:val="198"/>
        </w:trPr>
        <w:tc>
          <w:tcPr>
            <w:tcW w:w="82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101.CAL</w:t>
            </w:r>
          </w:p>
        </w:tc>
        <w:tc>
          <w:tcPr>
            <w:tcW w:w="250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XBRL Taxonomy Extension</w:t>
            </w:r>
          </w:p>
        </w:tc>
        <w:tc>
          <w:tcPr>
            <w:tcW w:w="568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X</w:t>
            </w:r>
          </w:p>
        </w:tc>
      </w:tr>
      <w:tr>
        <w:trPr>
          <w:trHeight w:val="216"/>
        </w:trPr>
        <w:tc>
          <w:tcPr>
            <w:tcW w:w="820" w:type="dxa"/>
            <w:vAlign w:val="bottom"/>
            <w:shd w:val="clear" w:color="auto" w:fill="CCEEFF"/>
          </w:tcPr>
          <w:p>
            <w:pPr>
              <w:spacing w:after="0"/>
              <w:rPr>
                <w:sz w:val="18"/>
                <w:szCs w:val="18"/>
                <w:color w:val="auto"/>
              </w:rPr>
            </w:pPr>
          </w:p>
        </w:tc>
        <w:tc>
          <w:tcPr>
            <w:tcW w:w="2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Calculation Linkbase</w:t>
            </w:r>
          </w:p>
        </w:tc>
        <w:tc>
          <w:tcPr>
            <w:tcW w:w="5680" w:type="dxa"/>
            <w:vAlign w:val="bottom"/>
            <w:shd w:val="clear" w:color="auto" w:fill="CCEEFF"/>
          </w:tcPr>
          <w:p>
            <w:pPr>
              <w:spacing w:after="0"/>
              <w:rPr>
                <w:sz w:val="18"/>
                <w:szCs w:val="18"/>
                <w:color w:val="auto"/>
              </w:rPr>
            </w:pPr>
          </w:p>
        </w:tc>
      </w:tr>
      <w:tr>
        <w:trPr>
          <w:trHeight w:val="255"/>
        </w:trPr>
        <w:tc>
          <w:tcPr>
            <w:tcW w:w="82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Document</w:t>
            </w:r>
          </w:p>
        </w:tc>
        <w:tc>
          <w:tcPr>
            <w:tcW w:w="5680" w:type="dxa"/>
            <w:vAlign w:val="bottom"/>
            <w:tcBorders>
              <w:bottom w:val="single" w:sz="8" w:color="CCEEFF"/>
            </w:tcBorders>
            <w:shd w:val="clear" w:color="auto" w:fill="CCEEFF"/>
          </w:tcPr>
          <w:p>
            <w:pPr>
              <w:spacing w:after="0"/>
              <w:rPr>
                <w:sz w:val="22"/>
                <w:szCs w:val="22"/>
                <w:color w:val="auto"/>
              </w:rPr>
            </w:pPr>
          </w:p>
        </w:tc>
      </w:tr>
      <w:tr>
        <w:trPr>
          <w:trHeight w:val="198"/>
        </w:trPr>
        <w:tc>
          <w:tcPr>
            <w:tcW w:w="8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101.DEF</w:t>
            </w:r>
          </w:p>
        </w:tc>
        <w:tc>
          <w:tcPr>
            <w:tcW w:w="25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XBRL Taxonomy Extension</w:t>
            </w:r>
          </w:p>
        </w:tc>
        <w:tc>
          <w:tcPr>
            <w:tcW w:w="568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rPr>
              <w:t>X</w:t>
            </w:r>
          </w:p>
        </w:tc>
      </w:tr>
      <w:tr>
        <w:trPr>
          <w:trHeight w:val="216"/>
        </w:trPr>
        <w:tc>
          <w:tcPr>
            <w:tcW w:w="820" w:type="dxa"/>
            <w:vAlign w:val="bottom"/>
          </w:tcPr>
          <w:p>
            <w:pPr>
              <w:spacing w:after="0"/>
              <w:rPr>
                <w:sz w:val="18"/>
                <w:szCs w:val="18"/>
                <w:color w:val="auto"/>
              </w:rPr>
            </w:pPr>
          </w:p>
        </w:tc>
        <w:tc>
          <w:tcPr>
            <w:tcW w:w="2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Definition Linkbase</w:t>
            </w:r>
          </w:p>
        </w:tc>
        <w:tc>
          <w:tcPr>
            <w:tcW w:w="568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p>
        </w:tc>
        <w:tc>
          <w:tcPr>
            <w:tcW w:w="2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Document</w:t>
            </w:r>
          </w:p>
        </w:tc>
        <w:tc>
          <w:tcPr>
            <w:tcW w:w="5680" w:type="dxa"/>
            <w:vAlign w:val="bottom"/>
          </w:tcPr>
          <w:p>
            <w:pPr>
              <w:spacing w:after="0"/>
              <w:rPr>
                <w:sz w:val="20"/>
                <w:szCs w:val="20"/>
                <w:color w:val="auto"/>
              </w:rPr>
            </w:pPr>
          </w:p>
        </w:tc>
      </w:tr>
      <w:tr>
        <w:trPr>
          <w:trHeight w:val="40"/>
        </w:trPr>
        <w:tc>
          <w:tcPr>
            <w:tcW w:w="8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5680" w:type="dxa"/>
            <w:vAlign w:val="bottom"/>
          </w:tcPr>
          <w:p>
            <w:pPr>
              <w:spacing w:after="0"/>
              <w:rPr>
                <w:sz w:val="3"/>
                <w:szCs w:val="3"/>
                <w:color w:val="auto"/>
              </w:rPr>
            </w:pPr>
          </w:p>
        </w:tc>
      </w:tr>
      <w:tr>
        <w:trPr>
          <w:trHeight w:val="198"/>
        </w:trPr>
        <w:tc>
          <w:tcPr>
            <w:tcW w:w="82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101.LAB</w:t>
            </w:r>
          </w:p>
        </w:tc>
        <w:tc>
          <w:tcPr>
            <w:tcW w:w="250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XBRL Taxonomy Extension</w:t>
            </w:r>
          </w:p>
        </w:tc>
        <w:tc>
          <w:tcPr>
            <w:tcW w:w="568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X</w:t>
            </w:r>
          </w:p>
        </w:tc>
      </w:tr>
      <w:tr>
        <w:trPr>
          <w:trHeight w:val="255"/>
        </w:trPr>
        <w:tc>
          <w:tcPr>
            <w:tcW w:w="82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Label Linkbase Document</w:t>
            </w:r>
          </w:p>
        </w:tc>
        <w:tc>
          <w:tcPr>
            <w:tcW w:w="5680" w:type="dxa"/>
            <w:vAlign w:val="bottom"/>
            <w:tcBorders>
              <w:bottom w:val="single" w:sz="8" w:color="CCEEFF"/>
            </w:tcBorders>
            <w:shd w:val="clear" w:color="auto" w:fill="CCEEFF"/>
          </w:tcPr>
          <w:p>
            <w:pPr>
              <w:spacing w:after="0"/>
              <w:rPr>
                <w:sz w:val="22"/>
                <w:szCs w:val="22"/>
                <w:color w:val="auto"/>
              </w:rPr>
            </w:pPr>
          </w:p>
        </w:tc>
      </w:tr>
      <w:tr>
        <w:trPr>
          <w:trHeight w:val="198"/>
        </w:trPr>
        <w:tc>
          <w:tcPr>
            <w:tcW w:w="8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101.PRE</w:t>
            </w:r>
          </w:p>
        </w:tc>
        <w:tc>
          <w:tcPr>
            <w:tcW w:w="25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XBRL Taxonomy Extension</w:t>
            </w:r>
          </w:p>
        </w:tc>
        <w:tc>
          <w:tcPr>
            <w:tcW w:w="568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rPr>
              <w:t>X</w:t>
            </w:r>
          </w:p>
        </w:tc>
      </w:tr>
      <w:tr>
        <w:trPr>
          <w:trHeight w:val="216"/>
        </w:trPr>
        <w:tc>
          <w:tcPr>
            <w:tcW w:w="820" w:type="dxa"/>
            <w:vAlign w:val="bottom"/>
          </w:tcPr>
          <w:p>
            <w:pPr>
              <w:spacing w:after="0"/>
              <w:rPr>
                <w:sz w:val="18"/>
                <w:szCs w:val="18"/>
                <w:color w:val="auto"/>
              </w:rPr>
            </w:pPr>
          </w:p>
        </w:tc>
        <w:tc>
          <w:tcPr>
            <w:tcW w:w="2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Presentation Linkbase</w:t>
            </w:r>
          </w:p>
        </w:tc>
        <w:tc>
          <w:tcPr>
            <w:tcW w:w="568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p>
        </w:tc>
        <w:tc>
          <w:tcPr>
            <w:tcW w:w="2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Document</w:t>
            </w:r>
          </w:p>
        </w:tc>
        <w:tc>
          <w:tcPr>
            <w:tcW w:w="5680" w:type="dxa"/>
            <w:vAlign w:val="bottom"/>
          </w:tcPr>
          <w:p>
            <w:pPr>
              <w:spacing w:after="0"/>
              <w:rPr>
                <w:sz w:val="20"/>
                <w:szCs w:val="20"/>
                <w:color w:val="auto"/>
              </w:rPr>
            </w:pPr>
          </w:p>
        </w:tc>
      </w:tr>
    </w:tbl>
    <w:p>
      <w:pPr>
        <w:spacing w:after="0" w:line="22" w:lineRule="exact"/>
        <w:rPr>
          <w:sz w:val="20"/>
          <w:szCs w:val="20"/>
          <w:color w:val="auto"/>
        </w:rPr>
      </w:pPr>
    </w:p>
    <w:p>
      <w:pPr>
        <w:ind w:left="900" w:right="5999" w:hanging="840"/>
        <w:spacing w:after="0" w:line="255"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-965200</wp:posOffset>
            </wp:positionV>
            <wp:extent cx="5709285" cy="9861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3">
                      <a:extLst>
                        <a:ext uri="{28A0092B-C50C-407E-A947-70E740481C1C}"/>
                      </a:extLst>
                    </a:blip>
                    <a:srcRect/>
                    <a:stretch>
                      <a:fillRect/>
                    </a:stretch>
                  </pic:blipFill>
                  <pic:spPr bwMode="auto">
                    <a:xfrm>
                      <a:off x="0" y="0"/>
                      <a:ext cx="5709285" cy="9861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60" w:hanging="550"/>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a management contract or a compensatory plan or arrangement.</w:t>
      </w:r>
    </w:p>
    <w:p>
      <w:pPr>
        <w:spacing w:after="0" w:line="27"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 herewith.</w:t>
      </w:r>
    </w:p>
    <w:p>
      <w:pPr>
        <w:spacing w:after="0" w:line="216"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EL POLLO LOCO HOLDINGS, INC.</w:t>
      </w:r>
    </w:p>
    <w:p>
      <w:pPr>
        <w:spacing w:after="0" w:line="225" w:lineRule="exact"/>
        <w:rPr>
          <w:sz w:val="20"/>
          <w:szCs w:val="20"/>
          <w:color w:val="auto"/>
        </w:rPr>
      </w:pPr>
    </w:p>
    <w:p>
      <w:pPr>
        <w:ind w:left="4300"/>
        <w:spacing w:after="0"/>
        <w:tabs>
          <w:tab w:leader="none" w:pos="4780" w:val="left"/>
        </w:tabs>
        <w:rPr>
          <w:sz w:val="20"/>
          <w:szCs w:val="20"/>
          <w:color w:val="auto"/>
        </w:rPr>
      </w:pPr>
      <w:r>
        <w:rPr>
          <w:rFonts w:ascii="Times New Roman" w:cs="Times New Roman" w:eastAsia="Times New Roman" w:hAnsi="Times New Roman"/>
          <w:sz w:val="18"/>
          <w:szCs w:val="18"/>
          <w:color w:val="auto"/>
        </w:rPr>
        <w:t>By:</w:t>
        <w:tab/>
        <w:t>/s/ ELIZABETH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17145</wp:posOffset>
            </wp:positionV>
            <wp:extent cx="2674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5">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Elizabeth Williams</w:t>
      </w:r>
    </w:p>
    <w:p>
      <w:pPr>
        <w:spacing w:after="0" w:line="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Date: March 13, 2026</w:t>
      </w:r>
    </w:p>
    <w:p>
      <w:pPr>
        <w:spacing w:after="0" w:line="220"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9019"/>
          </w:cols>
          <w:pgMar w:left="1440" w:top="513" w:right="1440" w:bottom="1440" w:gutter="0" w:footer="0" w:header="0"/>
        </w:sectPr>
      </w:pPr>
    </w:p>
    <w:p>
      <w:pPr>
        <w:spacing w:after="0" w:line="252"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19685</wp:posOffset>
            </wp:positionV>
            <wp:extent cx="15855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6">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23" w:lineRule="exact"/>
        <w:rPr>
          <w:sz w:val="20"/>
          <w:szCs w:val="20"/>
          <w:color w:val="auto"/>
        </w:rPr>
      </w:pPr>
    </w:p>
    <w:p>
      <w:pPr>
        <w:ind w:left="140" w:right="80"/>
        <w:spacing w:after="0" w:line="297" w:lineRule="auto"/>
        <w:rPr>
          <w:sz w:val="20"/>
          <w:szCs w:val="20"/>
          <w:color w:val="auto"/>
        </w:rPr>
      </w:pPr>
      <w:r>
        <w:rPr>
          <w:rFonts w:ascii="Times New Roman" w:cs="Times New Roman" w:eastAsia="Times New Roman" w:hAnsi="Times New Roman"/>
          <w:sz w:val="18"/>
          <w:szCs w:val="18"/>
          <w:color w:val="auto"/>
        </w:rPr>
        <w:t>/s/ ELIZABETH WILLIAMS Elizabeth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-175895</wp:posOffset>
            </wp:positionV>
            <wp:extent cx="158559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7">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1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 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158559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8">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Ira Fils</w:t>
      </w:r>
    </w:p>
    <w:p>
      <w:pPr>
        <w:spacing w:after="0" w:line="220" w:lineRule="exact"/>
        <w:rPr>
          <w:sz w:val="20"/>
          <w:szCs w:val="20"/>
          <w:color w:val="auto"/>
        </w:rPr>
      </w:pPr>
    </w:p>
    <w:p>
      <w:pPr>
        <w:ind w:left="140" w:right="460"/>
        <w:spacing w:after="0" w:line="297" w:lineRule="auto"/>
        <w:rPr>
          <w:sz w:val="20"/>
          <w:szCs w:val="20"/>
          <w:color w:val="auto"/>
        </w:rPr>
      </w:pPr>
      <w:r>
        <w:rPr>
          <w:rFonts w:ascii="Times New Roman" w:cs="Times New Roman" w:eastAsia="Times New Roman" w:hAnsi="Times New Roman"/>
          <w:sz w:val="18"/>
          <w:szCs w:val="18"/>
          <w:color w:val="auto"/>
        </w:rPr>
        <w:t>/s/ DOUGLAS J. BABB Douglas J. Babb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-175895</wp:posOffset>
            </wp:positionV>
            <wp:extent cx="15855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9">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29" w:lineRule="exact"/>
        <w:rPr>
          <w:sz w:val="20"/>
          <w:szCs w:val="20"/>
          <w:color w:val="auto"/>
        </w:rPr>
      </w:pPr>
    </w:p>
    <w:p>
      <w:pPr>
        <w:ind w:left="140"/>
        <w:spacing w:after="0" w:line="297" w:lineRule="auto"/>
        <w:rPr>
          <w:sz w:val="20"/>
          <w:szCs w:val="20"/>
          <w:color w:val="auto"/>
        </w:rPr>
      </w:pPr>
      <w:r>
        <w:rPr>
          <w:rFonts w:ascii="Times New Roman" w:cs="Times New Roman" w:eastAsia="Times New Roman" w:hAnsi="Times New Roman"/>
          <w:sz w:val="18"/>
          <w:szCs w:val="18"/>
          <w:color w:val="auto"/>
        </w:rPr>
        <w:t>/s/ NANCY FAGINAS-CODY Nancy Faginas-Cody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-175895</wp:posOffset>
            </wp:positionV>
            <wp:extent cx="15855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0">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129" w:lineRule="exact"/>
        <w:rPr>
          <w:sz w:val="20"/>
          <w:szCs w:val="20"/>
          <w:color w:val="auto"/>
        </w:rPr>
      </w:pPr>
    </w:p>
    <w:p>
      <w:pPr>
        <w:ind w:left="140" w:right="820"/>
        <w:spacing w:after="0" w:line="329" w:lineRule="auto"/>
        <w:rPr>
          <w:sz w:val="20"/>
          <w:szCs w:val="20"/>
          <w:color w:val="auto"/>
        </w:rPr>
      </w:pPr>
      <w:r>
        <w:rPr>
          <w:rFonts w:ascii="Times New Roman" w:cs="Times New Roman" w:eastAsia="Times New Roman" w:hAnsi="Times New Roman"/>
          <w:sz w:val="17"/>
          <w:szCs w:val="17"/>
          <w:color w:val="auto"/>
        </w:rPr>
        <w:t>/s/ TANA DAVILA Tana Davila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-191135</wp:posOffset>
            </wp:positionV>
            <wp:extent cx="15855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1">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06" w:lineRule="exact"/>
        <w:rPr>
          <w:sz w:val="20"/>
          <w:szCs w:val="20"/>
          <w:color w:val="auto"/>
        </w:rPr>
      </w:pPr>
    </w:p>
    <w:p>
      <w:pPr>
        <w:ind w:left="140" w:right="540"/>
        <w:spacing w:after="0" w:line="297" w:lineRule="auto"/>
        <w:rPr>
          <w:sz w:val="20"/>
          <w:szCs w:val="20"/>
          <w:color w:val="auto"/>
        </w:rPr>
      </w:pPr>
      <w:r>
        <w:rPr>
          <w:rFonts w:ascii="Times New Roman" w:cs="Times New Roman" w:eastAsia="Times New Roman" w:hAnsi="Times New Roman"/>
          <w:sz w:val="18"/>
          <w:szCs w:val="18"/>
          <w:color w:val="auto"/>
        </w:rPr>
        <w:t>/s/ FRANK GARRIDO Frank Garrido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-175895</wp:posOffset>
            </wp:positionV>
            <wp:extent cx="15855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2">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29" w:lineRule="exact"/>
        <w:rPr>
          <w:sz w:val="20"/>
          <w:szCs w:val="20"/>
          <w:color w:val="auto"/>
        </w:rPr>
      </w:pPr>
    </w:p>
    <w:p>
      <w:pPr>
        <w:ind w:left="140" w:right="140"/>
        <w:spacing w:after="0" w:line="297" w:lineRule="auto"/>
        <w:rPr>
          <w:sz w:val="20"/>
          <w:szCs w:val="20"/>
          <w:color w:val="auto"/>
        </w:rPr>
      </w:pPr>
      <w:r>
        <w:rPr>
          <w:rFonts w:ascii="Times New Roman" w:cs="Times New Roman" w:eastAsia="Times New Roman" w:hAnsi="Times New Roman"/>
          <w:sz w:val="18"/>
          <w:szCs w:val="18"/>
          <w:color w:val="auto"/>
        </w:rPr>
        <w:t>/s/ DEBORAH GONZALEZ Deborah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-175895</wp:posOffset>
            </wp:positionV>
            <wp:extent cx="15855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3">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 JOE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15855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4">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Joe Taylor</w:t>
      </w:r>
    </w:p>
    <w:p>
      <w:pPr>
        <w:spacing w:after="0" w:line="220" w:lineRule="exact"/>
        <w:rPr>
          <w:sz w:val="20"/>
          <w:szCs w:val="20"/>
          <w:color w:val="auto"/>
        </w:rPr>
      </w:pPr>
    </w:p>
    <w:p>
      <w:pPr>
        <w:ind w:left="140" w:right="340"/>
        <w:spacing w:after="0" w:line="329" w:lineRule="auto"/>
        <w:rPr>
          <w:sz w:val="20"/>
          <w:szCs w:val="20"/>
          <w:color w:val="auto"/>
        </w:rPr>
      </w:pPr>
      <w:r>
        <w:rPr>
          <w:rFonts w:ascii="Times New Roman" w:cs="Times New Roman" w:eastAsia="Times New Roman" w:hAnsi="Times New Roman"/>
          <w:sz w:val="17"/>
          <w:szCs w:val="17"/>
          <w:color w:val="auto"/>
        </w:rPr>
        <w:t>/s/ ROBERT D. WRIGHT Robert D.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-191135</wp:posOffset>
            </wp:positionV>
            <wp:extent cx="15855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5">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76"/>
        </w:trPr>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80" w:type="dxa"/>
            <w:vAlign w:val="bottom"/>
            <w:tcBorders>
              <w:bottom w:val="single" w:sz="8" w:color="auto"/>
            </w:tcBorders>
            <w:vMerge w:val="continue"/>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14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 and Director</w:t>
            </w:r>
          </w:p>
        </w:tc>
        <w:tc>
          <w:tcPr>
            <w:tcW w:w="2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2026</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4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c>
          <w:tcPr>
            <w:tcW w:w="2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2026</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4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and Director</w:t>
            </w:r>
          </w:p>
        </w:tc>
        <w:tc>
          <w:tcPr>
            <w:tcW w:w="2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2026</w:t>
            </w:r>
          </w:p>
        </w:tc>
        <w:tc>
          <w:tcPr>
            <w:tcW w:w="0" w:type="dxa"/>
            <w:vAlign w:val="bottom"/>
          </w:tcPr>
          <w:p>
            <w:pPr>
              <w:spacing w:after="0"/>
              <w:rPr>
                <w:sz w:val="1"/>
                <w:szCs w:val="1"/>
                <w:color w:val="auto"/>
              </w:rPr>
            </w:pPr>
          </w:p>
        </w:tc>
      </w:tr>
      <w:tr>
        <w:trPr>
          <w:trHeight w:val="662"/>
        </w:trPr>
        <w:tc>
          <w:tcPr>
            <w:tcW w:w="14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2026</w:t>
            </w:r>
          </w:p>
        </w:tc>
        <w:tc>
          <w:tcPr>
            <w:tcW w:w="0" w:type="dxa"/>
            <w:vAlign w:val="bottom"/>
          </w:tcPr>
          <w:p>
            <w:pPr>
              <w:spacing w:after="0"/>
              <w:rPr>
                <w:sz w:val="1"/>
                <w:szCs w:val="1"/>
                <w:color w:val="auto"/>
              </w:rPr>
            </w:pPr>
          </w:p>
        </w:tc>
      </w:tr>
      <w:tr>
        <w:trPr>
          <w:trHeight w:val="661"/>
        </w:trPr>
        <w:tc>
          <w:tcPr>
            <w:tcW w:w="14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2026</w:t>
            </w:r>
          </w:p>
        </w:tc>
        <w:tc>
          <w:tcPr>
            <w:tcW w:w="0" w:type="dxa"/>
            <w:vAlign w:val="bottom"/>
          </w:tcPr>
          <w:p>
            <w:pPr>
              <w:spacing w:after="0"/>
              <w:rPr>
                <w:sz w:val="1"/>
                <w:szCs w:val="1"/>
                <w:color w:val="auto"/>
              </w:rPr>
            </w:pPr>
          </w:p>
        </w:tc>
      </w:tr>
      <w:tr>
        <w:trPr>
          <w:trHeight w:val="661"/>
        </w:trPr>
        <w:tc>
          <w:tcPr>
            <w:tcW w:w="14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2026</w:t>
            </w:r>
          </w:p>
        </w:tc>
        <w:tc>
          <w:tcPr>
            <w:tcW w:w="0" w:type="dxa"/>
            <w:vAlign w:val="bottom"/>
          </w:tcPr>
          <w:p>
            <w:pPr>
              <w:spacing w:after="0"/>
              <w:rPr>
                <w:sz w:val="1"/>
                <w:szCs w:val="1"/>
                <w:color w:val="auto"/>
              </w:rPr>
            </w:pPr>
          </w:p>
        </w:tc>
      </w:tr>
      <w:tr>
        <w:trPr>
          <w:trHeight w:val="662"/>
        </w:trPr>
        <w:tc>
          <w:tcPr>
            <w:tcW w:w="14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2026</w:t>
            </w:r>
          </w:p>
        </w:tc>
        <w:tc>
          <w:tcPr>
            <w:tcW w:w="0" w:type="dxa"/>
            <w:vAlign w:val="bottom"/>
          </w:tcPr>
          <w:p>
            <w:pPr>
              <w:spacing w:after="0"/>
              <w:rPr>
                <w:sz w:val="1"/>
                <w:szCs w:val="1"/>
                <w:color w:val="auto"/>
              </w:rPr>
            </w:pPr>
          </w:p>
        </w:tc>
      </w:tr>
      <w:tr>
        <w:trPr>
          <w:trHeight w:val="661"/>
        </w:trPr>
        <w:tc>
          <w:tcPr>
            <w:tcW w:w="14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2026</w:t>
            </w:r>
          </w:p>
        </w:tc>
        <w:tc>
          <w:tcPr>
            <w:tcW w:w="0" w:type="dxa"/>
            <w:vAlign w:val="bottom"/>
          </w:tcPr>
          <w:p>
            <w:pPr>
              <w:spacing w:after="0"/>
              <w:rPr>
                <w:sz w:val="1"/>
                <w:szCs w:val="1"/>
                <w:color w:val="auto"/>
              </w:rPr>
            </w:pPr>
          </w:p>
        </w:tc>
      </w:tr>
      <w:tr>
        <w:trPr>
          <w:trHeight w:val="662"/>
        </w:trPr>
        <w:tc>
          <w:tcPr>
            <w:tcW w:w="14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2026</w:t>
            </w:r>
          </w:p>
        </w:tc>
        <w:tc>
          <w:tcPr>
            <w:tcW w:w="0" w:type="dxa"/>
            <w:vAlign w:val="bottom"/>
          </w:tcPr>
          <w:p>
            <w:pPr>
              <w:spacing w:after="0"/>
              <w:rPr>
                <w:sz w:val="1"/>
                <w:szCs w:val="1"/>
                <w:color w:val="auto"/>
              </w:rPr>
            </w:pPr>
          </w:p>
        </w:tc>
      </w:tr>
    </w:tbl>
    <w:p>
      <w:pPr>
        <w:spacing w:after="0" w:line="501" w:lineRule="exact"/>
        <w:rPr>
          <w:sz w:val="20"/>
          <w:szCs w:val="20"/>
          <w:color w:val="auto"/>
        </w:rPr>
      </w:pPr>
    </w:p>
    <w:p>
      <w:pPr>
        <w:sectPr>
          <w:pgSz w:w="11900" w:h="16838" w:orient="portrait"/>
          <w:cols w:equalWidth="0" w:num="2">
            <w:col w:w="2380" w:space="300"/>
            <w:col w:w="633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333-269807) and Form S-8 (No. 333-259661, No. 333-226621, No. 333-224730, No. 333-197698, No. 333-279794 and No. 333-287800) of El Pollo Loco Holdings, Inc. (the Company) of our reports dated March 13, 2026, relating to the consolidated financial statements, and the effectiveness of the Company’s internal control over financial reporting, which appear in this Annual Report on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Elizabeth Williams, certify that:</w:t>
      </w:r>
    </w:p>
    <w:p>
      <w:pPr>
        <w:spacing w:after="0" w:line="117" w:lineRule="exact"/>
        <w:rPr>
          <w:sz w:val="20"/>
          <w:szCs w:val="20"/>
          <w:color w:val="auto"/>
        </w:rPr>
      </w:pPr>
    </w:p>
    <w:p>
      <w:pPr>
        <w:ind w:left="180" w:hanging="172"/>
        <w:spacing w:after="0"/>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El Pollo Loco Holdings, Inc.;</w:t>
      </w:r>
    </w:p>
    <w:p>
      <w:pPr>
        <w:spacing w:after="0" w:line="117"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0" w:firstLine="8"/>
        <w:spacing w:after="0" w:line="276" w:lineRule="auto"/>
        <w:tabs>
          <w:tab w:leader="none" w:pos="1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9" w:lineRule="exact"/>
        <w:rPr>
          <w:sz w:val="20"/>
          <w:szCs w:val="20"/>
          <w:color w:val="auto"/>
        </w:rPr>
      </w:pPr>
    </w:p>
    <w:p>
      <w:pPr>
        <w:ind w:right="100" w:firstLine="8"/>
        <w:spacing w:after="0" w:line="266" w:lineRule="auto"/>
        <w:tabs>
          <w:tab w:leader="none" w:pos="24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120" w:firstLine="8"/>
        <w:spacing w:after="0" w:line="266" w:lineRule="auto"/>
        <w:tabs>
          <w:tab w:leader="none" w:pos="2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right="220" w:firstLine="8"/>
        <w:spacing w:after="0" w:line="266" w:lineRule="auto"/>
        <w:tabs>
          <w:tab w:leader="none" w:pos="24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right="320" w:firstLine="8"/>
        <w:spacing w:after="0" w:line="266" w:lineRule="auto"/>
        <w:tabs>
          <w:tab w:leader="none" w:pos="2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right="120" w:firstLine="8"/>
        <w:spacing w:after="0" w:line="266" w:lineRule="auto"/>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sz w:val="20"/>
          <w:szCs w:val="20"/>
          <w:color w:val="auto"/>
        </w:rPr>
      </w:pPr>
    </w:p>
    <w:p>
      <w:pPr>
        <w:ind w:right="180" w:firstLine="8"/>
        <w:spacing w:after="0" w:line="282" w:lineRule="auto"/>
        <w:tabs>
          <w:tab w:leader="none" w:pos="24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460" w:firstLine="8"/>
        <w:spacing w:after="0" w:line="282" w:lineRule="auto"/>
        <w:tabs>
          <w:tab w:leader="none" w:pos="2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13,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Elizabeth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 Williams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Ira Fils, certify that:</w:t>
      </w:r>
    </w:p>
    <w:p>
      <w:pPr>
        <w:spacing w:after="0" w:line="117" w:lineRule="exact"/>
        <w:rPr>
          <w:sz w:val="20"/>
          <w:szCs w:val="20"/>
          <w:color w:val="auto"/>
        </w:rPr>
      </w:pPr>
    </w:p>
    <w:p>
      <w:pPr>
        <w:ind w:left="180" w:hanging="172"/>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El Pollo Loco Holdings, Inc.;</w:t>
      </w:r>
    </w:p>
    <w:p>
      <w:pPr>
        <w:spacing w:after="0" w:line="117"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0" w:firstLine="8"/>
        <w:spacing w:after="0" w:line="276" w:lineRule="auto"/>
        <w:tabs>
          <w:tab w:leader="none" w:pos="1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9" w:lineRule="exact"/>
        <w:rPr>
          <w:sz w:val="20"/>
          <w:szCs w:val="20"/>
          <w:color w:val="auto"/>
        </w:rPr>
      </w:pPr>
    </w:p>
    <w:p>
      <w:pPr>
        <w:ind w:right="100" w:firstLine="8"/>
        <w:spacing w:after="0" w:line="266" w:lineRule="auto"/>
        <w:tabs>
          <w:tab w:leader="none" w:pos="24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120" w:firstLine="8"/>
        <w:spacing w:after="0" w:line="266" w:lineRule="auto"/>
        <w:tabs>
          <w:tab w:leader="none" w:pos="2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right="220" w:firstLine="8"/>
        <w:spacing w:after="0" w:line="266" w:lineRule="auto"/>
        <w:tabs>
          <w:tab w:leader="none" w:pos="24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right="320" w:firstLine="8"/>
        <w:spacing w:after="0" w:line="266" w:lineRule="auto"/>
        <w:tabs>
          <w:tab w:leader="none" w:pos="2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right="120" w:firstLine="8"/>
        <w:spacing w:after="0" w:line="266" w:lineRule="auto"/>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sz w:val="20"/>
          <w:szCs w:val="20"/>
          <w:color w:val="auto"/>
        </w:rPr>
      </w:pPr>
    </w:p>
    <w:p>
      <w:pPr>
        <w:ind w:right="180" w:firstLine="8"/>
        <w:spacing w:after="0" w:line="282" w:lineRule="auto"/>
        <w:tabs>
          <w:tab w:leader="none" w:pos="24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460" w:firstLine="8"/>
        <w:spacing w:after="0" w:line="282" w:lineRule="auto"/>
        <w:tabs>
          <w:tab w:leader="none" w:pos="2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 Fils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Under 18 U.S.C. section 1350, adopted by section 906 of the Sarbanes-Oxley Act of 2002, in connection with the accompanying Annual Report on Form 10-K (the “Report”), the undersigned officers of El Pollo Loco Holdings, Inc. (the “Company”) each certify that (i) the Report fully complies with the requirements of section 13(a) or 15(d) of the Securities Exchange Act of 1934, as amended and (ii) the information contained in the Report fairly presents, in all material respects, the financial condition and results of operations of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Elizabeth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 Williams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 Fils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1)"/>
      <w:numFmt w:val="lowerRoman"/>
      <w:start w:val="8"/>
    </w:lvl>
  </w:abstractNum>
  <w:abstractNum w:abstractNumId="12">
    <w:nsid w:val="22221A70"/>
    <w:multiLevelType w:val="hybridMultilevel"/>
    <w:lvl w:ilvl="0">
      <w:lvlJc w:val="left"/>
      <w:lvlText w:val="(%1)"/>
      <w:numFmt w:val="lowerRoman"/>
      <w:start w:val="4"/>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1)"/>
      <w:numFmt w:val="lowerLetter"/>
      <w:start w:val="1"/>
    </w:lvl>
  </w:abstractNum>
  <w:abstractNum w:abstractNumId="22">
    <w:nsid w:val="7724C67E"/>
    <w:multiLevelType w:val="hybridMultilevel"/>
    <w:lvl w:ilvl="0">
      <w:lvlJc w:val="left"/>
      <w:lvlText w:val="(%1)"/>
      <w:numFmt w:val="lowerLetter"/>
      <w:start w:val="4"/>
    </w:lvl>
  </w:abstractNum>
  <w:abstractNum w:abstractNumId="23">
    <w:nsid w:val="5C482A97"/>
    <w:multiLevelType w:val="hybridMultilevel"/>
    <w:lvl w:ilvl="0">
      <w:lvlJc w:val="left"/>
      <w:lvlText w:val="(%1)"/>
      <w:numFmt w:val="lowerLetter"/>
      <w:start w:val="1"/>
    </w:lvl>
  </w:abstractNum>
  <w:abstractNum w:abstractNumId="24">
    <w:nsid w:val="2463B9EA"/>
    <w:multiLevelType w:val="hybridMultilevel"/>
    <w:lvl w:ilvl="0">
      <w:lvlJc w:val="left"/>
      <w:lvlText w:val="(%1)"/>
      <w:numFmt w:val="lowerLetter"/>
      <w:start w:val="4"/>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o"/>
      <w:numFmt w:val="bullet"/>
      <w:start w:val="1"/>
    </w:lvl>
  </w:abstractNum>
  <w:abstractNum w:abstractNumId="30">
    <w:nsid w:val="3855585C"/>
    <w:multiLevelType w:val="hybridMultilevel"/>
    <w:lvl w:ilvl="0">
      <w:lvlJc w:val="left"/>
      <w:lvlText w:val="%1."/>
      <w:numFmt w:val="decimal"/>
      <w:start w:val="2"/>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1."/>
      <w:numFmt w:val="decimal"/>
      <w:start w:val="6"/>
    </w:lvl>
  </w:abstractNum>
  <w:abstractNum w:abstractNumId="34">
    <w:nsid w:val="1D4ED43B"/>
    <w:multiLevelType w:val="hybridMultilevel"/>
    <w:lvl w:ilvl="0">
      <w:lvlJc w:val="left"/>
      <w:lvlText w:val="(%1)"/>
      <w:numFmt w:val="lowerLetter"/>
      <w:start w:val="1"/>
    </w:lvl>
  </w:abstractNum>
  <w:abstractNum w:abstractNumId="35">
    <w:nsid w:val="725A06FB"/>
    <w:multiLevelType w:val="hybridMultilevel"/>
    <w:lvl w:ilvl="0">
      <w:lvlJc w:val="left"/>
      <w:lvlText w:val="(%1)"/>
      <w:numFmt w:val="lowerLetter"/>
      <w:start w:val="4"/>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14"/>
    </w:lvl>
  </w:abstractNum>
  <w:abstractNum w:abstractNumId="38">
    <w:nsid w:val="7A6D8D3C"/>
    <w:multiLevelType w:val="hybridMultilevel"/>
    <w:lvl w:ilvl="0">
      <w:lvlJc w:val="left"/>
      <w:lvlText w:val="%1."/>
      <w:numFmt w:val="decimal"/>
      <w:start w:val="15"/>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lowerRoman"/>
      <w:start w:val="3"/>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104"/>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decimal"/>
      <w:start w:val="5"/>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decimal"/>
      <w:start w:val="5"/>
    </w:lvl>
  </w:abstractNum>
  <w:abstractNum w:abstractNumId="51">
    <w:nsid w:val="75C6C33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22" Type="http://schemas.openxmlformats.org/officeDocument/2006/relationships/image" Target="media/image104.png"/><Relationship Id="rId136" Type="http://schemas.openxmlformats.org/officeDocument/2006/relationships/image" Target="media/image105.png"/><Relationship Id="rId152" Type="http://schemas.openxmlformats.org/officeDocument/2006/relationships/image" Target="media/image106.png"/><Relationship Id="rId162" Type="http://schemas.openxmlformats.org/officeDocument/2006/relationships/image" Target="media/image107.png"/><Relationship Id="rId163" Type="http://schemas.openxmlformats.org/officeDocument/2006/relationships/image" Target="media/image108.png"/><Relationship Id="rId164" Type="http://schemas.openxmlformats.org/officeDocument/2006/relationships/image" Target="media/image109.png"/><Relationship Id="rId165" Type="http://schemas.openxmlformats.org/officeDocument/2006/relationships/image" Target="media/image110.png"/><Relationship Id="rId166" Type="http://schemas.openxmlformats.org/officeDocument/2006/relationships/image" Target="media/image111.png"/><Relationship Id="rId167" Type="http://schemas.openxmlformats.org/officeDocument/2006/relationships/image" Target="media/image112.png"/><Relationship Id="rId168" Type="http://schemas.openxmlformats.org/officeDocument/2006/relationships/image" Target="media/image113.png"/><Relationship Id="rId169" Type="http://schemas.openxmlformats.org/officeDocument/2006/relationships/image" Target="media/image114.png"/><Relationship Id="rId170" Type="http://schemas.openxmlformats.org/officeDocument/2006/relationships/image" Target="media/image115.png"/><Relationship Id="rId171" Type="http://schemas.openxmlformats.org/officeDocument/2006/relationships/image" Target="media/image116.png"/><Relationship Id="rId172" Type="http://schemas.openxmlformats.org/officeDocument/2006/relationships/image" Target="media/image117.png"/><Relationship Id="rId173" Type="http://schemas.openxmlformats.org/officeDocument/2006/relationships/image" Target="media/image118.png"/><Relationship Id="rId174" Type="http://schemas.openxmlformats.org/officeDocument/2006/relationships/image" Target="media/image119.png"/><Relationship Id="rId175" Type="http://schemas.openxmlformats.org/officeDocument/2006/relationships/image" Target="media/image120.png"/><Relationship Id="rId176" Type="http://schemas.openxmlformats.org/officeDocument/2006/relationships/image" Target="media/image121.png"/><Relationship Id="rId177" Type="http://schemas.openxmlformats.org/officeDocument/2006/relationships/image" Target="media/image122.png"/><Relationship Id="rId178" Type="http://schemas.openxmlformats.org/officeDocument/2006/relationships/image" Target="media/image123.png"/><Relationship Id="rId179" Type="http://schemas.openxmlformats.org/officeDocument/2006/relationships/image" Target="media/image124.png"/><Relationship Id="rId180" Type="http://schemas.openxmlformats.org/officeDocument/2006/relationships/image" Target="media/image125.png"/><Relationship Id="rId181" Type="http://schemas.openxmlformats.org/officeDocument/2006/relationships/image" Target="media/image126.png"/><Relationship Id="rId182" Type="http://schemas.openxmlformats.org/officeDocument/2006/relationships/image" Target="media/image127.png"/><Relationship Id="rId183" Type="http://schemas.openxmlformats.org/officeDocument/2006/relationships/image" Target="media/image128.png"/><Relationship Id="rId184" Type="http://schemas.openxmlformats.org/officeDocument/2006/relationships/image" Target="media/image129.png"/><Relationship Id="rId111" Type="http://schemas.openxmlformats.org/officeDocument/2006/relationships/hyperlink" Target="https://www.sec.gov/Archives/edgar/data/1606366/000119312514332367/d779664dex31.htm" TargetMode="External"/><Relationship Id="rId112" Type="http://schemas.openxmlformats.org/officeDocument/2006/relationships/hyperlink" Target="https://www.sec.gov/Archives/edgar/data/1606366/000138713123009442/ex3-1.htm" TargetMode="External"/><Relationship Id="rId113" Type="http://schemas.openxmlformats.org/officeDocument/2006/relationships/hyperlink" Target="https://www.sec.gov/Archives/edgar/data/1606366/000160636624000002/loco-20240130xex3d1.htm" TargetMode="External"/><Relationship Id="rId114" Type="http://schemas.openxmlformats.org/officeDocument/2006/relationships/hyperlink" Target="https://www.sec.gov/Archives/edgar/data/1606366/000160636624000013/loco-20231227xex4d1.htm" TargetMode="External"/><Relationship Id="rId115" Type="http://schemas.openxmlformats.org/officeDocument/2006/relationships/hyperlink" Target="https://www.sec.gov/Archives/edgar/data/1606366/000138713123009442/ex4-1.htm" TargetMode="External"/><Relationship Id="rId116" Type="http://schemas.openxmlformats.org/officeDocument/2006/relationships/hyperlink" Target="https://www.sec.gov/Archives/edgar/data/1606366/000199937124009568/ex4-1.htm" TargetMode="External"/><Relationship Id="rId117" Type="http://schemas.openxmlformats.org/officeDocument/2006/relationships/hyperlink" Target="https://www.sec.gov/Archives/edgar/data/1606366/000119312514247412/d714963dex1012.htm" TargetMode="External"/><Relationship Id="rId118" Type="http://schemas.openxmlformats.org/officeDocument/2006/relationships/hyperlink" Target="https://www.sec.gov/Archives/edgar/data/1606366/000119312514247412/d714963dex1013.htm" TargetMode="External"/><Relationship Id="rId119" Type="http://schemas.openxmlformats.org/officeDocument/2006/relationships/hyperlink" Target="https://www.sec.gov/Archives/edgar/data/0001606366/000160636620000004/ex1015eplfdd2019controlno0.htm" TargetMode="External"/><Relationship Id="rId120" Type="http://schemas.openxmlformats.org/officeDocument/2006/relationships/hyperlink" Target="https://www.sec.gov/Archives/edgar/data/0001606366/000160636620000004/ex1016franchisedevelopment.htm" TargetMode="External"/><Relationship Id="rId121" Type="http://schemas.openxmlformats.org/officeDocument/2006/relationships/hyperlink" Target="https://www.sec.gov/Archives/edgar/data/1606366/000160636622000014/loco-20211229ex10170a48e.htm" TargetMode="External"/><Relationship Id="rId123" Type="http://schemas.openxmlformats.org/officeDocument/2006/relationships/hyperlink" Target="https://www.sec.gov/Archives/edgar/data/1606366/000160636622000014/loco-20211229ex1018ccaf9.htm" TargetMode="External"/><Relationship Id="rId124" Type="http://schemas.openxmlformats.org/officeDocument/2006/relationships/hyperlink" Target="https://www.sec.gov/Archives/edgar/data/1606366/000160636624000013/loco-20231227xex10d18.htm" TargetMode="External"/><Relationship Id="rId125" Type="http://schemas.openxmlformats.org/officeDocument/2006/relationships/hyperlink" Target="https://www.sec.gov/Archives/edgar/data/1606366/000160636624000013/loco-20231227xex10d19.htm" TargetMode="External"/><Relationship Id="rId126" Type="http://schemas.openxmlformats.org/officeDocument/2006/relationships/hyperlink" Target="https://www.sec.gov/Archives/edgar/data/1606366/000160636625000008/loco-20241225xex10d9.htm" TargetMode="External"/><Relationship Id="rId127" Type="http://schemas.openxmlformats.org/officeDocument/2006/relationships/hyperlink" Target="https://www.sec.gov/Archives/edgar/data/1606366/000160636625000008/loco-20241225xex10d10.htm" TargetMode="External"/><Relationship Id="rId128" Type="http://schemas.openxmlformats.org/officeDocument/2006/relationships/hyperlink" Target="https://www.sec.gov/Archives/edgar/data/1606366/000155837022011677/loco-20220802xex10d1.htm" TargetMode="External"/><Relationship Id="rId129" Type="http://schemas.openxmlformats.org/officeDocument/2006/relationships/hyperlink" Target="https://www.sec.gov/Archives/edgar/data/1606366/000160636625000008/loco-20241225xex10d12.htm" TargetMode="External"/><Relationship Id="rId130" Type="http://schemas.openxmlformats.org/officeDocument/2006/relationships/hyperlink" Target="https://www.sec.gov/Archives/edgar/data/1606366/000119312514275282/d714963dex1022.htm" TargetMode="External"/><Relationship Id="rId131" Type="http://schemas.openxmlformats.org/officeDocument/2006/relationships/hyperlink" Target="https://www.sec.gov/Archives/edgar/data/1606366/000119312514275282/d714963dex1025.htm" TargetMode="External"/><Relationship Id="rId132" Type="http://schemas.openxmlformats.org/officeDocument/2006/relationships/hyperlink" Target="https://www.sec.gov/Archives/edgar/data/1606366/000119312514275282/d714963dex1026.htm" TargetMode="External"/><Relationship Id="rId133" Type="http://schemas.openxmlformats.org/officeDocument/2006/relationships/hyperlink" Target="https://www.sec.gov/Archives/edgar/data/1606366/000156459016022809/loco-ex1027_237.htm" TargetMode="External"/><Relationship Id="rId134" Type="http://schemas.openxmlformats.org/officeDocument/2006/relationships/hyperlink" Target="https://www.sec.gov/Archives/edgar/data/1606366/000156459016027675/loco-ex1028_191.htm" TargetMode="External"/><Relationship Id="rId135" Type="http://schemas.openxmlformats.org/officeDocument/2006/relationships/hyperlink" Target="https://www.sec.gov/Archives/edgar/data/1606366/000119312518239777/d521839dex43.htm" TargetMode="External"/><Relationship Id="rId137" Type="http://schemas.openxmlformats.org/officeDocument/2006/relationships/hyperlink" Target="https://www.sec.gov/Archives/edgar/data/0001606366/000160636620000004/ex10242018planrestrictedst.htm" TargetMode="External"/><Relationship Id="rId138" Type="http://schemas.openxmlformats.org/officeDocument/2006/relationships/hyperlink" Target="https://www.sec.gov/Archives/edgar/data/0001606366/000160636620000004/ex10252018planrestrictedst.htm" TargetMode="External"/><Relationship Id="rId139" Type="http://schemas.openxmlformats.org/officeDocument/2006/relationships/hyperlink" Target="https://www.sec.gov/Archives/edgar/data/0001606366/000160636620000004/ex10262018planrestrictedst.htm" TargetMode="External"/><Relationship Id="rId140" Type="http://schemas.openxmlformats.org/officeDocument/2006/relationships/hyperlink" Target="https://www.sec.gov/Archives/edgar/data/0001606366/000160636620000004/ex10272018planoptiongrants.htm" TargetMode="External"/><Relationship Id="rId141" Type="http://schemas.openxmlformats.org/officeDocument/2006/relationships/hyperlink" Target="https://www.sec.gov/Archives/edgar/data/1606366/000160636625000018/loco-20250529xdef14a.htm#AppendixB" TargetMode="External"/><Relationship Id="rId142" Type="http://schemas.openxmlformats.org/officeDocument/2006/relationships/hyperlink" Target="https://www.sec.gov/Archives/edgar/data/1606366/000160636622000014/loco-20211229ex103116785.htm" TargetMode="External"/><Relationship Id="rId143" Type="http://schemas.openxmlformats.org/officeDocument/2006/relationships/hyperlink" Target="https://www.sec.gov/Archives/edgar/data/1606366/000160636622000014/loco-20211229ex1032b06f9.htm" TargetMode="External"/><Relationship Id="rId144" Type="http://schemas.openxmlformats.org/officeDocument/2006/relationships/hyperlink" Target="https://www.sec.gov/Archives/edgar/data/1606366/000160636622000014/loco-20211229ex1033e3eb1.htm" TargetMode="External"/><Relationship Id="rId145" Type="http://schemas.openxmlformats.org/officeDocument/2006/relationships/hyperlink" Target="https://www.sec.gov/Archives/edgar/data/1606366/000160636624000013/loco-20231227xex10d37.htm" TargetMode="External"/><Relationship Id="rId146" Type="http://schemas.openxmlformats.org/officeDocument/2006/relationships/hyperlink" Target="https://www.sec.gov/Archives/edgar/data/1606366/000160636625000008/loco-20241225xex10d28.htm" TargetMode="External"/><Relationship Id="rId147" Type="http://schemas.openxmlformats.org/officeDocument/2006/relationships/hyperlink" Target="https://www.sec.gov/Archives/edgar/data/1606366/000160636625000030/loco-20250326xex10d1.htm" TargetMode="External"/><Relationship Id="rId148" Type="http://schemas.openxmlformats.org/officeDocument/2006/relationships/hyperlink" Target="https://www.sec.gov/Archives/edgar/data/1606366/000160636625000030/loco-20250326xex10d2.htm" TargetMode="External"/><Relationship Id="rId149" Type="http://schemas.openxmlformats.org/officeDocument/2006/relationships/hyperlink" Target="https://www.sec.gov/Archives/edgar/data/1606366/000160636625000030/loco-20250326xex10d3.htm" TargetMode="External"/><Relationship Id="rId150" Type="http://schemas.openxmlformats.org/officeDocument/2006/relationships/hyperlink" Target="https://www.sec.gov/Archives/edgar/data/1606366/000160636625000030/loco-20250326xex10d4.htm" TargetMode="External"/><Relationship Id="rId151" Type="http://schemas.openxmlformats.org/officeDocument/2006/relationships/hyperlink" Target="https://www.sec.gov/Archives/edgar/data/1606366/000160636625000030/loco-20250326xex10d5.htm" TargetMode="External"/><Relationship Id="rId153" Type="http://schemas.openxmlformats.org/officeDocument/2006/relationships/hyperlink" Target="https://www.sec.gov/Archives/edgar/data/1606366/000160636625000008/loco-20241225xex10d29.htm" TargetMode="External"/><Relationship Id="rId154" Type="http://schemas.openxmlformats.org/officeDocument/2006/relationships/hyperlink" Target="https://www.sec.gov/Archives/edgar/data/1606366/000160636622000044/loco-20220628ex10170ac6b.htm" TargetMode="External"/><Relationship Id="rId155" Type="http://schemas.openxmlformats.org/officeDocument/2006/relationships/hyperlink" Target="https://www.sec.gov/Archives/edgar/data/1606366/000138713123013023/ex10-1.htm" TargetMode="External"/><Relationship Id="rId156" Type="http://schemas.openxmlformats.org/officeDocument/2006/relationships/hyperlink" Target="https://www.sec.gov/ix?doc=/Archives/edgar/data/0001606366/000199937124001970/elpolloloco_8k-020824.htm" TargetMode="External"/><Relationship Id="rId157" Type="http://schemas.openxmlformats.org/officeDocument/2006/relationships/hyperlink" Target="https://www.sec.gov/Archives/edgar/data/1606366/000138713123013023/ex10-3.htm" TargetMode="External"/><Relationship Id="rId158" Type="http://schemas.openxmlformats.org/officeDocument/2006/relationships/hyperlink" Target="https://www.sec.gov/Archives/edgar/data/1606366/000160636624000032/loco-20240523xex99d1.htm" TargetMode="External"/><Relationship Id="rId159" Type="http://schemas.openxmlformats.org/officeDocument/2006/relationships/hyperlink" Target="https://www.sec.gov/Archives/edgar/data/1606366/000160636625000008/loco-20241225xex19d1.htm" TargetMode="External"/><Relationship Id="rId160" Type="http://schemas.openxmlformats.org/officeDocument/2006/relationships/hyperlink" Target="https://www.sec.gov/Archives/edgar/data/1606366/000119312514247412/d714963dex211.htm" TargetMode="External"/><Relationship Id="rId161" Type="http://schemas.openxmlformats.org/officeDocument/2006/relationships/hyperlink" Target="https://www.sec.gov/Archives/edgar/data/1606366/000160636624000013/loco-20231227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2026-03-13T15:28:24Z</dcterms:created>
  <dcterms:modified xsi:type="dcterms:W3CDTF">2026-03-13T15:28:24Z</dcterms:modified>
</cp:coreProperties>
</file>